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pacing w:val="100"/>
          <w:sz w:val="84"/>
          <w:szCs w:val="84"/>
          <w:highlight w:val="none"/>
        </w:rPr>
      </w:pPr>
      <w:r>
        <w:rPr>
          <w:rFonts w:hint="eastAsia" w:ascii="宋体" w:hAnsi="宋体" w:cs="宋体"/>
          <w:b/>
          <w:bCs/>
          <w:color w:val="auto"/>
          <w:spacing w:val="100"/>
          <w:sz w:val="84"/>
          <w:szCs w:val="84"/>
          <w:highlight w:val="none"/>
        </w:rPr>
        <w:t>温州市政府采购</w:t>
      </w:r>
    </w:p>
    <w:p>
      <w:pPr>
        <w:jc w:val="center"/>
        <w:rPr>
          <w:rFonts w:hint="eastAsia" w:ascii="宋体" w:hAnsi="宋体" w:cs="宋体"/>
          <w:b/>
          <w:bCs/>
          <w:color w:val="auto"/>
          <w:spacing w:val="26"/>
          <w:sz w:val="52"/>
          <w:highlight w:val="none"/>
        </w:rPr>
      </w:pPr>
    </w:p>
    <w:p>
      <w:pPr>
        <w:jc w:val="center"/>
        <w:rPr>
          <w:rFonts w:hint="eastAsia" w:ascii="宋体" w:hAnsi="宋体" w:cs="宋体"/>
          <w:b/>
          <w:bCs/>
          <w:color w:val="auto"/>
          <w:spacing w:val="26"/>
          <w:sz w:val="52"/>
          <w:highlight w:val="none"/>
        </w:rPr>
      </w:pPr>
    </w:p>
    <w:p>
      <w:pPr>
        <w:jc w:val="center"/>
        <w:rPr>
          <w:rFonts w:hint="eastAsia" w:ascii="宋体" w:hAnsi="宋体" w:cs="宋体"/>
          <w:b/>
          <w:bCs/>
          <w:color w:val="auto"/>
          <w:spacing w:val="26"/>
          <w:sz w:val="52"/>
          <w:highlight w:val="none"/>
        </w:rPr>
      </w:pPr>
    </w:p>
    <w:p>
      <w:pPr>
        <w:jc w:val="center"/>
        <w:rPr>
          <w:rFonts w:hint="eastAsia"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采购文件</w:t>
      </w:r>
    </w:p>
    <w:p>
      <w:pPr>
        <w:spacing w:line="600" w:lineRule="exact"/>
        <w:jc w:val="center"/>
        <w:rPr>
          <w:rFonts w:hint="eastAsia" w:ascii="宋体" w:hAnsi="宋体" w:cs="宋体"/>
          <w:b/>
          <w:bCs/>
          <w:color w:val="auto"/>
          <w:spacing w:val="140"/>
          <w:sz w:val="84"/>
          <w:szCs w:val="84"/>
          <w:highlight w:val="none"/>
        </w:rPr>
      </w:pPr>
    </w:p>
    <w:p>
      <w:pPr>
        <w:spacing w:line="400" w:lineRule="exact"/>
        <w:jc w:val="center"/>
        <w:rPr>
          <w:rFonts w:hint="eastAsia" w:ascii="宋体" w:hAnsi="宋体" w:cs="宋体"/>
          <w:b/>
          <w:bCs/>
          <w:color w:val="auto"/>
          <w:sz w:val="32"/>
          <w:szCs w:val="32"/>
          <w:highlight w:val="none"/>
        </w:rPr>
      </w:pPr>
    </w:p>
    <w:p>
      <w:pPr>
        <w:pStyle w:val="22"/>
        <w:rPr>
          <w:rFonts w:hint="eastAsia" w:ascii="宋体" w:hAnsi="宋体" w:cs="宋体"/>
          <w:color w:val="auto"/>
          <w:highlight w:val="none"/>
        </w:rPr>
      </w:pPr>
    </w:p>
    <w:p>
      <w:pPr>
        <w:jc w:val="center"/>
        <w:rPr>
          <w:rFonts w:hint="eastAsia" w:ascii="宋体" w:hAnsi="宋体" w:cs="宋体"/>
          <w:color w:val="auto"/>
          <w:spacing w:val="40"/>
          <w:sz w:val="30"/>
          <w:szCs w:val="30"/>
          <w:highlight w:val="none"/>
        </w:rPr>
      </w:pPr>
    </w:p>
    <w:p>
      <w:pPr>
        <w:jc w:val="center"/>
        <w:rPr>
          <w:rFonts w:hint="eastAsia" w:ascii="宋体" w:hAnsi="宋体" w:cs="宋体"/>
          <w:color w:val="auto"/>
          <w:spacing w:val="40"/>
          <w:sz w:val="30"/>
          <w:szCs w:val="30"/>
          <w:highlight w:val="none"/>
        </w:rPr>
      </w:pPr>
    </w:p>
    <w:p>
      <w:pPr>
        <w:jc w:val="center"/>
        <w:rPr>
          <w:rFonts w:hint="eastAsia" w:ascii="宋体" w:hAnsi="宋体" w:cs="宋体"/>
          <w:color w:val="auto"/>
          <w:spacing w:val="40"/>
          <w:sz w:val="30"/>
          <w:szCs w:val="30"/>
          <w:highlight w:val="none"/>
        </w:rPr>
      </w:pPr>
    </w:p>
    <w:tbl>
      <w:tblPr>
        <w:tblStyle w:val="57"/>
        <w:tblW w:w="0" w:type="auto"/>
        <w:jc w:val="center"/>
        <w:tblLayout w:type="fixed"/>
        <w:tblCellMar>
          <w:top w:w="0" w:type="dxa"/>
          <w:left w:w="108" w:type="dxa"/>
          <w:bottom w:w="0" w:type="dxa"/>
          <w:right w:w="108" w:type="dxa"/>
        </w:tblCellMar>
      </w:tblPr>
      <w:tblGrid>
        <w:gridCol w:w="1483"/>
        <w:gridCol w:w="3467"/>
      </w:tblGrid>
      <w:tr>
        <w:trPr>
          <w:trHeight w:val="707" w:hRule="atLeast"/>
          <w:jc w:val="center"/>
        </w:trPr>
        <w:tc>
          <w:tcPr>
            <w:tcW w:w="1483" w:type="dxa"/>
            <w:noWrap w:val="0"/>
            <w:vAlign w:val="center"/>
          </w:tcPr>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3467" w:type="dxa"/>
            <w:noWrap w:val="0"/>
            <w:vAlign w:val="center"/>
          </w:tcPr>
          <w:p>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ZXZB-F20240516-YY</w:t>
            </w:r>
          </w:p>
        </w:tc>
      </w:tr>
      <w:tr>
        <w:tblPrEx>
          <w:tblCellMar>
            <w:top w:w="0" w:type="dxa"/>
            <w:left w:w="108" w:type="dxa"/>
            <w:bottom w:w="0" w:type="dxa"/>
            <w:right w:w="108" w:type="dxa"/>
          </w:tblCellMar>
        </w:tblPrEx>
        <w:trPr>
          <w:trHeight w:val="942" w:hRule="atLeast"/>
          <w:jc w:val="center"/>
        </w:trPr>
        <w:tc>
          <w:tcPr>
            <w:tcW w:w="1483" w:type="dxa"/>
            <w:noWrap w:val="0"/>
            <w:vAlign w:val="center"/>
          </w:tcPr>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3467" w:type="dxa"/>
            <w:noWrap w:val="0"/>
            <w:vAlign w:val="center"/>
          </w:tcPr>
          <w:p>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2024温州惠企政策“直通车”新功能开发和运营服务</w:t>
            </w:r>
          </w:p>
        </w:tc>
      </w:tr>
      <w:tr>
        <w:tblPrEx>
          <w:tblCellMar>
            <w:top w:w="0" w:type="dxa"/>
            <w:left w:w="108" w:type="dxa"/>
            <w:bottom w:w="0" w:type="dxa"/>
            <w:right w:w="108" w:type="dxa"/>
          </w:tblCellMar>
        </w:tblPrEx>
        <w:trPr>
          <w:trHeight w:val="707" w:hRule="atLeast"/>
          <w:jc w:val="center"/>
        </w:trPr>
        <w:tc>
          <w:tcPr>
            <w:tcW w:w="1483" w:type="dxa"/>
            <w:noWrap w:val="0"/>
            <w:vAlign w:val="center"/>
          </w:tcPr>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3467" w:type="dxa"/>
            <w:noWrap w:val="0"/>
            <w:vAlign w:val="center"/>
          </w:tcPr>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公开招标</w:t>
            </w:r>
          </w:p>
        </w:tc>
      </w:tr>
    </w:tbl>
    <w:p>
      <w:pPr>
        <w:spacing w:line="600" w:lineRule="exact"/>
        <w:jc w:val="center"/>
        <w:rPr>
          <w:rFonts w:hint="eastAsia" w:ascii="宋体" w:hAnsi="宋体" w:cs="宋体"/>
          <w:b/>
          <w:color w:val="auto"/>
          <w:sz w:val="30"/>
          <w:szCs w:val="30"/>
          <w:highlight w:val="none"/>
        </w:rPr>
      </w:pPr>
    </w:p>
    <w:p>
      <w:pPr>
        <w:spacing w:line="600" w:lineRule="exact"/>
        <w:jc w:val="center"/>
        <w:rPr>
          <w:rFonts w:hint="eastAsia" w:ascii="宋体" w:hAnsi="宋体" w:cs="宋体"/>
          <w:b/>
          <w:color w:val="auto"/>
          <w:sz w:val="30"/>
          <w:szCs w:val="30"/>
          <w:highlight w:val="none"/>
        </w:rPr>
      </w:pPr>
    </w:p>
    <w:p>
      <w:pPr>
        <w:spacing w:line="600" w:lineRule="exact"/>
        <w:jc w:val="center"/>
        <w:rPr>
          <w:rFonts w:hint="eastAsia" w:ascii="宋体" w:hAnsi="宋体" w:cs="宋体"/>
          <w:b/>
          <w:color w:val="auto"/>
          <w:sz w:val="30"/>
          <w:szCs w:val="30"/>
          <w:highlight w:val="none"/>
        </w:rPr>
      </w:pPr>
    </w:p>
    <w:p>
      <w:pPr>
        <w:spacing w:line="600" w:lineRule="exact"/>
        <w:jc w:val="center"/>
        <w:rPr>
          <w:rFonts w:hint="eastAsia" w:ascii="宋体" w:hAnsi="宋体" w:cs="宋体"/>
          <w:b/>
          <w:color w:val="auto"/>
          <w:sz w:val="30"/>
          <w:szCs w:val="30"/>
          <w:highlight w:val="none"/>
        </w:rPr>
      </w:pPr>
    </w:p>
    <w:p>
      <w:pPr>
        <w:rPr>
          <w:rFonts w:hint="eastAsia"/>
          <w:color w:val="auto"/>
          <w:highlight w:val="none"/>
        </w:rPr>
      </w:pPr>
    </w:p>
    <w:p>
      <w:pPr>
        <w:pStyle w:val="2"/>
        <w:rPr>
          <w:rFonts w:hint="eastAsia"/>
          <w:color w:val="auto"/>
          <w:highlight w:val="none"/>
        </w:rPr>
      </w:pPr>
    </w:p>
    <w:tbl>
      <w:tblPr>
        <w:tblStyle w:val="57"/>
        <w:tblW w:w="0" w:type="auto"/>
        <w:jc w:val="center"/>
        <w:tblLayout w:type="fixed"/>
        <w:tblCellMar>
          <w:top w:w="0" w:type="dxa"/>
          <w:left w:w="108" w:type="dxa"/>
          <w:bottom w:w="0" w:type="dxa"/>
          <w:right w:w="108" w:type="dxa"/>
        </w:tblCellMar>
      </w:tblPr>
      <w:tblGrid>
        <w:gridCol w:w="1342"/>
        <w:gridCol w:w="236"/>
        <w:gridCol w:w="4542"/>
      </w:tblGrid>
      <w:tr>
        <w:tblPrEx>
          <w:tblCellMar>
            <w:top w:w="0" w:type="dxa"/>
            <w:left w:w="108" w:type="dxa"/>
            <w:bottom w:w="0" w:type="dxa"/>
            <w:right w:w="108" w:type="dxa"/>
          </w:tblCellMar>
        </w:tblPrEx>
        <w:trPr>
          <w:trHeight w:val="707" w:hRule="atLeast"/>
          <w:jc w:val="center"/>
        </w:trPr>
        <w:tc>
          <w:tcPr>
            <w:tcW w:w="1342" w:type="dxa"/>
            <w:noWrap w:val="0"/>
            <w:vAlign w:val="center"/>
          </w:tcPr>
          <w:p>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采购人</w:t>
            </w:r>
          </w:p>
        </w:tc>
        <w:tc>
          <w:tcPr>
            <w:tcW w:w="236" w:type="dxa"/>
            <w:noWrap w:val="0"/>
            <w:vAlign w:val="center"/>
          </w:tcPr>
          <w:p>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w:t>
            </w:r>
          </w:p>
        </w:tc>
        <w:tc>
          <w:tcPr>
            <w:tcW w:w="4542" w:type="dxa"/>
            <w:noWrap w:val="0"/>
            <w:vAlign w:val="center"/>
          </w:tcPr>
          <w:p>
            <w:pPr>
              <w:jc w:val="distribute"/>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温州市财政局</w:t>
            </w:r>
          </w:p>
        </w:tc>
      </w:tr>
      <w:tr>
        <w:tblPrEx>
          <w:tblCellMar>
            <w:top w:w="0" w:type="dxa"/>
            <w:left w:w="108" w:type="dxa"/>
            <w:bottom w:w="0" w:type="dxa"/>
            <w:right w:w="108" w:type="dxa"/>
          </w:tblCellMar>
        </w:tblPrEx>
        <w:trPr>
          <w:trHeight w:val="707" w:hRule="atLeast"/>
          <w:jc w:val="center"/>
        </w:trPr>
        <w:tc>
          <w:tcPr>
            <w:tcW w:w="1342" w:type="dxa"/>
            <w:noWrap w:val="0"/>
            <w:vAlign w:val="center"/>
          </w:tcPr>
          <w:p>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代理机构</w:t>
            </w:r>
          </w:p>
        </w:tc>
        <w:tc>
          <w:tcPr>
            <w:tcW w:w="236" w:type="dxa"/>
            <w:noWrap w:val="0"/>
            <w:vAlign w:val="center"/>
          </w:tcPr>
          <w:p>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w:t>
            </w:r>
          </w:p>
        </w:tc>
        <w:tc>
          <w:tcPr>
            <w:tcW w:w="4542" w:type="dxa"/>
            <w:noWrap w:val="0"/>
            <w:vAlign w:val="center"/>
          </w:tcPr>
          <w:p>
            <w:pPr>
              <w:jc w:val="distribute"/>
              <w:rPr>
                <w:rFonts w:hint="eastAsia" w:ascii="宋体" w:hAnsi="宋体" w:cs="宋体"/>
                <w:b/>
                <w:color w:val="auto"/>
                <w:sz w:val="28"/>
                <w:szCs w:val="28"/>
                <w:highlight w:val="none"/>
              </w:rPr>
            </w:pPr>
            <w:r>
              <w:rPr>
                <w:rFonts w:hint="eastAsia" w:ascii="宋体" w:hAnsi="宋体" w:cs="宋体"/>
                <w:b/>
                <w:color w:val="auto"/>
                <w:sz w:val="28"/>
                <w:szCs w:val="28"/>
                <w:highlight w:val="none"/>
              </w:rPr>
              <w:t>温州市智信招标代理有限公司</w:t>
            </w:r>
          </w:p>
        </w:tc>
      </w:tr>
    </w:tbl>
    <w:p>
      <w:pPr>
        <w:spacing w:line="600" w:lineRule="exact"/>
        <w:jc w:val="center"/>
        <w:rPr>
          <w:rFonts w:hint="eastAsia" w:ascii="宋体" w:hAnsi="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Borders>
            <w:top w:val="none" w:sz="0" w:space="0"/>
            <w:left w:val="none" w:sz="0" w:space="0"/>
            <w:bottom w:val="none" w:sz="0" w:space="0"/>
            <w:right w:val="none" w:sz="0" w:space="0"/>
          </w:pgBorders>
          <w:pgNumType w:fmt="decimal" w:start="0"/>
          <w:cols w:space="720" w:num="1"/>
          <w:titlePg/>
          <w:docGrid w:linePitch="312" w:charSpace="0"/>
        </w:sectPr>
      </w:pPr>
      <w:r>
        <w:rPr>
          <w:rFonts w:hint="eastAsia" w:ascii="宋体" w:hAnsi="宋体" w:cs="宋体"/>
          <w:b/>
          <w:color w:val="auto"/>
          <w:sz w:val="30"/>
          <w:szCs w:val="30"/>
          <w:highlight w:val="none"/>
        </w:rPr>
        <w:t xml:space="preserve">     二○二</w:t>
      </w: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月</w:t>
      </w:r>
    </w:p>
    <w:p>
      <w:pPr>
        <w:pStyle w:val="39"/>
        <w:tabs>
          <w:tab w:val="right" w:leader="dot" w:pos="9638"/>
        </w:tabs>
        <w:ind w:left="1030" w:hanging="103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rPr>
          <w:rFonts w:hint="eastAsia" w:ascii="宋体" w:hAnsi="宋体" w:cs="宋体"/>
          <w:color w:val="auto"/>
          <w:highlight w:val="none"/>
        </w:rPr>
      </w:pPr>
    </w:p>
    <w:p>
      <w:pPr>
        <w:pStyle w:val="39"/>
        <w:tabs>
          <w:tab w:val="right" w:leader="dot" w:pos="9628"/>
        </w:tabs>
        <w:spacing w:line="480" w:lineRule="auto"/>
        <w:ind w:left="824" w:hanging="824"/>
        <w:rPr>
          <w:rFonts w:ascii="新宋体" w:hAnsi="新宋体" w:eastAsia="新宋体" w:cs="Times New Roman"/>
          <w:color w:val="auto"/>
          <w:sz w:val="24"/>
          <w:highlight w:val="none"/>
        </w:rPr>
      </w:pPr>
      <w:r>
        <w:rPr>
          <w:rFonts w:hint="eastAsia" w:ascii="新宋体" w:hAnsi="新宋体" w:eastAsia="新宋体" w:cs="宋体"/>
          <w:b/>
          <w:bCs/>
          <w:color w:val="auto"/>
          <w:sz w:val="24"/>
          <w:highlight w:val="none"/>
        </w:rPr>
        <w:fldChar w:fldCharType="begin"/>
      </w:r>
      <w:r>
        <w:rPr>
          <w:rFonts w:hint="eastAsia" w:ascii="新宋体" w:hAnsi="新宋体" w:eastAsia="新宋体" w:cs="宋体"/>
          <w:b/>
          <w:bCs/>
          <w:color w:val="auto"/>
          <w:sz w:val="24"/>
          <w:highlight w:val="none"/>
        </w:rPr>
        <w:instrText xml:space="preserve">TOC \o "1-3" \h \u </w:instrText>
      </w:r>
      <w:r>
        <w:rPr>
          <w:rFonts w:hint="eastAsia" w:ascii="新宋体" w:hAnsi="新宋体" w:eastAsia="新宋体" w:cs="宋体"/>
          <w:b/>
          <w:bCs/>
          <w:color w:val="auto"/>
          <w:sz w:val="24"/>
          <w:highlight w:val="none"/>
        </w:rPr>
        <w:fldChar w:fldCharType="separate"/>
      </w: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"_Toc58406681"</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第一部分</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投标人须知</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_Toc58406681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39"/>
        <w:tabs>
          <w:tab w:val="right" w:leader="dot" w:pos="9628"/>
        </w:tabs>
        <w:spacing w:line="480" w:lineRule="auto"/>
        <w:ind w:left="821" w:hanging="821"/>
        <w:rPr>
          <w:rFonts w:ascii="新宋体" w:hAnsi="新宋体" w:eastAsia="新宋体" w:cs="Times New Roman"/>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"_Toc58406682"</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投标人须知前附表</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_Toc58406682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7"/>
        <w:tabs>
          <w:tab w:val="right" w:leader="dot" w:pos="9628"/>
        </w:tabs>
        <w:spacing w:line="480" w:lineRule="auto"/>
        <w:rPr>
          <w:rFonts w:ascii="新宋体" w:hAnsi="新宋体" w:eastAsia="新宋体"/>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"_Toc58406683"</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一、</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说明</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_Toc58406683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7</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7"/>
        <w:tabs>
          <w:tab w:val="right" w:leader="dot" w:pos="9628"/>
        </w:tabs>
        <w:spacing w:line="480" w:lineRule="auto"/>
        <w:rPr>
          <w:rFonts w:ascii="新宋体" w:hAnsi="新宋体" w:eastAsia="新宋体"/>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"_Toc58406684"</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二、</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采购文件</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_Toc58406684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8</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7"/>
        <w:tabs>
          <w:tab w:val="right" w:leader="dot" w:pos="9628"/>
        </w:tabs>
        <w:spacing w:line="480" w:lineRule="auto"/>
        <w:rPr>
          <w:rFonts w:ascii="新宋体" w:hAnsi="新宋体" w:eastAsia="新宋体"/>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"_Toc58406685"</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三、</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投标文件的编制</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_Toc58406685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9</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7"/>
        <w:tabs>
          <w:tab w:val="right" w:leader="dot" w:pos="9628"/>
        </w:tabs>
        <w:spacing w:line="480" w:lineRule="auto"/>
        <w:rPr>
          <w:rFonts w:ascii="新宋体" w:hAnsi="新宋体" w:eastAsia="新宋体"/>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"_Toc58406686"</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四、</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投标文件的递交</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_Toc58406686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7"/>
        <w:tabs>
          <w:tab w:val="right" w:leader="dot" w:pos="9628"/>
        </w:tabs>
        <w:spacing w:line="480" w:lineRule="auto"/>
        <w:rPr>
          <w:rFonts w:ascii="新宋体" w:hAnsi="新宋体" w:eastAsia="新宋体"/>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"_Toc58406687"</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五、</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开标</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_Toc58406687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13</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7"/>
        <w:tabs>
          <w:tab w:val="right" w:leader="dot" w:pos="9628"/>
        </w:tabs>
        <w:spacing w:line="480" w:lineRule="auto"/>
        <w:rPr>
          <w:rFonts w:ascii="新宋体" w:hAnsi="新宋体" w:eastAsia="新宋体"/>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"_Toc58406688"</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六、</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评</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标</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_Toc58406688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14</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7"/>
        <w:tabs>
          <w:tab w:val="right" w:leader="dot" w:pos="9628"/>
        </w:tabs>
        <w:spacing w:line="480" w:lineRule="auto"/>
        <w:rPr>
          <w:rFonts w:ascii="新宋体" w:hAnsi="新宋体" w:eastAsia="新宋体"/>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"_Toc58406689"</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七、</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授予合同</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_Toc58406689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18</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39"/>
        <w:tabs>
          <w:tab w:val="right" w:leader="dot" w:pos="9628"/>
        </w:tabs>
        <w:spacing w:line="480" w:lineRule="auto"/>
        <w:ind w:left="821" w:hanging="821"/>
        <w:rPr>
          <w:rFonts w:ascii="新宋体" w:hAnsi="新宋体" w:eastAsia="新宋体" w:cs="Times New Roman"/>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"_Toc58406690"</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第二部分</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政府采购政策功能相关说明</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_Toc58406690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20</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39"/>
        <w:tabs>
          <w:tab w:val="right" w:leader="dot" w:pos="9628"/>
        </w:tabs>
        <w:spacing w:line="480" w:lineRule="auto"/>
        <w:ind w:left="821" w:hanging="821"/>
        <w:rPr>
          <w:rFonts w:ascii="新宋体" w:hAnsi="新宋体" w:eastAsia="新宋体" w:cs="Times New Roman"/>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"_Toc58406691"</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第三部分</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合同条款及格式</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_Toc58406691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25</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39"/>
        <w:tabs>
          <w:tab w:val="right" w:leader="dot" w:pos="9628"/>
        </w:tabs>
        <w:spacing w:line="480" w:lineRule="auto"/>
        <w:ind w:left="821" w:hanging="821"/>
        <w:rPr>
          <w:rFonts w:ascii="新宋体" w:hAnsi="新宋体" w:eastAsia="新宋体" w:cs="Times New Roman"/>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"_Toc58406692"</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第四部分</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投标文件格式</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_Toc58406692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33</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39"/>
        <w:tabs>
          <w:tab w:val="right" w:leader="dot" w:pos="9628"/>
        </w:tabs>
        <w:spacing w:line="480" w:lineRule="auto"/>
        <w:ind w:left="821" w:hanging="821"/>
        <w:rPr>
          <w:rFonts w:ascii="新宋体" w:hAnsi="新宋体" w:eastAsia="新宋体" w:cs="Times New Roman"/>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"_Toc58406693"</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第五部分</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采购内容及要求</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_Toc58406693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49</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39"/>
        <w:tabs>
          <w:tab w:val="right" w:leader="dot" w:pos="9628"/>
        </w:tabs>
        <w:spacing w:line="480" w:lineRule="auto"/>
        <w:ind w:left="821" w:hanging="821"/>
        <w:rPr>
          <w:rFonts w:ascii="新宋体" w:hAnsi="新宋体" w:eastAsia="新宋体" w:cs="Times New Roman"/>
          <w:color w:val="auto"/>
          <w:sz w:val="24"/>
          <w:highlight w:val="none"/>
        </w:rPr>
      </w:pPr>
      <w:r>
        <w:rPr>
          <w:rFonts w:ascii="新宋体" w:hAnsi="新宋体" w:eastAsia="新宋体"/>
          <w:color w:val="auto"/>
          <w:sz w:val="24"/>
          <w:highlight w:val="none"/>
        </w:rPr>
        <w:fldChar w:fldCharType="begin"/>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instrText xml:space="preserve">HYPERLINK \l "_Toc58406694"</w:instrText>
      </w:r>
      <w:r>
        <w:rPr>
          <w:rStyle w:val="69"/>
          <w:rFonts w:ascii="新宋体" w:hAnsi="新宋体" w:eastAsia="新宋体"/>
          <w:color w:val="auto"/>
          <w:sz w:val="24"/>
          <w:szCs w:val="24"/>
          <w:highlight w:val="none"/>
        </w:rPr>
        <w:instrText xml:space="preserve"> </w:instrText>
      </w:r>
      <w:r>
        <w:rPr>
          <w:rFonts w:ascii="新宋体" w:hAnsi="新宋体" w:eastAsia="新宋体"/>
          <w:color w:val="auto"/>
          <w:sz w:val="24"/>
          <w:highlight w:val="none"/>
        </w:rPr>
        <w:fldChar w:fldCharType="separate"/>
      </w:r>
      <w:r>
        <w:rPr>
          <w:rStyle w:val="69"/>
          <w:rFonts w:hint="eastAsia" w:ascii="新宋体" w:hAnsi="新宋体" w:eastAsia="新宋体" w:cs="宋体"/>
          <w:color w:val="auto"/>
          <w:sz w:val="24"/>
          <w:szCs w:val="24"/>
          <w:highlight w:val="none"/>
        </w:rPr>
        <w:t>第六部分</w:t>
      </w:r>
      <w:r>
        <w:rPr>
          <w:rStyle w:val="69"/>
          <w:rFonts w:ascii="新宋体" w:hAnsi="新宋体" w:eastAsia="新宋体" w:cs="宋体"/>
          <w:color w:val="auto"/>
          <w:sz w:val="24"/>
          <w:szCs w:val="24"/>
          <w:highlight w:val="none"/>
        </w:rPr>
        <w:t xml:space="preserve">   </w:t>
      </w:r>
      <w:r>
        <w:rPr>
          <w:rStyle w:val="69"/>
          <w:rFonts w:hint="eastAsia" w:ascii="新宋体" w:hAnsi="新宋体" w:eastAsia="新宋体" w:cs="宋体"/>
          <w:color w:val="auto"/>
          <w:sz w:val="24"/>
          <w:szCs w:val="24"/>
          <w:highlight w:val="none"/>
        </w:rPr>
        <w:t>评标原则及方法</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_Toc58406694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64</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55"/>
        <w:ind w:firstLine="241"/>
        <w:rPr>
          <w:rFonts w:hint="eastAsia" w:ascii="宋体" w:hAnsi="宋体" w:cs="宋体"/>
          <w:b w:val="0"/>
          <w:bCs/>
          <w:color w:val="auto"/>
          <w:szCs w:val="21"/>
          <w:highlight w:val="none"/>
        </w:rPr>
      </w:pPr>
      <w:r>
        <w:rPr>
          <w:rFonts w:hint="eastAsia" w:ascii="新宋体" w:hAnsi="新宋体" w:eastAsia="新宋体" w:cs="宋体"/>
          <w:bCs/>
          <w:color w:val="auto"/>
          <w:sz w:val="24"/>
          <w:highlight w:val="none"/>
        </w:rPr>
        <w:fldChar w:fldCharType="end"/>
      </w:r>
    </w:p>
    <w:p>
      <w:pPr>
        <w:pStyle w:val="55"/>
        <w:ind w:firstLine="320"/>
        <w:rPr>
          <w:rFonts w:hint="eastAsia" w:ascii="宋体" w:hAnsi="宋体" w:cs="宋体"/>
          <w:b w:val="0"/>
          <w:bCs/>
          <w:color w:val="auto"/>
          <w:szCs w:val="21"/>
          <w:highlight w:val="none"/>
        </w:rPr>
      </w:pPr>
    </w:p>
    <w:p>
      <w:pPr>
        <w:spacing w:line="560" w:lineRule="exact"/>
        <w:rPr>
          <w:rFonts w:hint="eastAsia" w:ascii="宋体" w:hAnsi="宋体" w:cs="宋体"/>
          <w:b/>
          <w:bCs/>
          <w:color w:val="auto"/>
          <w:sz w:val="22"/>
          <w:szCs w:val="22"/>
          <w:highlight w:val="none"/>
        </w:rPr>
      </w:pPr>
    </w:p>
    <w:p>
      <w:pPr>
        <w:spacing w:line="5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注：采购文件中加“▲”且加下划线的条款，为招标的实质性要求和条件，着重提醒各投标人注意，并认真查看采购文件中的每一个条款及要求，因误读采购文件而造成的后果，采购人概不负责。</w:t>
      </w:r>
    </w:p>
    <w:p>
      <w:pPr>
        <w:pStyle w:val="55"/>
        <w:ind w:firstLine="320"/>
        <w:rPr>
          <w:rFonts w:hint="eastAsia" w:ascii="宋体" w:hAnsi="宋体" w:cs="宋体"/>
          <w:b w:val="0"/>
          <w:bCs/>
          <w:color w:val="auto"/>
          <w:szCs w:val="21"/>
          <w:highlight w:val="none"/>
        </w:rPr>
      </w:pPr>
    </w:p>
    <w:p>
      <w:pPr>
        <w:pStyle w:val="55"/>
        <w:ind w:firstLine="320"/>
        <w:rPr>
          <w:rFonts w:hint="eastAsia" w:ascii="宋体" w:hAnsi="宋体" w:cs="宋体"/>
          <w:b w:val="0"/>
          <w:bCs/>
          <w:color w:val="auto"/>
          <w:szCs w:val="21"/>
          <w:highlight w:val="none"/>
        </w:rPr>
      </w:pPr>
    </w:p>
    <w:p>
      <w:pPr>
        <w:pStyle w:val="55"/>
        <w:ind w:firstLine="320"/>
        <w:rPr>
          <w:rFonts w:hint="eastAsia" w:ascii="宋体" w:hAnsi="宋体" w:cs="宋体"/>
          <w:b w:val="0"/>
          <w:bCs/>
          <w:color w:val="auto"/>
          <w:szCs w:val="21"/>
          <w:highlight w:val="none"/>
        </w:rPr>
      </w:pPr>
    </w:p>
    <w:p>
      <w:pPr>
        <w:pStyle w:val="55"/>
        <w:ind w:firstLine="320"/>
        <w:rPr>
          <w:rFonts w:hint="eastAsia" w:ascii="宋体" w:hAnsi="宋体" w:cs="宋体"/>
          <w:b w:val="0"/>
          <w:bCs/>
          <w:color w:val="auto"/>
          <w:szCs w:val="21"/>
          <w:highlight w:val="none"/>
        </w:rPr>
      </w:pPr>
    </w:p>
    <w:p>
      <w:pPr>
        <w:pStyle w:val="4"/>
        <w:rPr>
          <w:rFonts w:hint="eastAsia" w:ascii="宋体" w:hAnsi="宋体" w:eastAsia="宋体" w:cs="宋体"/>
          <w:color w:val="auto"/>
          <w:sz w:val="36"/>
          <w:szCs w:val="36"/>
          <w:highlight w:val="none"/>
        </w:rPr>
      </w:pPr>
      <w:bookmarkStart w:id="0" w:name="_Toc32301"/>
      <w:r>
        <w:rPr>
          <w:rFonts w:hint="eastAsia" w:ascii="宋体" w:hAnsi="宋体" w:eastAsia="宋体" w:cs="宋体"/>
          <w:color w:val="auto"/>
          <w:sz w:val="36"/>
          <w:szCs w:val="36"/>
          <w:highlight w:val="none"/>
        </w:rPr>
        <w:br w:type="page"/>
      </w:r>
      <w:bookmarkStart w:id="1" w:name="_Toc58406681"/>
      <w:r>
        <w:rPr>
          <w:rFonts w:hint="eastAsia" w:ascii="宋体" w:hAnsi="宋体" w:eastAsia="宋体" w:cs="宋体"/>
          <w:color w:val="auto"/>
          <w:sz w:val="36"/>
          <w:szCs w:val="36"/>
          <w:highlight w:val="none"/>
        </w:rPr>
        <w:t>第一部分  投标人须知</w:t>
      </w:r>
      <w:bookmarkEnd w:id="1"/>
    </w:p>
    <w:p>
      <w:pPr>
        <w:pStyle w:val="4"/>
        <w:rPr>
          <w:rFonts w:hint="eastAsia" w:ascii="宋体" w:hAnsi="宋体" w:eastAsia="宋体" w:cs="宋体"/>
          <w:color w:val="auto"/>
          <w:sz w:val="36"/>
          <w:szCs w:val="36"/>
          <w:highlight w:val="none"/>
        </w:rPr>
      </w:pPr>
      <w:bookmarkStart w:id="2" w:name="_Toc58406682"/>
      <w:r>
        <w:rPr>
          <w:rFonts w:hint="eastAsia" w:ascii="宋体" w:hAnsi="宋体" w:eastAsia="宋体" w:cs="宋体"/>
          <w:color w:val="auto"/>
          <w:sz w:val="36"/>
          <w:szCs w:val="36"/>
          <w:highlight w:val="none"/>
        </w:rPr>
        <w:t>投标人须知前附表</w:t>
      </w:r>
      <w:bookmarkEnd w:id="0"/>
      <w:bookmarkEnd w:id="2"/>
    </w:p>
    <w:tbl>
      <w:tblPr>
        <w:tblStyle w:val="57"/>
        <w:tblW w:w="10123" w:type="dxa"/>
        <w:jc w:val="center"/>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trHeight w:val="560" w:hRule="atLeast"/>
          <w:tblHeader/>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tblPrEx>
          <w:tblCellMar>
            <w:top w:w="0" w:type="dxa"/>
            <w:left w:w="108" w:type="dxa"/>
            <w:bottom w:w="0" w:type="dxa"/>
            <w:right w:w="108" w:type="dxa"/>
          </w:tblCellMar>
        </w:tblPrEx>
        <w:trPr>
          <w:trHeight w:val="1058"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采购人名称：</w:t>
            </w:r>
            <w:r>
              <w:rPr>
                <w:rFonts w:hint="eastAsia" w:ascii="宋体" w:hAnsi="宋体" w:cs="宋体"/>
                <w:bCs/>
                <w:color w:val="auto"/>
                <w:kern w:val="0"/>
                <w:sz w:val="22"/>
                <w:szCs w:val="22"/>
                <w:highlight w:val="none"/>
                <w:lang w:eastAsia="zh-CN"/>
              </w:rPr>
              <w:t>温州市财政局</w:t>
            </w:r>
          </w:p>
          <w:p>
            <w:pPr>
              <w:spacing w:line="360" w:lineRule="exact"/>
              <w:rPr>
                <w:rFonts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联系地址：温州市绣山路299号</w:t>
            </w:r>
          </w:p>
          <w:p>
            <w:pPr>
              <w:spacing w:line="3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联系人：</w:t>
            </w:r>
            <w:r>
              <w:rPr>
                <w:rFonts w:hint="eastAsia" w:ascii="宋体" w:hAnsi="宋体" w:eastAsia="宋体" w:cs="宋体"/>
                <w:bCs/>
                <w:color w:val="auto"/>
                <w:kern w:val="0"/>
                <w:sz w:val="22"/>
                <w:szCs w:val="22"/>
                <w:highlight w:val="none"/>
                <w:lang w:val="en-US" w:eastAsia="zh-CN"/>
              </w:rPr>
              <w:t>陈先生</w:t>
            </w:r>
            <w:r>
              <w:rPr>
                <w:rFonts w:hint="eastAsia" w:ascii="宋体" w:hAnsi="宋体" w:eastAsia="宋体" w:cs="宋体"/>
                <w:bCs/>
                <w:color w:val="auto"/>
                <w:kern w:val="0"/>
                <w:sz w:val="22"/>
                <w:szCs w:val="22"/>
                <w:highlight w:val="none"/>
              </w:rPr>
              <w:t xml:space="preserve">   </w:t>
            </w:r>
          </w:p>
          <w:p>
            <w:pPr>
              <w:spacing w:line="360" w:lineRule="exact"/>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联系电话：0577-88523910</w:t>
            </w:r>
          </w:p>
          <w:p>
            <w:pPr>
              <w:spacing w:line="360" w:lineRule="exac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质疑联系人：</w:t>
            </w:r>
            <w:r>
              <w:rPr>
                <w:rFonts w:hint="eastAsia" w:ascii="宋体" w:hAnsi="宋体" w:eastAsia="宋体" w:cs="宋体"/>
                <w:bCs/>
                <w:color w:val="auto"/>
                <w:kern w:val="0"/>
                <w:sz w:val="22"/>
                <w:szCs w:val="22"/>
                <w:highlight w:val="none"/>
                <w:lang w:val="en-US" w:eastAsia="zh-CN"/>
              </w:rPr>
              <w:t>胡女士</w:t>
            </w:r>
            <w:r>
              <w:rPr>
                <w:rFonts w:hint="eastAsia" w:ascii="宋体" w:hAnsi="宋体" w:eastAsia="宋体" w:cs="宋体"/>
                <w:bCs/>
                <w:color w:val="auto"/>
                <w:kern w:val="0"/>
                <w:sz w:val="22"/>
                <w:szCs w:val="22"/>
                <w:highlight w:val="none"/>
              </w:rPr>
              <w:t xml:space="preserve">    </w:t>
            </w:r>
          </w:p>
          <w:p>
            <w:pPr>
              <w:spacing w:line="360" w:lineRule="exact"/>
              <w:rPr>
                <w:rFonts w:hint="default" w:ascii="宋体" w:hAnsi="宋体" w:cs="宋体"/>
                <w:bCs/>
                <w:color w:val="auto"/>
                <w:kern w:val="0"/>
                <w:sz w:val="22"/>
                <w:szCs w:val="22"/>
                <w:highlight w:val="none"/>
                <w:lang w:val="en-US"/>
              </w:rPr>
            </w:pPr>
            <w:r>
              <w:rPr>
                <w:rFonts w:hint="eastAsia" w:ascii="宋体" w:hAnsi="宋体" w:eastAsia="宋体" w:cs="宋体"/>
                <w:bCs/>
                <w:color w:val="auto"/>
                <w:kern w:val="0"/>
                <w:sz w:val="22"/>
                <w:szCs w:val="22"/>
                <w:highlight w:val="none"/>
              </w:rPr>
              <w:t>质疑联系方式：0577-88588523</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采购代理机构名称：温州市智信招标代理有限公司</w:t>
            </w:r>
          </w:p>
          <w:p>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址：温州市瓯海区新桥街道高昂路1号牛山广场2号楼1409室。</w:t>
            </w:r>
          </w:p>
          <w:p>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联系人：苏先生 、叶先生</w:t>
            </w:r>
          </w:p>
          <w:p>
            <w:pPr>
              <w:spacing w:line="3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联系电话：13626506308，13958779970</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lang w:eastAsia="zh-CN"/>
              </w:rPr>
              <w:t>2024温州惠企政策“直通车”新功能开发和运营服务</w:t>
            </w:r>
          </w:p>
          <w:p>
            <w:pPr>
              <w:spacing w:line="360" w:lineRule="exact"/>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ZXZB-F20240516-YY</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bCs/>
                <w:color w:val="auto"/>
                <w:kern w:val="0"/>
                <w:sz w:val="22"/>
                <w:szCs w:val="22"/>
                <w:highlight w:val="none"/>
                <w:lang w:eastAsia="zh-CN"/>
              </w:rPr>
              <w:t>2024温州惠企政策“直通车”新功能开发和运营服务</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具体内容</w:t>
            </w:r>
            <w:r>
              <w:rPr>
                <w:rFonts w:hint="eastAsia" w:ascii="宋体" w:hAnsi="宋体" w:cs="宋体"/>
                <w:color w:val="auto"/>
                <w:sz w:val="22"/>
                <w:szCs w:val="22"/>
                <w:highlight w:val="none"/>
              </w:rPr>
              <w:t>详见采购文件相关部分。项目采购预算：</w:t>
            </w:r>
            <w:r>
              <w:rPr>
                <w:rFonts w:hint="eastAsia" w:ascii="宋体" w:hAnsi="宋体" w:cs="宋体"/>
                <w:color w:val="auto"/>
                <w:sz w:val="22"/>
                <w:szCs w:val="22"/>
                <w:highlight w:val="none"/>
                <w:lang w:val="en-US" w:eastAsia="zh-CN"/>
              </w:rPr>
              <w:t>165</w:t>
            </w:r>
            <w:r>
              <w:rPr>
                <w:rFonts w:hint="eastAsia" w:ascii="宋体" w:hAnsi="宋体" w:cs="宋体"/>
                <w:color w:val="auto"/>
                <w:sz w:val="22"/>
                <w:szCs w:val="22"/>
                <w:highlight w:val="none"/>
              </w:rPr>
              <w:t>万元。</w:t>
            </w:r>
          </w:p>
        </w:tc>
      </w:tr>
      <w:tr>
        <w:tblPrEx>
          <w:tblCellMar>
            <w:top w:w="0" w:type="dxa"/>
            <w:left w:w="108" w:type="dxa"/>
            <w:bottom w:w="0" w:type="dxa"/>
            <w:right w:w="108" w:type="dxa"/>
          </w:tblCellMar>
        </w:tblPrEx>
        <w:trPr>
          <w:trHeight w:val="73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服务期限</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合同签订后2个月内，完成已明确的系统功能建设和定制开发后，</w:t>
            </w:r>
            <w:r>
              <w:rPr>
                <w:rFonts w:hint="eastAsia" w:ascii="宋体" w:hAnsi="宋体" w:eastAsia="宋体" w:cs="宋体"/>
                <w:color w:val="auto"/>
                <w:kern w:val="0"/>
                <w:sz w:val="22"/>
                <w:szCs w:val="22"/>
                <w:highlight w:val="none"/>
                <w:lang w:val="en-US" w:eastAsia="zh-CN"/>
              </w:rPr>
              <w:t>采购人</w:t>
            </w:r>
            <w:r>
              <w:rPr>
                <w:rFonts w:hint="default" w:ascii="宋体" w:hAnsi="宋体" w:eastAsia="宋体" w:cs="宋体"/>
                <w:color w:val="auto"/>
                <w:kern w:val="0"/>
                <w:sz w:val="22"/>
                <w:szCs w:val="22"/>
                <w:highlight w:val="none"/>
                <w:lang w:val="en-US" w:eastAsia="zh-CN"/>
              </w:rPr>
              <w:t>组织项目初验；初验通过后投入试运行，系统试运行三个月后，</w:t>
            </w:r>
            <w:r>
              <w:rPr>
                <w:rFonts w:hint="eastAsia" w:ascii="宋体" w:hAnsi="宋体" w:eastAsia="宋体" w:cs="宋体"/>
                <w:color w:val="auto"/>
                <w:kern w:val="0"/>
                <w:sz w:val="22"/>
                <w:szCs w:val="22"/>
                <w:highlight w:val="none"/>
                <w:lang w:val="en-US" w:eastAsia="zh-CN"/>
              </w:rPr>
              <w:t>采购人</w:t>
            </w:r>
            <w:r>
              <w:rPr>
                <w:rFonts w:hint="default" w:ascii="宋体" w:hAnsi="宋体" w:eastAsia="宋体" w:cs="宋体"/>
                <w:color w:val="auto"/>
                <w:kern w:val="0"/>
                <w:sz w:val="22"/>
                <w:szCs w:val="22"/>
                <w:highlight w:val="none"/>
                <w:lang w:val="en-US" w:eastAsia="zh-CN"/>
              </w:rPr>
              <w:t>组织项目终验</w:t>
            </w:r>
            <w:r>
              <w:rPr>
                <w:rFonts w:hint="eastAsia" w:ascii="宋体" w:hAnsi="宋体" w:eastAsia="宋体" w:cs="宋体"/>
                <w:color w:val="auto"/>
                <w:kern w:val="0"/>
                <w:sz w:val="22"/>
                <w:szCs w:val="22"/>
                <w:highlight w:val="none"/>
                <w:lang w:val="en-US" w:eastAsia="zh-CN"/>
              </w:rPr>
              <w:t>。</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1.一般资格条件：</w:t>
            </w:r>
          </w:p>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pPr>
              <w:rPr>
                <w:rFonts w:hint="eastAsia" w:ascii="新宋体" w:hAnsi="新宋体" w:eastAsia="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2.</w:t>
            </w:r>
            <w:r>
              <w:rPr>
                <w:rFonts w:hint="eastAsia" w:ascii="仿宋" w:hAnsi="仿宋"/>
                <w:color w:val="auto"/>
                <w:sz w:val="22"/>
                <w:szCs w:val="22"/>
                <w:highlight w:val="none"/>
              </w:rPr>
              <w:t>落实政府采购政策需满足的资格要求</w:t>
            </w:r>
            <w:r>
              <w:rPr>
                <w:rFonts w:ascii="仿宋" w:hAnsi="仿宋"/>
                <w:color w:val="auto"/>
                <w:sz w:val="22"/>
                <w:szCs w:val="22"/>
                <w:highlight w:val="none"/>
              </w:rPr>
              <w:t>:</w:t>
            </w:r>
            <w:r>
              <w:rPr>
                <w:rFonts w:hint="eastAsia" w:ascii="宋体" w:hAnsi="宋体" w:cs="新宋体"/>
                <w:b/>
                <w:bCs/>
                <w:color w:val="auto"/>
                <w:sz w:val="22"/>
                <w:szCs w:val="22"/>
                <w:highlight w:val="none"/>
              </w:rPr>
              <w:t xml:space="preserve"> </w:t>
            </w:r>
            <w:r>
              <w:rPr>
                <w:rFonts w:hint="eastAsia" w:ascii="新宋体" w:hAnsi="新宋体" w:eastAsia="新宋体" w:cs="宋体"/>
                <w:color w:val="auto"/>
                <w:kern w:val="0"/>
                <w:sz w:val="22"/>
                <w:szCs w:val="22"/>
                <w:highlight w:val="none"/>
              </w:rPr>
              <w:t>供应商为中小企业/小微企业</w:t>
            </w:r>
          </w:p>
          <w:p>
            <w:pPr>
              <w:widowControl/>
              <w:jc w:val="left"/>
              <w:rPr>
                <w:rFonts w:hint="eastAsia"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lang w:val="zh-CN"/>
              </w:rPr>
              <w:t>3.特殊资格条件：无。</w:t>
            </w:r>
          </w:p>
        </w:tc>
      </w:tr>
      <w:tr>
        <w:tblPrEx>
          <w:tblCellMar>
            <w:top w:w="0" w:type="dxa"/>
            <w:left w:w="108" w:type="dxa"/>
            <w:bottom w:w="0" w:type="dxa"/>
            <w:right w:w="108" w:type="dxa"/>
          </w:tblCellMar>
        </w:tblPrEx>
        <w:trPr>
          <w:trHeight w:val="63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 w:val="22"/>
                <w:szCs w:val="22"/>
                <w:highlight w:val="none"/>
              </w:rPr>
            </w:pPr>
            <w:r>
              <w:rPr>
                <w:rFonts w:hint="eastAsia" w:ascii="新宋体" w:hAnsi="新宋体" w:eastAsia="新宋体" w:cs="宋体"/>
                <w:color w:val="auto"/>
                <w:kern w:val="0"/>
                <w:sz w:val="22"/>
                <w:szCs w:val="22"/>
                <w:highlight w:val="none"/>
              </w:rPr>
              <w:t>不接受</w:t>
            </w:r>
          </w:p>
        </w:tc>
      </w:tr>
      <w:tr>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pPr>
              <w:spacing w:line="360" w:lineRule="exact"/>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pPr>
              <w:spacing w:line="360" w:lineRule="exact"/>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kern w:val="0"/>
                <w:sz w:val="22"/>
                <w:szCs w:val="22"/>
                <w:highlight w:val="none"/>
                <w:lang w:eastAsia="zh-CN"/>
              </w:rPr>
            </w:pPr>
            <w:r>
              <w:rPr>
                <w:rFonts w:hint="eastAsia" w:ascii="宋体" w:hAnsi="宋体" w:cs="宋体"/>
                <w:bCs/>
                <w:color w:val="auto"/>
                <w:kern w:val="0"/>
                <w:sz w:val="22"/>
                <w:szCs w:val="22"/>
                <w:highlight w:val="none"/>
                <w:lang w:eastAsia="zh-CN"/>
              </w:rPr>
              <w:t>2024年</w:t>
            </w:r>
            <w:r>
              <w:rPr>
                <w:rFonts w:hint="eastAsia" w:ascii="宋体" w:hAnsi="宋体" w:cs="宋体"/>
                <w:bCs/>
                <w:color w:val="auto"/>
                <w:kern w:val="0"/>
                <w:sz w:val="22"/>
                <w:szCs w:val="22"/>
                <w:highlight w:val="none"/>
                <w:lang w:val="en-US" w:eastAsia="zh-CN"/>
              </w:rPr>
              <w:t>06</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19</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14</w:t>
            </w:r>
            <w:r>
              <w:rPr>
                <w:rFonts w:hint="eastAsia" w:ascii="宋体" w:hAnsi="宋体" w:cs="宋体"/>
                <w:bCs/>
                <w:color w:val="auto"/>
                <w:kern w:val="0"/>
                <w:sz w:val="22"/>
                <w:szCs w:val="22"/>
                <w:highlight w:val="none"/>
                <w:lang w:eastAsia="zh-CN"/>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lang w:eastAsia="zh-CN"/>
              </w:rPr>
              <w:t>分</w:t>
            </w:r>
          </w:p>
        </w:tc>
      </w:tr>
      <w:tr>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允许，非核心内容允许企业合理分包，若分包需在投标文件内提供分包意向书，明确分包内容及金额比例。</w:t>
            </w:r>
          </w:p>
        </w:tc>
      </w:tr>
      <w:tr>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投标文件的相应位置应：由投标人代表签字并加盖有效公章（电子签章）</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pPr>
              <w:autoSpaceDE w:val="0"/>
              <w:autoSpaceDN w:val="0"/>
              <w:adjustRightInd w:val="0"/>
              <w:spacing w:line="360" w:lineRule="exact"/>
              <w:rPr>
                <w:rFonts w:hint="eastAsia" w:ascii="宋体" w:hAnsi="宋体" w:cs="宋体"/>
                <w:color w:val="auto"/>
                <w:highlight w:val="none"/>
                <w:lang w:val="zh-CN"/>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rPr>
              <w:t>递交投标文件截止时间前</w:t>
            </w:r>
            <w:r>
              <w:rPr>
                <w:rFonts w:hint="eastAsia" w:ascii="宋体" w:hAnsi="宋体" w:cs="宋体"/>
                <w:color w:val="auto"/>
                <w:kern w:val="0"/>
                <w:sz w:val="22"/>
                <w:szCs w:val="22"/>
                <w:highlight w:val="none"/>
                <w:lang w:val="zh-CN"/>
              </w:rPr>
              <w:t>由采购代理机构签收，不少于一份，邮寄地址：温州市瓯海区新桥街道高昂路1号牛山广场2号楼1409室，苏先生收。</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pStyle w:val="630"/>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（1）“电子加密投标文件”的上传、递交：</w:t>
            </w:r>
          </w:p>
          <w:p>
            <w:pPr>
              <w:pStyle w:val="630"/>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a.投标人应在投标文件递交截止时间前将“电子加密投标文件”成功上传递交至“政采云平台”，否则投标无效。</w:t>
            </w:r>
          </w:p>
          <w:p>
            <w:pPr>
              <w:pStyle w:val="630"/>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b.“电子加密投标文件”成功上传递交后，供应商可自行打印投标文件接收回执。</w:t>
            </w:r>
          </w:p>
          <w:p>
            <w:pPr>
              <w:pStyle w:val="630"/>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（2）“备份投标文件”的密封包装、递交：</w:t>
            </w:r>
          </w:p>
          <w:p>
            <w:pPr>
              <w:pStyle w:val="630"/>
              <w:autoSpaceDE w:val="0"/>
              <w:autoSpaceDN w:val="0"/>
              <w:adjustRightInd w:val="0"/>
              <w:spacing w:line="360" w:lineRule="exact"/>
              <w:jc w:val="both"/>
              <w:rPr>
                <w:rFonts w:hint="eastAsia" w:cs="宋体"/>
                <w:color w:val="auto"/>
                <w:sz w:val="22"/>
                <w:highlight w:val="none"/>
              </w:rPr>
            </w:pPr>
            <w:r>
              <w:rPr>
                <w:rFonts w:hint="eastAsia" w:cs="宋体"/>
                <w:color w:val="auto"/>
                <w:sz w:val="22"/>
                <w:highlight w:val="none"/>
              </w:rPr>
              <w:t>a.投标人在“政采云平台”完成“电子加密投标文件”的上传递交后，还可以（建议顺丰快递形式）在</w:t>
            </w:r>
            <w:r>
              <w:rPr>
                <w:rFonts w:hint="eastAsia" w:cs="宋体"/>
                <w:bCs/>
                <w:color w:val="auto"/>
                <w:sz w:val="22"/>
                <w:highlight w:val="none"/>
              </w:rPr>
              <w:t>递交投标文件截止时间前</w:t>
            </w:r>
            <w:r>
              <w:rPr>
                <w:rFonts w:hint="eastAsia" w:cs="宋体"/>
                <w:color w:val="auto"/>
                <w:sz w:val="22"/>
                <w:highlight w:val="none"/>
              </w:rPr>
              <w:t>递交以介质（U盘）存储的 “备份投标文件”（一份）；顺丰快递形式快递至采购代理机构地址（地址见上条，以送达时间为准）；</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政采云平台(www.zcygov.cn)在线提交</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pPr>
              <w:autoSpaceDE w:val="0"/>
              <w:autoSpaceDN w:val="0"/>
              <w:adjustRightInd w:val="0"/>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和评标地点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Cs/>
                <w:color w:val="auto"/>
                <w:kern w:val="0"/>
                <w:sz w:val="22"/>
                <w:szCs w:val="22"/>
                <w:highlight w:val="none"/>
                <w:lang w:eastAsia="zh-CN"/>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lang w:eastAsia="zh-CN"/>
              </w:rPr>
              <w:t>2024年</w:t>
            </w:r>
            <w:r>
              <w:rPr>
                <w:rFonts w:hint="eastAsia" w:ascii="宋体" w:hAnsi="宋体" w:cs="宋体"/>
                <w:bCs/>
                <w:color w:val="auto"/>
                <w:kern w:val="0"/>
                <w:sz w:val="22"/>
                <w:szCs w:val="22"/>
                <w:highlight w:val="none"/>
                <w:lang w:val="en-US" w:eastAsia="zh-CN"/>
              </w:rPr>
              <w:t>06</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19</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14</w:t>
            </w:r>
            <w:r>
              <w:rPr>
                <w:rFonts w:hint="eastAsia" w:ascii="宋体" w:hAnsi="宋体" w:cs="宋体"/>
                <w:bCs/>
                <w:color w:val="auto"/>
                <w:kern w:val="0"/>
                <w:sz w:val="22"/>
                <w:szCs w:val="22"/>
                <w:highlight w:val="none"/>
                <w:lang w:eastAsia="zh-CN"/>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lang w:eastAsia="zh-CN"/>
              </w:rPr>
              <w:t>分</w:t>
            </w:r>
          </w:p>
          <w:p>
            <w:pPr>
              <w:pStyle w:val="2"/>
              <w:ind w:firstLine="0"/>
              <w:rPr>
                <w:color w:val="auto"/>
                <w:highlight w:val="none"/>
              </w:rPr>
            </w:pPr>
            <w:r>
              <w:rPr>
                <w:rFonts w:hint="eastAsia"/>
                <w:color w:val="auto"/>
                <w:highlight w:val="none"/>
              </w:rPr>
              <w:t>开标地址：</w:t>
            </w:r>
            <w:r>
              <w:rPr>
                <w:rFonts w:hint="eastAsia" w:ascii="宋体" w:hAnsi="宋体" w:cs="宋体"/>
                <w:bCs/>
                <w:color w:val="auto"/>
                <w:sz w:val="22"/>
                <w:szCs w:val="22"/>
                <w:highlight w:val="none"/>
              </w:rPr>
              <w:t>政采云平台(www.zcygov.cn)在线开标</w:t>
            </w:r>
          </w:p>
          <w:p>
            <w:pPr>
              <w:spacing w:line="36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评标地点：</w:t>
            </w:r>
            <w:r>
              <w:rPr>
                <w:rFonts w:hint="eastAsia" w:ascii="宋体" w:hAnsi="宋体" w:cs="宋体"/>
                <w:bCs/>
                <w:color w:val="auto"/>
                <w:kern w:val="0"/>
                <w:sz w:val="22"/>
                <w:szCs w:val="22"/>
                <w:highlight w:val="none"/>
              </w:rPr>
              <w:t>温州市瓯海区新桥街道高昂路1号牛山广场2号楼140</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室</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不需要</w:t>
            </w:r>
          </w:p>
          <w:p>
            <w:pPr>
              <w:spacing w:line="360" w:lineRule="exact"/>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sym w:font="Wingdings" w:char="00A8"/>
            </w:r>
            <w:r>
              <w:rPr>
                <w:rFonts w:hint="eastAsia" w:ascii="宋体" w:hAnsi="宋体" w:cs="宋体"/>
                <w:color w:val="auto"/>
                <w:kern w:val="0"/>
                <w:sz w:val="22"/>
                <w:szCs w:val="22"/>
                <w:highlight w:val="none"/>
              </w:rPr>
              <w:t>需要</w:t>
            </w:r>
            <w:r>
              <w:rPr>
                <w:rFonts w:hint="eastAsia" w:ascii="宋体" w:hAnsi="宋体" w:cs="宋体"/>
                <w:color w:val="auto"/>
                <w:kern w:val="0"/>
                <w:sz w:val="22"/>
                <w:szCs w:val="22"/>
                <w:highlight w:val="none"/>
                <w:lang w:val="en-US" w:eastAsia="zh-CN"/>
              </w:rPr>
              <w:t xml:space="preserve">  </w:t>
            </w:r>
          </w:p>
        </w:tc>
      </w:tr>
      <w:tr>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ascii="宋体" w:hAnsi="宋体"/>
                <w:b/>
                <w:color w:val="auto"/>
                <w:kern w:val="0"/>
                <w:sz w:val="22"/>
                <w:szCs w:val="22"/>
                <w:highlight w:val="none"/>
              </w:rPr>
            </w:pPr>
            <w:r>
              <w:rPr>
                <w:rFonts w:hint="eastAsia" w:ascii="宋体" w:hAnsi="宋体" w:cs="新宋体"/>
                <w:b/>
                <w:color w:val="auto"/>
                <w:sz w:val="22"/>
                <w:szCs w:val="22"/>
                <w:highlight w:val="none"/>
              </w:rPr>
              <w:t>政府采购扶持政策</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新宋体"/>
                <w:bCs/>
                <w:color w:val="auto"/>
                <w:sz w:val="22"/>
                <w:szCs w:val="22"/>
                <w:highlight w:val="none"/>
              </w:rPr>
            </w:pPr>
            <w:r>
              <w:rPr>
                <w:rFonts w:hint="eastAsia" w:ascii="宋体" w:hAnsi="宋体" w:cs="新宋体"/>
                <w:bCs/>
                <w:color w:val="auto"/>
                <w:sz w:val="22"/>
                <w:szCs w:val="22"/>
                <w:highlight w:val="none"/>
              </w:rPr>
              <w:t>1.本项目属于预留份额专门面向中小企业/小微企业采购项目，监狱企业、残疾人福利性单位视为中小企业。</w:t>
            </w:r>
          </w:p>
          <w:p>
            <w:pPr>
              <w:rPr>
                <w:rFonts w:ascii="宋体" w:hAnsi="宋体" w:cs="新宋体"/>
                <w:bCs/>
                <w:color w:val="auto"/>
                <w:sz w:val="22"/>
                <w:szCs w:val="22"/>
                <w:highlight w:val="none"/>
              </w:rPr>
            </w:pPr>
            <w:r>
              <w:rPr>
                <w:rFonts w:hint="eastAsia" w:ascii="宋体" w:hAnsi="宋体" w:cs="新宋体"/>
                <w:bCs/>
                <w:color w:val="auto"/>
                <w:sz w:val="22"/>
                <w:szCs w:val="22"/>
                <w:highlight w:val="none"/>
              </w:rPr>
              <w:t>2.中小企业/小微企业为</w:t>
            </w:r>
            <w:r>
              <w:rPr>
                <w:rFonts w:hint="eastAsia" w:ascii="宋体" w:hAnsi="宋体"/>
                <w:bCs/>
                <w:color w:val="auto"/>
                <w:sz w:val="22"/>
                <w:szCs w:val="22"/>
                <w:highlight w:val="none"/>
              </w:rPr>
              <w:t>满足转发财政部 工业和信息化部关于印发《政府采购促进中小企业发展管理办法》（财库﹝2020﹞46 号）的规定的中小企业</w:t>
            </w:r>
            <w:r>
              <w:rPr>
                <w:rFonts w:hint="eastAsia" w:ascii="宋体" w:hAnsi="宋体" w:cs="新宋体"/>
                <w:bCs/>
                <w:color w:val="auto"/>
                <w:sz w:val="22"/>
                <w:szCs w:val="22"/>
                <w:highlight w:val="none"/>
              </w:rPr>
              <w:t>。</w:t>
            </w:r>
          </w:p>
          <w:p>
            <w:pPr>
              <w:rPr>
                <w:rFonts w:ascii="宋体" w:hAnsi="宋体" w:cs="新宋体"/>
                <w:bCs/>
                <w:color w:val="auto"/>
                <w:sz w:val="22"/>
                <w:szCs w:val="22"/>
                <w:highlight w:val="none"/>
              </w:rPr>
            </w:pPr>
            <w:r>
              <w:rPr>
                <w:rFonts w:hint="eastAsia" w:ascii="宋体" w:hAnsi="宋体" w:cs="新宋体"/>
                <w:bCs/>
                <w:color w:val="auto"/>
                <w:sz w:val="22"/>
                <w:szCs w:val="22"/>
                <w:highlight w:val="none"/>
              </w:rPr>
              <w:t>3.专门面向中小企业/小微企业采购的项目，不再执行价格评审优惠的扶持政策。</w:t>
            </w:r>
          </w:p>
          <w:p>
            <w:pPr>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4.依据</w:t>
            </w:r>
            <w:r>
              <w:rPr>
                <w:rFonts w:hint="eastAsia" w:ascii="宋体" w:hAnsi="宋体"/>
                <w:bCs/>
                <w:color w:val="auto"/>
                <w:sz w:val="22"/>
                <w:szCs w:val="22"/>
                <w:highlight w:val="none"/>
              </w:rPr>
              <w:t>《政府采购促进中小企业发展管理办法》（财库﹝2020﹞46 号）</w:t>
            </w:r>
            <w:r>
              <w:rPr>
                <w:rFonts w:hint="eastAsia" w:ascii="宋体" w:hAnsi="宋体" w:cs="新宋体"/>
                <w:bCs/>
                <w:color w:val="auto"/>
                <w:sz w:val="22"/>
                <w:szCs w:val="22"/>
                <w:highlight w:val="none"/>
              </w:rPr>
              <w:t>规定享受扶持政策获得政府采购合同的，小微企业不得将合同分包给大中型企业，中型企业不得将合同分包给大型企业。</w:t>
            </w:r>
          </w:p>
          <w:p>
            <w:pPr>
              <w:pStyle w:val="2"/>
              <w:ind w:firstLine="0"/>
              <w:rPr>
                <w:color w:val="auto"/>
                <w:highlight w:val="none"/>
              </w:rPr>
            </w:pPr>
            <w:r>
              <w:rPr>
                <w:rFonts w:ascii="宋体" w:hAnsi="宋体" w:cs="新宋体"/>
                <w:color w:val="auto"/>
                <w:sz w:val="22"/>
                <w:szCs w:val="22"/>
                <w:highlight w:val="none"/>
              </w:rPr>
              <w:t>5.</w:t>
            </w:r>
            <w:r>
              <w:rPr>
                <w:rFonts w:hint="eastAsia" w:ascii="宋体" w:hAnsi="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投标人信用</w:t>
            </w:r>
          </w:p>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（2）供应商信用信息查询截止时点：本项目投标文件递交截止时间。</w:t>
            </w:r>
          </w:p>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pPr>
              <w:spacing w:line="360" w:lineRule="exact"/>
              <w:jc w:val="left"/>
              <w:rPr>
                <w:rFonts w:hint="eastAsia" w:ascii="宋体" w:hAnsi="宋体" w:cs="宋体"/>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pPr>
              <w:spacing w:line="360" w:lineRule="exact"/>
              <w:rPr>
                <w:rFonts w:hint="eastAsia"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pPr>
              <w:spacing w:line="360" w:lineRule="exact"/>
              <w:rPr>
                <w:rFonts w:hint="eastAsia"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（1）中标人须在中标通知书发出之日起</w:t>
            </w:r>
            <w:r>
              <w:rPr>
                <w:rFonts w:ascii="宋体" w:hAnsi="宋体" w:cs="宋体"/>
                <w:color w:val="auto"/>
                <w:sz w:val="22"/>
                <w:szCs w:val="22"/>
                <w:highlight w:val="none"/>
              </w:rPr>
              <w:t>30</w:t>
            </w:r>
            <w:r>
              <w:rPr>
                <w:rFonts w:hint="eastAsia" w:ascii="宋体" w:hAnsi="宋体" w:cs="宋体"/>
                <w:color w:val="auto"/>
                <w:sz w:val="22"/>
                <w:szCs w:val="22"/>
                <w:highlight w:val="none"/>
              </w:rPr>
              <w:t>日历天内与采购人签订合同。</w:t>
            </w:r>
          </w:p>
          <w:p>
            <w:pPr>
              <w:spacing w:line="360" w:lineRule="exact"/>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（2）中标人与采购人签订合同后，2日历天内将合同扫描件电子版发给采购代理机构邮箱：</w:t>
            </w:r>
            <w:r>
              <w:rPr>
                <w:rFonts w:hint="eastAsia" w:ascii="宋体" w:hAnsi="宋体" w:cs="宋体"/>
                <w:b/>
                <w:color w:val="auto"/>
                <w:sz w:val="22"/>
                <w:szCs w:val="22"/>
                <w:highlight w:val="none"/>
                <w:u w:val="single"/>
              </w:rPr>
              <w:t>ye462978466@qq.com</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rPr>
                <w:rFonts w:hint="eastAsia" w:ascii="宋体" w:hAnsi="宋体" w:cs="宋体"/>
                <w:color w:val="auto"/>
                <w:sz w:val="22"/>
                <w:szCs w:val="22"/>
                <w:highlight w:val="none"/>
              </w:rPr>
            </w:pPr>
            <w:r>
              <w:rPr>
                <w:rFonts w:hint="eastAsia" w:ascii="新宋体" w:hAnsi="新宋体" w:eastAsia="新宋体"/>
                <w:color w:val="auto"/>
                <w:sz w:val="22"/>
                <w:szCs w:val="22"/>
                <w:highlight w:val="none"/>
              </w:rPr>
              <w:t>本项目招标代理服务费按《招标代理服务收费管理暂行办法》服务类项目</w:t>
            </w:r>
            <w:r>
              <w:rPr>
                <w:rFonts w:hint="eastAsia" w:ascii="新宋体" w:hAnsi="新宋体" w:eastAsia="新宋体"/>
                <w:color w:val="auto"/>
                <w:sz w:val="22"/>
                <w:szCs w:val="22"/>
                <w:highlight w:val="none"/>
                <w:lang w:val="en-US" w:eastAsia="zh-CN"/>
              </w:rPr>
              <w:t>标准收取</w:t>
            </w:r>
            <w:r>
              <w:rPr>
                <w:rStyle w:val="260"/>
                <w:rFonts w:hint="eastAsia" w:ascii="新宋体" w:hAnsi="新宋体" w:eastAsia="新宋体"/>
                <w:color w:val="auto"/>
                <w:sz w:val="22"/>
                <w:szCs w:val="22"/>
                <w:highlight w:val="none"/>
                <w:lang w:val="en-US" w:eastAsia="zh-CN"/>
              </w:rPr>
              <w:t>，</w:t>
            </w:r>
            <w:r>
              <w:rPr>
                <w:rFonts w:hint="eastAsia" w:ascii="新宋体" w:hAnsi="新宋体" w:eastAsia="新宋体" w:cs="新宋体"/>
                <w:color w:val="auto"/>
                <w:sz w:val="22"/>
                <w:szCs w:val="22"/>
                <w:highlight w:val="none"/>
              </w:rPr>
              <w:t>验收服务费按</w:t>
            </w:r>
            <w:r>
              <w:rPr>
                <w:rFonts w:hint="eastAsia" w:ascii="新宋体" w:hAnsi="新宋体" w:eastAsia="新宋体" w:cs="新宋体"/>
                <w:color w:val="auto"/>
                <w:sz w:val="22"/>
                <w:szCs w:val="22"/>
                <w:highlight w:val="none"/>
                <w:lang w:val="en-US" w:eastAsia="zh-CN"/>
              </w:rPr>
              <w:t>固定金额6000元整</w:t>
            </w:r>
            <w:r>
              <w:rPr>
                <w:rFonts w:hint="eastAsia" w:ascii="新宋体" w:hAnsi="新宋体" w:eastAsia="新宋体" w:cs="新宋体"/>
                <w:color w:val="auto"/>
                <w:sz w:val="22"/>
                <w:szCs w:val="22"/>
                <w:highlight w:val="none"/>
              </w:rPr>
              <w:t>计取</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如有），</w:t>
            </w:r>
            <w:r>
              <w:rPr>
                <w:rStyle w:val="260"/>
                <w:rFonts w:hint="eastAsia" w:ascii="新宋体" w:hAnsi="新宋体" w:eastAsia="新宋体"/>
                <w:color w:val="auto"/>
                <w:sz w:val="22"/>
                <w:szCs w:val="22"/>
                <w:highlight w:val="none"/>
                <w:lang w:val="en-US" w:eastAsia="zh-CN"/>
              </w:rPr>
              <w:t>由中标供应商</w:t>
            </w:r>
            <w:r>
              <w:rPr>
                <w:rStyle w:val="260"/>
                <w:rFonts w:ascii="新宋体" w:hAnsi="新宋体" w:eastAsia="新宋体"/>
                <w:color w:val="auto"/>
                <w:sz w:val="22"/>
                <w:szCs w:val="22"/>
                <w:highlight w:val="none"/>
              </w:rPr>
              <w:t>在领取中标通知书时向采购代理机构进行支付，该服务费须计入投标报价</w:t>
            </w:r>
            <w:r>
              <w:rPr>
                <w:rFonts w:hint="eastAsia" w:ascii="宋体" w:hAnsi="宋体" w:cs="宋体"/>
                <w:color w:val="auto"/>
                <w:sz w:val="22"/>
                <w:szCs w:val="22"/>
                <w:highlight w:val="none"/>
              </w:rPr>
              <w:t>。</w:t>
            </w:r>
          </w:p>
          <w:p>
            <w:pPr>
              <w:numPr>
                <w:ilvl w:val="0"/>
                <w:numId w:val="17"/>
              </w:numPr>
              <w:rPr>
                <w:rFonts w:hint="eastAsia" w:ascii="宋体" w:hAnsi="宋体" w:cs="新宋体"/>
                <w:color w:val="auto"/>
                <w:sz w:val="22"/>
                <w:szCs w:val="22"/>
                <w:highlight w:val="none"/>
              </w:rPr>
            </w:pPr>
            <w:r>
              <w:rPr>
                <w:rFonts w:hint="eastAsia" w:ascii="宋体" w:hAnsi="宋体" w:cs="新宋体"/>
                <w:color w:val="auto"/>
                <w:sz w:val="22"/>
                <w:szCs w:val="22"/>
                <w:highlight w:val="none"/>
              </w:rPr>
              <w:t>采购代理服务费可以是现金、支票或汇票。</w:t>
            </w:r>
            <w:r>
              <w:rPr>
                <w:rFonts w:hint="eastAsia" w:ascii="新宋体" w:hAnsi="新宋体" w:eastAsia="新宋体"/>
                <w:color w:val="auto"/>
                <w:kern w:val="0"/>
                <w:sz w:val="22"/>
                <w:szCs w:val="22"/>
                <w:highlight w:val="none"/>
              </w:rPr>
              <w:t>代理机构仅提供增值税普通发票</w:t>
            </w:r>
            <w:r>
              <w:rPr>
                <w:rFonts w:hint="eastAsia" w:ascii="宋体" w:hAnsi="宋体" w:cs="宋体"/>
                <w:color w:val="auto"/>
                <w:sz w:val="22"/>
                <w:szCs w:val="22"/>
                <w:highlight w:val="none"/>
              </w:rPr>
              <w:t>。</w:t>
            </w:r>
          </w:p>
          <w:p>
            <w:pPr>
              <w:rPr>
                <w:rFonts w:hint="eastAsia" w:ascii="宋体" w:hAnsi="宋体"/>
                <w:color w:val="auto"/>
                <w:sz w:val="22"/>
                <w:szCs w:val="22"/>
                <w:highlight w:val="none"/>
              </w:rPr>
            </w:pPr>
            <w:r>
              <w:rPr>
                <w:rFonts w:hint="eastAsia" w:ascii="宋体" w:hAnsi="宋体"/>
                <w:color w:val="auto"/>
                <w:sz w:val="22"/>
                <w:szCs w:val="22"/>
                <w:highlight w:val="none"/>
              </w:rPr>
              <w:t>（3）收款账户户名：温州市智信招标代理有限公司</w:t>
            </w:r>
          </w:p>
          <w:p>
            <w:pPr>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收款账号：333504140018800009390</w:t>
            </w:r>
          </w:p>
          <w:p>
            <w:pPr>
              <w:spacing w:line="360" w:lineRule="exact"/>
              <w:rPr>
                <w:rFonts w:hint="eastAsia" w:ascii="宋体" w:hAnsi="宋体" w:cs="宋体"/>
                <w:color w:val="auto"/>
                <w:sz w:val="22"/>
                <w:szCs w:val="22"/>
                <w:highlight w:val="none"/>
              </w:rPr>
            </w:pPr>
            <w:r>
              <w:rPr>
                <w:rFonts w:hint="eastAsia" w:ascii="宋体" w:hAnsi="宋体"/>
                <w:color w:val="auto"/>
                <w:sz w:val="22"/>
                <w:szCs w:val="22"/>
                <w:highlight w:val="none"/>
              </w:rPr>
              <w:t>开户行：交通银行温州分行瓯海支行</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32</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项目类型及行业</w:t>
            </w:r>
          </w:p>
        </w:tc>
        <w:tc>
          <w:tcPr>
            <w:tcW w:w="74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10" w:firstLineChars="5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服务类</w:t>
            </w:r>
            <w:r>
              <w:rPr>
                <w:rFonts w:hint="eastAsia" w:ascii="宋体" w:hAnsi="宋体" w:cs="宋体"/>
                <w:color w:val="auto"/>
                <w:sz w:val="22"/>
                <w:szCs w:val="22"/>
                <w:highlight w:val="none"/>
                <w:lang w:val="en-US" w:eastAsia="zh-CN"/>
              </w:rPr>
              <w:t xml:space="preserve">  所属行业：</w:t>
            </w:r>
            <w:r>
              <w:rPr>
                <w:rFonts w:hint="eastAsia" w:ascii="新宋体" w:hAnsi="新宋体" w:eastAsia="新宋体" w:cs="新宋体"/>
                <w:color w:val="auto"/>
                <w:sz w:val="22"/>
                <w:szCs w:val="22"/>
                <w:highlight w:val="none"/>
              </w:rPr>
              <w:t>软件和信息技术服务业</w:t>
            </w:r>
          </w:p>
        </w:tc>
      </w:tr>
    </w:tbl>
    <w:p>
      <w:pPr>
        <w:spacing w:line="500" w:lineRule="exact"/>
        <w:rPr>
          <w:rFonts w:hint="eastAsia" w:ascii="宋体" w:hAnsi="宋体" w:cs="宋体"/>
          <w:b/>
          <w:bCs/>
          <w:color w:val="auto"/>
          <w:sz w:val="36"/>
          <w:szCs w:val="36"/>
          <w:highlight w:val="none"/>
        </w:rPr>
      </w:pPr>
    </w:p>
    <w:p>
      <w:pPr>
        <w:spacing w:line="500" w:lineRule="exact"/>
        <w:jc w:val="center"/>
        <w:rPr>
          <w:rFonts w:hint="eastAsia" w:ascii="宋体" w:hAnsi="宋体" w:cs="宋体"/>
          <w:b/>
          <w:bCs/>
          <w:color w:val="auto"/>
          <w:sz w:val="36"/>
          <w:szCs w:val="36"/>
          <w:highlight w:val="none"/>
        </w:rPr>
      </w:pPr>
    </w:p>
    <w:p>
      <w:pPr>
        <w:pStyle w:val="5"/>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36"/>
          <w:szCs w:val="36"/>
          <w:highlight w:val="none"/>
        </w:rPr>
        <w:br w:type="page"/>
      </w:r>
      <w:bookmarkStart w:id="3" w:name="_Toc34508130"/>
      <w:bookmarkStart w:id="4" w:name="_Toc221374623"/>
      <w:bookmarkStart w:id="5" w:name="_Toc221356883"/>
      <w:bookmarkStart w:id="6" w:name="_Toc222114876"/>
      <w:bookmarkStart w:id="7" w:name="_Toc58406683"/>
      <w:bookmarkStart w:id="8" w:name="_Toc239145351"/>
      <w:bookmarkStart w:id="9" w:name="_Toc265529380"/>
      <w:bookmarkStart w:id="10" w:name="_Toc241404199"/>
      <w:bookmarkStart w:id="11" w:name="_Toc221356948"/>
      <w:bookmarkStart w:id="12" w:name="_Toc221423616"/>
      <w:bookmarkStart w:id="13" w:name="_Toc223715995"/>
      <w:bookmarkStart w:id="14" w:name="_Toc393699549"/>
      <w:r>
        <w:rPr>
          <w:rFonts w:hint="eastAsia" w:ascii="宋体" w:hAnsi="宋体" w:eastAsia="宋体" w:cs="宋体"/>
          <w:color w:val="auto"/>
          <w:sz w:val="24"/>
          <w:szCs w:val="24"/>
          <w:highlight w:val="none"/>
        </w:rPr>
        <w:t>一、  说明</w:t>
      </w:r>
      <w:bookmarkEnd w:id="3"/>
      <w:bookmarkEnd w:id="4"/>
      <w:bookmarkEnd w:id="5"/>
      <w:bookmarkEnd w:id="6"/>
      <w:bookmarkEnd w:id="7"/>
      <w:bookmarkEnd w:id="8"/>
      <w:bookmarkEnd w:id="9"/>
      <w:bookmarkEnd w:id="10"/>
      <w:bookmarkEnd w:id="11"/>
      <w:bookmarkEnd w:id="12"/>
      <w:bookmarkEnd w:id="13"/>
    </w:p>
    <w:p>
      <w:pPr>
        <w:tabs>
          <w:tab w:val="left" w:pos="540"/>
          <w:tab w:val="left" w:pos="90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本次采购是按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2.合格投标人要求以采购公告对投标人资格条件要求的表述为准。</w:t>
      </w:r>
    </w:p>
    <w:p>
      <w:pPr>
        <w:tabs>
          <w:tab w:val="left" w:pos="540"/>
          <w:tab w:val="left" w:pos="90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3.投标人代表</w:t>
      </w:r>
    </w:p>
    <w:p>
      <w:pPr>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pPr>
        <w:tabs>
          <w:tab w:val="left" w:pos="540"/>
          <w:tab w:val="left" w:pos="90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4.投标费用</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4.1投标人应承担所有与准备和参加投标有关费用，不论投标的结果如何，采购人和采购代理机构均无义务和责任承担这些费用。</w:t>
      </w:r>
    </w:p>
    <w:p>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5.优化政府采购金融服务</w:t>
      </w:r>
    </w:p>
    <w:p>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6.特别说明：</w:t>
      </w:r>
    </w:p>
    <w:p>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6.1投标人应仔细阅读采购文件的所有内容，按照采购文件的要求提交投标文件，并对所提供的全部资料的真实性承担法律责任。</w:t>
      </w:r>
    </w:p>
    <w:p>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注：所有核心产品品牌均相同按同品牌投标人计算。</w:t>
      </w:r>
    </w:p>
    <w:p>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hint="eastAsia" w:ascii="宋体" w:hAnsi="宋体" w:cs="宋体"/>
          <w:bCs/>
          <w:color w:val="auto"/>
          <w:spacing w:val="6"/>
          <w:sz w:val="22"/>
          <w:highlight w:val="none"/>
        </w:rPr>
      </w:pPr>
      <w:r>
        <w:rPr>
          <w:rFonts w:hint="eastAsia" w:ascii="宋体" w:hAnsi="宋体" w:cs="宋体"/>
          <w:bCs/>
          <w:color w:val="auto"/>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rPr>
          <w:rFonts w:hint="eastAsia" w:ascii="宋体" w:hAnsi="宋体" w:cs="宋体"/>
          <w:color w:val="auto"/>
          <w:sz w:val="22"/>
          <w:szCs w:val="22"/>
          <w:highlight w:val="none"/>
        </w:rPr>
      </w:pPr>
      <w:r>
        <w:rPr>
          <w:rFonts w:hint="eastAsia" w:ascii="宋体" w:hAnsi="宋体" w:cs="宋体"/>
          <w:bCs/>
          <w:color w:val="auto"/>
          <w:spacing w:val="6"/>
          <w:sz w:val="22"/>
          <w:szCs w:val="22"/>
          <w:highlight w:val="none"/>
        </w:rPr>
        <w:t>6.5</w:t>
      </w:r>
      <w:r>
        <w:rPr>
          <w:rFonts w:hint="eastAsia" w:ascii="宋体" w:hAnsi="宋体" w:cs="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pStyle w:val="5"/>
        <w:spacing w:line="500" w:lineRule="exact"/>
        <w:jc w:val="center"/>
        <w:rPr>
          <w:rFonts w:hint="eastAsia" w:ascii="宋体" w:hAnsi="宋体" w:eastAsia="宋体" w:cs="宋体"/>
          <w:color w:val="auto"/>
          <w:sz w:val="24"/>
          <w:szCs w:val="24"/>
          <w:highlight w:val="none"/>
        </w:rPr>
      </w:pPr>
      <w:bookmarkStart w:id="15" w:name="_Toc58406684"/>
      <w:bookmarkStart w:id="16" w:name="_Toc223715996"/>
      <w:bookmarkStart w:id="17" w:name="_Toc265529381"/>
      <w:bookmarkStart w:id="18" w:name="_Toc241404200"/>
      <w:bookmarkStart w:id="19" w:name="_Toc222114877"/>
      <w:bookmarkStart w:id="20" w:name="_Toc239145352"/>
      <w:bookmarkStart w:id="21" w:name="_Toc221356949"/>
      <w:bookmarkStart w:id="22" w:name="_Toc221356884"/>
      <w:bookmarkStart w:id="23" w:name="_Toc221423617"/>
      <w:bookmarkStart w:id="24" w:name="_Toc221374624"/>
      <w:bookmarkStart w:id="25" w:name="_Toc34508131"/>
      <w:r>
        <w:rPr>
          <w:rFonts w:hint="eastAsia" w:ascii="宋体" w:hAnsi="宋体" w:eastAsia="宋体" w:cs="宋体"/>
          <w:color w:val="auto"/>
          <w:sz w:val="24"/>
          <w:szCs w:val="24"/>
          <w:highlight w:val="none"/>
        </w:rPr>
        <w:t>二、 采购文件</w:t>
      </w:r>
      <w:bookmarkEnd w:id="15"/>
      <w:bookmarkEnd w:id="16"/>
      <w:bookmarkEnd w:id="17"/>
      <w:bookmarkEnd w:id="18"/>
      <w:bookmarkEnd w:id="19"/>
      <w:bookmarkEnd w:id="20"/>
      <w:bookmarkEnd w:id="21"/>
      <w:bookmarkEnd w:id="22"/>
      <w:bookmarkEnd w:id="23"/>
      <w:bookmarkEnd w:id="24"/>
      <w:bookmarkEnd w:id="25"/>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7.采购文件由采购文件目录所列内容及相关资料组成。</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8.质疑</w:t>
      </w:r>
    </w:p>
    <w:p>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z w:val="22"/>
          <w:szCs w:val="22"/>
          <w:highlight w:val="none"/>
        </w:rPr>
        <w:t>8.1</w:t>
      </w:r>
      <w:r>
        <w:rPr>
          <w:rFonts w:hint="eastAsia" w:ascii="宋体" w:hAnsi="宋体" w:cs="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hint="eastAsia" w:ascii="宋体" w:hAnsi="宋体" w:cs="宋体"/>
          <w:bCs/>
          <w:color w:val="auto"/>
          <w:spacing w:val="6"/>
          <w:sz w:val="22"/>
          <w:highlight w:val="none"/>
        </w:rPr>
      </w:pPr>
      <w:r>
        <w:rPr>
          <w:rFonts w:hint="eastAsia" w:ascii="宋体" w:hAnsi="宋体" w:cs="宋体"/>
          <w:color w:val="auto"/>
          <w:spacing w:val="6"/>
          <w:sz w:val="22"/>
          <w:highlight w:val="none"/>
        </w:rPr>
        <w:t>8.3提出质疑的投标人应当是参与本项目采购活动的投标人。</w:t>
      </w:r>
      <w:r>
        <w:rPr>
          <w:rFonts w:hint="eastAsia" w:ascii="宋体" w:hAnsi="宋体" w:cs="宋体"/>
          <w:bCs/>
          <w:color w:val="auto"/>
          <w:spacing w:val="6"/>
          <w:sz w:val="22"/>
          <w:highlight w:val="none"/>
        </w:rPr>
        <w:t>投标人在法定质疑期内一次性提出针对同一采购程序环节的质疑。</w:t>
      </w:r>
    </w:p>
    <w:p>
      <w:pPr>
        <w:tabs>
          <w:tab w:val="left" w:pos="540"/>
        </w:tabs>
        <w:spacing w:line="460" w:lineRule="exact"/>
        <w:rPr>
          <w:rFonts w:hint="eastAsia" w:ascii="宋体" w:hAnsi="宋体" w:cs="宋体"/>
          <w:color w:val="auto"/>
          <w:spacing w:val="6"/>
          <w:sz w:val="22"/>
          <w:highlight w:val="none"/>
        </w:rPr>
      </w:pPr>
      <w:r>
        <w:rPr>
          <w:rFonts w:hint="eastAsia" w:ascii="宋体" w:hAnsi="宋体" w:cs="宋体"/>
          <w:bCs/>
          <w:color w:val="auto"/>
          <w:spacing w:val="6"/>
          <w:sz w:val="22"/>
          <w:highlight w:val="none"/>
        </w:rPr>
        <w:t>8.4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9.投诉</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pacing w:val="6"/>
          <w:sz w:val="22"/>
          <w:highlight w:val="none"/>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10.采购文件的澄清或修改</w:t>
      </w:r>
    </w:p>
    <w:p>
      <w:pPr>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pPr>
        <w:spacing w:line="400" w:lineRule="exact"/>
        <w:rPr>
          <w:rFonts w:hint="eastAsia" w:ascii="宋体" w:hAnsi="宋体" w:cs="宋体"/>
          <w:color w:val="auto"/>
          <w:spacing w:val="6"/>
          <w:sz w:val="22"/>
          <w:highlight w:val="none"/>
        </w:rPr>
      </w:pPr>
      <w:r>
        <w:rPr>
          <w:rFonts w:hint="eastAsia" w:ascii="宋体" w:hAnsi="宋体" w:cs="宋体"/>
          <w:color w:val="auto"/>
          <w:spacing w:val="6"/>
          <w:sz w:val="22"/>
          <w:highlight w:val="none"/>
        </w:rPr>
        <w:t>10.2澄清或者修改的内容可能影响投标文件编制的，采购人或者采购代理机构应当在投标截止时间至少15日前，以书面形式（</w:t>
      </w:r>
      <w:r>
        <w:rPr>
          <w:rFonts w:hint="eastAsia" w:ascii="宋体" w:hAnsi="宋体" w:cs="宋体"/>
          <w:bCs/>
          <w:color w:val="auto"/>
          <w:spacing w:val="6"/>
          <w:highlight w:val="none"/>
        </w:rPr>
        <w:t>在浙江政府采购网上发布公告</w:t>
      </w:r>
      <w:r>
        <w:rPr>
          <w:rFonts w:hint="eastAsia" w:ascii="宋体" w:hAnsi="宋体" w:cs="宋体"/>
          <w:color w:val="auto"/>
          <w:spacing w:val="6"/>
          <w:sz w:val="22"/>
          <w:highlight w:val="none"/>
        </w:rPr>
        <w:t>）通知所有获取采购文件的潜在投标人；不足15日的，采购人或者采购代理机构应当顺延提交投标文件的截止时间。</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pacing w:val="6"/>
          <w:sz w:val="22"/>
          <w:highlight w:val="none"/>
        </w:rPr>
        <w:t>10.3采购文件如有补充更正均见“政采云”（http://www.zcygov.cn）。投标人须在开标前一日自行查看是否有补充更正文件，并按补充更正文件要求投标，否则责任自负。</w:t>
      </w:r>
    </w:p>
    <w:p>
      <w:pPr>
        <w:pStyle w:val="5"/>
        <w:spacing w:line="500" w:lineRule="exact"/>
        <w:jc w:val="center"/>
        <w:rPr>
          <w:rFonts w:hint="eastAsia" w:ascii="宋体" w:hAnsi="宋体" w:eastAsia="宋体" w:cs="宋体"/>
          <w:color w:val="auto"/>
          <w:sz w:val="24"/>
          <w:szCs w:val="24"/>
          <w:highlight w:val="none"/>
        </w:rPr>
      </w:pPr>
      <w:bookmarkStart w:id="26" w:name="_Toc265529382"/>
      <w:bookmarkStart w:id="27" w:name="_Toc239145353"/>
      <w:bookmarkStart w:id="28" w:name="_Toc58406685"/>
      <w:bookmarkStart w:id="29" w:name="_Toc221356950"/>
      <w:bookmarkStart w:id="30" w:name="_Toc222114878"/>
      <w:bookmarkStart w:id="31" w:name="_Toc223715997"/>
      <w:bookmarkStart w:id="32" w:name="_Toc221423618"/>
      <w:bookmarkStart w:id="33" w:name="_Toc221356885"/>
      <w:bookmarkStart w:id="34" w:name="_Toc221374625"/>
      <w:bookmarkStart w:id="35" w:name="_Toc241404201"/>
      <w:bookmarkStart w:id="36" w:name="_Toc34508132"/>
      <w:r>
        <w:rPr>
          <w:rFonts w:hint="eastAsia" w:ascii="宋体" w:hAnsi="宋体" w:eastAsia="宋体" w:cs="宋体"/>
          <w:color w:val="auto"/>
          <w:sz w:val="24"/>
          <w:szCs w:val="24"/>
          <w:highlight w:val="none"/>
        </w:rPr>
        <w:t>三、 投标文件的编制</w:t>
      </w:r>
      <w:bookmarkEnd w:id="26"/>
      <w:bookmarkEnd w:id="27"/>
      <w:bookmarkEnd w:id="28"/>
      <w:bookmarkEnd w:id="29"/>
      <w:bookmarkEnd w:id="30"/>
      <w:bookmarkEnd w:id="31"/>
      <w:bookmarkEnd w:id="32"/>
      <w:bookmarkEnd w:id="33"/>
      <w:bookmarkEnd w:id="34"/>
      <w:bookmarkEnd w:id="35"/>
      <w:bookmarkEnd w:id="36"/>
    </w:p>
    <w:p>
      <w:pPr>
        <w:spacing w:line="440" w:lineRule="exact"/>
        <w:rPr>
          <w:rFonts w:hint="eastAsia" w:ascii="宋体" w:hAnsi="宋体" w:cs="宋体"/>
          <w:snapToGrid w:val="0"/>
          <w:color w:val="auto"/>
          <w:sz w:val="22"/>
          <w:szCs w:val="22"/>
          <w:highlight w:val="none"/>
        </w:rPr>
      </w:pPr>
      <w:bookmarkStart w:id="37" w:name="_Toc221356886"/>
      <w:r>
        <w:rPr>
          <w:rFonts w:hint="eastAsia" w:ascii="宋体" w:hAnsi="宋体" w:cs="宋体"/>
          <w:snapToGrid w:val="0"/>
          <w:color w:val="auto"/>
          <w:sz w:val="22"/>
          <w:szCs w:val="22"/>
          <w:highlight w:val="none"/>
        </w:rPr>
        <w:t>11. 投标文件的形式和效力</w:t>
      </w:r>
    </w:p>
    <w:p>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11.1电子投标文件分为 “电子加密投标文件”和“备份投标文件”两类，在投标文件编制完成后同时生成。</w:t>
      </w:r>
    </w:p>
    <w:p>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11.2“电子加密投标文件”是指通过“政采云电子交易客户端”完成投标文件编制后生成并加密的数据电文形式的投标文件。</w:t>
      </w:r>
    </w:p>
    <w:p>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11.4投标文件的启用，按先后顺位分别为“电子加密投标文件”、 “备份投标文件”。在下一顺位的投标文件启用时，前一顺位的投标文件自动失效。</w:t>
      </w:r>
    </w:p>
    <w:p>
      <w:pPr>
        <w:spacing w:line="4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12. 投标文件的构成</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12.1 投标文件包括资格审查资料、商务技术文件、报价文件三部分。</w:t>
      </w:r>
    </w:p>
    <w:p>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12.2 投标文件资格审查资料须包括下列部分：</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9" w:type="dxa"/>
            <w:noWrap w:val="0"/>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noWrap w:val="0"/>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bookmarkStart w:id="38" w:name="_Hlk16667472"/>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中小企业声明函（或监狱企业声明函、残疾人福利性单位声明函）（采购文件第二部分相关附件）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kern w:val="0"/>
                <w:sz w:val="22"/>
                <w:szCs w:val="22"/>
                <w:highlight w:val="none"/>
              </w:rPr>
            </w:pPr>
            <w:r>
              <w:rPr>
                <w:rFonts w:hint="eastAsia" w:ascii="新宋体" w:hAnsi="新宋体" w:eastAsia="新宋体" w:cs="宋体"/>
                <w:color w:val="auto"/>
                <w:kern w:val="0"/>
                <w:sz w:val="22"/>
                <w:szCs w:val="22"/>
                <w:highlight w:val="none"/>
              </w:rPr>
              <w:t>资格条件承诺函</w:t>
            </w:r>
            <w:bookmarkStart w:id="144" w:name="_GoBack"/>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新宋体" w:hAnsi="新宋体" w:eastAsia="新宋体" w:cs="新宋体"/>
                <w:bCs/>
                <w:color w:val="auto"/>
                <w:sz w:val="22"/>
                <w:szCs w:val="22"/>
                <w:highlight w:val="none"/>
              </w:rPr>
              <w:t>申请材料真实性声明</w:t>
            </w:r>
          </w:p>
        </w:tc>
      </w:tr>
      <w:bookmarkEnd w:id="38"/>
    </w:tbl>
    <w:p>
      <w:pPr>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备注：</w:t>
      </w:r>
    </w:p>
    <w:p>
      <w:pPr>
        <w:numPr>
          <w:ilvl w:val="0"/>
          <w:numId w:val="18"/>
        </w:numPr>
        <w:spacing w:line="430" w:lineRule="exact"/>
        <w:rPr>
          <w:rFonts w:hint="eastAsia"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18"/>
        </w:numPr>
        <w:spacing w:line="430" w:lineRule="exact"/>
        <w:rPr>
          <w:rFonts w:hint="eastAsia" w:ascii="宋体" w:hAnsi="宋体" w:cs="宋体"/>
          <w:color w:val="auto"/>
          <w:sz w:val="22"/>
          <w:szCs w:val="22"/>
          <w:highlight w:val="none"/>
        </w:rPr>
      </w:pPr>
      <w:r>
        <w:rPr>
          <w:rFonts w:hint="eastAsia" w:ascii="宋体" w:hAnsi="宋体" w:cs="宋体"/>
          <w:b/>
          <w:bCs/>
          <w:color w:val="auto"/>
          <w:szCs w:val="21"/>
          <w:highlight w:val="none"/>
          <w:u w:val="single"/>
        </w:rPr>
        <w:t>▲</w:t>
      </w:r>
      <w:r>
        <w:rPr>
          <w:rFonts w:hint="eastAsia" w:ascii="宋体" w:hAnsi="宋体" w:cs="宋体"/>
          <w:b/>
          <w:color w:val="auto"/>
          <w:sz w:val="22"/>
          <w:szCs w:val="22"/>
          <w:highlight w:val="none"/>
          <w:u w:val="single"/>
        </w:rPr>
        <w:t>以上所需的各种证书、证件、证明等若系扫描件，须加盖投标人有效的公章（电子签章）。</w:t>
      </w:r>
    </w:p>
    <w:p>
      <w:pPr>
        <w:numPr>
          <w:ilvl w:val="0"/>
          <w:numId w:val="18"/>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pPr>
        <w:tabs>
          <w:tab w:val="left" w:pos="360"/>
        </w:tabs>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12.3 投标文件商务技术文件应包括下列部分：</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eastAsia="新宋体"/>
                <w:b/>
                <w:color w:val="auto"/>
                <w:sz w:val="22"/>
                <w:szCs w:val="22"/>
                <w:highlight w:val="none"/>
              </w:rPr>
            </w:pPr>
            <w:r>
              <w:rPr>
                <w:rFonts w:hint="eastAsia" w:eastAsia="新宋体"/>
                <w:b/>
                <w:color w:val="auto"/>
                <w:sz w:val="22"/>
                <w:szCs w:val="22"/>
                <w:highlight w:val="none"/>
              </w:rPr>
              <w:t>序号</w:t>
            </w:r>
          </w:p>
        </w:tc>
        <w:tc>
          <w:tcPr>
            <w:tcW w:w="9109" w:type="dxa"/>
            <w:noWrap w:val="0"/>
            <w:vAlign w:val="center"/>
          </w:tcPr>
          <w:p>
            <w:pPr>
              <w:jc w:val="center"/>
              <w:rPr>
                <w:rFonts w:eastAsia="新宋体"/>
                <w:b/>
                <w:color w:val="auto"/>
                <w:sz w:val="22"/>
                <w:szCs w:val="22"/>
                <w:highlight w:val="none"/>
              </w:rPr>
            </w:pPr>
            <w:r>
              <w:rPr>
                <w:rFonts w:hint="eastAsia" w:eastAsia="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eastAsia="新宋体"/>
                <w:color w:val="auto"/>
                <w:sz w:val="22"/>
                <w:szCs w:val="22"/>
                <w:highlight w:val="none"/>
              </w:rPr>
            </w:pPr>
            <w:r>
              <w:rPr>
                <w:rFonts w:hint="eastAsia" w:eastAsia="新宋体"/>
                <w:color w:val="auto"/>
                <w:sz w:val="22"/>
                <w:szCs w:val="22"/>
                <w:highlight w:val="none"/>
              </w:rPr>
              <w:t>1</w:t>
            </w:r>
          </w:p>
        </w:tc>
        <w:tc>
          <w:tcPr>
            <w:tcW w:w="9109" w:type="dxa"/>
            <w:noWrap w:val="0"/>
            <w:vAlign w:val="center"/>
          </w:tcPr>
          <w:p>
            <w:pPr>
              <w:rPr>
                <w:rFonts w:eastAsia="新宋体"/>
                <w:b/>
                <w:color w:val="auto"/>
                <w:sz w:val="22"/>
                <w:szCs w:val="22"/>
                <w:highlight w:val="none"/>
              </w:rPr>
            </w:pPr>
            <w:r>
              <w:rPr>
                <w:rFonts w:hint="eastAsia" w:eastAsia="新宋体"/>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eastAsia="新宋体"/>
                <w:color w:val="auto"/>
                <w:sz w:val="22"/>
                <w:szCs w:val="22"/>
                <w:highlight w:val="none"/>
              </w:rPr>
            </w:pPr>
            <w:r>
              <w:rPr>
                <w:rFonts w:hint="eastAsia" w:eastAsia="新宋体"/>
                <w:color w:val="auto"/>
                <w:sz w:val="22"/>
                <w:szCs w:val="22"/>
                <w:highlight w:val="none"/>
              </w:rPr>
              <w:t>2</w:t>
            </w:r>
          </w:p>
        </w:tc>
        <w:tc>
          <w:tcPr>
            <w:tcW w:w="9109" w:type="dxa"/>
            <w:noWrap w:val="0"/>
            <w:vAlign w:val="center"/>
          </w:tcPr>
          <w:p>
            <w:pPr>
              <w:rPr>
                <w:rFonts w:eastAsia="新宋体"/>
                <w:color w:val="auto"/>
                <w:sz w:val="22"/>
                <w:szCs w:val="22"/>
                <w:highlight w:val="none"/>
              </w:rPr>
            </w:pPr>
            <w:r>
              <w:rPr>
                <w:rFonts w:hint="eastAsia" w:eastAsia="新宋体"/>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3</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投标人综合情况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4</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val="en-US" w:eastAsia="zh-CN"/>
              </w:rPr>
              <w:t>项目</w:t>
            </w:r>
            <w:r>
              <w:rPr>
                <w:rFonts w:hint="eastAsia" w:ascii="宋体" w:hAnsi="宋体" w:eastAsia="宋体" w:cs="宋体"/>
                <w:b w:val="0"/>
                <w:bCs w:val="0"/>
                <w:color w:val="auto"/>
                <w:sz w:val="22"/>
                <w:szCs w:val="22"/>
                <w:highlight w:val="none"/>
                <w:u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rPr>
              <w:t>5</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rPr>
              <w:t>6</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bidi="ar"/>
              </w:rPr>
              <w:t>项目组织和实施能力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rPr>
              <w:t>7</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rPr>
              <w:t>8</w:t>
            </w:r>
          </w:p>
        </w:tc>
        <w:tc>
          <w:tcPr>
            <w:tcW w:w="9109" w:type="dxa"/>
            <w:noWrap w:val="0"/>
            <w:vAlign w:val="center"/>
          </w:tcPr>
          <w:p>
            <w:pPr>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技术服务力量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lang w:val="en-US" w:eastAsia="zh-CN"/>
              </w:rPr>
              <w:t>9</w:t>
            </w:r>
          </w:p>
        </w:tc>
        <w:tc>
          <w:tcPr>
            <w:tcW w:w="9109" w:type="dxa"/>
            <w:noWrap w:val="0"/>
            <w:vAlign w:val="center"/>
          </w:tcPr>
          <w:p>
            <w:pPr>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售后及培训方案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lang w:val="en-US" w:eastAsia="zh-CN"/>
              </w:rPr>
              <w:t>10</w:t>
            </w:r>
          </w:p>
        </w:tc>
        <w:tc>
          <w:tcPr>
            <w:tcW w:w="9109" w:type="dxa"/>
            <w:noWrap w:val="0"/>
            <w:vAlign w:val="center"/>
          </w:tcPr>
          <w:p>
            <w:pPr>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资信证明文件（本部分为技术资信分评分内容，各供应商参照评分标准根据自身情况提供）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default" w:eastAsia="新宋体"/>
                <w:color w:val="auto"/>
                <w:sz w:val="22"/>
                <w:szCs w:val="22"/>
                <w:highlight w:val="none"/>
                <w:lang w:val="en-US" w:eastAsia="zh-CN"/>
              </w:rPr>
            </w:pPr>
            <w:r>
              <w:rPr>
                <w:rFonts w:hint="eastAsia" w:eastAsia="新宋体"/>
                <w:color w:val="auto"/>
                <w:sz w:val="22"/>
                <w:szCs w:val="22"/>
                <w:highlight w:val="none"/>
                <w:lang w:val="en-US" w:eastAsia="zh-CN"/>
              </w:rPr>
              <w:t>11</w:t>
            </w:r>
          </w:p>
        </w:tc>
        <w:tc>
          <w:tcPr>
            <w:tcW w:w="9109" w:type="dxa"/>
            <w:noWrap w:val="0"/>
            <w:vAlign w:val="center"/>
          </w:tcPr>
          <w:p>
            <w:pPr>
              <w:rPr>
                <w:rFonts w:eastAsia="新宋体"/>
                <w:color w:val="auto"/>
                <w:sz w:val="22"/>
                <w:szCs w:val="22"/>
                <w:highlight w:val="none"/>
              </w:rPr>
            </w:pPr>
            <w:r>
              <w:rPr>
                <w:rFonts w:hint="eastAsia" w:eastAsia="新宋体"/>
                <w:bCs/>
                <w:color w:val="auto"/>
                <w:sz w:val="22"/>
                <w:szCs w:val="22"/>
                <w:highlight w:val="none"/>
              </w:rPr>
              <w:t>针对评分细则，编制目录索引，注明评标细则项目所在投标文件页码，格式自拟</w:t>
            </w:r>
          </w:p>
        </w:tc>
      </w:tr>
    </w:tbl>
    <w:p>
      <w:pPr>
        <w:spacing w:line="43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w:t>
      </w:r>
    </w:p>
    <w:p>
      <w:pPr>
        <w:numPr>
          <w:ilvl w:val="0"/>
          <w:numId w:val="19"/>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投标人可根据采购文件中的采购内容及需求和商务技术文件评分细则，提供投标人认为需要提供的文件和资料。</w:t>
      </w:r>
    </w:p>
    <w:p>
      <w:pPr>
        <w:numPr>
          <w:ilvl w:val="0"/>
          <w:numId w:val="19"/>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19"/>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以上所需的各种证书、证件、证明等若系扫描件，须加盖投标人有效的公章。</w:t>
      </w:r>
    </w:p>
    <w:p>
      <w:pPr>
        <w:numPr>
          <w:ilvl w:val="0"/>
          <w:numId w:val="19"/>
        </w:numPr>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pPr>
        <w:tabs>
          <w:tab w:val="left" w:pos="5355"/>
        </w:tabs>
        <w:spacing w:line="43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12.4 投标文件商务报价标应包括下列部分：</w:t>
      </w:r>
    </w:p>
    <w:bookmarkEnd w:id="37"/>
    <w:tbl>
      <w:tblPr>
        <w:tblStyle w:val="57"/>
        <w:tblW w:w="9854" w:type="dxa"/>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30" w:lineRule="atLeas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投标分项报价表</w:t>
            </w:r>
          </w:p>
        </w:tc>
      </w:tr>
    </w:tbl>
    <w:p>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13.投标文件编制</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13.4投标文件内容不完整、编排混乱导致投标文件被误读、漏读或者查找不到相关内容的，是投标人的责任。</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13.5投标文件因字迹潦草或表达不清所引起的后果由投标人负责。</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14.投标文件的签章</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14.1投标文件的签章要求：投标人须知前附表第17款；</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14.2投标文件应由投标人法定代表人或其授权代表签章，并时加盖投标人公章（电子签章）。</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14.3电子签章操作指南详见采购公告附件《供应商项目采购-电子招投标操作指南》。</w:t>
      </w:r>
    </w:p>
    <w:p>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15.投标文件的形式</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15.1投标文件的形式：见投标人须知前附表第18款；</w:t>
      </w:r>
    </w:p>
    <w:p>
      <w:pPr>
        <w:tabs>
          <w:tab w:val="left" w:pos="36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15.2“电子加密投标文件”：“电子加密投标文件”是指通过“政采云电子交易客户端”完成投标文件编制后生成并加密的数据电文形式的投标文件。</w:t>
      </w:r>
    </w:p>
    <w:p>
      <w:pPr>
        <w:tabs>
          <w:tab w:val="left" w:pos="360"/>
        </w:tabs>
        <w:spacing w:line="460" w:lineRule="exact"/>
        <w:rPr>
          <w:rFonts w:hint="eastAsia" w:ascii="宋体" w:hAnsi="宋体" w:cs="宋体"/>
          <w:b/>
          <w:color w:val="auto"/>
          <w:sz w:val="24"/>
          <w:highlight w:val="none"/>
        </w:rPr>
      </w:pPr>
      <w:r>
        <w:rPr>
          <w:rFonts w:hint="eastAsia" w:ascii="宋体" w:hAnsi="宋体" w:cs="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16.投标文件的份数</w:t>
      </w:r>
    </w:p>
    <w:p>
      <w:pPr>
        <w:tabs>
          <w:tab w:val="left" w:pos="5355"/>
        </w:tabs>
        <w:spacing w:line="43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16.1投标文件的份数：见投标人须知前附表第19款。</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bCs/>
          <w:color w:val="auto"/>
          <w:sz w:val="22"/>
          <w:szCs w:val="22"/>
          <w:highlight w:val="none"/>
        </w:rPr>
        <w:t>17.投标报价</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17.1 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17.2</w:t>
      </w:r>
      <w:r>
        <w:rPr>
          <w:rFonts w:hint="eastAsia" w:eastAsia="新宋体"/>
          <w:color w:val="auto"/>
          <w:sz w:val="22"/>
          <w:szCs w:val="22"/>
          <w:highlight w:val="none"/>
        </w:rPr>
        <w:t>投标报价是采购文件所确定的采购范围内全部工作内容的价格表现，在正确地完全履行合同义务后采购人应支付的服务价款，即</w:t>
      </w:r>
      <w:r>
        <w:rPr>
          <w:rFonts w:hint="eastAsia" w:ascii="新宋体" w:hAnsi="新宋体" w:eastAsia="新宋体" w:cs="新宋体"/>
          <w:color w:val="auto"/>
          <w:sz w:val="22"/>
          <w:szCs w:val="22"/>
          <w:highlight w:val="none"/>
          <w:lang w:val="zh-CN"/>
        </w:rPr>
        <w:t>本项目所有的费用（交钥匙价），系统</w:t>
      </w:r>
      <w:r>
        <w:rPr>
          <w:rFonts w:hint="eastAsia" w:ascii="新宋体" w:hAnsi="新宋体" w:eastAsia="新宋体" w:cs="新宋体"/>
          <w:color w:val="auto"/>
          <w:kern w:val="0"/>
          <w:sz w:val="22"/>
          <w:szCs w:val="22"/>
          <w:highlight w:val="none"/>
        </w:rPr>
        <w:t>开发设计所有费用</w:t>
      </w:r>
      <w:r>
        <w:rPr>
          <w:rFonts w:hint="eastAsia" w:ascii="新宋体" w:hAnsi="新宋体" w:eastAsia="新宋体" w:cs="新宋体"/>
          <w:bCs/>
          <w:color w:val="auto"/>
          <w:kern w:val="0"/>
          <w:sz w:val="22"/>
          <w:szCs w:val="22"/>
          <w:highlight w:val="none"/>
          <w:lang w:val="zh-CN"/>
        </w:rPr>
        <w:t>、安装调试、质保期质保升级费用、第三方等保费用、验收（含第三方验收）、交通、人员费用、保险、税费、技术服务、售后服务、所需材料等全部费用，实行固定费用总包干</w:t>
      </w:r>
      <w:r>
        <w:rPr>
          <w:rFonts w:hint="eastAsia" w:hAnsi="Segoe UI Symbol" w:eastAsia="新宋体"/>
          <w:bCs/>
          <w:color w:val="auto"/>
          <w:kern w:val="0"/>
          <w:sz w:val="22"/>
          <w:szCs w:val="22"/>
          <w:highlight w:val="none"/>
        </w:rPr>
        <w:t>。</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17.4 投标人必须按第三部分附件的开标一览表、投标分项报价表的内容填写单价、合价及其他事项，并由法定代表人或授权代表签署。</w:t>
      </w:r>
    </w:p>
    <w:p>
      <w:pPr>
        <w:tabs>
          <w:tab w:val="left" w:pos="540"/>
        </w:tabs>
        <w:spacing w:line="460" w:lineRule="exact"/>
        <w:rPr>
          <w:rFonts w:hint="eastAsia" w:ascii="宋体" w:hAnsi="宋体" w:cs="宋体"/>
          <w:b/>
          <w:color w:val="auto"/>
          <w:sz w:val="22"/>
          <w:szCs w:val="22"/>
          <w:highlight w:val="none"/>
        </w:rPr>
      </w:pPr>
      <w:r>
        <w:rPr>
          <w:rFonts w:hint="eastAsia" w:ascii="宋体" w:hAnsi="宋体" w:cs="宋体"/>
          <w:color w:val="auto"/>
          <w:sz w:val="22"/>
          <w:szCs w:val="22"/>
          <w:highlight w:val="none"/>
        </w:rPr>
        <w:t>17.5 所有投标报价均以人民币报价。</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17.6 采购人不接受任何选择报价，对每一项货物/服务只允许一个报价。</w:t>
      </w:r>
    </w:p>
    <w:p>
      <w:pPr>
        <w:tabs>
          <w:tab w:val="left" w:pos="540"/>
        </w:tabs>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17.7 采购人要求分类报价是为了方便评标，但在任何情况下不限制采购人以其认为最合适的条款、条件签订合同的权利。</w:t>
      </w:r>
    </w:p>
    <w:p>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17.8报价是成交的一个重要因素，但最低报价不是成交的唯一依据。</w:t>
      </w:r>
    </w:p>
    <w:p>
      <w:pPr>
        <w:tabs>
          <w:tab w:val="left" w:pos="-180"/>
          <w:tab w:val="left" w:pos="180"/>
          <w:tab w:val="left" w:pos="360"/>
        </w:tabs>
        <w:spacing w:line="440" w:lineRule="exact"/>
        <w:ind w:left="660" w:hanging="660" w:hangingChars="300"/>
        <w:rPr>
          <w:rFonts w:hint="eastAsia" w:ascii="宋体" w:hAnsi="宋体" w:cs="宋体"/>
          <w:b/>
          <w:bCs/>
          <w:color w:val="auto"/>
          <w:sz w:val="22"/>
          <w:szCs w:val="22"/>
          <w:highlight w:val="none"/>
        </w:rPr>
      </w:pPr>
      <w:r>
        <w:rPr>
          <w:rFonts w:hint="eastAsia" w:ascii="宋体" w:hAnsi="宋体" w:cs="宋体"/>
          <w:bCs/>
          <w:color w:val="auto"/>
          <w:sz w:val="22"/>
          <w:szCs w:val="22"/>
          <w:highlight w:val="none"/>
        </w:rPr>
        <w:t xml:space="preserve">12. </w:t>
      </w:r>
      <w:r>
        <w:rPr>
          <w:rFonts w:hint="eastAsia" w:ascii="宋体" w:hAnsi="宋体" w:cs="宋体"/>
          <w:b/>
          <w:bCs/>
          <w:color w:val="auto"/>
          <w:sz w:val="22"/>
          <w:szCs w:val="22"/>
          <w:highlight w:val="none"/>
        </w:rPr>
        <w:t>投标人如发生下列情况之一，将上报同级采购监督管理部门，追究其责任：</w:t>
      </w:r>
    </w:p>
    <w:p>
      <w:pPr>
        <w:numPr>
          <w:ilvl w:val="0"/>
          <w:numId w:val="20"/>
        </w:numPr>
        <w:tabs>
          <w:tab w:val="left" w:pos="360"/>
          <w:tab w:val="clear" w:pos="420"/>
        </w:tabs>
        <w:spacing w:line="440" w:lineRule="exact"/>
        <w:ind w:left="720" w:hanging="720"/>
        <w:rPr>
          <w:rFonts w:hint="eastAsia" w:ascii="宋体" w:hAnsi="宋体" w:cs="宋体"/>
          <w:color w:val="auto"/>
          <w:sz w:val="22"/>
          <w:szCs w:val="22"/>
          <w:highlight w:val="none"/>
        </w:rPr>
      </w:pPr>
      <w:r>
        <w:rPr>
          <w:rFonts w:hint="eastAsia" w:ascii="宋体" w:hAnsi="宋体" w:cs="宋体"/>
          <w:color w:val="auto"/>
          <w:sz w:val="22"/>
          <w:szCs w:val="22"/>
          <w:highlight w:val="none"/>
        </w:rPr>
        <w:t>投标人在采购文件规定的投标有效期内撤回投标；</w:t>
      </w:r>
    </w:p>
    <w:p>
      <w:pPr>
        <w:numPr>
          <w:ilvl w:val="0"/>
          <w:numId w:val="20"/>
        </w:numPr>
        <w:tabs>
          <w:tab w:val="left" w:pos="360"/>
          <w:tab w:val="clear" w:pos="420"/>
        </w:tabs>
        <w:spacing w:line="440" w:lineRule="exact"/>
        <w:ind w:left="720" w:hanging="720"/>
        <w:rPr>
          <w:rFonts w:hint="eastAsia"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pPr>
        <w:numPr>
          <w:ilvl w:val="0"/>
          <w:numId w:val="20"/>
        </w:numPr>
        <w:tabs>
          <w:tab w:val="left" w:pos="360"/>
          <w:tab w:val="clear" w:pos="420"/>
        </w:tabs>
        <w:spacing w:line="440" w:lineRule="exact"/>
        <w:ind w:left="720" w:hanging="720"/>
        <w:rPr>
          <w:rFonts w:hint="eastAsia" w:ascii="宋体" w:hAnsi="宋体" w:cs="宋体"/>
          <w:color w:val="auto"/>
          <w:sz w:val="22"/>
          <w:szCs w:val="22"/>
          <w:highlight w:val="none"/>
        </w:rPr>
      </w:pPr>
      <w:r>
        <w:rPr>
          <w:rFonts w:hint="eastAsia" w:ascii="宋体" w:hAnsi="宋体" w:cs="宋体"/>
          <w:color w:val="auto"/>
          <w:sz w:val="22"/>
          <w:szCs w:val="22"/>
          <w:highlight w:val="none"/>
        </w:rPr>
        <w:t>投标人在采购文件中提供虚假技术指标及参数，经评标委员会确认属实的。</w:t>
      </w:r>
    </w:p>
    <w:p>
      <w:pPr>
        <w:numPr>
          <w:ilvl w:val="0"/>
          <w:numId w:val="20"/>
        </w:numPr>
        <w:tabs>
          <w:tab w:val="left" w:pos="360"/>
          <w:tab w:val="clear" w:pos="420"/>
        </w:tabs>
        <w:spacing w:line="440" w:lineRule="exact"/>
        <w:ind w:left="720" w:hanging="720"/>
        <w:rPr>
          <w:rFonts w:hint="eastAsia" w:ascii="宋体" w:hAnsi="宋体" w:cs="宋体"/>
          <w:color w:val="auto"/>
          <w:sz w:val="22"/>
          <w:szCs w:val="22"/>
          <w:highlight w:val="none"/>
        </w:rPr>
      </w:pPr>
      <w:r>
        <w:rPr>
          <w:rFonts w:hint="eastAsia" w:ascii="宋体" w:hAnsi="宋体" w:cs="宋体"/>
          <w:color w:val="auto"/>
          <w:sz w:val="22"/>
          <w:szCs w:val="22"/>
          <w:highlight w:val="none"/>
        </w:rPr>
        <w:t>经同级采购监督管理部门审查认定投标人有违反有关法律法规的行为。</w:t>
      </w:r>
    </w:p>
    <w:p>
      <w:pPr>
        <w:tabs>
          <w:tab w:val="left" w:pos="-180"/>
          <w:tab w:val="left" w:pos="180"/>
          <w:tab w:val="left" w:pos="360"/>
        </w:tabs>
        <w:spacing w:line="440" w:lineRule="exact"/>
        <w:rPr>
          <w:rFonts w:hint="eastAsia" w:ascii="宋体" w:hAnsi="宋体" w:cs="宋体"/>
          <w:b/>
          <w:bCs/>
          <w:color w:val="auto"/>
          <w:sz w:val="22"/>
          <w:szCs w:val="22"/>
          <w:highlight w:val="none"/>
        </w:rPr>
      </w:pPr>
      <w:bookmarkStart w:id="39" w:name="_Toc265529383"/>
      <w:bookmarkStart w:id="40" w:name="_Toc221356887"/>
      <w:bookmarkStart w:id="41" w:name="_Toc223715998"/>
      <w:bookmarkStart w:id="42" w:name="_Toc221356951"/>
      <w:bookmarkStart w:id="43" w:name="_Toc239145354"/>
      <w:bookmarkStart w:id="44" w:name="_Toc241404202"/>
      <w:bookmarkStart w:id="45" w:name="_Toc221423619"/>
      <w:bookmarkStart w:id="46" w:name="_Toc222114879"/>
      <w:bookmarkStart w:id="47" w:name="_Toc221374626"/>
      <w:r>
        <w:rPr>
          <w:rFonts w:hint="eastAsia" w:ascii="宋体" w:hAnsi="宋体" w:cs="宋体"/>
          <w:b/>
          <w:bCs/>
          <w:color w:val="auto"/>
          <w:sz w:val="22"/>
          <w:szCs w:val="22"/>
          <w:highlight w:val="none"/>
        </w:rPr>
        <w:t>19. 投标有效期</w:t>
      </w:r>
    </w:p>
    <w:p>
      <w:pPr>
        <w:tabs>
          <w:tab w:val="left" w:pos="540"/>
          <w:tab w:val="left" w:pos="992"/>
        </w:tabs>
        <w:autoSpaceDE w:val="0"/>
        <w:autoSpaceDN w:val="0"/>
        <w:adjustRightInd w:val="0"/>
        <w:spacing w:line="460" w:lineRule="atLeas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19.1 自开标之日起 90天内投标应保持有效。投标有效期短于这个规定期限的投标将视为非响应性投标而予以拒绝。</w:t>
      </w:r>
    </w:p>
    <w:p>
      <w:pPr>
        <w:spacing w:line="44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5"/>
        <w:spacing w:line="500" w:lineRule="exact"/>
        <w:jc w:val="center"/>
        <w:rPr>
          <w:rFonts w:hint="eastAsia" w:ascii="宋体" w:hAnsi="宋体" w:eastAsia="宋体" w:cs="宋体"/>
          <w:color w:val="auto"/>
          <w:sz w:val="24"/>
          <w:szCs w:val="24"/>
          <w:highlight w:val="none"/>
        </w:rPr>
      </w:pPr>
      <w:bookmarkStart w:id="48" w:name="_Toc58406686"/>
      <w:bookmarkStart w:id="49" w:name="_Toc34508133"/>
      <w:r>
        <w:rPr>
          <w:rFonts w:hint="eastAsia" w:ascii="宋体" w:hAnsi="宋体" w:eastAsia="宋体" w:cs="宋体"/>
          <w:color w:val="auto"/>
          <w:sz w:val="24"/>
          <w:szCs w:val="24"/>
          <w:highlight w:val="none"/>
        </w:rPr>
        <w:t>四、 投标文件的递交</w:t>
      </w:r>
      <w:bookmarkEnd w:id="39"/>
      <w:bookmarkEnd w:id="40"/>
      <w:bookmarkEnd w:id="41"/>
      <w:bookmarkEnd w:id="42"/>
      <w:bookmarkEnd w:id="43"/>
      <w:bookmarkEnd w:id="44"/>
      <w:bookmarkEnd w:id="45"/>
      <w:bookmarkEnd w:id="46"/>
      <w:bookmarkEnd w:id="47"/>
      <w:bookmarkEnd w:id="48"/>
      <w:bookmarkEnd w:id="49"/>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20. 投标文件的递交</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20.1投标文件的上传、递交：见投标人须知前附表第20款。</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21. “电子加密投标文件”解密和异常情况处理。</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21.1“电子加密投标文件”解密：见投标人须知前附表第21款。</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22. 投标文件的补充、修改或撤回</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22.2投标文件递交截止时间后，投标人不得撤回、修改投标文件。</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
          <w:bCs/>
          <w:color w:val="auto"/>
          <w:kern w:val="0"/>
          <w:sz w:val="22"/>
          <w:szCs w:val="22"/>
          <w:highlight w:val="none"/>
        </w:rPr>
        <w:t>23. 投标文件的备选方案</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pPr>
        <w:tabs>
          <w:tab w:val="left" w:pos="540"/>
        </w:tabs>
        <w:spacing w:line="460" w:lineRule="exact"/>
        <w:rPr>
          <w:rFonts w:hint="eastAsia" w:ascii="宋体" w:hAnsi="宋体" w:cs="宋体"/>
          <w:b/>
          <w:color w:val="auto"/>
          <w:sz w:val="22"/>
          <w:szCs w:val="22"/>
          <w:highlight w:val="none"/>
        </w:rPr>
      </w:pPr>
    </w:p>
    <w:p>
      <w:pPr>
        <w:pStyle w:val="5"/>
        <w:spacing w:line="500" w:lineRule="exact"/>
        <w:jc w:val="center"/>
        <w:rPr>
          <w:rFonts w:hint="eastAsia" w:ascii="宋体" w:hAnsi="宋体" w:eastAsia="宋体" w:cs="宋体"/>
          <w:color w:val="auto"/>
          <w:sz w:val="24"/>
          <w:szCs w:val="24"/>
          <w:highlight w:val="none"/>
        </w:rPr>
      </w:pPr>
      <w:bookmarkStart w:id="50" w:name="_Toc265529384"/>
      <w:bookmarkStart w:id="51" w:name="_Toc222114880"/>
      <w:bookmarkStart w:id="52" w:name="_Toc239145355"/>
      <w:bookmarkStart w:id="53" w:name="_Toc241404203"/>
      <w:bookmarkStart w:id="54" w:name="_Toc223715999"/>
      <w:bookmarkStart w:id="55" w:name="_Toc221356952"/>
      <w:bookmarkStart w:id="56" w:name="_Toc221423620"/>
      <w:bookmarkStart w:id="57" w:name="_Toc221374627"/>
      <w:bookmarkStart w:id="58" w:name="_Toc221356888"/>
      <w:bookmarkStart w:id="59" w:name="_Toc58406687"/>
      <w:bookmarkStart w:id="60" w:name="_Toc34508134"/>
      <w:r>
        <w:rPr>
          <w:rFonts w:hint="eastAsia" w:ascii="宋体" w:hAnsi="宋体" w:eastAsia="宋体" w:cs="宋体"/>
          <w:color w:val="auto"/>
          <w:sz w:val="24"/>
          <w:szCs w:val="24"/>
          <w:highlight w:val="none"/>
        </w:rPr>
        <w:t>五、 开标</w:t>
      </w:r>
      <w:bookmarkEnd w:id="50"/>
      <w:bookmarkEnd w:id="51"/>
      <w:bookmarkEnd w:id="52"/>
      <w:bookmarkEnd w:id="53"/>
      <w:bookmarkEnd w:id="54"/>
      <w:bookmarkEnd w:id="55"/>
      <w:bookmarkEnd w:id="56"/>
      <w:bookmarkEnd w:id="57"/>
      <w:bookmarkEnd w:id="58"/>
      <w:bookmarkEnd w:id="59"/>
      <w:bookmarkEnd w:id="60"/>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 开标形式</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24.1 采购组织机构将按照采购文件规定的时间通过“政采云平台”组织开标、开启投标文件，所有供应商均应当准时在线参加。</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25. 开标准备</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25.1开标的准备工作由采购组织机构负责落实。</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26.开标流程</w:t>
      </w:r>
    </w:p>
    <w:p>
      <w:pPr>
        <w:tabs>
          <w:tab w:val="left" w:pos="540"/>
        </w:tabs>
        <w:spacing w:line="460" w:lineRule="exact"/>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26.</w:t>
      </w:r>
      <w:r>
        <w:rPr>
          <w:rFonts w:hint="eastAsia" w:ascii="宋体" w:hAnsi="宋体" w:cs="宋体"/>
          <w:b/>
          <w:bCs/>
          <w:color w:val="auto"/>
          <w:kern w:val="0"/>
          <w:sz w:val="22"/>
          <w:szCs w:val="22"/>
          <w:highlight w:val="none"/>
          <w:lang w:val="en-US" w:eastAsia="zh-CN"/>
        </w:rPr>
        <w:t>解密开标</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w:t>
      </w:r>
      <w:r>
        <w:rPr>
          <w:rFonts w:hint="eastAsia" w:ascii="宋体" w:hAnsi="宋体" w:cs="宋体"/>
          <w:b/>
          <w:bCs/>
          <w:color w:val="auto"/>
          <w:kern w:val="0"/>
          <w:sz w:val="22"/>
          <w:szCs w:val="22"/>
          <w:highlight w:val="none"/>
          <w:lang w:val="en-US" w:eastAsia="zh-CN"/>
        </w:rPr>
        <w:t>投标人</w:t>
      </w:r>
      <w:r>
        <w:rPr>
          <w:rFonts w:hint="eastAsia" w:ascii="宋体" w:hAnsi="宋体" w:cs="宋体"/>
          <w:b/>
          <w:bCs/>
          <w:color w:val="auto"/>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（3）开启投标文件，在“政采云平台”系统平台上公布开标一览表有关内容，</w:t>
      </w:r>
      <w:r>
        <w:rPr>
          <w:rFonts w:hint="eastAsia" w:ascii="宋体" w:hAnsi="宋体" w:cs="宋体"/>
          <w:b/>
          <w:bCs/>
          <w:color w:val="auto"/>
          <w:kern w:val="0"/>
          <w:sz w:val="22"/>
          <w:szCs w:val="22"/>
          <w:highlight w:val="none"/>
          <w:lang w:val="en-US" w:eastAsia="zh-CN"/>
        </w:rPr>
        <w:t>投标人在线确认。</w:t>
      </w:r>
    </w:p>
    <w:p>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采购人或采购代理机构依法对投标人的资格进行审查</w:t>
      </w:r>
      <w:r>
        <w:rPr>
          <w:rFonts w:hint="eastAsia" w:ascii="宋体" w:hAnsi="宋体" w:cs="宋体"/>
          <w:b/>
          <w:bCs/>
          <w:color w:val="auto"/>
          <w:kern w:val="0"/>
          <w:sz w:val="22"/>
          <w:szCs w:val="22"/>
          <w:highlight w:val="none"/>
          <w:lang w:eastAsia="zh-CN"/>
        </w:rPr>
        <w:t>；</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（4）资格审查通过的投标人的商务技术文件进入符合性审查、商务技术评审；</w:t>
      </w:r>
    </w:p>
    <w:p>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商务技术评审完成后</w:t>
      </w:r>
      <w:r>
        <w:rPr>
          <w:rFonts w:hint="eastAsia" w:ascii="宋体" w:hAnsi="宋体" w:cs="宋体"/>
          <w:b/>
          <w:bCs/>
          <w:color w:val="auto"/>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auto"/>
          <w:kern w:val="0"/>
          <w:sz w:val="22"/>
          <w:szCs w:val="22"/>
          <w:highlight w:val="none"/>
          <w:lang w:eastAsia="zh-CN"/>
        </w:rPr>
        <w:t>；</w:t>
      </w:r>
    </w:p>
    <w:p>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6</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auto"/>
          <w:kern w:val="0"/>
          <w:sz w:val="22"/>
          <w:szCs w:val="22"/>
          <w:highlight w:val="none"/>
          <w:lang w:eastAsia="zh-CN"/>
        </w:rPr>
        <w:t>；</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）评审结束后，在“政采云平台”系统平台上公布中标（成交）候选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pPr>
        <w:tabs>
          <w:tab w:val="left" w:pos="540"/>
        </w:tabs>
        <w:spacing w:line="460" w:lineRule="exact"/>
        <w:rPr>
          <w:rFonts w:hint="eastAsia" w:ascii="宋体" w:hAnsi="宋体" w:cs="宋体"/>
          <w:b/>
          <w:bCs/>
          <w:color w:val="auto"/>
          <w:kern w:val="0"/>
          <w:sz w:val="22"/>
          <w:szCs w:val="22"/>
          <w:highlight w:val="none"/>
        </w:rPr>
      </w:pPr>
      <w:bookmarkStart w:id="61" w:name="_Toc24550037"/>
      <w:bookmarkStart w:id="62" w:name="_Toc33194393"/>
      <w:r>
        <w:rPr>
          <w:rFonts w:hint="eastAsia" w:ascii="宋体" w:hAnsi="宋体" w:cs="宋体"/>
          <w:b/>
          <w:bCs/>
          <w:color w:val="auto"/>
          <w:kern w:val="0"/>
          <w:sz w:val="22"/>
          <w:szCs w:val="22"/>
          <w:highlight w:val="none"/>
        </w:rPr>
        <w:t>27. 投标人资格审查</w:t>
      </w:r>
      <w:bookmarkEnd w:id="61"/>
      <w:bookmarkEnd w:id="62"/>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27.3单位负责人为同一人或者存在直接控股、管理关系的不同供应商参加同一合同项下的采购活动的，相关投标人均作资格无效处理。</w:t>
      </w:r>
    </w:p>
    <w:p>
      <w:pPr>
        <w:pStyle w:val="5"/>
        <w:spacing w:line="500" w:lineRule="exact"/>
        <w:jc w:val="center"/>
        <w:rPr>
          <w:rFonts w:hint="eastAsia" w:ascii="宋体" w:hAnsi="宋体" w:eastAsia="宋体" w:cs="宋体"/>
          <w:color w:val="auto"/>
          <w:sz w:val="24"/>
          <w:szCs w:val="24"/>
          <w:highlight w:val="none"/>
        </w:rPr>
      </w:pPr>
      <w:bookmarkStart w:id="63" w:name="_Toc34508135"/>
      <w:bookmarkStart w:id="64" w:name="_Toc34221900"/>
      <w:bookmarkStart w:id="65" w:name="_Toc58406688"/>
      <w:r>
        <w:rPr>
          <w:rFonts w:hint="eastAsia" w:ascii="宋体" w:hAnsi="宋体" w:eastAsia="宋体" w:cs="宋体"/>
          <w:color w:val="auto"/>
          <w:sz w:val="24"/>
          <w:szCs w:val="24"/>
          <w:highlight w:val="none"/>
        </w:rPr>
        <w:t>六、 评  标</w:t>
      </w:r>
      <w:bookmarkEnd w:id="63"/>
      <w:bookmarkEnd w:id="64"/>
      <w:bookmarkEnd w:id="65"/>
    </w:p>
    <w:p>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28. 评标委员会</w:t>
      </w:r>
    </w:p>
    <w:p>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p>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29. 评标过程的保密性</w:t>
      </w:r>
    </w:p>
    <w:p>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30. 投标文件的初审（符合性检查）。</w:t>
      </w:r>
    </w:p>
    <w:p>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30.1▲</w:t>
      </w:r>
      <w:r>
        <w:rPr>
          <w:rFonts w:hint="eastAsia" w:ascii="宋体" w:hAnsi="宋体" w:cs="宋体"/>
          <w:b/>
          <w:bCs/>
          <w:color w:val="auto"/>
          <w:kern w:val="0"/>
          <w:sz w:val="22"/>
          <w:szCs w:val="22"/>
          <w:highlight w:val="none"/>
          <w:u w:val="single"/>
        </w:rPr>
        <w:t>投标人存在下列情况之一的，投标无效</w:t>
      </w:r>
      <w:r>
        <w:rPr>
          <w:rFonts w:hint="eastAsia" w:ascii="宋体" w:hAnsi="宋体" w:cs="宋体"/>
          <w:color w:val="auto"/>
          <w:kern w:val="0"/>
          <w:sz w:val="22"/>
          <w:szCs w:val="22"/>
          <w:highlight w:val="none"/>
        </w:rPr>
        <w:t>:</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1）投标文件未按采购文件要求签署、盖章的；</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2）不具备采购文件中规定的资格要求的；</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3）报价超过采购文件中规定的预算金额或者最高限价的；</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4）投标文件含有采购人不能接受的附加条件的（包括采购文件中明确要求不得偏离的采购要求，存在负偏离的）；</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5）仅提交“备份投标文件”的；</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6）对关键条文的偏离、保留或反对，例如关于付款方式、完工期（服务期）、免费质保期、适用法律法规、标准、税费等其他内容；</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7）存在串标、抬标或弄虚作假情况的；</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8）法律、法规和采购文件规定的其他无效情形（或出现重大偏差）。</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30.2▲</w:t>
      </w:r>
      <w:r>
        <w:rPr>
          <w:rFonts w:hint="eastAsia" w:ascii="宋体" w:hAnsi="宋体" w:cs="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cs="宋体"/>
          <w:color w:val="auto"/>
          <w:kern w:val="0"/>
          <w:sz w:val="22"/>
          <w:szCs w:val="22"/>
          <w:highlight w:val="none"/>
        </w:rPr>
        <w:t>：</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1）未按采购文件要求编制或字迹模糊、辨认不清的投标文件；</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2）除30.1条款以外，出现其它明显不符合技术规格、技术标准的要求或不满足采购文件技术规格书中的主要参数的投标文件；</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3）除30.1条款以外，出现投标项目数量与采购文件对比出现较大偏差；商务报价明细表计算错误，出现较大差错；</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4）除30.1条款以外，出现其它不符合采购文件中规定的实质性要求的投标文件，是否为偏离实质性要求由评标委员会认定。</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30.3</w:t>
      </w:r>
      <w:r>
        <w:rPr>
          <w:rFonts w:hint="eastAsia" w:ascii="宋体" w:hAnsi="宋体" w:cs="宋体"/>
          <w:b/>
          <w:bCs/>
          <w:color w:val="auto"/>
          <w:kern w:val="0"/>
          <w:sz w:val="22"/>
          <w:szCs w:val="22"/>
          <w:highlight w:val="none"/>
          <w:u w:val="single"/>
        </w:rPr>
        <w:t>有下列情形之一的，视为投标人串通投标，其投标无效</w:t>
      </w:r>
      <w:r>
        <w:rPr>
          <w:rFonts w:hint="eastAsia" w:ascii="宋体" w:hAnsi="宋体" w:cs="宋体"/>
          <w:color w:val="auto"/>
          <w:kern w:val="0"/>
          <w:sz w:val="22"/>
          <w:szCs w:val="22"/>
          <w:highlight w:val="none"/>
        </w:rPr>
        <w:t>：</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1)不同投标人的投标文件由同一单位或者个人编制；</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2)不同投标人委托同一单位或者个人办理投标事宜；</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3)不同投标人的投标文件载明的项目管理成员或者联系人员为同一人；</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4）不同投标人的投标文件异常一致或者投标报价呈规律性差异；</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5）不同投标人的投标文件相互混装；</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30.5实质上没有响应采购文件要求的投标将被否决，投标人不得通过修正或撤消不合要求的偏离或保留从而使其投标成为实质上响应的投标。</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31.投标文件的澄清</w:t>
      </w:r>
    </w:p>
    <w:p>
      <w:pPr>
        <w:spacing w:line="460" w:lineRule="exact"/>
        <w:rPr>
          <w:rFonts w:hint="eastAsia" w:ascii="宋体" w:hAnsi="宋体" w:cs="宋体"/>
          <w:b/>
          <w:bCs/>
          <w:color w:val="auto"/>
          <w:sz w:val="22"/>
          <w:szCs w:val="22"/>
          <w:highlight w:val="none"/>
        </w:rPr>
      </w:pPr>
      <w:r>
        <w:rPr>
          <w:rFonts w:hint="eastAsia" w:ascii="宋体" w:hAnsi="宋体" w:cs="宋体"/>
          <w:color w:val="auto"/>
          <w:kern w:val="0"/>
          <w:sz w:val="22"/>
          <w:szCs w:val="22"/>
          <w:highlight w:val="none"/>
        </w:rPr>
        <w:t>31.1</w:t>
      </w:r>
      <w:r>
        <w:rPr>
          <w:rFonts w:hint="eastAsia" w:ascii="宋体" w:hAnsi="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hint="eastAsia" w:ascii="宋体" w:hAnsi="宋体" w:cs="宋体"/>
          <w:b/>
          <w:bCs/>
          <w:color w:val="auto"/>
          <w:sz w:val="22"/>
          <w:szCs w:val="22"/>
          <w:highlight w:val="none"/>
        </w:rPr>
      </w:pPr>
      <w:r>
        <w:rPr>
          <w:rFonts w:hint="eastAsia" w:ascii="宋体" w:hAnsi="宋体" w:cs="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31.3</w:t>
      </w: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宋体"/>
          <w:color w:val="auto"/>
          <w:kern w:val="0"/>
          <w:sz w:val="22"/>
          <w:szCs w:val="22"/>
          <w:highlight w:val="none"/>
        </w:rPr>
        <w:t>：</w:t>
      </w:r>
    </w:p>
    <w:p>
      <w:pPr>
        <w:spacing w:line="460" w:lineRule="exact"/>
        <w:ind w:firstLine="418" w:firstLineChars="19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pPr>
        <w:spacing w:line="460" w:lineRule="exact"/>
        <w:ind w:firstLine="418" w:firstLineChars="190"/>
        <w:rPr>
          <w:rFonts w:hint="eastAsia" w:ascii="宋体" w:hAnsi="宋体" w:cs="宋体"/>
          <w:color w:val="auto"/>
          <w:sz w:val="22"/>
          <w:highlight w:val="none"/>
        </w:rPr>
      </w:pPr>
      <w:r>
        <w:rPr>
          <w:rFonts w:hint="eastAsia" w:ascii="宋体" w:hAnsi="宋体" w:cs="宋体"/>
          <w:color w:val="auto"/>
          <w:sz w:val="22"/>
          <w:highlight w:val="none"/>
        </w:rPr>
        <w:t>5）</w:t>
      </w:r>
      <w:r>
        <w:rPr>
          <w:rFonts w:hint="eastAsia" w:ascii="新宋体" w:hAnsi="新宋体" w:eastAsia="新宋体" w:cs="新宋体"/>
          <w:color w:val="auto"/>
          <w:sz w:val="22"/>
          <w:szCs w:val="22"/>
          <w:highlight w:val="none"/>
        </w:rPr>
        <w:t>投标人在政采云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pPr>
        <w:spacing w:line="460" w:lineRule="exact"/>
        <w:ind w:firstLine="420" w:firstLineChars="190"/>
        <w:rPr>
          <w:rFonts w:hint="eastAsia" w:ascii="宋体" w:hAnsi="宋体" w:cs="宋体"/>
          <w:color w:val="auto"/>
          <w:sz w:val="22"/>
          <w:highlight w:val="none"/>
        </w:rPr>
      </w:pPr>
      <w:r>
        <w:rPr>
          <w:rFonts w:hint="eastAsia" w:ascii="宋体" w:hAnsi="宋体" w:cs="宋体"/>
          <w:b/>
          <w:bCs/>
          <w:color w:val="auto"/>
          <w:sz w:val="22"/>
          <w:highlight w:val="none"/>
        </w:rPr>
        <w:t>同时出现两种以上不一致的，按照前款规定的顺序修正。修正后的报价按照本采购文件规定经投标人确认后产生约束力，投标人不确认的，其投标无效。</w:t>
      </w:r>
    </w:p>
    <w:p>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31.4</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color w:val="auto"/>
          <w:kern w:val="0"/>
          <w:sz w:val="22"/>
          <w:szCs w:val="22"/>
          <w:highlight w:val="none"/>
        </w:rPr>
        <w:t>。</w:t>
      </w:r>
    </w:p>
    <w:p>
      <w:pPr>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31.5如果投标人代表拒绝按评标委员会要求在“政采云平台”作出在线回复且无其他有效回复方式的，评标委员会可以对其作出否决投标处理。</w:t>
      </w:r>
    </w:p>
    <w:p>
      <w:pPr>
        <w:spacing w:line="460" w:lineRule="exact"/>
        <w:rPr>
          <w:rFonts w:hint="eastAsia" w:ascii="宋体" w:hAnsi="宋体" w:cs="宋体"/>
          <w:color w:val="auto"/>
          <w:kern w:val="0"/>
          <w:sz w:val="22"/>
          <w:szCs w:val="22"/>
          <w:highlight w:val="none"/>
        </w:rPr>
      </w:pPr>
      <w:r>
        <w:rPr>
          <w:rFonts w:hint="eastAsia" w:ascii="宋体" w:hAnsi="宋体" w:cs="宋体"/>
          <w:b/>
          <w:bCs/>
          <w:color w:val="auto"/>
          <w:sz w:val="22"/>
          <w:szCs w:val="22"/>
          <w:highlight w:val="none"/>
        </w:rPr>
        <w:t>31.6</w:t>
      </w:r>
      <w:r>
        <w:rPr>
          <w:rFonts w:hint="eastAsia" w:ascii="宋体" w:hAnsi="宋体" w:cs="宋体"/>
          <w:color w:val="auto"/>
          <w:sz w:val="22"/>
          <w:highlight w:val="none"/>
          <w:u w:val="single"/>
        </w:rPr>
        <w:t>经澄清后，若偏差仍存在，且不可接受，则投标文件将被认定为“没有实质性响应采购文件要求”，按无效投标处理，不再进入下一步评审。</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w:t>
      </w:r>
      <w:r>
        <w:rPr>
          <w:rFonts w:hint="eastAsia" w:ascii="宋体" w:hAnsi="宋体" w:cs="宋体"/>
          <w:b/>
          <w:bCs/>
          <w:color w:val="auto"/>
          <w:sz w:val="22"/>
          <w:highlight w:val="none"/>
        </w:rPr>
        <w:t xml:space="preserve"> 评标原则和评标办法</w:t>
      </w:r>
    </w:p>
    <w:p>
      <w:pPr>
        <w:pStyle w:val="29"/>
        <w:snapToGrid w:val="0"/>
        <w:spacing w:line="460" w:lineRule="exact"/>
        <w:rPr>
          <w:rFonts w:hint="eastAsia" w:hAnsi="宋体" w:cs="宋体"/>
          <w:color w:val="auto"/>
          <w:sz w:val="22"/>
          <w:highlight w:val="none"/>
        </w:rPr>
      </w:pPr>
      <w:r>
        <w:rPr>
          <w:rFonts w:hint="eastAsia" w:hAnsi="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1"/>
        <w:spacing w:before="0" w:beforeAutospacing="0" w:after="0" w:afterAutospacing="0" w:line="460" w:lineRule="exact"/>
        <w:jc w:val="both"/>
        <w:rPr>
          <w:rFonts w:hint="eastAsia" w:cs="宋体"/>
          <w:color w:val="auto"/>
          <w:sz w:val="22"/>
          <w:highlight w:val="none"/>
        </w:rPr>
      </w:pPr>
      <w:r>
        <w:rPr>
          <w:rFonts w:hint="eastAsia" w:cs="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pPr>
        <w:pStyle w:val="29"/>
        <w:snapToGrid w:val="0"/>
        <w:spacing w:line="460" w:lineRule="exact"/>
        <w:rPr>
          <w:rFonts w:hint="eastAsia" w:hAnsi="宋体" w:cs="宋体"/>
          <w:color w:val="auto"/>
          <w:sz w:val="22"/>
          <w:highlight w:val="none"/>
        </w:rPr>
      </w:pPr>
      <w:r>
        <w:rPr>
          <w:rFonts w:hint="eastAsia" w:hAnsi="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pPr>
        <w:pStyle w:val="29"/>
        <w:snapToGrid w:val="0"/>
        <w:spacing w:line="460" w:lineRule="exact"/>
        <w:rPr>
          <w:rFonts w:hint="eastAsia" w:hAnsi="宋体" w:cs="宋体"/>
          <w:color w:val="auto"/>
          <w:sz w:val="22"/>
          <w:highlight w:val="none"/>
        </w:rPr>
      </w:pPr>
      <w:r>
        <w:rPr>
          <w:rFonts w:hint="eastAsia" w:hAnsi="宋体" w:cs="宋体"/>
          <w:color w:val="auto"/>
          <w:sz w:val="22"/>
          <w:highlight w:val="none"/>
        </w:rPr>
        <w:t>32.4本项目评标办法是综合评分法，具体评标内容及评分标准等详见第六部分“评标原则及方法”。</w:t>
      </w:r>
    </w:p>
    <w:p>
      <w:pPr>
        <w:pStyle w:val="29"/>
        <w:snapToGrid w:val="0"/>
        <w:spacing w:line="460" w:lineRule="exact"/>
        <w:rPr>
          <w:rFonts w:hint="eastAsia" w:hAnsi="宋体" w:cs="宋体"/>
          <w:b/>
          <w:color w:val="auto"/>
          <w:sz w:val="22"/>
          <w:highlight w:val="none"/>
        </w:rPr>
      </w:pPr>
      <w:r>
        <w:rPr>
          <w:rFonts w:hint="eastAsia" w:hAnsi="宋体" w:cs="宋体"/>
          <w:b/>
          <w:color w:val="auto"/>
          <w:sz w:val="22"/>
          <w:highlight w:val="none"/>
          <w:u w:val="single"/>
        </w:rPr>
        <w:t>32.5▲根据《中华人民共和国政府采购法》第三十六条规定：在招标采购中，符合专业条件的投标人或者对采购文件作实质响应的投标人不足三家的，此项目废标，应重新组织采购。</w:t>
      </w:r>
    </w:p>
    <w:p>
      <w:pPr>
        <w:spacing w:line="460" w:lineRule="exact"/>
        <w:rPr>
          <w:rFonts w:hint="eastAsia" w:ascii="宋体" w:hAnsi="宋体" w:cs="宋体"/>
          <w:color w:val="auto"/>
          <w:kern w:val="0"/>
          <w:sz w:val="22"/>
          <w:szCs w:val="22"/>
          <w:highlight w:val="none"/>
        </w:rPr>
      </w:pPr>
      <w:r>
        <w:rPr>
          <w:rFonts w:hint="eastAsia" w:ascii="宋体" w:hAnsi="宋体" w:cs="宋体"/>
          <w:color w:val="auto"/>
          <w:sz w:val="22"/>
          <w:highlight w:val="none"/>
        </w:rPr>
        <w:t>32.6评标过程中遇到特殊情况，由评标委员会遵循公开、公正原则，采取投票方式按照少数服从多数原则决定。</w:t>
      </w:r>
    </w:p>
    <w:p>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33.1本次采购由评标委员会推荐中标候选人，采购人根据评标委员会的推荐结果进行最终确认。</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color w:val="auto"/>
          <w:kern w:val="0"/>
          <w:sz w:val="22"/>
          <w:szCs w:val="22"/>
          <w:highlight w:val="none"/>
        </w:rPr>
        <w:t>。</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33.3若出现以下情形之一，采购人可视具体情况确定是否由备选中标人为中标人或重新组织采购：</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33.4采购人、采购代理机构及评标委员会对未中标的供应商不作解释。同时根据政府采购法实施条例第四十条规定，本项目不对供应商公布详细的评审情况，不公布具体评标细则中小项得分。</w:t>
      </w:r>
    </w:p>
    <w:p>
      <w:pPr>
        <w:tabs>
          <w:tab w:val="left" w:pos="1365"/>
        </w:tabs>
        <w:spacing w:line="460" w:lineRule="exact"/>
        <w:ind w:left="550" w:hanging="550" w:hangingChars="250"/>
        <w:rPr>
          <w:rFonts w:hint="eastAsia" w:ascii="宋体" w:hAnsi="宋体" w:cs="宋体"/>
          <w:bCs/>
          <w:color w:val="auto"/>
          <w:sz w:val="22"/>
          <w:szCs w:val="22"/>
          <w:highlight w:val="none"/>
        </w:rPr>
      </w:pPr>
      <w:r>
        <w:rPr>
          <w:rFonts w:hint="eastAsia" w:ascii="新宋体" w:hAnsi="新宋体" w:eastAsia="新宋体" w:cs="新宋体"/>
          <w:color w:val="auto"/>
          <w:kern w:val="0"/>
          <w:sz w:val="22"/>
          <w:szCs w:val="22"/>
          <w:highlight w:val="none"/>
        </w:rPr>
        <w:t>34. 评标细则详见“评标原则及方法”</w:t>
      </w:r>
      <w:r>
        <w:rPr>
          <w:rFonts w:hint="eastAsia" w:ascii="新宋体" w:hAnsi="新宋体" w:eastAsia="新宋体" w:cs="新宋体"/>
          <w:bCs/>
          <w:color w:val="auto"/>
          <w:sz w:val="22"/>
          <w:szCs w:val="22"/>
          <w:highlight w:val="none"/>
        </w:rPr>
        <w:t>。</w:t>
      </w:r>
    </w:p>
    <w:p>
      <w:pPr>
        <w:spacing w:line="460" w:lineRule="exact"/>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35. 可中止电子交易活动的情形</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35.1采购过程中出现以下情形，导致电子交易平台无法正常运行，或者无法保证电子交易的公平、公正和安全时，采购组织机构可中止电子交易活动：</w:t>
      </w:r>
    </w:p>
    <w:p>
      <w:pPr>
        <w:numPr>
          <w:ilvl w:val="2"/>
          <w:numId w:val="21"/>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pPr>
        <w:numPr>
          <w:ilvl w:val="2"/>
          <w:numId w:val="21"/>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pPr>
        <w:numPr>
          <w:ilvl w:val="2"/>
          <w:numId w:val="21"/>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pPr>
        <w:numPr>
          <w:ilvl w:val="2"/>
          <w:numId w:val="21"/>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pPr>
        <w:numPr>
          <w:ilvl w:val="2"/>
          <w:numId w:val="21"/>
        </w:numPr>
        <w:tabs>
          <w:tab w:val="left" w:pos="993"/>
        </w:tabs>
        <w:spacing w:line="460" w:lineRule="exact"/>
        <w:ind w:left="993" w:hanging="42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pPr>
        <w:spacing w:line="4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pPr>
        <w:pStyle w:val="5"/>
        <w:spacing w:line="500" w:lineRule="exact"/>
        <w:jc w:val="center"/>
        <w:rPr>
          <w:rFonts w:hint="eastAsia" w:ascii="宋体" w:hAnsi="宋体" w:eastAsia="宋体" w:cs="宋体"/>
          <w:color w:val="auto"/>
          <w:sz w:val="24"/>
          <w:szCs w:val="24"/>
          <w:highlight w:val="none"/>
        </w:rPr>
      </w:pPr>
      <w:bookmarkStart w:id="66" w:name="_Toc34221901"/>
      <w:bookmarkStart w:id="67" w:name="_Toc58406689"/>
      <w:bookmarkStart w:id="68" w:name="_Toc34508136"/>
      <w:bookmarkStart w:id="69" w:name="_Toc306613654"/>
      <w:r>
        <w:rPr>
          <w:rFonts w:hint="eastAsia" w:ascii="宋体" w:hAnsi="宋体" w:eastAsia="宋体" w:cs="宋体"/>
          <w:color w:val="auto"/>
          <w:sz w:val="24"/>
          <w:szCs w:val="24"/>
          <w:highlight w:val="none"/>
        </w:rPr>
        <w:t>七、 授予合同</w:t>
      </w:r>
      <w:bookmarkEnd w:id="66"/>
      <w:bookmarkEnd w:id="67"/>
      <w:bookmarkEnd w:id="68"/>
      <w:bookmarkEnd w:id="69"/>
    </w:p>
    <w:p>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36.2中标人确定之日起2个工作日内，在“政采云”平台上公示中标结果，中标公告期限为1个工作日；</w:t>
      </w:r>
    </w:p>
    <w:p>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pPr>
        <w:tabs>
          <w:tab w:val="left" w:pos="540"/>
        </w:tabs>
        <w:spacing w:line="440" w:lineRule="exact"/>
        <w:rPr>
          <w:rFonts w:hint="eastAsia" w:ascii="宋体" w:hAnsi="宋体" w:cs="宋体"/>
          <w:color w:val="auto"/>
          <w:kern w:val="0"/>
          <w:sz w:val="22"/>
          <w:szCs w:val="22"/>
          <w:highlight w:val="none"/>
        </w:rPr>
      </w:pPr>
      <w:r>
        <w:rPr>
          <w:rFonts w:hint="eastAsia" w:ascii="新宋体" w:hAnsi="新宋体" w:eastAsia="新宋体" w:cs="新宋体"/>
          <w:color w:val="auto"/>
          <w:sz w:val="22"/>
          <w:szCs w:val="22"/>
          <w:highlight w:val="none"/>
        </w:rPr>
        <w:t>36.4各投标人对评标结果如有异议，可在中标结果公示之日起7个工作日内以书面形式向采购人进行署名投诉或提出质疑，但需对投诉或质疑内容的真实性承担法律责任。</w:t>
      </w:r>
    </w:p>
    <w:p>
      <w:pPr>
        <w:tabs>
          <w:tab w:val="left" w:pos="540"/>
        </w:tabs>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37. 签订合同</w:t>
      </w:r>
    </w:p>
    <w:p>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37.1公示期结束后，中标投标人须在5个工作日内主动联系采购人或采购机构领取中标通知书。中标投标人应当在中标通知书发出之日起7日内与采购人签订合同。中标投标人未经采购人许可，在规定时间内未到采购人处与采购人签订合同，则视为拒签合同。</w:t>
      </w:r>
    </w:p>
    <w:p>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37.2采购文件、中标投标人的投标文件及投标修改文件、评标过程中有关澄清文件及经双方签字的询标纪要（承诺）和中标通知书均作为合同附件。</w:t>
      </w:r>
    </w:p>
    <w:p>
      <w:pPr>
        <w:tabs>
          <w:tab w:val="left" w:pos="5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37.3拒签合同的责任</w:t>
      </w:r>
    </w:p>
    <w:p>
      <w:pPr>
        <w:tabs>
          <w:tab w:val="left" w:pos="640"/>
        </w:tabs>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37.4中标投标人在规定时间内（30日历天）借故否认已经承诺的条件、拒签合同，以投标违约处理，并赔偿采购人由此造成的直接经济损失；采购人重新组织采购的，所需费用由原中标投标人承担。</w:t>
      </w:r>
    </w:p>
    <w:p>
      <w:pPr>
        <w:pStyle w:val="656"/>
        <w:spacing w:line="500" w:lineRule="exact"/>
        <w:ind w:firstLine="442"/>
        <w:jc w:val="center"/>
        <w:rPr>
          <w:rFonts w:hint="eastAsia" w:hAnsi="宋体" w:cs="宋体"/>
          <w:b/>
          <w:color w:val="auto"/>
          <w:sz w:val="24"/>
          <w:highlight w:val="none"/>
        </w:rPr>
      </w:pPr>
      <w:r>
        <w:rPr>
          <w:rFonts w:hint="eastAsia" w:hAnsi="宋体" w:cs="宋体"/>
          <w:b/>
          <w:bCs/>
          <w:color w:val="auto"/>
          <w:sz w:val="22"/>
          <w:szCs w:val="22"/>
          <w:highlight w:val="none"/>
        </w:rPr>
        <w:br w:type="page"/>
      </w:r>
      <w:r>
        <w:rPr>
          <w:rFonts w:hint="eastAsia" w:hAnsi="宋体" w:cs="宋体"/>
          <w:b/>
          <w:color w:val="auto"/>
          <w:sz w:val="24"/>
          <w:highlight w:val="none"/>
        </w:rPr>
        <w:t>采购活动现场确认声明书</w:t>
      </w:r>
    </w:p>
    <w:p>
      <w:pPr>
        <w:pStyle w:val="656"/>
        <w:spacing w:line="500" w:lineRule="exact"/>
        <w:ind w:firstLine="0" w:firstLineChars="0"/>
        <w:rPr>
          <w:rFonts w:hint="eastAsia" w:hAnsi="宋体" w:cs="宋体"/>
          <w:b/>
          <w:color w:val="auto"/>
          <w:sz w:val="22"/>
          <w:szCs w:val="22"/>
          <w:highlight w:val="none"/>
        </w:rPr>
      </w:pPr>
      <w:r>
        <w:rPr>
          <w:rFonts w:hint="eastAsia" w:hAnsi="宋体" w:cs="宋体"/>
          <w:b/>
          <w:bCs/>
          <w:color w:val="auto"/>
          <w:sz w:val="22"/>
          <w:szCs w:val="22"/>
          <w:highlight w:val="none"/>
        </w:rPr>
        <w:t>温州市智信招标代理有限公司</w:t>
      </w:r>
      <w:r>
        <w:rPr>
          <w:rFonts w:hint="eastAsia" w:hAnsi="宋体" w:cs="宋体"/>
          <w:b/>
          <w:color w:val="auto"/>
          <w:kern w:val="0"/>
          <w:sz w:val="22"/>
          <w:szCs w:val="22"/>
          <w:highlight w:val="none"/>
        </w:rPr>
        <w:t>：</w:t>
      </w:r>
    </w:p>
    <w:p>
      <w:pPr>
        <w:pStyle w:val="656"/>
        <w:spacing w:line="480" w:lineRule="exact"/>
        <w:ind w:firstLine="464"/>
        <w:rPr>
          <w:rFonts w:hint="eastAsia"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）采购活动，经与本单位法人代表（负责人）联系确认，现就有关公平竞争事项郑重声明如下： </w:t>
      </w:r>
    </w:p>
    <w:p>
      <w:pPr>
        <w:pStyle w:val="593"/>
        <w:widowControl/>
        <w:numPr>
          <w:ilvl w:val="0"/>
          <w:numId w:val="22"/>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pPr>
        <w:pStyle w:val="593"/>
        <w:widowControl/>
        <w:snapToGrid w:val="0"/>
        <w:spacing w:line="48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pPr>
        <w:pStyle w:val="593"/>
        <w:widowControl/>
        <w:snapToGrid w:val="0"/>
        <w:spacing w:line="48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pPr>
        <w:pStyle w:val="593"/>
        <w:widowControl/>
        <w:snapToGrid w:val="0"/>
        <w:spacing w:line="480" w:lineRule="exact"/>
        <w:rPr>
          <w:rFonts w:hint="eastAsia"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pPr>
        <w:pStyle w:val="656"/>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pPr>
        <w:pStyle w:val="656"/>
        <w:spacing w:line="480" w:lineRule="exact"/>
        <w:ind w:firstLine="440"/>
        <w:rPr>
          <w:rFonts w:hint="eastAsia"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pPr>
        <w:pStyle w:val="656"/>
        <w:spacing w:line="480" w:lineRule="exact"/>
        <w:ind w:firstLine="440"/>
        <w:rPr>
          <w:rFonts w:hint="eastAsia"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pPr>
        <w:pStyle w:val="656"/>
        <w:spacing w:line="480" w:lineRule="exact"/>
        <w:ind w:firstLine="440"/>
        <w:rPr>
          <w:rFonts w:hint="eastAsia"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pPr>
        <w:pStyle w:val="656"/>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pPr>
        <w:pStyle w:val="656"/>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pPr>
        <w:pStyle w:val="656"/>
        <w:spacing w:line="480" w:lineRule="exact"/>
        <w:ind w:firstLine="440"/>
        <w:rPr>
          <w:rFonts w:hint="eastAsia"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pPr>
        <w:pStyle w:val="656"/>
        <w:spacing w:line="480" w:lineRule="exact"/>
        <w:ind w:firstLine="440"/>
        <w:rPr>
          <w:rFonts w:hint="eastAsia"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pPr>
        <w:pStyle w:val="656"/>
        <w:spacing w:line="480" w:lineRule="exact"/>
        <w:ind w:firstLine="440"/>
        <w:rPr>
          <w:rFonts w:hint="eastAsia"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pPr>
        <w:pStyle w:val="593"/>
        <w:widowControl/>
        <w:numPr>
          <w:ilvl w:val="0"/>
          <w:numId w:val="23"/>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严格遵守法律法规和现场纪律。</w:t>
      </w:r>
    </w:p>
    <w:p>
      <w:pPr>
        <w:pStyle w:val="593"/>
        <w:widowControl/>
        <w:numPr>
          <w:ilvl w:val="0"/>
          <w:numId w:val="23"/>
        </w:numPr>
        <w:snapToGrid w:val="0"/>
        <w:spacing w:line="480" w:lineRule="exact"/>
        <w:ind w:firstLine="415" w:firstLineChars="18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我发现</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pPr>
        <w:pStyle w:val="656"/>
        <w:spacing w:line="500" w:lineRule="exact"/>
        <w:ind w:firstLine="440"/>
        <w:rPr>
          <w:rFonts w:hint="eastAsia" w:hAnsi="宋体" w:cs="宋体"/>
          <w:color w:val="auto"/>
          <w:sz w:val="22"/>
          <w:szCs w:val="22"/>
          <w:highlight w:val="none"/>
        </w:rPr>
      </w:pPr>
    </w:p>
    <w:p>
      <w:pPr>
        <w:pStyle w:val="656"/>
        <w:spacing w:line="500" w:lineRule="exact"/>
        <w:ind w:firstLine="440"/>
        <w:rPr>
          <w:rFonts w:hint="eastAsia" w:hAnsi="宋体" w:cs="宋体"/>
          <w:color w:val="auto"/>
          <w:sz w:val="22"/>
          <w:szCs w:val="22"/>
          <w:highlight w:val="none"/>
          <w:u w:val="single"/>
        </w:rPr>
      </w:pPr>
      <w:r>
        <w:rPr>
          <w:rFonts w:hint="eastAsia" w:hAnsi="宋体" w:cs="宋体"/>
          <w:color w:val="auto"/>
          <w:sz w:val="22"/>
          <w:szCs w:val="22"/>
          <w:highlight w:val="none"/>
        </w:rPr>
        <w:t>投标人代表签字：</w:t>
      </w:r>
    </w:p>
    <w:p>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pPr>
        <w:spacing w:line="440" w:lineRule="exact"/>
        <w:jc w:val="right"/>
        <w:rPr>
          <w:rFonts w:hint="eastAsia" w:ascii="宋体" w:hAnsi="宋体" w:cs="宋体"/>
          <w:color w:val="auto"/>
          <w:sz w:val="22"/>
          <w:szCs w:val="22"/>
          <w:highlight w:val="none"/>
        </w:rPr>
      </w:pPr>
    </w:p>
    <w:p>
      <w:pPr>
        <w:spacing w:line="440" w:lineRule="exact"/>
        <w:jc w:val="right"/>
        <w:rPr>
          <w:rFonts w:hint="eastAsia"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pPr>
        <w:spacing w:line="440" w:lineRule="exact"/>
        <w:rPr>
          <w:rFonts w:hint="eastAsia" w:ascii="宋体" w:hAnsi="宋体" w:cs="宋体"/>
          <w:b/>
          <w:bCs/>
          <w:color w:val="auto"/>
          <w:sz w:val="22"/>
          <w:szCs w:val="22"/>
          <w:highlight w:val="none"/>
        </w:rPr>
      </w:pPr>
    </w:p>
    <w:p>
      <w:pPr>
        <w:pStyle w:val="53"/>
        <w:rPr>
          <w:rFonts w:hint="eastAsia" w:ascii="宋体" w:hAnsi="宋体" w:cs="宋体"/>
          <w:color w:val="auto"/>
          <w:kern w:val="2"/>
          <w:sz w:val="36"/>
          <w:szCs w:val="36"/>
          <w:highlight w:val="none"/>
        </w:rPr>
      </w:pPr>
      <w:r>
        <w:rPr>
          <w:rFonts w:hint="eastAsia" w:ascii="宋体" w:hAnsi="宋体" w:cs="宋体"/>
          <w:b w:val="0"/>
          <w:bCs w:val="0"/>
          <w:color w:val="auto"/>
          <w:sz w:val="22"/>
          <w:szCs w:val="22"/>
          <w:highlight w:val="none"/>
        </w:rPr>
        <w:br w:type="page"/>
      </w:r>
      <w:bookmarkStart w:id="70" w:name="_Toc34508137"/>
      <w:bookmarkStart w:id="71" w:name="_Toc495955195"/>
      <w:bookmarkStart w:id="72" w:name="_Toc58406690"/>
      <w:r>
        <w:rPr>
          <w:rFonts w:hint="eastAsia" w:ascii="宋体" w:hAnsi="宋体" w:cs="宋体"/>
          <w:color w:val="auto"/>
          <w:kern w:val="2"/>
          <w:sz w:val="36"/>
          <w:szCs w:val="36"/>
          <w:highlight w:val="none"/>
        </w:rPr>
        <w:t>第二部分   政府采购政策功能相关说明</w:t>
      </w:r>
      <w:bookmarkEnd w:id="70"/>
      <w:bookmarkEnd w:id="71"/>
      <w:bookmarkEnd w:id="72"/>
    </w:p>
    <w:p>
      <w:pPr>
        <w:jc w:val="left"/>
        <w:rPr>
          <w:rFonts w:hint="eastAsia" w:ascii="宋体" w:hAnsi="宋体" w:cs="宋体"/>
          <w:b/>
          <w:color w:val="auto"/>
          <w:sz w:val="22"/>
          <w:highlight w:val="none"/>
        </w:rPr>
      </w:pP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1.文件依据</w:t>
      </w:r>
    </w:p>
    <w:p>
      <w:pPr>
        <w:spacing w:line="440" w:lineRule="atLeast"/>
        <w:ind w:firstLine="440" w:firstLineChars="200"/>
        <w:jc w:val="left"/>
        <w:rPr>
          <w:rFonts w:hint="eastAsia" w:ascii="宋体" w:hAnsi="宋体" w:eastAsia="宋体" w:cs="宋体"/>
          <w:bCs/>
          <w:color w:val="auto"/>
          <w:sz w:val="22"/>
          <w:highlight w:val="none"/>
          <w:lang w:val="en-US" w:eastAsia="zh-CN"/>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r>
        <w:rPr>
          <w:rFonts w:hint="eastAsia" w:ascii="宋体" w:hAnsi="宋体" w:cs="宋体"/>
          <w:bCs/>
          <w:color w:val="auto"/>
          <w:sz w:val="22"/>
          <w:highlight w:val="none"/>
          <w:lang w:eastAsia="zh-CN"/>
        </w:rPr>
        <w:t>。</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（2）浙江省省财政厅《关于开展政府采购投标人网上注册登记和诚信管理工作的通知》（浙财采监〔2010〕8号)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（1）本项目对小型企业和微型企业（含监狱企业、残疾人福利性单位）的投标报价给予20%的扣除，用扣除后的价格参与评审。</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（4）对于联合体协议或者分包意向协议约定小微企业合同份额占到合同总金额30%以上的，对其投标报价给予6%的扣除，用扣除后的价格参与评审。</w:t>
      </w:r>
    </w:p>
    <w:p>
      <w:pPr>
        <w:spacing w:line="440" w:lineRule="atLeast"/>
        <w:jc w:val="left"/>
        <w:rPr>
          <w:rFonts w:hint="eastAsia"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享受监狱企业价格扣除应提供以下证明材料（投标文件报价文件中，不提供的不享受价格扣除）</w:t>
      </w:r>
      <w:r>
        <w:rPr>
          <w:rFonts w:hint="eastAsia" w:ascii="宋体" w:hAnsi="宋体" w:cs="宋体"/>
          <w:bCs/>
          <w:color w:val="auto"/>
          <w:sz w:val="22"/>
          <w:highlight w:val="none"/>
        </w:rPr>
        <w:t>：</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cs="宋体"/>
          <w:bCs/>
          <w:color w:val="auto"/>
          <w:sz w:val="22"/>
          <w:highlight w:val="none"/>
        </w:rPr>
        <w:t>：</w:t>
      </w:r>
    </w:p>
    <w:p>
      <w:pPr>
        <w:spacing w:line="440" w:lineRule="atLeast"/>
        <w:ind w:firstLine="440" w:firstLineChars="200"/>
        <w:jc w:val="left"/>
        <w:rPr>
          <w:rFonts w:hint="eastAsia" w:ascii="宋体" w:hAnsi="宋体" w:cs="宋体"/>
          <w:bCs/>
          <w:color w:val="auto"/>
          <w:sz w:val="22"/>
          <w:highlight w:val="none"/>
        </w:rPr>
      </w:pPr>
      <w:r>
        <w:rPr>
          <w:rFonts w:hint="eastAsia" w:ascii="宋体" w:hAnsi="宋体" w:cs="宋体"/>
          <w:bCs/>
          <w:color w:val="auto"/>
          <w:sz w:val="22"/>
          <w:highlight w:val="none"/>
        </w:rPr>
        <w:t>（1）残疾人福利性单位声明函（附件2）；</w:t>
      </w:r>
    </w:p>
    <w:p>
      <w:pPr>
        <w:spacing w:line="440" w:lineRule="atLeast"/>
        <w:jc w:val="left"/>
        <w:rPr>
          <w:rFonts w:hint="eastAsia"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jc w:val="left"/>
        <w:rPr>
          <w:rFonts w:hint="eastAsia"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spacing w:line="440" w:lineRule="atLeast"/>
        <w:jc w:val="left"/>
        <w:rPr>
          <w:rFonts w:hint="eastAsia" w:ascii="宋体" w:hAnsi="宋体" w:cs="宋体"/>
          <w:b/>
          <w:color w:val="auto"/>
          <w:sz w:val="22"/>
          <w:highlight w:val="none"/>
        </w:rPr>
      </w:pPr>
    </w:p>
    <w:p>
      <w:pPr>
        <w:pStyle w:val="2"/>
        <w:rPr>
          <w:rFonts w:hint="eastAsia" w:ascii="宋体" w:hAnsi="宋体" w:cs="宋体"/>
          <w:b/>
          <w:color w:val="auto"/>
          <w:sz w:val="22"/>
          <w:highlight w:val="none"/>
        </w:rPr>
      </w:pPr>
    </w:p>
    <w:p>
      <w:pPr>
        <w:rPr>
          <w:rFonts w:hint="eastAsia" w:ascii="宋体" w:hAnsi="宋体" w:cs="宋体"/>
          <w:b/>
          <w:color w:val="auto"/>
          <w:sz w:val="22"/>
          <w:highlight w:val="none"/>
        </w:rPr>
      </w:pPr>
    </w:p>
    <w:p>
      <w:pPr>
        <w:pStyle w:val="2"/>
        <w:rPr>
          <w:rFonts w:hint="eastAsia" w:ascii="宋体" w:hAnsi="宋体" w:cs="宋体"/>
          <w:b/>
          <w:color w:val="auto"/>
          <w:sz w:val="22"/>
          <w:highlight w:val="none"/>
        </w:rPr>
      </w:pPr>
    </w:p>
    <w:p>
      <w:pPr>
        <w:rPr>
          <w:rFonts w:hint="eastAsia" w:ascii="宋体" w:hAnsi="宋体" w:cs="宋体"/>
          <w:b/>
          <w:color w:val="auto"/>
          <w:sz w:val="22"/>
          <w:highlight w:val="none"/>
        </w:rPr>
      </w:pPr>
    </w:p>
    <w:p>
      <w:pPr>
        <w:pStyle w:val="2"/>
        <w:rPr>
          <w:rFonts w:hint="eastAsia" w:ascii="宋体" w:hAnsi="宋体" w:cs="宋体"/>
          <w:b/>
          <w:color w:val="auto"/>
          <w:sz w:val="22"/>
          <w:highlight w:val="none"/>
        </w:rPr>
      </w:pPr>
    </w:p>
    <w:p>
      <w:pPr>
        <w:rPr>
          <w:rFonts w:hint="eastAsia" w:ascii="宋体" w:hAnsi="宋体" w:cs="宋体"/>
          <w:b/>
          <w:color w:val="auto"/>
          <w:sz w:val="22"/>
          <w:highlight w:val="none"/>
        </w:rPr>
      </w:pPr>
    </w:p>
    <w:p>
      <w:pPr>
        <w:pStyle w:val="2"/>
        <w:rPr>
          <w:rFonts w:hint="eastAsia" w:ascii="宋体" w:hAnsi="宋体" w:cs="宋体"/>
          <w:b/>
          <w:color w:val="auto"/>
          <w:sz w:val="22"/>
          <w:highlight w:val="none"/>
        </w:rPr>
      </w:pPr>
    </w:p>
    <w:p>
      <w:pPr>
        <w:rPr>
          <w:rFonts w:hint="eastAsia" w:ascii="宋体" w:hAnsi="宋体" w:cs="宋体"/>
          <w:b/>
          <w:color w:val="auto"/>
          <w:sz w:val="22"/>
          <w:highlight w:val="none"/>
        </w:rPr>
      </w:pPr>
    </w:p>
    <w:p>
      <w:pPr>
        <w:pStyle w:val="2"/>
        <w:rPr>
          <w:rFonts w:hint="eastAsia" w:ascii="宋体" w:hAnsi="宋体" w:cs="宋体"/>
          <w:b/>
          <w:color w:val="auto"/>
          <w:sz w:val="22"/>
          <w:highlight w:val="none"/>
        </w:rPr>
      </w:pPr>
    </w:p>
    <w:p>
      <w:pPr>
        <w:rPr>
          <w:rFonts w:hint="eastAsia" w:ascii="宋体" w:hAnsi="宋体" w:cs="宋体"/>
          <w:b/>
          <w:color w:val="auto"/>
          <w:sz w:val="22"/>
          <w:highlight w:val="none"/>
        </w:rPr>
      </w:pPr>
    </w:p>
    <w:p>
      <w:pPr>
        <w:pStyle w:val="2"/>
        <w:rPr>
          <w:rFonts w:hint="eastAsia" w:ascii="宋体" w:hAnsi="宋体" w:cs="宋体"/>
          <w:b/>
          <w:color w:val="auto"/>
          <w:sz w:val="22"/>
          <w:highlight w:val="none"/>
        </w:rPr>
      </w:pPr>
    </w:p>
    <w:p>
      <w:pPr>
        <w:rPr>
          <w:rFonts w:hint="eastAsia" w:ascii="宋体" w:hAnsi="宋体" w:cs="宋体"/>
          <w:b/>
          <w:color w:val="auto"/>
          <w:sz w:val="22"/>
          <w:highlight w:val="none"/>
        </w:rPr>
      </w:pPr>
    </w:p>
    <w:p>
      <w:pPr>
        <w:pStyle w:val="2"/>
        <w:rPr>
          <w:rFonts w:hint="eastAsia" w:ascii="宋体" w:hAnsi="宋体" w:cs="宋体"/>
          <w:b/>
          <w:color w:val="auto"/>
          <w:sz w:val="22"/>
          <w:highlight w:val="none"/>
        </w:rPr>
      </w:pPr>
    </w:p>
    <w:p>
      <w:pPr>
        <w:rPr>
          <w:rFonts w:hint="eastAsia" w:ascii="宋体" w:hAnsi="宋体" w:cs="宋体"/>
          <w:b/>
          <w:color w:val="auto"/>
          <w:sz w:val="22"/>
          <w:highlight w:val="none"/>
        </w:rPr>
      </w:pPr>
    </w:p>
    <w:p>
      <w:pPr>
        <w:pStyle w:val="2"/>
        <w:rPr>
          <w:rFonts w:hint="eastAsia" w:ascii="宋体" w:hAnsi="宋体" w:cs="宋体"/>
          <w:b/>
          <w:color w:val="auto"/>
          <w:sz w:val="22"/>
          <w:highlight w:val="none"/>
        </w:rPr>
      </w:pPr>
    </w:p>
    <w:p>
      <w:pPr>
        <w:rPr>
          <w:rFonts w:hint="eastAsia"/>
          <w:color w:val="auto"/>
          <w:highlight w:val="none"/>
        </w:rPr>
      </w:pPr>
    </w:p>
    <w:p>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t>附件1：</w:t>
      </w:r>
    </w:p>
    <w:p>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bCs/>
          <w:color w:val="auto"/>
          <w:sz w:val="24"/>
          <w:highlight w:val="none"/>
        </w:rPr>
        <w:t>中小企业声明函（货物）</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pPr>
        <w:widowControl/>
        <w:spacing w:before="100" w:beforeAutospacing="1" w:after="100" w:afterAutospacing="1" w:line="44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中小企业声明函（工程、服务）</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人，营业收入为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万元，资产总额为</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万元，属于 （中型企业、小型企业、微型企业） ；</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pPr>
        <w:widowControl/>
        <w:spacing w:line="500" w:lineRule="atLeast"/>
        <w:ind w:firstLine="5669" w:firstLineChars="2577"/>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hint="eastAsia" w:ascii="宋体" w:hAnsi="宋体" w:cs="宋体"/>
          <w:bCs/>
          <w:color w:val="auto"/>
          <w:sz w:val="18"/>
          <w:szCs w:val="18"/>
          <w:highlight w:val="none"/>
        </w:rPr>
      </w:pPr>
    </w:p>
    <w:p>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pPr>
        <w:widowControl/>
        <w:spacing w:before="100" w:beforeAutospacing="1" w:after="100" w:afterAutospacing="1" w:line="440" w:lineRule="atLeast"/>
        <w:jc w:val="center"/>
        <w:rPr>
          <w:rFonts w:hint="eastAsia" w:ascii="宋体" w:hAnsi="宋体" w:cs="宋体"/>
          <w:b/>
          <w:bCs/>
          <w:color w:val="auto"/>
          <w:sz w:val="24"/>
          <w:highlight w:val="none"/>
        </w:rPr>
      </w:pPr>
      <w:bookmarkStart w:id="73" w:name="OLE_LINK14"/>
      <w:bookmarkStart w:id="74" w:name="OLE_LINK13"/>
      <w:r>
        <w:rPr>
          <w:rFonts w:hint="eastAsia" w:ascii="宋体" w:hAnsi="宋体" w:cs="宋体"/>
          <w:b/>
          <w:bCs/>
          <w:color w:val="auto"/>
          <w:sz w:val="24"/>
          <w:highlight w:val="none"/>
        </w:rPr>
        <w:t>残疾人福利性单位声明函</w:t>
      </w:r>
    </w:p>
    <w:bookmarkEnd w:id="73"/>
    <w:bookmarkEnd w:id="74"/>
    <w:p>
      <w:pPr>
        <w:spacing w:line="588" w:lineRule="exact"/>
        <w:rPr>
          <w:rFonts w:hint="eastAsia" w:ascii="宋体" w:hAnsi="宋体" w:cs="宋体"/>
          <w:b/>
          <w:color w:val="auto"/>
          <w:spacing w:val="6"/>
          <w:sz w:val="30"/>
          <w:szCs w:val="30"/>
          <w:highlight w:val="none"/>
        </w:rPr>
      </w:pPr>
    </w:p>
    <w:p>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hint="eastAsia" w:ascii="宋体" w:hAnsi="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cs="宋体"/>
          <w:color w:val="auto"/>
          <w:spacing w:val="6"/>
          <w:sz w:val="22"/>
          <w:szCs w:val="22"/>
          <w:highlight w:val="none"/>
        </w:rPr>
      </w:pPr>
    </w:p>
    <w:p>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pPr>
        <w:tabs>
          <w:tab w:val="left" w:pos="4860"/>
        </w:tabs>
        <w:spacing w:line="588" w:lineRule="exact"/>
        <w:ind w:right="1560"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pPr>
        <w:tabs>
          <w:tab w:val="left" w:pos="4860"/>
        </w:tabs>
        <w:spacing w:line="588" w:lineRule="exact"/>
        <w:ind w:right="1560" w:firstLine="464" w:firstLineChars="200"/>
        <w:jc w:val="center"/>
        <w:rPr>
          <w:rFonts w:hint="eastAsia" w:ascii="宋体" w:hAnsi="宋体" w:cs="宋体"/>
          <w:color w:val="auto"/>
          <w:spacing w:val="6"/>
          <w:sz w:val="22"/>
          <w:szCs w:val="22"/>
          <w:highlight w:val="none"/>
        </w:rPr>
      </w:pPr>
    </w:p>
    <w:p>
      <w:pPr>
        <w:tabs>
          <w:tab w:val="left" w:pos="4860"/>
        </w:tabs>
        <w:spacing w:line="588" w:lineRule="exact"/>
        <w:ind w:right="156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备注说明：</w:t>
      </w:r>
    </w:p>
    <w:p>
      <w:pPr>
        <w:numPr>
          <w:ilvl w:val="2"/>
          <w:numId w:val="24"/>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pPr>
        <w:numPr>
          <w:ilvl w:val="2"/>
          <w:numId w:val="24"/>
        </w:numPr>
        <w:tabs>
          <w:tab w:val="left" w:pos="0"/>
        </w:tabs>
        <w:spacing w:line="588" w:lineRule="exact"/>
        <w:ind w:left="0" w:right="114"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pPr>
        <w:rPr>
          <w:color w:val="auto"/>
          <w:highlight w:val="none"/>
        </w:rPr>
      </w:pPr>
    </w:p>
    <w:p>
      <w:pPr>
        <w:pStyle w:val="53"/>
        <w:rPr>
          <w:rFonts w:hint="eastAsia" w:ascii="宋体" w:hAnsi="宋体" w:cs="宋体"/>
          <w:color w:val="auto"/>
          <w:sz w:val="22"/>
          <w:szCs w:val="22"/>
          <w:highlight w:val="none"/>
        </w:rPr>
      </w:pPr>
    </w:p>
    <w:p>
      <w:pPr>
        <w:tabs>
          <w:tab w:val="left" w:pos="0"/>
        </w:tabs>
        <w:spacing w:line="588" w:lineRule="exact"/>
        <w:ind w:right="114"/>
        <w:jc w:val="left"/>
        <w:rPr>
          <w:rFonts w:hint="eastAsia" w:ascii="宋体" w:hAnsi="宋体" w:cs="宋体"/>
          <w:color w:val="auto"/>
          <w:sz w:val="22"/>
          <w:szCs w:val="22"/>
          <w:highlight w:val="none"/>
        </w:rPr>
      </w:pPr>
    </w:p>
    <w:p>
      <w:pPr>
        <w:pStyle w:val="53"/>
        <w:rPr>
          <w:rFonts w:hint="eastAsia" w:ascii="宋体" w:hAnsi="宋体" w:cs="宋体"/>
          <w:color w:val="auto"/>
          <w:kern w:val="2"/>
          <w:sz w:val="36"/>
          <w:szCs w:val="36"/>
          <w:highlight w:val="none"/>
        </w:rPr>
      </w:pPr>
      <w:r>
        <w:rPr>
          <w:rFonts w:hint="eastAsia" w:ascii="宋体" w:hAnsi="宋体" w:cs="宋体"/>
          <w:color w:val="auto"/>
          <w:sz w:val="22"/>
          <w:szCs w:val="22"/>
          <w:highlight w:val="none"/>
        </w:rPr>
        <w:br w:type="page"/>
      </w:r>
      <w:bookmarkStart w:id="75" w:name="_Toc9491"/>
      <w:bookmarkStart w:id="76" w:name="_Toc58406691"/>
      <w:r>
        <w:rPr>
          <w:rFonts w:hint="eastAsia" w:ascii="宋体" w:hAnsi="宋体" w:cs="宋体"/>
          <w:color w:val="auto"/>
          <w:kern w:val="2"/>
          <w:sz w:val="36"/>
          <w:szCs w:val="36"/>
          <w:highlight w:val="none"/>
        </w:rPr>
        <w:t>第三部分   合同条款及格式</w:t>
      </w:r>
      <w:bookmarkEnd w:id="75"/>
      <w:bookmarkEnd w:id="76"/>
    </w:p>
    <w:p>
      <w:pPr>
        <w:rPr>
          <w:rFonts w:hint="eastAsia" w:ascii="宋体" w:hAnsi="宋体" w:cs="宋体"/>
          <w:color w:val="auto"/>
          <w:highlight w:val="none"/>
        </w:rPr>
      </w:pPr>
    </w:p>
    <w:p>
      <w:pPr>
        <w:spacing w:line="1000" w:lineRule="exact"/>
        <w:jc w:val="center"/>
        <w:rPr>
          <w:rFonts w:ascii="新宋体" w:hAnsi="新宋体" w:eastAsia="新宋体" w:cs="新宋体"/>
          <w:b/>
          <w:color w:val="auto"/>
          <w:sz w:val="72"/>
          <w:szCs w:val="72"/>
          <w:highlight w:val="none"/>
        </w:rPr>
      </w:pPr>
      <w:bookmarkStart w:id="77" w:name="_Toc152042388"/>
      <w:bookmarkStart w:id="78" w:name="_Toc221356955"/>
      <w:bookmarkStart w:id="79" w:name="_Toc246996253"/>
      <w:bookmarkStart w:id="80" w:name="_Toc296602498"/>
      <w:bookmarkStart w:id="81" w:name="_Toc221356891"/>
      <w:bookmarkStart w:id="82" w:name="_Toc144974578"/>
      <w:bookmarkStart w:id="83" w:name="_Toc221423623"/>
      <w:bookmarkStart w:id="84" w:name="_Toc246996996"/>
      <w:bookmarkStart w:id="85" w:name="_Toc265529387"/>
      <w:bookmarkStart w:id="86" w:name="_Toc247085768"/>
      <w:bookmarkStart w:id="87" w:name="_Toc223716002"/>
      <w:bookmarkStart w:id="88" w:name="_Toc152045610"/>
      <w:bookmarkStart w:id="89" w:name="_Toc241404206"/>
      <w:bookmarkStart w:id="90" w:name="_Toc179632628"/>
      <w:bookmarkStart w:id="91" w:name="_Toc222114883"/>
      <w:bookmarkStart w:id="92" w:name="_Toc239145358"/>
      <w:bookmarkStart w:id="93" w:name="_Toc221374630"/>
      <w:r>
        <w:rPr>
          <w:rFonts w:hint="eastAsia" w:ascii="新宋体" w:hAnsi="新宋体" w:eastAsia="新宋体" w:cs="新宋体"/>
          <w:b/>
          <w:color w:val="auto"/>
          <w:sz w:val="72"/>
          <w:szCs w:val="72"/>
          <w:highlight w:val="none"/>
        </w:rPr>
        <w:t>政 府 采 购 合 同</w:t>
      </w:r>
    </w:p>
    <w:p>
      <w:pPr>
        <w:spacing w:line="400" w:lineRule="exact"/>
        <w:rPr>
          <w:rFonts w:ascii="新宋体" w:hAnsi="新宋体" w:eastAsia="新宋体" w:cs="新宋体"/>
          <w:b/>
          <w:color w:val="auto"/>
          <w:sz w:val="22"/>
          <w:szCs w:val="22"/>
          <w:highlight w:val="none"/>
        </w:rPr>
      </w:pPr>
    </w:p>
    <w:p>
      <w:pPr>
        <w:spacing w:line="400" w:lineRule="exact"/>
        <w:rPr>
          <w:rFonts w:ascii="新宋体" w:hAnsi="新宋体" w:eastAsia="新宋体" w:cs="新宋体"/>
          <w:b/>
          <w:color w:val="auto"/>
          <w:sz w:val="22"/>
          <w:szCs w:val="22"/>
          <w:highlight w:val="none"/>
        </w:rPr>
      </w:pPr>
    </w:p>
    <w:p>
      <w:pPr>
        <w:spacing w:line="400" w:lineRule="exact"/>
        <w:rPr>
          <w:rFonts w:ascii="新宋体" w:hAnsi="新宋体" w:eastAsia="新宋体" w:cs="新宋体"/>
          <w:b/>
          <w:color w:val="auto"/>
          <w:sz w:val="22"/>
          <w:szCs w:val="22"/>
          <w:highlight w:val="none"/>
        </w:rPr>
      </w:pPr>
    </w:p>
    <w:p>
      <w:pPr>
        <w:spacing w:line="400" w:lineRule="exact"/>
        <w:rPr>
          <w:rFonts w:ascii="新宋体" w:hAnsi="新宋体" w:eastAsia="新宋体" w:cs="新宋体"/>
          <w:b/>
          <w:color w:val="auto"/>
          <w:sz w:val="22"/>
          <w:szCs w:val="22"/>
          <w:highlight w:val="none"/>
        </w:rPr>
      </w:pPr>
    </w:p>
    <w:p>
      <w:pPr>
        <w:spacing w:line="600" w:lineRule="exact"/>
        <w:ind w:firstLine="2413" w:firstLineChars="862"/>
        <w:rPr>
          <w:rFonts w:ascii="新宋体" w:hAnsi="新宋体" w:eastAsia="新宋体" w:cs="新宋体"/>
          <w:color w:val="auto"/>
          <w:sz w:val="28"/>
          <w:highlight w:val="none"/>
        </w:rPr>
      </w:pPr>
      <w:r>
        <w:rPr>
          <w:rFonts w:hint="eastAsia" w:ascii="新宋体" w:hAnsi="新宋体" w:eastAsia="新宋体" w:cs="新宋体"/>
          <w:color w:val="auto"/>
          <w:sz w:val="28"/>
          <w:highlight w:val="none"/>
        </w:rPr>
        <w:t>项 目 名 称：</w:t>
      </w:r>
    </w:p>
    <w:p>
      <w:pPr>
        <w:spacing w:line="600" w:lineRule="exact"/>
        <w:ind w:firstLine="2413" w:firstLineChars="862"/>
        <w:rPr>
          <w:rFonts w:ascii="新宋体" w:hAnsi="新宋体" w:eastAsia="新宋体" w:cs="新宋体"/>
          <w:color w:val="auto"/>
          <w:sz w:val="28"/>
          <w:highlight w:val="none"/>
        </w:rPr>
      </w:pPr>
      <w:r>
        <w:rPr>
          <w:rFonts w:hint="eastAsia" w:ascii="新宋体" w:hAnsi="新宋体" w:eastAsia="新宋体" w:cs="新宋体"/>
          <w:color w:val="auto"/>
          <w:sz w:val="28"/>
          <w:highlight w:val="none"/>
        </w:rPr>
        <w:t>项 目 地 点：</w:t>
      </w:r>
    </w:p>
    <w:p>
      <w:pPr>
        <w:spacing w:line="600" w:lineRule="exact"/>
        <w:ind w:firstLine="2413" w:firstLineChars="862"/>
        <w:rPr>
          <w:rFonts w:ascii="新宋体" w:hAnsi="新宋体" w:eastAsia="新宋体" w:cs="新宋体"/>
          <w:color w:val="auto"/>
          <w:sz w:val="28"/>
          <w:highlight w:val="none"/>
        </w:rPr>
      </w:pPr>
      <w:r>
        <w:rPr>
          <w:rFonts w:hint="eastAsia" w:ascii="新宋体" w:hAnsi="新宋体" w:eastAsia="新宋体" w:cs="新宋体"/>
          <w:color w:val="auto"/>
          <w:sz w:val="28"/>
          <w:highlight w:val="none"/>
        </w:rPr>
        <w:t>合 同 编 号：</w:t>
      </w:r>
    </w:p>
    <w:p>
      <w:pPr>
        <w:spacing w:line="600" w:lineRule="exact"/>
        <w:ind w:firstLine="4373" w:firstLineChars="1562"/>
        <w:rPr>
          <w:rFonts w:ascii="新宋体" w:hAnsi="新宋体" w:eastAsia="新宋体" w:cs="新宋体"/>
          <w:color w:val="auto"/>
          <w:sz w:val="28"/>
          <w:highlight w:val="none"/>
        </w:rPr>
      </w:pPr>
    </w:p>
    <w:p>
      <w:pPr>
        <w:spacing w:line="600" w:lineRule="exact"/>
        <w:ind w:firstLine="2413" w:firstLineChars="862"/>
        <w:rPr>
          <w:rFonts w:ascii="新宋体" w:hAnsi="新宋体" w:eastAsia="新宋体" w:cs="新宋体"/>
          <w:color w:val="auto"/>
          <w:sz w:val="28"/>
          <w:highlight w:val="none"/>
        </w:rPr>
      </w:pPr>
    </w:p>
    <w:p>
      <w:pPr>
        <w:spacing w:line="600" w:lineRule="exact"/>
        <w:ind w:firstLine="2413" w:firstLineChars="862"/>
        <w:rPr>
          <w:rFonts w:ascii="新宋体" w:hAnsi="新宋体" w:eastAsia="新宋体" w:cs="新宋体"/>
          <w:color w:val="auto"/>
          <w:sz w:val="28"/>
          <w:highlight w:val="none"/>
        </w:rPr>
      </w:pPr>
    </w:p>
    <w:p>
      <w:pPr>
        <w:spacing w:line="600" w:lineRule="exact"/>
        <w:ind w:firstLine="2413" w:firstLineChars="862"/>
        <w:rPr>
          <w:rFonts w:ascii="新宋体" w:hAnsi="新宋体" w:eastAsia="新宋体" w:cs="新宋体"/>
          <w:color w:val="auto"/>
          <w:sz w:val="28"/>
          <w:highlight w:val="none"/>
        </w:rPr>
      </w:pPr>
    </w:p>
    <w:p>
      <w:pPr>
        <w:spacing w:line="600" w:lineRule="exact"/>
        <w:ind w:firstLine="2413" w:firstLineChars="862"/>
        <w:rPr>
          <w:rFonts w:ascii="新宋体" w:hAnsi="新宋体" w:eastAsia="新宋体" w:cs="新宋体"/>
          <w:color w:val="auto"/>
          <w:sz w:val="28"/>
          <w:highlight w:val="none"/>
          <w:u w:val="single"/>
        </w:rPr>
      </w:pPr>
      <w:r>
        <w:rPr>
          <w:rFonts w:hint="eastAsia" w:ascii="新宋体" w:hAnsi="新宋体" w:eastAsia="新宋体" w:cs="新宋体"/>
          <w:color w:val="auto"/>
          <w:sz w:val="28"/>
          <w:highlight w:val="none"/>
        </w:rPr>
        <w:t>采 购 单 位：</w:t>
      </w:r>
    </w:p>
    <w:p>
      <w:pPr>
        <w:spacing w:line="600" w:lineRule="exact"/>
        <w:ind w:firstLine="2409" w:firstLineChars="753"/>
        <w:rPr>
          <w:rFonts w:ascii="新宋体" w:hAnsi="新宋体" w:eastAsia="新宋体" w:cs="新宋体"/>
          <w:color w:val="auto"/>
          <w:sz w:val="28"/>
          <w:highlight w:val="none"/>
        </w:rPr>
      </w:pPr>
      <w:r>
        <w:rPr>
          <w:rFonts w:hint="eastAsia" w:ascii="新宋体" w:hAnsi="新宋体" w:eastAsia="新宋体" w:cs="新宋体"/>
          <w:color w:val="auto"/>
          <w:spacing w:val="20"/>
          <w:sz w:val="28"/>
          <w:highlight w:val="none"/>
        </w:rPr>
        <w:t>中标供应商</w:t>
      </w:r>
      <w:r>
        <w:rPr>
          <w:rFonts w:hint="eastAsia" w:ascii="新宋体" w:hAnsi="新宋体" w:eastAsia="新宋体" w:cs="新宋体"/>
          <w:color w:val="auto"/>
          <w:sz w:val="28"/>
          <w:highlight w:val="none"/>
        </w:rPr>
        <w:t>：_</w:t>
      </w:r>
    </w:p>
    <w:p>
      <w:pPr>
        <w:spacing w:line="600" w:lineRule="exact"/>
        <w:ind w:left="701" w:leftChars="334" w:firstLine="1680" w:firstLineChars="600"/>
        <w:rPr>
          <w:rFonts w:ascii="新宋体" w:hAnsi="新宋体" w:eastAsia="新宋体" w:cs="新宋体"/>
          <w:color w:val="auto"/>
          <w:sz w:val="22"/>
          <w:szCs w:val="22"/>
          <w:highlight w:val="none"/>
        </w:rPr>
      </w:pPr>
      <w:r>
        <w:rPr>
          <w:rFonts w:hint="eastAsia" w:ascii="新宋体" w:hAnsi="新宋体" w:eastAsia="新宋体" w:cs="新宋体"/>
          <w:color w:val="auto"/>
          <w:sz w:val="28"/>
          <w:highlight w:val="none"/>
        </w:rPr>
        <w:t>签  订 日 期：</w:t>
      </w:r>
    </w:p>
    <w:p>
      <w:pPr>
        <w:spacing w:line="440" w:lineRule="exact"/>
        <w:ind w:left="550" w:hanging="550" w:hangingChars="250"/>
        <w:rPr>
          <w:rFonts w:ascii="新宋体" w:hAnsi="新宋体" w:eastAsia="新宋体" w:cs="新宋体"/>
          <w:color w:val="auto"/>
          <w:sz w:val="22"/>
          <w:szCs w:val="22"/>
          <w:highlight w:val="none"/>
        </w:rPr>
      </w:pPr>
    </w:p>
    <w:p>
      <w:pPr>
        <w:spacing w:line="400" w:lineRule="exact"/>
        <w:rPr>
          <w:rFonts w:ascii="新宋体" w:hAnsi="新宋体" w:eastAsia="新宋体" w:cs="新宋体"/>
          <w:b/>
          <w:color w:val="auto"/>
          <w:sz w:val="22"/>
          <w:szCs w:val="22"/>
          <w:highlight w:val="none"/>
        </w:rPr>
      </w:pPr>
    </w:p>
    <w:p>
      <w:pPr>
        <w:spacing w:line="400" w:lineRule="exact"/>
        <w:rPr>
          <w:rFonts w:ascii="新宋体" w:hAnsi="新宋体" w:eastAsia="新宋体" w:cs="新宋体"/>
          <w:b/>
          <w:color w:val="auto"/>
          <w:sz w:val="22"/>
          <w:szCs w:val="22"/>
          <w:highlight w:val="none"/>
        </w:rPr>
      </w:pPr>
    </w:p>
    <w:p>
      <w:pPr>
        <w:spacing w:line="400" w:lineRule="exact"/>
        <w:rPr>
          <w:rFonts w:ascii="新宋体" w:hAnsi="新宋体" w:eastAsia="新宋体" w:cs="新宋体"/>
          <w:b/>
          <w:color w:val="auto"/>
          <w:sz w:val="22"/>
          <w:szCs w:val="22"/>
          <w:highlight w:val="none"/>
        </w:rPr>
      </w:pPr>
    </w:p>
    <w:p>
      <w:pPr>
        <w:spacing w:line="400" w:lineRule="exact"/>
        <w:rPr>
          <w:rFonts w:ascii="新宋体" w:hAnsi="新宋体" w:eastAsia="新宋体" w:cs="新宋体"/>
          <w:b/>
          <w:color w:val="auto"/>
          <w:sz w:val="22"/>
          <w:szCs w:val="22"/>
          <w:highlight w:val="none"/>
        </w:rPr>
      </w:pPr>
    </w:p>
    <w:p>
      <w:pPr>
        <w:spacing w:line="400" w:lineRule="exact"/>
        <w:rPr>
          <w:rFonts w:ascii="新宋体" w:hAnsi="新宋体" w:eastAsia="新宋体" w:cs="新宋体"/>
          <w:b/>
          <w:color w:val="auto"/>
          <w:sz w:val="22"/>
          <w:szCs w:val="22"/>
          <w:highlight w:val="none"/>
        </w:rPr>
      </w:pPr>
    </w:p>
    <w:p>
      <w:pPr>
        <w:spacing w:line="440" w:lineRule="exact"/>
        <w:ind w:firstLine="422" w:firstLineChars="200"/>
        <w:jc w:val="center"/>
        <w:rPr>
          <w:rFonts w:ascii="宋体" w:hAnsi="Arial"/>
          <w:b/>
          <w:color w:val="auto"/>
          <w:szCs w:val="20"/>
          <w:highlight w:val="none"/>
        </w:rPr>
      </w:pPr>
    </w:p>
    <w:p>
      <w:pPr>
        <w:spacing w:line="440" w:lineRule="exact"/>
        <w:ind w:firstLine="422" w:firstLineChars="200"/>
        <w:jc w:val="center"/>
        <w:rPr>
          <w:rFonts w:ascii="宋体" w:hAnsi="Arial"/>
          <w:b/>
          <w:color w:val="auto"/>
          <w:szCs w:val="20"/>
          <w:highlight w:val="none"/>
        </w:rPr>
      </w:pPr>
    </w:p>
    <w:p>
      <w:pPr>
        <w:spacing w:line="440" w:lineRule="exact"/>
        <w:ind w:firstLine="422" w:firstLineChars="200"/>
        <w:jc w:val="center"/>
        <w:rPr>
          <w:rFonts w:ascii="宋体" w:hAnsi="Arial"/>
          <w:b/>
          <w:color w:val="auto"/>
          <w:szCs w:val="20"/>
          <w:highlight w:val="none"/>
        </w:rPr>
      </w:pPr>
      <w:r>
        <w:rPr>
          <w:rFonts w:hint="eastAsia" w:ascii="宋体" w:hAnsi="Arial"/>
          <w:b/>
          <w:color w:val="auto"/>
          <w:szCs w:val="20"/>
          <w:highlight w:val="none"/>
        </w:rPr>
        <w:br w:type="page"/>
      </w:r>
      <w:r>
        <w:rPr>
          <w:rFonts w:hint="eastAsia" w:ascii="宋体" w:hAnsi="Arial"/>
          <w:b/>
          <w:color w:val="auto"/>
          <w:szCs w:val="20"/>
          <w:highlight w:val="none"/>
        </w:rPr>
        <w:t>（格式供参考，最终以双方签字盖章的合同文本为准）</w:t>
      </w:r>
    </w:p>
    <w:p>
      <w:pPr>
        <w:spacing w:line="440" w:lineRule="exact"/>
        <w:jc w:val="center"/>
        <w:rPr>
          <w:rFonts w:ascii="新宋体" w:hAnsi="新宋体" w:eastAsia="新宋体" w:cs="新宋体"/>
          <w:b/>
          <w:color w:val="auto"/>
          <w:sz w:val="32"/>
          <w:highlight w:val="none"/>
        </w:rPr>
      </w:pPr>
      <w:r>
        <w:rPr>
          <w:rFonts w:hint="eastAsia" w:ascii="新宋体" w:hAnsi="新宋体" w:eastAsia="新宋体" w:cs="新宋体"/>
          <w:b/>
          <w:color w:val="auto"/>
          <w:sz w:val="32"/>
          <w:highlight w:val="none"/>
        </w:rPr>
        <w:t>合同主要条款</w:t>
      </w:r>
    </w:p>
    <w:p>
      <w:pPr>
        <w:pStyle w:val="29"/>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   编号  ：</w:t>
      </w:r>
    </w:p>
    <w:p>
      <w:pPr>
        <w:spacing w:line="440" w:lineRule="exact"/>
        <w:ind w:firstLine="493" w:firstLineChars="235"/>
        <w:rPr>
          <w:rFonts w:ascii="宋体" w:hAnsi="宋体" w:cs="宋体"/>
          <w:bCs/>
          <w:color w:val="auto"/>
          <w:szCs w:val="21"/>
          <w:highlight w:val="none"/>
        </w:rPr>
      </w:pPr>
      <w:bookmarkStart w:id="94" w:name="bookmark21"/>
      <w:r>
        <w:rPr>
          <w:rFonts w:hint="eastAsia" w:ascii="宋体" w:hAnsi="宋体" w:cs="宋体"/>
          <w:bCs/>
          <w:color w:val="auto"/>
          <w:szCs w:val="21"/>
          <w:highlight w:val="none"/>
        </w:rPr>
        <w:t>甲方：</w:t>
      </w:r>
    </w:p>
    <w:p>
      <w:pPr>
        <w:spacing w:line="440" w:lineRule="exact"/>
        <w:ind w:firstLine="493" w:firstLineChars="235"/>
        <w:rPr>
          <w:rFonts w:ascii="宋体" w:hAnsi="宋体" w:cs="宋体"/>
          <w:bCs/>
          <w:color w:val="auto"/>
          <w:szCs w:val="21"/>
          <w:highlight w:val="none"/>
        </w:rPr>
      </w:pPr>
      <w:r>
        <w:rPr>
          <w:rFonts w:hint="eastAsia" w:ascii="宋体" w:hAnsi="宋体" w:cs="宋体"/>
          <w:bCs/>
          <w:color w:val="auto"/>
          <w:szCs w:val="21"/>
          <w:highlight w:val="none"/>
        </w:rPr>
        <w:t>乙方：</w:t>
      </w:r>
    </w:p>
    <w:bookmarkEnd w:id="94"/>
    <w:p>
      <w:pPr>
        <w:spacing w:line="440" w:lineRule="exact"/>
        <w:rPr>
          <w:rFonts w:ascii="新宋体" w:hAnsi="新宋体" w:eastAsia="新宋体" w:cs="新宋体"/>
          <w:b/>
          <w:bCs/>
          <w:color w:val="auto"/>
          <w:sz w:val="22"/>
          <w:szCs w:val="22"/>
          <w:highlight w:val="none"/>
        </w:rPr>
      </w:pPr>
      <w:bookmarkStart w:id="95" w:name="bookmark3"/>
      <w:r>
        <w:rPr>
          <w:rFonts w:hint="eastAsia" w:ascii="新宋体" w:hAnsi="新宋体" w:eastAsia="新宋体" w:cs="新宋体"/>
          <w:b/>
          <w:bCs/>
          <w:color w:val="auto"/>
          <w:sz w:val="22"/>
          <w:szCs w:val="22"/>
          <w:highlight w:val="none"/>
          <w:lang w:val="zh-CN"/>
        </w:rPr>
        <w:t>第一条  定义</w:t>
      </w:r>
      <w:bookmarkEnd w:id="95"/>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1.1项目</w:t>
      </w:r>
      <w:r>
        <w:rPr>
          <w:rFonts w:hint="eastAsia" w:ascii="新宋体" w:hAnsi="新宋体" w:eastAsia="新宋体" w:cs="新宋体"/>
          <w:color w:val="auto"/>
          <w:sz w:val="22"/>
          <w:szCs w:val="22"/>
          <w:highlight w:val="none"/>
          <w:lang w:val="zh-CN"/>
        </w:rPr>
        <w:t>是指甲方委托乙方按照本合同约定进行</w:t>
      </w:r>
      <w:r>
        <w:rPr>
          <w:rFonts w:hint="eastAsia" w:ascii="新宋体" w:hAnsi="新宋体" w:eastAsia="新宋体" w:cs="新宋体"/>
          <w:color w:val="auto"/>
          <w:sz w:val="22"/>
          <w:szCs w:val="22"/>
          <w:highlight w:val="none"/>
          <w:u w:val="single"/>
          <w:lang w:val="zh-CN"/>
        </w:rPr>
        <w:t>2024温州惠企政策“直通车”新功能开发和运营服务</w:t>
      </w:r>
      <w:r>
        <w:rPr>
          <w:rFonts w:hint="eastAsia" w:ascii="新宋体" w:hAnsi="新宋体" w:eastAsia="新宋体" w:cs="新宋体"/>
          <w:color w:val="auto"/>
          <w:sz w:val="22"/>
          <w:szCs w:val="22"/>
          <w:highlight w:val="none"/>
          <w:lang w:val="zh-CN"/>
        </w:rPr>
        <w:t>。</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1.2开发软件</w:t>
      </w:r>
      <w:r>
        <w:rPr>
          <w:rFonts w:hint="eastAsia" w:ascii="新宋体" w:hAnsi="新宋体" w:eastAsia="新宋体" w:cs="新宋体"/>
          <w:color w:val="auto"/>
          <w:sz w:val="22"/>
          <w:szCs w:val="22"/>
          <w:highlight w:val="none"/>
          <w:lang w:val="zh-CN"/>
        </w:rPr>
        <w:t>是指乙方根据本合同规定向甲方提供的满足甲方需求的计算机程序及其有关文档。</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1.3文档</w:t>
      </w:r>
      <w:r>
        <w:rPr>
          <w:rFonts w:hint="eastAsia" w:ascii="新宋体" w:hAnsi="新宋体" w:eastAsia="新宋体" w:cs="新宋体"/>
          <w:color w:val="auto"/>
          <w:sz w:val="22"/>
          <w:szCs w:val="22"/>
          <w:highlight w:val="none"/>
          <w:lang w:val="zh-CN"/>
        </w:rPr>
        <w:t>指用来描述程序的内容、组成、设计、功能规格、开发情况、测试结果及使用方法的文字资料和图表等。</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1.4资料</w:t>
      </w:r>
      <w:r>
        <w:rPr>
          <w:rFonts w:hint="eastAsia" w:ascii="新宋体" w:hAnsi="新宋体" w:eastAsia="新宋体" w:cs="新宋体"/>
          <w:color w:val="auto"/>
          <w:sz w:val="22"/>
          <w:szCs w:val="22"/>
          <w:highlight w:val="none"/>
          <w:lang w:val="zh-CN"/>
        </w:rPr>
        <w:t>是指与开发软件相关的软件、工作记录及工程文档。</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1.5知识产权</w:t>
      </w:r>
      <w:r>
        <w:rPr>
          <w:rFonts w:hint="eastAsia" w:ascii="新宋体" w:hAnsi="新宋体" w:eastAsia="新宋体" w:cs="新宋体"/>
          <w:color w:val="auto"/>
          <w:sz w:val="22"/>
          <w:szCs w:val="22"/>
          <w:highlight w:val="none"/>
          <w:lang w:val="zh-CN"/>
        </w:rPr>
        <w:t>指本合同涉及的所有著作权、商标权、专利权和其它智力成果的专有的权利和利益。</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1.6需求变更</w:t>
      </w:r>
      <w:r>
        <w:rPr>
          <w:rFonts w:hint="eastAsia" w:ascii="新宋体" w:hAnsi="新宋体" w:eastAsia="新宋体" w:cs="新宋体"/>
          <w:color w:val="auto"/>
          <w:sz w:val="22"/>
          <w:szCs w:val="22"/>
          <w:highlight w:val="none"/>
          <w:lang w:val="zh-CN"/>
        </w:rPr>
        <w:t>是指经双方商定后对开发软件或资料所做的需求修改。</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1.7商业秘密</w:t>
      </w:r>
      <w:r>
        <w:rPr>
          <w:rFonts w:hint="eastAsia" w:ascii="新宋体" w:hAnsi="新宋体" w:eastAsia="新宋体" w:cs="新宋体"/>
          <w:color w:val="auto"/>
          <w:sz w:val="22"/>
          <w:szCs w:val="22"/>
          <w:highlight w:val="none"/>
          <w:lang w:val="zh-CN"/>
        </w:rPr>
        <w:t>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1.8测试</w:t>
      </w:r>
      <w:r>
        <w:rPr>
          <w:rFonts w:hint="eastAsia" w:ascii="新宋体" w:hAnsi="新宋体" w:eastAsia="新宋体" w:cs="新宋体"/>
          <w:color w:val="auto"/>
          <w:sz w:val="22"/>
          <w:szCs w:val="22"/>
          <w:highlight w:val="none"/>
          <w:lang w:val="zh-CN"/>
        </w:rPr>
        <w:t>是指根据本合同各方约定的方法和标准，对乙方所完成开发成果的全部或部分功能及运行状态所做的检测。</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1.9上线</w:t>
      </w:r>
      <w:r>
        <w:rPr>
          <w:rFonts w:hint="eastAsia" w:ascii="新宋体" w:hAnsi="新宋体" w:eastAsia="新宋体" w:cs="新宋体"/>
          <w:color w:val="auto"/>
          <w:sz w:val="22"/>
          <w:szCs w:val="22"/>
          <w:highlight w:val="none"/>
          <w:lang w:val="zh-CN"/>
        </w:rPr>
        <w:t>是指乙方开发的应用软件在甲方的工作环境中正式运行或被甲方用于业务办理。</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1.10工作日</w:t>
      </w:r>
      <w:r>
        <w:rPr>
          <w:rFonts w:hint="eastAsia" w:ascii="新宋体" w:hAnsi="新宋体" w:eastAsia="新宋体" w:cs="新宋体"/>
          <w:color w:val="auto"/>
          <w:sz w:val="22"/>
          <w:szCs w:val="22"/>
          <w:highlight w:val="none"/>
          <w:lang w:val="zh-CN"/>
        </w:rPr>
        <w:t>指国家所规定的节假日之外的所有工作日。</w:t>
      </w:r>
    </w:p>
    <w:p>
      <w:pPr>
        <w:spacing w:line="440" w:lineRule="exact"/>
        <w:rPr>
          <w:rFonts w:ascii="新宋体" w:hAnsi="新宋体" w:eastAsia="新宋体" w:cs="新宋体"/>
          <w:b/>
          <w:bCs/>
          <w:color w:val="auto"/>
          <w:sz w:val="22"/>
          <w:szCs w:val="22"/>
          <w:highlight w:val="none"/>
        </w:rPr>
      </w:pPr>
      <w:bookmarkStart w:id="96" w:name="bookmark4"/>
      <w:r>
        <w:rPr>
          <w:rFonts w:hint="eastAsia" w:ascii="新宋体" w:hAnsi="新宋体" w:eastAsia="新宋体" w:cs="新宋体"/>
          <w:b/>
          <w:bCs/>
          <w:color w:val="auto"/>
          <w:sz w:val="22"/>
          <w:szCs w:val="22"/>
          <w:highlight w:val="none"/>
          <w:lang w:val="zh-CN"/>
        </w:rPr>
        <w:t>第二条  项目的内容和要求</w:t>
      </w:r>
      <w:bookmarkEnd w:id="96"/>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lang w:val="zh-CN"/>
        </w:rPr>
        <w:t>甲方委托乙方根据本合同规定的条款和条件</w:t>
      </w:r>
      <w:r>
        <w:rPr>
          <w:rFonts w:hint="eastAsia" w:ascii="新宋体" w:hAnsi="新宋体" w:eastAsia="新宋体" w:cs="新宋体"/>
          <w:color w:val="auto"/>
          <w:sz w:val="22"/>
          <w:szCs w:val="22"/>
          <w:highlight w:val="none"/>
          <w:lang w:val="en-US" w:eastAsia="zh-CN"/>
        </w:rPr>
        <w:t>开展</w:t>
      </w:r>
      <w:r>
        <w:rPr>
          <w:rFonts w:hint="eastAsia" w:ascii="新宋体" w:hAnsi="新宋体" w:eastAsia="新宋体" w:cs="新宋体"/>
          <w:color w:val="auto"/>
          <w:sz w:val="22"/>
          <w:szCs w:val="22"/>
          <w:highlight w:val="none"/>
          <w:u w:val="single"/>
          <w:lang w:val="zh-CN"/>
        </w:rPr>
        <w:t>2024温州惠企政策“直通车”新功能开发和运营服务。</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lang w:val="zh-CN"/>
        </w:rPr>
        <w:t>软件使用期限：甲方可永久使用该软件产品。</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2.3</w:t>
      </w:r>
      <w:r>
        <w:rPr>
          <w:rFonts w:hint="eastAsia" w:ascii="新宋体" w:hAnsi="新宋体" w:eastAsia="新宋体" w:cs="新宋体"/>
          <w:color w:val="auto"/>
          <w:sz w:val="22"/>
          <w:szCs w:val="22"/>
          <w:highlight w:val="none"/>
          <w:lang w:val="zh-CN"/>
        </w:rPr>
        <w:t>软件开发内容：按采购文件第五部分要求。</w:t>
      </w:r>
    </w:p>
    <w:p>
      <w:pPr>
        <w:spacing w:line="440" w:lineRule="exact"/>
        <w:rPr>
          <w:rFonts w:ascii="新宋体" w:hAnsi="新宋体" w:eastAsia="新宋体" w:cs="新宋体"/>
          <w:b/>
          <w:bCs/>
          <w:color w:val="auto"/>
          <w:sz w:val="22"/>
          <w:szCs w:val="22"/>
          <w:highlight w:val="none"/>
          <w:lang w:val="zh-CN"/>
        </w:rPr>
      </w:pPr>
      <w:bookmarkStart w:id="97" w:name="bookmark5"/>
      <w:r>
        <w:rPr>
          <w:rFonts w:hint="eastAsia" w:ascii="新宋体" w:hAnsi="新宋体" w:eastAsia="新宋体" w:cs="新宋体"/>
          <w:b/>
          <w:bCs/>
          <w:color w:val="auto"/>
          <w:sz w:val="22"/>
          <w:szCs w:val="22"/>
          <w:highlight w:val="none"/>
          <w:lang w:val="zh-CN"/>
        </w:rPr>
        <w:t>第三条  项目的开发工作</w:t>
      </w:r>
      <w:bookmarkEnd w:id="97"/>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lang w:val="zh-CN"/>
        </w:rPr>
        <w:t>项目工期：</w:t>
      </w:r>
    </w:p>
    <w:p>
      <w:pPr>
        <w:pStyle w:val="29"/>
        <w:spacing w:line="440" w:lineRule="exact"/>
        <w:ind w:left="4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1.合同签订后2个月内，完成已明确的系统功能建设和定制开发后，</w:t>
      </w:r>
      <w:r>
        <w:rPr>
          <w:rFonts w:hint="eastAsia" w:ascii="新宋体" w:hAnsi="新宋体" w:eastAsia="新宋体" w:cs="新宋体"/>
          <w:color w:val="auto"/>
          <w:sz w:val="22"/>
          <w:szCs w:val="22"/>
          <w:highlight w:val="none"/>
          <w:lang w:val="en-US" w:eastAsia="zh-CN"/>
        </w:rPr>
        <w:t>甲</w:t>
      </w:r>
      <w:r>
        <w:rPr>
          <w:rFonts w:hint="eastAsia" w:ascii="新宋体" w:hAnsi="新宋体" w:eastAsia="新宋体" w:cs="新宋体"/>
          <w:color w:val="auto"/>
          <w:sz w:val="22"/>
          <w:szCs w:val="22"/>
          <w:highlight w:val="none"/>
          <w:lang w:val="zh-CN"/>
        </w:rPr>
        <w:t>方组织项目初验；初验通过后投入试运行，系统试运行三个月后，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rPr>
        <w:t>组织项目终验。运营期间，及时配合各部门完成奖补项目定制开发需求、按照</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rPr>
        <w:t>要求完成运营分析等工作。</w:t>
      </w:r>
    </w:p>
    <w:p>
      <w:pPr>
        <w:pStyle w:val="29"/>
        <w:spacing w:line="440" w:lineRule="exact"/>
        <w:ind w:left="4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2.详细实施进度要求双方约定如下：</w:t>
      </w:r>
    </w:p>
    <w:p>
      <w:pPr>
        <w:pStyle w:val="29"/>
        <w:spacing w:line="440" w:lineRule="exact"/>
        <w:ind w:left="4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①开发完成上线试运行前乙方应书面申请组织初验；</w:t>
      </w:r>
    </w:p>
    <w:p>
      <w:pPr>
        <w:pStyle w:val="29"/>
        <w:spacing w:line="440" w:lineRule="exact"/>
        <w:ind w:left="4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②试运行结束达到整改要求后乙方书面申请组织最终验收；</w:t>
      </w:r>
    </w:p>
    <w:p>
      <w:pPr>
        <w:pStyle w:val="29"/>
        <w:spacing w:line="440" w:lineRule="exact"/>
        <w:ind w:left="4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③最终验收通过之日起乙方派驻现场人员驻场服务不少于1年（投标文件另有约定按投标文件执行）。</w:t>
      </w:r>
    </w:p>
    <w:p>
      <w:pPr>
        <w:pStyle w:val="29"/>
        <w:spacing w:line="44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3.2</w:t>
      </w:r>
      <w:r>
        <w:rPr>
          <w:rFonts w:hint="eastAsia" w:ascii="新宋体" w:hAnsi="新宋体" w:eastAsia="新宋体" w:cs="新宋体"/>
          <w:color w:val="auto"/>
          <w:sz w:val="22"/>
          <w:szCs w:val="22"/>
          <w:highlight w:val="none"/>
          <w:u w:val="single"/>
          <w:lang w:val="zh-CN"/>
        </w:rPr>
        <w:t>驻场服务指的是驻甲方指定办公场所，工作时间等同甲方工作时间。驻场人员变更需提前报备（乙方未取得甲方书面同意的情况下，不得自行调整驻场形式或驻场人员，涉及重大变更的应签订补充协议）。如有擅自违背驻场条款的；并按虚假投标上报财政监管机构。</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lang w:val="zh-CN"/>
        </w:rPr>
        <w:t>项目实施地点：本项目的需求、软件设计、编码、安装调试、用户测试、上线及维护均在甲方现场完成。</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3.4</w:t>
      </w:r>
      <w:r>
        <w:rPr>
          <w:rFonts w:hint="eastAsia" w:ascii="新宋体" w:hAnsi="新宋体" w:eastAsia="新宋体" w:cs="新宋体"/>
          <w:color w:val="auto"/>
          <w:sz w:val="22"/>
          <w:szCs w:val="22"/>
          <w:highlight w:val="none"/>
          <w:lang w:val="zh-CN"/>
        </w:rPr>
        <w:t>项目联系人：在项目实施工作中双方须确定项目联系人，代表各方发表的对项目实施的具体意见，项目联系人的变更应书面通知对方。</w:t>
      </w:r>
    </w:p>
    <w:p>
      <w:pPr>
        <w:spacing w:line="440" w:lineRule="exact"/>
        <w:rPr>
          <w:rFonts w:ascii="新宋体" w:hAnsi="新宋体" w:eastAsia="新宋体" w:cs="新宋体"/>
          <w:color w:val="auto"/>
          <w:sz w:val="22"/>
          <w:szCs w:val="22"/>
          <w:highlight w:val="none"/>
        </w:rPr>
      </w:pPr>
      <w:bookmarkStart w:id="98" w:name="bookmark6"/>
      <w:r>
        <w:rPr>
          <w:rFonts w:hint="eastAsia" w:ascii="新宋体" w:hAnsi="新宋体" w:eastAsia="新宋体" w:cs="新宋体"/>
          <w:b/>
          <w:bCs/>
          <w:color w:val="auto"/>
          <w:sz w:val="22"/>
          <w:szCs w:val="22"/>
          <w:highlight w:val="none"/>
          <w:lang w:val="zh-CN"/>
        </w:rPr>
        <w:t>第四条  项目的测试和验收</w:t>
      </w:r>
      <w:bookmarkEnd w:id="98"/>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4</w:t>
      </w:r>
      <w:r>
        <w:rPr>
          <w:rFonts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1甲方牵头负责或委托第三方机构成立验收小组，按照招标文件、投标文件、投标过程中的相关承诺、采购合同等约定对供应商履约情况进行验收。</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4</w:t>
      </w:r>
      <w:r>
        <w:rPr>
          <w:rFonts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zh-CN"/>
        </w:rPr>
        <w:t>验收不合格的，乙方应及时整改，直至验收合格。</w:t>
      </w:r>
    </w:p>
    <w:p>
      <w:pPr>
        <w:spacing w:line="440" w:lineRule="exact"/>
        <w:rPr>
          <w:rFonts w:ascii="新宋体" w:hAnsi="新宋体" w:eastAsia="新宋体" w:cs="新宋体"/>
          <w:b/>
          <w:bCs/>
          <w:color w:val="auto"/>
          <w:sz w:val="22"/>
          <w:szCs w:val="22"/>
          <w:highlight w:val="none"/>
        </w:rPr>
      </w:pPr>
      <w:bookmarkStart w:id="99" w:name="bookmark7"/>
      <w:r>
        <w:rPr>
          <w:rFonts w:hint="eastAsia" w:ascii="新宋体" w:hAnsi="新宋体" w:eastAsia="新宋体" w:cs="新宋体"/>
          <w:b/>
          <w:bCs/>
          <w:color w:val="auto"/>
          <w:sz w:val="22"/>
          <w:szCs w:val="22"/>
          <w:highlight w:val="none"/>
          <w:lang w:val="zh-CN"/>
        </w:rPr>
        <w:t>第五条  项目交付</w:t>
      </w:r>
      <w:bookmarkEnd w:id="99"/>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lang w:val="zh-CN"/>
        </w:rPr>
        <w:t>开发软件交付内容：乙方向甲方交付的开发软件最终交付时应为硬盘介质、开发软件全部源代码、加密附件及包括用户手册在内的许可资料。</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w:t>
      </w:r>
      <w:r>
        <w:rPr>
          <w:rFonts w:hint="eastAsia" w:ascii="新宋体" w:hAnsi="新宋体" w:eastAsia="新宋体" w:cs="新宋体"/>
          <w:color w:val="auto"/>
          <w:sz w:val="22"/>
          <w:szCs w:val="22"/>
          <w:highlight w:val="none"/>
          <w:lang w:val="zh-CN"/>
        </w:rPr>
        <w:t>开发软件交付的完成：乙方按照本合同的约定向甲方交付并安装开发软件，软件安装调试符合约定的，甲方向乙方出具书面收讫证明之后，乙方的开发软件交付义务完成。甲方出具的收讫证明上记载的日期为开发软件交付日。</w:t>
      </w:r>
    </w:p>
    <w:p>
      <w:pPr>
        <w:spacing w:line="440" w:lineRule="exact"/>
        <w:rPr>
          <w:rFonts w:ascii="新宋体" w:hAnsi="新宋体" w:eastAsia="新宋体" w:cs="新宋体"/>
          <w:b/>
          <w:bCs/>
          <w:color w:val="auto"/>
          <w:sz w:val="22"/>
          <w:szCs w:val="22"/>
          <w:highlight w:val="none"/>
        </w:rPr>
      </w:pPr>
      <w:bookmarkStart w:id="100" w:name="bookmark8"/>
      <w:r>
        <w:rPr>
          <w:rFonts w:hint="eastAsia" w:ascii="新宋体" w:hAnsi="新宋体" w:eastAsia="新宋体" w:cs="新宋体"/>
          <w:b/>
          <w:bCs/>
          <w:color w:val="auto"/>
          <w:sz w:val="22"/>
          <w:szCs w:val="22"/>
          <w:highlight w:val="none"/>
          <w:lang w:val="zh-CN"/>
        </w:rPr>
        <w:t>第六条  甲方义务</w:t>
      </w:r>
      <w:bookmarkEnd w:id="100"/>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6.1</w:t>
      </w:r>
      <w:r>
        <w:rPr>
          <w:rFonts w:hint="eastAsia" w:ascii="新宋体" w:hAnsi="新宋体" w:eastAsia="新宋体" w:cs="新宋体"/>
          <w:color w:val="auto"/>
          <w:sz w:val="22"/>
          <w:szCs w:val="22"/>
          <w:highlight w:val="none"/>
          <w:lang w:val="zh-CN"/>
        </w:rPr>
        <w:t>甲方成立项目组，与乙方共同完成合同规定的工作，并指派一名项目负责人负责现场处理项目实施过程中发生的各种问题。</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6.2</w:t>
      </w:r>
      <w:r>
        <w:rPr>
          <w:rFonts w:hint="eastAsia" w:ascii="新宋体" w:hAnsi="新宋体" w:eastAsia="新宋体" w:cs="新宋体"/>
          <w:color w:val="auto"/>
          <w:sz w:val="22"/>
          <w:szCs w:val="22"/>
          <w:highlight w:val="none"/>
          <w:lang w:val="zh-CN"/>
        </w:rPr>
        <w:t>甲方负责向乙方提供项目驻场所必</w:t>
      </w:r>
      <w:r>
        <w:rPr>
          <w:rFonts w:hint="eastAsia" w:ascii="新宋体" w:hAnsi="新宋体" w:eastAsia="新宋体" w:cs="新宋体"/>
          <w:color w:val="auto"/>
          <w:sz w:val="22"/>
          <w:szCs w:val="22"/>
          <w:highlight w:val="none"/>
        </w:rPr>
        <w:t>需</w:t>
      </w:r>
      <w:r>
        <w:rPr>
          <w:rFonts w:hint="eastAsia" w:ascii="新宋体" w:hAnsi="新宋体" w:eastAsia="新宋体" w:cs="新宋体"/>
          <w:color w:val="auto"/>
          <w:sz w:val="22"/>
          <w:szCs w:val="22"/>
          <w:highlight w:val="none"/>
          <w:lang w:val="zh-CN"/>
        </w:rPr>
        <w:t>的办公场地、相关资料，驻场人员伙食自理。</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由于甲方未履行本合同义务而造成项目工作拖延的，经双方协商后做相应调整。</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zh-CN"/>
        </w:rPr>
        <w:t>甲方应与乙方及第三方共同对开发软件进行联调测试、用户验收测试及系统压力测试，使系统进入试运行阶段至验收完成。</w:t>
      </w:r>
    </w:p>
    <w:p>
      <w:pPr>
        <w:spacing w:line="440" w:lineRule="exact"/>
        <w:rPr>
          <w:rFonts w:ascii="新宋体" w:hAnsi="新宋体" w:eastAsia="新宋体" w:cs="新宋体"/>
          <w:b/>
          <w:bCs/>
          <w:color w:val="auto"/>
          <w:sz w:val="22"/>
          <w:szCs w:val="22"/>
          <w:highlight w:val="none"/>
        </w:rPr>
      </w:pPr>
      <w:bookmarkStart w:id="101" w:name="bookmark9"/>
      <w:r>
        <w:rPr>
          <w:rFonts w:hint="eastAsia" w:ascii="新宋体" w:hAnsi="新宋体" w:eastAsia="新宋体" w:cs="新宋体"/>
          <w:b/>
          <w:bCs/>
          <w:color w:val="auto"/>
          <w:sz w:val="22"/>
          <w:szCs w:val="22"/>
          <w:highlight w:val="none"/>
          <w:lang w:val="zh-CN"/>
        </w:rPr>
        <w:t>第七条  乙方义务</w:t>
      </w:r>
      <w:bookmarkEnd w:id="101"/>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w:t>
      </w:r>
      <w:r>
        <w:rPr>
          <w:rFonts w:hint="eastAsia" w:ascii="新宋体" w:hAnsi="新宋体" w:eastAsia="新宋体" w:cs="新宋体"/>
          <w:color w:val="auto"/>
          <w:sz w:val="22"/>
          <w:szCs w:val="22"/>
          <w:highlight w:val="none"/>
          <w:lang w:val="zh-CN"/>
        </w:rPr>
        <w:t>乙方应按照本合同的要求，如期完成和交付开发软件，并向甲方提供开发软件相应的文档资料。</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w:t>
      </w:r>
      <w:r>
        <w:rPr>
          <w:rFonts w:hint="eastAsia" w:ascii="新宋体" w:hAnsi="新宋体" w:eastAsia="新宋体" w:cs="新宋体"/>
          <w:color w:val="auto"/>
          <w:sz w:val="22"/>
          <w:szCs w:val="22"/>
          <w:highlight w:val="none"/>
          <w:lang w:val="zh-CN"/>
        </w:rPr>
        <w:t>乙方向甲方提供此次开发软件的程序源代码和相关技术资料。</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7.3</w:t>
      </w:r>
      <w:r>
        <w:rPr>
          <w:rFonts w:hint="eastAsia" w:ascii="新宋体" w:hAnsi="新宋体" w:eastAsia="新宋体" w:cs="新宋体"/>
          <w:color w:val="auto"/>
          <w:sz w:val="22"/>
          <w:szCs w:val="22"/>
          <w:highlight w:val="none"/>
          <w:lang w:val="zh-CN"/>
        </w:rPr>
        <w:t>乙方严格按照软件工程建设的有关规范组织实施，并对项目建设阶段提出具体时间安排。</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7.4</w:t>
      </w:r>
      <w:r>
        <w:rPr>
          <w:rFonts w:hint="eastAsia" w:ascii="新宋体" w:hAnsi="新宋体" w:eastAsia="新宋体" w:cs="新宋体"/>
          <w:color w:val="auto"/>
          <w:sz w:val="22"/>
          <w:szCs w:val="22"/>
          <w:highlight w:val="none"/>
          <w:lang w:val="zh-CN"/>
        </w:rPr>
        <w:t>在系统开发阶段、试运行阶段、免费维护服务期内，乙方负责与开发系统运行有关的技术问题处理。</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7.5</w:t>
      </w:r>
      <w:r>
        <w:rPr>
          <w:rFonts w:hint="eastAsia" w:ascii="新宋体" w:hAnsi="新宋体" w:eastAsia="新宋体" w:cs="新宋体"/>
          <w:color w:val="auto"/>
          <w:sz w:val="22"/>
          <w:szCs w:val="22"/>
          <w:highlight w:val="none"/>
          <w:lang w:val="zh-CN"/>
        </w:rPr>
        <w:t>乙方应选派强有力的项目建设队伍，负责完成合同规定的工作；如果在合同履行过程中发生项目负责人或成员的变更，必须提前取得甲方同意。如果因项目负责人更替造成项目时间延误，乙方应向甲方作出相应的赔偿。</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7.6</w:t>
      </w:r>
      <w:r>
        <w:rPr>
          <w:rFonts w:hint="eastAsia" w:ascii="新宋体" w:hAnsi="新宋体" w:eastAsia="新宋体" w:cs="新宋体"/>
          <w:color w:val="auto"/>
          <w:sz w:val="22"/>
          <w:szCs w:val="22"/>
          <w:highlight w:val="none"/>
          <w:lang w:val="zh-CN"/>
        </w:rPr>
        <w:t>乙方负责制定切实可行的项目实施方案，明确任务和各方职责，并接受按阶段考核检查。</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7.7</w:t>
      </w:r>
      <w:r>
        <w:rPr>
          <w:rFonts w:hint="eastAsia" w:ascii="新宋体" w:hAnsi="新宋体" w:eastAsia="新宋体" w:cs="新宋体"/>
          <w:color w:val="auto"/>
          <w:sz w:val="22"/>
          <w:szCs w:val="22"/>
          <w:highlight w:val="none"/>
          <w:lang w:val="zh-CN"/>
        </w:rPr>
        <w:t>乙方应提供系统测试验证方案（包括业务测试和压力测试），严格测试和验证系统功能和技术指标。</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7.8</w:t>
      </w:r>
      <w:r>
        <w:rPr>
          <w:rFonts w:hint="eastAsia" w:ascii="新宋体" w:hAnsi="新宋体" w:eastAsia="新宋体" w:cs="新宋体"/>
          <w:color w:val="auto"/>
          <w:sz w:val="22"/>
          <w:szCs w:val="22"/>
          <w:highlight w:val="none"/>
          <w:lang w:val="zh-CN"/>
        </w:rPr>
        <w:t>乙方在开发过程中应及时整理和制定各类技术文档资料、编写培训教材，并提供免费技术培训，包括乙方掌握应用系统的技术细节。</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7.9</w:t>
      </w:r>
      <w:r>
        <w:rPr>
          <w:rFonts w:hint="eastAsia" w:ascii="新宋体" w:hAnsi="新宋体" w:eastAsia="新宋体" w:cs="新宋体"/>
          <w:color w:val="auto"/>
          <w:sz w:val="22"/>
          <w:szCs w:val="22"/>
          <w:highlight w:val="none"/>
          <w:lang w:val="zh-CN"/>
        </w:rPr>
        <w:t>乙方应按照本协议约定的标准和规格，以及项目管理体系的相关要求，以专业、熟练的方式提供服务并交付相关交付成果；</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7.10</w:t>
      </w:r>
      <w:r>
        <w:rPr>
          <w:rFonts w:hint="eastAsia" w:ascii="新宋体" w:hAnsi="新宋体" w:eastAsia="新宋体" w:cs="新宋体"/>
          <w:color w:val="auto"/>
          <w:sz w:val="22"/>
          <w:szCs w:val="22"/>
          <w:highlight w:val="none"/>
          <w:lang w:val="zh-CN"/>
        </w:rPr>
        <w:t>乙方遵循公司全面的技术支持服务体系，向甲方提供全面技术支持服务。</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7.11</w:t>
      </w:r>
      <w:r>
        <w:rPr>
          <w:rFonts w:hint="eastAsia" w:ascii="新宋体" w:hAnsi="新宋体" w:eastAsia="新宋体" w:cs="新宋体"/>
          <w:color w:val="auto"/>
          <w:sz w:val="22"/>
          <w:szCs w:val="22"/>
          <w:highlight w:val="none"/>
          <w:lang w:val="zh-CN"/>
        </w:rPr>
        <w:t>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7.12</w:t>
      </w:r>
      <w:r>
        <w:rPr>
          <w:rFonts w:hint="eastAsia" w:ascii="新宋体" w:hAnsi="新宋体" w:eastAsia="新宋体" w:cs="新宋体"/>
          <w:color w:val="auto"/>
          <w:sz w:val="22"/>
          <w:szCs w:val="22"/>
          <w:highlight w:val="none"/>
          <w:lang w:val="zh-CN"/>
        </w:rPr>
        <w:t>未经甲方书面同意，乙方不得将本合同约定的服务分包给第三方，禁止转包和变相转包。</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7.13</w:t>
      </w:r>
      <w:r>
        <w:rPr>
          <w:rFonts w:hint="eastAsia" w:ascii="新宋体" w:hAnsi="新宋体" w:eastAsia="新宋体" w:cs="新宋体"/>
          <w:color w:val="auto"/>
          <w:sz w:val="22"/>
          <w:szCs w:val="22"/>
          <w:highlight w:val="none"/>
          <w:lang w:val="zh-CN"/>
        </w:rPr>
        <w:t>为保障项目的顺利实施，防范项目风险，避免因沟通不畅等原因引起项目执行问题，乙方应定期向甲方项目负责人及相关领导对项目执行状况、问题、风险进行汇报。</w:t>
      </w:r>
    </w:p>
    <w:p>
      <w:pPr>
        <w:spacing w:line="440" w:lineRule="exact"/>
        <w:ind w:firstLine="440" w:firstLineChars="200"/>
        <w:rPr>
          <w:rFonts w:ascii="新宋体" w:hAnsi="新宋体" w:eastAsia="新宋体" w:cs="新宋体"/>
          <w:color w:val="auto"/>
          <w:sz w:val="22"/>
          <w:szCs w:val="22"/>
          <w:highlight w:val="none"/>
          <w:lang w:val="zh-CN"/>
        </w:rPr>
      </w:pPr>
      <w:r>
        <w:rPr>
          <w:rFonts w:ascii="新宋体" w:hAnsi="新宋体" w:eastAsia="新宋体" w:cs="新宋体"/>
          <w:color w:val="auto"/>
          <w:sz w:val="22"/>
          <w:szCs w:val="22"/>
          <w:highlight w:val="none"/>
          <w:lang w:val="zh-CN"/>
        </w:rPr>
        <w:t>7.14</w:t>
      </w:r>
      <w:r>
        <w:rPr>
          <w:rFonts w:hint="eastAsia" w:ascii="新宋体" w:hAnsi="新宋体" w:eastAsia="新宋体" w:cs="新宋体"/>
          <w:color w:val="auto"/>
          <w:sz w:val="22"/>
          <w:szCs w:val="22"/>
          <w:highlight w:val="none"/>
          <w:lang w:val="zh-CN"/>
        </w:rPr>
        <w:t>乙方应保证开发软件能够迁移至市大数据局指定的“信创云平台”。</w:t>
      </w:r>
    </w:p>
    <w:p>
      <w:pPr>
        <w:spacing w:line="440" w:lineRule="exact"/>
        <w:rPr>
          <w:rFonts w:ascii="新宋体" w:hAnsi="新宋体" w:eastAsia="新宋体" w:cs="新宋体"/>
          <w:b/>
          <w:bCs/>
          <w:color w:val="auto"/>
          <w:sz w:val="22"/>
          <w:szCs w:val="22"/>
          <w:highlight w:val="none"/>
        </w:rPr>
      </w:pPr>
      <w:bookmarkStart w:id="102" w:name="bookmark10"/>
      <w:r>
        <w:rPr>
          <w:rFonts w:hint="eastAsia" w:ascii="新宋体" w:hAnsi="新宋体" w:eastAsia="新宋体" w:cs="新宋体"/>
          <w:b/>
          <w:bCs/>
          <w:color w:val="auto"/>
          <w:sz w:val="22"/>
          <w:szCs w:val="22"/>
          <w:highlight w:val="none"/>
          <w:lang w:val="zh-CN"/>
        </w:rPr>
        <w:t>第八条  合同金额和支付</w:t>
      </w:r>
      <w:bookmarkEnd w:id="102"/>
    </w:p>
    <w:p>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8.1</w:t>
      </w:r>
      <w:r>
        <w:rPr>
          <w:rFonts w:hint="eastAsia" w:ascii="新宋体" w:hAnsi="新宋体" w:eastAsia="新宋体" w:cs="新宋体"/>
          <w:color w:val="auto"/>
          <w:sz w:val="22"/>
          <w:szCs w:val="22"/>
          <w:highlight w:val="none"/>
          <w:lang w:val="zh-CN"/>
        </w:rPr>
        <w:t xml:space="preserve">合同金额：本合同总金额为人民币 </w:t>
      </w:r>
      <w:r>
        <w:rPr>
          <w:rFonts w:ascii="新宋体" w:hAnsi="新宋体" w:eastAsia="新宋体" w:cs="新宋体"/>
          <w:color w:val="auto"/>
          <w:sz w:val="22"/>
          <w:szCs w:val="22"/>
          <w:highlight w:val="none"/>
          <w:lang w:val="zh-CN"/>
        </w:rPr>
        <w:t xml:space="preserve">            </w:t>
      </w:r>
      <w:r>
        <w:rPr>
          <w:rFonts w:hint="eastAsia" w:ascii="新宋体" w:hAnsi="新宋体" w:eastAsia="新宋体" w:cs="新宋体"/>
          <w:color w:val="auto"/>
          <w:sz w:val="22"/>
          <w:szCs w:val="22"/>
          <w:highlight w:val="none"/>
          <w:lang w:val="zh-CN"/>
        </w:rPr>
        <w:t>元整</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元），</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上述合同金额包含了实施本项目所有的费用（交钥匙价），系统</w:t>
      </w:r>
      <w:r>
        <w:rPr>
          <w:rFonts w:hint="eastAsia" w:ascii="新宋体" w:hAnsi="新宋体" w:eastAsia="新宋体" w:cs="新宋体"/>
          <w:color w:val="auto"/>
          <w:kern w:val="0"/>
          <w:sz w:val="22"/>
          <w:szCs w:val="22"/>
          <w:highlight w:val="none"/>
        </w:rPr>
        <w:t>开发设计所有费用</w:t>
      </w:r>
      <w:r>
        <w:rPr>
          <w:rFonts w:hint="eastAsia" w:ascii="新宋体" w:hAnsi="新宋体" w:eastAsia="新宋体" w:cs="新宋体"/>
          <w:bCs/>
          <w:color w:val="auto"/>
          <w:kern w:val="0"/>
          <w:sz w:val="22"/>
          <w:szCs w:val="22"/>
          <w:highlight w:val="none"/>
          <w:lang w:val="zh-CN"/>
        </w:rPr>
        <w:t>、安装调试、质保期质保升级费用、第三方等保费用、验收（含第三方验收）、交通、人员费用、保险、税费、技术服务、售后服务、所需材料等全部费用，实行固定费用总包干，</w:t>
      </w:r>
      <w:r>
        <w:rPr>
          <w:rFonts w:hint="eastAsia" w:ascii="新宋体" w:hAnsi="新宋体" w:eastAsia="新宋体" w:cs="新宋体"/>
          <w:color w:val="auto"/>
          <w:sz w:val="22"/>
          <w:szCs w:val="22"/>
          <w:highlight w:val="none"/>
          <w:lang w:val="zh-CN"/>
        </w:rPr>
        <w:t xml:space="preserve">不受市场价格因素影响，乙方在项目实施过程中发生的其它费用，甲方概不承担。 </w:t>
      </w:r>
    </w:p>
    <w:p>
      <w:pPr>
        <w:spacing w:line="440" w:lineRule="exact"/>
        <w:ind w:firstLine="440" w:firstLineChars="200"/>
        <w:rPr>
          <w:rFonts w:ascii="新宋体" w:hAnsi="新宋体" w:eastAsia="新宋体" w:cs="新宋体"/>
          <w:bCs/>
          <w:color w:val="auto"/>
          <w:kern w:val="0"/>
          <w:sz w:val="22"/>
          <w:szCs w:val="22"/>
          <w:highlight w:val="none"/>
          <w:lang w:val="zh-CN"/>
        </w:rPr>
      </w:pPr>
      <w:r>
        <w:rPr>
          <w:rFonts w:ascii="新宋体" w:hAnsi="新宋体" w:eastAsia="新宋体" w:cs="新宋体"/>
          <w:bCs/>
          <w:color w:val="auto"/>
          <w:kern w:val="0"/>
          <w:sz w:val="22"/>
          <w:szCs w:val="22"/>
          <w:highlight w:val="none"/>
          <w:lang w:val="zh-CN"/>
        </w:rPr>
        <w:t>8.2</w:t>
      </w:r>
      <w:r>
        <w:rPr>
          <w:rFonts w:hint="eastAsia" w:ascii="新宋体" w:hAnsi="新宋体" w:eastAsia="新宋体" w:cs="新宋体"/>
          <w:bCs/>
          <w:color w:val="auto"/>
          <w:kern w:val="0"/>
          <w:sz w:val="22"/>
          <w:szCs w:val="22"/>
          <w:highlight w:val="none"/>
          <w:lang w:val="zh-CN"/>
        </w:rPr>
        <w:t>合同价款的支付条件及支付比例：</w:t>
      </w:r>
    </w:p>
    <w:p>
      <w:pPr>
        <w:pStyle w:val="2"/>
        <w:spacing w:line="44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kern w:val="0"/>
          <w:sz w:val="22"/>
          <w:szCs w:val="22"/>
          <w:highlight w:val="none"/>
          <w:lang w:val="zh-CN"/>
        </w:rPr>
        <w:t>①合同生效以及具备实施条件后</w:t>
      </w:r>
      <w:r>
        <w:rPr>
          <w:rFonts w:hint="eastAsia" w:ascii="新宋体" w:hAnsi="新宋体" w:eastAsia="新宋体" w:cs="新宋体"/>
          <w:bCs/>
          <w:color w:val="auto"/>
          <w:kern w:val="0"/>
          <w:sz w:val="22"/>
          <w:szCs w:val="22"/>
          <w:highlight w:val="none"/>
          <w:lang w:val="en-US" w:eastAsia="zh-CN"/>
        </w:rPr>
        <w:t>7个工作日内</w:t>
      </w:r>
      <w:r>
        <w:rPr>
          <w:rFonts w:hint="eastAsia" w:ascii="新宋体" w:hAnsi="新宋体" w:eastAsia="新宋体" w:cs="新宋体"/>
          <w:bCs/>
          <w:color w:val="auto"/>
          <w:kern w:val="0"/>
          <w:sz w:val="22"/>
          <w:szCs w:val="22"/>
          <w:highlight w:val="none"/>
          <w:lang w:val="zh-CN"/>
        </w:rPr>
        <w:t>，甲方向乙方支付合同金额的65%作为预付款；</w:t>
      </w:r>
    </w:p>
    <w:p>
      <w:pPr>
        <w:pStyle w:val="2"/>
        <w:spacing w:line="44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kern w:val="0"/>
          <w:sz w:val="22"/>
          <w:szCs w:val="22"/>
          <w:highlight w:val="none"/>
          <w:lang w:val="zh-CN"/>
        </w:rPr>
        <w:t>②根据项目验收考评结果，支付软件开发尾款，运营服务期满支付运营服务尾款；</w:t>
      </w:r>
    </w:p>
    <w:p>
      <w:pPr>
        <w:pStyle w:val="2"/>
        <w:spacing w:line="440" w:lineRule="exact"/>
        <w:rPr>
          <w:rFonts w:ascii="新宋体" w:hAnsi="新宋体" w:eastAsia="新宋体" w:cs="新宋体"/>
          <w:color w:val="auto"/>
          <w:kern w:val="2"/>
          <w:sz w:val="22"/>
          <w:szCs w:val="22"/>
          <w:highlight w:val="none"/>
          <w:lang w:val="zh-CN"/>
        </w:rPr>
      </w:pPr>
      <w:r>
        <w:rPr>
          <w:rFonts w:hint="eastAsia" w:ascii="新宋体" w:hAnsi="新宋体" w:eastAsia="新宋体" w:cs="新宋体"/>
          <w:color w:val="auto"/>
          <w:kern w:val="2"/>
          <w:sz w:val="22"/>
          <w:szCs w:val="22"/>
          <w:highlight w:val="none"/>
          <w:lang w:val="zh-CN"/>
        </w:rPr>
        <w:t>乙方要求甲方付款前需按甲方要求提供合法有效的发票，否则，甲方有权延迟付款。</w:t>
      </w:r>
    </w:p>
    <w:p>
      <w:pPr>
        <w:spacing w:line="440" w:lineRule="exact"/>
        <w:rPr>
          <w:rFonts w:ascii="新宋体" w:hAnsi="新宋体" w:eastAsia="新宋体" w:cs="新宋体"/>
          <w:b/>
          <w:bCs/>
          <w:color w:val="auto"/>
          <w:sz w:val="22"/>
          <w:szCs w:val="22"/>
          <w:highlight w:val="none"/>
        </w:rPr>
      </w:pPr>
      <w:bookmarkStart w:id="103" w:name="bookmark11"/>
      <w:r>
        <w:rPr>
          <w:rFonts w:hint="eastAsia" w:ascii="新宋体" w:hAnsi="新宋体" w:eastAsia="新宋体" w:cs="新宋体"/>
          <w:b/>
          <w:bCs/>
          <w:color w:val="auto"/>
          <w:sz w:val="22"/>
          <w:szCs w:val="22"/>
          <w:highlight w:val="none"/>
          <w:lang w:val="zh-CN"/>
        </w:rPr>
        <w:t>第九条  需求变更</w:t>
      </w:r>
      <w:bookmarkEnd w:id="103"/>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9.1</w:t>
      </w:r>
      <w:r>
        <w:rPr>
          <w:rFonts w:hint="eastAsia" w:ascii="新宋体" w:hAnsi="新宋体" w:eastAsia="新宋体" w:cs="新宋体"/>
          <w:color w:val="auto"/>
          <w:sz w:val="22"/>
          <w:szCs w:val="22"/>
          <w:highlight w:val="none"/>
          <w:lang w:val="zh-CN"/>
        </w:rPr>
        <w:t>在项目实施过程中，甲方可根据业务需求调整技术功能、业务功能和修改业务需求。</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9.2</w:t>
      </w:r>
      <w:r>
        <w:rPr>
          <w:rFonts w:hint="eastAsia" w:ascii="新宋体" w:hAnsi="新宋体" w:eastAsia="新宋体" w:cs="新宋体"/>
          <w:color w:val="auto"/>
          <w:sz w:val="22"/>
          <w:szCs w:val="22"/>
          <w:highlight w:val="none"/>
          <w:lang w:val="zh-CN"/>
        </w:rPr>
        <w:t>业务需求变更经双方确认后，双方应评估需求变更的实施对项目日程表和其他合同条款所产生的影响，并签署相应的《需求变更备忘录》。经双方授权代表签字盖章后的《需求变更备忘录》将作为本合同的有效附件和执行变更的依据。</w:t>
      </w:r>
    </w:p>
    <w:p>
      <w:pPr>
        <w:spacing w:line="440" w:lineRule="exact"/>
        <w:rPr>
          <w:rFonts w:ascii="新宋体" w:hAnsi="新宋体" w:eastAsia="新宋体" w:cs="新宋体"/>
          <w:b/>
          <w:bCs/>
          <w:color w:val="auto"/>
          <w:sz w:val="22"/>
          <w:szCs w:val="22"/>
          <w:highlight w:val="none"/>
        </w:rPr>
      </w:pPr>
      <w:bookmarkStart w:id="104" w:name="bookmark12"/>
      <w:r>
        <w:rPr>
          <w:rFonts w:hint="eastAsia" w:ascii="新宋体" w:hAnsi="新宋体" w:eastAsia="新宋体" w:cs="新宋体"/>
          <w:b/>
          <w:bCs/>
          <w:color w:val="auto"/>
          <w:sz w:val="22"/>
          <w:szCs w:val="22"/>
          <w:highlight w:val="none"/>
          <w:lang w:val="zh-CN"/>
        </w:rPr>
        <w:t>第十条  技术支持与培训</w:t>
      </w:r>
      <w:bookmarkEnd w:id="104"/>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10.1</w:t>
      </w:r>
      <w:r>
        <w:rPr>
          <w:rFonts w:hint="eastAsia" w:ascii="新宋体" w:hAnsi="新宋体" w:eastAsia="新宋体" w:cs="新宋体"/>
          <w:color w:val="auto"/>
          <w:sz w:val="22"/>
          <w:szCs w:val="22"/>
          <w:highlight w:val="none"/>
          <w:lang w:val="zh-CN"/>
        </w:rPr>
        <w:t>乙方应根据</w:t>
      </w:r>
      <w:r>
        <w:rPr>
          <w:rFonts w:hint="eastAsia" w:ascii="新宋体" w:hAnsi="新宋体" w:eastAsia="新宋体" w:cs="新宋体"/>
          <w:color w:val="auto"/>
          <w:sz w:val="22"/>
          <w:szCs w:val="22"/>
          <w:highlight w:val="none"/>
          <w:lang w:val="en-US" w:eastAsia="zh-CN"/>
        </w:rPr>
        <w:t>投标</w:t>
      </w:r>
      <w:r>
        <w:rPr>
          <w:rFonts w:hint="eastAsia" w:ascii="新宋体" w:hAnsi="新宋体" w:eastAsia="新宋体" w:cs="新宋体"/>
          <w:color w:val="auto"/>
          <w:sz w:val="22"/>
          <w:szCs w:val="22"/>
          <w:highlight w:val="none"/>
          <w:lang w:val="zh-CN"/>
        </w:rPr>
        <w:t>文件的相关培训承诺及项目实施进度，对甲方相关人员进行培训。</w:t>
      </w:r>
    </w:p>
    <w:p>
      <w:pPr>
        <w:spacing w:line="44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10.2</w:t>
      </w:r>
      <w:r>
        <w:rPr>
          <w:rFonts w:hint="eastAsia" w:ascii="新宋体" w:hAnsi="新宋体" w:eastAsia="新宋体" w:cs="新宋体"/>
          <w:color w:val="auto"/>
          <w:sz w:val="22"/>
          <w:szCs w:val="22"/>
          <w:highlight w:val="none"/>
          <w:lang w:val="zh-CN"/>
        </w:rPr>
        <w:t>乙方负责向甲方提供至少三年（36个月）的项目免费维护服务，运营服务的服务期一年。免费维护服务期自项目终验合格之日起算。</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质量免费维护期间，供应商对采购人提出的在合同范围内具体需求进行调研、调整和完善，并提供免费升级、维护、质保等服务。</w:t>
      </w:r>
    </w:p>
    <w:p>
      <w:pPr>
        <w:spacing w:line="440" w:lineRule="exact"/>
        <w:rPr>
          <w:rFonts w:ascii="新宋体" w:hAnsi="新宋体" w:eastAsia="新宋体" w:cs="新宋体"/>
          <w:b/>
          <w:bCs/>
          <w:color w:val="auto"/>
          <w:sz w:val="22"/>
          <w:szCs w:val="22"/>
          <w:highlight w:val="none"/>
        </w:rPr>
      </w:pPr>
      <w:bookmarkStart w:id="105" w:name="bookmark13"/>
      <w:r>
        <w:rPr>
          <w:rFonts w:hint="eastAsia" w:ascii="新宋体" w:hAnsi="新宋体" w:eastAsia="新宋体" w:cs="新宋体"/>
          <w:b/>
          <w:bCs/>
          <w:color w:val="auto"/>
          <w:sz w:val="22"/>
          <w:szCs w:val="22"/>
          <w:highlight w:val="none"/>
          <w:lang w:val="zh-CN"/>
        </w:rPr>
        <w:t>第十一条  所有权和知识产权</w:t>
      </w:r>
      <w:bookmarkEnd w:id="105"/>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11.1在本项目过程中所产生的技术成果（包括工程实施文档、软件、技术诀窍、秘密信息、技术资料等）的知识产权包括相关权益归甲方所有，乙方未经甲方同意，不得将涉及知识产权的技术秘密透露给第三方。</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11.</w:t>
      </w:r>
      <w:r>
        <w:rPr>
          <w:rFonts w:ascii="新宋体" w:hAnsi="新宋体" w:eastAsia="新宋体" w:cs="新宋体"/>
          <w:color w:val="auto"/>
          <w:sz w:val="22"/>
          <w:szCs w:val="22"/>
          <w:highlight w:val="none"/>
          <w:lang w:val="zh-CN"/>
        </w:rPr>
        <w:t>2</w:t>
      </w:r>
      <w:r>
        <w:rPr>
          <w:rFonts w:hint="eastAsia" w:ascii="新宋体" w:hAnsi="新宋体" w:eastAsia="新宋体" w:cs="新宋体"/>
          <w:color w:val="auto"/>
          <w:sz w:val="22"/>
          <w:szCs w:val="22"/>
          <w:highlight w:val="none"/>
          <w:lang w:val="zh-CN"/>
        </w:rPr>
        <w:t>本合同生效日前已存在的版权及其他知识产权，其所有权权属不发生任何变更。任何一方均不得凭借本合同取得另一方拥有的版权、专利、商业秘密、商标或任何其他知识产权的所有权。</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甲方在使用乙方提供的属于第三方软件时，应当依照乙方与第三方对该软件使用的约定进行。乙方应将该约定的书面文件的复印件交甲方参阅。</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11.</w:t>
      </w: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zh-CN"/>
        </w:rPr>
        <w:t>甲方在领受本合同项下的软件后，应严格遵守相关的知识产权及软件版权保护的法律、法规，并在本合同所规定的范围内使用本软件。</w:t>
      </w:r>
    </w:p>
    <w:p>
      <w:pPr>
        <w:spacing w:line="440" w:lineRule="exact"/>
        <w:rPr>
          <w:rFonts w:ascii="新宋体" w:hAnsi="新宋体" w:eastAsia="新宋体" w:cs="新宋体"/>
          <w:b/>
          <w:bCs/>
          <w:color w:val="auto"/>
          <w:sz w:val="22"/>
          <w:szCs w:val="22"/>
          <w:highlight w:val="none"/>
        </w:rPr>
      </w:pPr>
      <w:bookmarkStart w:id="106" w:name="bookmark14"/>
      <w:r>
        <w:rPr>
          <w:rFonts w:hint="eastAsia" w:ascii="新宋体" w:hAnsi="新宋体" w:eastAsia="新宋体" w:cs="新宋体"/>
          <w:b/>
          <w:bCs/>
          <w:color w:val="auto"/>
          <w:sz w:val="22"/>
          <w:szCs w:val="22"/>
          <w:highlight w:val="none"/>
        </w:rPr>
        <w:t>第十二条  保密条款</w:t>
      </w:r>
      <w:bookmarkEnd w:id="106"/>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zh-CN"/>
        </w:rPr>
        <w:t>在本合同履行期限内，任何一方可以获得与本项目相关的对方的商业秘密，对此双方应谨慎地进行披露和接受。</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12.2</w:t>
      </w:r>
      <w:r>
        <w:rPr>
          <w:rFonts w:hint="eastAsia" w:ascii="新宋体" w:hAnsi="新宋体" w:eastAsia="新宋体" w:cs="新宋体"/>
          <w:color w:val="auto"/>
          <w:sz w:val="22"/>
          <w:szCs w:val="22"/>
          <w:highlight w:val="none"/>
          <w:lang w:val="zh-CN"/>
        </w:rPr>
        <w:t>获取对方商业秘密的一方仅可将该商业秘密用于履行其在本合同项下的义务，且只能由相关的工程技术人员使用。获取对方商业秘密的一方应当釆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w:t>
      </w:r>
      <w:r>
        <w:rPr>
          <w:rFonts w:ascii="新宋体" w:hAnsi="新宋体" w:eastAsia="新宋体" w:cs="新宋体"/>
          <w:color w:val="auto"/>
          <w:sz w:val="22"/>
          <w:szCs w:val="22"/>
          <w:highlight w:val="none"/>
          <w:lang w:val="zh-CN"/>
        </w:rPr>
        <w:t xml:space="preserve">2.3 </w:t>
      </w:r>
      <w:r>
        <w:rPr>
          <w:rFonts w:hint="eastAsia" w:ascii="新宋体" w:hAnsi="新宋体" w:eastAsia="新宋体" w:cs="新宋体"/>
          <w:color w:val="auto"/>
          <w:sz w:val="22"/>
          <w:szCs w:val="22"/>
          <w:highlight w:val="none"/>
          <w:lang w:val="zh-CN"/>
        </w:rPr>
        <w:t>在项目开发过程和系统运行过程中，乙方对所获得的、有关甲方或属于甲方的秘密信息，未经甲方同意，不得泄露给任何第三方。</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1</w:t>
      </w:r>
      <w:r>
        <w:rPr>
          <w:rFonts w:ascii="新宋体" w:hAnsi="新宋体" w:eastAsia="新宋体" w:cs="新宋体"/>
          <w:color w:val="auto"/>
          <w:sz w:val="22"/>
          <w:szCs w:val="22"/>
          <w:highlight w:val="none"/>
          <w:lang w:val="zh-CN"/>
        </w:rPr>
        <w:t xml:space="preserve">2.4 </w:t>
      </w:r>
      <w:r>
        <w:rPr>
          <w:rFonts w:hint="eastAsia" w:ascii="新宋体" w:hAnsi="新宋体" w:eastAsia="新宋体" w:cs="新宋体"/>
          <w:color w:val="auto"/>
          <w:sz w:val="22"/>
          <w:szCs w:val="22"/>
          <w:highlight w:val="none"/>
          <w:lang w:val="zh-CN"/>
        </w:rPr>
        <w:t>乙方只能将有关甲方或属于甲方的秘密信息用于服务于本项目，而且只能由相应的工程技术人员使用。</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lang w:val="zh-CN"/>
        </w:rPr>
        <w:t>1</w:t>
      </w:r>
      <w:r>
        <w:rPr>
          <w:rFonts w:ascii="新宋体" w:hAnsi="新宋体" w:eastAsia="新宋体" w:cs="新宋体"/>
          <w:color w:val="auto"/>
          <w:sz w:val="22"/>
          <w:szCs w:val="22"/>
          <w:highlight w:val="none"/>
          <w:lang w:val="zh-CN"/>
        </w:rPr>
        <w:t xml:space="preserve">2.5 </w:t>
      </w:r>
      <w:r>
        <w:rPr>
          <w:rFonts w:hint="eastAsia" w:ascii="新宋体" w:hAnsi="新宋体" w:eastAsia="新宋体" w:cs="新宋体"/>
          <w:color w:val="auto"/>
          <w:sz w:val="22"/>
          <w:szCs w:val="22"/>
          <w:highlight w:val="none"/>
          <w:lang w:val="zh-CN"/>
        </w:rPr>
        <w:t>乙方</w:t>
      </w:r>
      <w:r>
        <w:rPr>
          <w:rFonts w:hint="eastAsia" w:ascii="新宋体" w:hAnsi="新宋体" w:eastAsia="新宋体"/>
          <w:color w:val="auto"/>
          <w:sz w:val="22"/>
          <w:szCs w:val="22"/>
          <w:highlight w:val="none"/>
        </w:rPr>
        <w:t>应遵循甲方各项安全保密制度和规章，所有信息数据在迁移、处理等过程中严禁私自复制、传输，完成建设任务后，档案信息数据必须物理清除。</w:t>
      </w:r>
    </w:p>
    <w:p>
      <w:pPr>
        <w:spacing w:line="440" w:lineRule="exact"/>
        <w:rPr>
          <w:rFonts w:ascii="新宋体" w:hAnsi="新宋体" w:eastAsia="新宋体" w:cs="新宋体"/>
          <w:b/>
          <w:bCs/>
          <w:color w:val="auto"/>
          <w:sz w:val="22"/>
          <w:szCs w:val="22"/>
          <w:highlight w:val="none"/>
        </w:rPr>
      </w:pPr>
      <w:bookmarkStart w:id="107" w:name="bookmark15"/>
      <w:r>
        <w:rPr>
          <w:rFonts w:hint="eastAsia" w:ascii="新宋体" w:hAnsi="新宋体" w:eastAsia="新宋体" w:cs="新宋体"/>
          <w:b/>
          <w:bCs/>
          <w:color w:val="auto"/>
          <w:sz w:val="22"/>
          <w:szCs w:val="22"/>
          <w:highlight w:val="none"/>
        </w:rPr>
        <w:t>第十三条  违约</w:t>
      </w:r>
      <w:bookmarkEnd w:id="107"/>
      <w:r>
        <w:rPr>
          <w:rFonts w:hint="eastAsia" w:ascii="新宋体" w:hAnsi="新宋体" w:eastAsia="新宋体" w:cs="新宋体"/>
          <w:b/>
          <w:bCs/>
          <w:color w:val="auto"/>
          <w:sz w:val="22"/>
          <w:szCs w:val="22"/>
          <w:highlight w:val="none"/>
        </w:rPr>
        <w:t>责任</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w:t>
      </w:r>
      <w:r>
        <w:rPr>
          <w:rFonts w:hint="eastAsia" w:ascii="新宋体" w:hAnsi="新宋体" w:eastAsia="新宋体" w:cs="新宋体"/>
          <w:color w:val="auto"/>
          <w:sz w:val="22"/>
          <w:szCs w:val="22"/>
          <w:highlight w:val="none"/>
          <w:lang w:val="zh-CN"/>
        </w:rPr>
        <w:t>交付违约：若乙方未在本合同规定的期限内或双方书面同意的调整期限内完成开发工作并通过验收，每延迟一日，应向甲方支付相当于合同总金额千分之</w:t>
      </w:r>
      <w:r>
        <w:rPr>
          <w:rFonts w:hint="eastAsia" w:ascii="新宋体" w:hAnsi="新宋体" w:eastAsia="新宋体" w:cs="新宋体"/>
          <w:color w:val="auto"/>
          <w:sz w:val="22"/>
          <w:szCs w:val="22"/>
          <w:highlight w:val="none"/>
        </w:rPr>
        <w:t>一</w:t>
      </w:r>
      <w:r>
        <w:rPr>
          <w:rFonts w:hint="eastAsia" w:ascii="新宋体" w:hAnsi="新宋体" w:eastAsia="新宋体" w:cs="新宋体"/>
          <w:color w:val="auto"/>
          <w:sz w:val="22"/>
          <w:szCs w:val="22"/>
          <w:highlight w:val="none"/>
          <w:lang w:val="zh-CN"/>
        </w:rPr>
        <w:t>的违约金，甲方有权在应付款项中直接扣除；</w:t>
      </w:r>
    </w:p>
    <w:p>
      <w:pPr>
        <w:spacing w:line="440" w:lineRule="exact"/>
        <w:ind w:firstLine="440" w:firstLineChars="200"/>
        <w:rPr>
          <w:rFonts w:ascii="新宋体" w:hAnsi="新宋体" w:eastAsia="新宋体" w:cs="新宋体"/>
          <w:color w:val="auto"/>
          <w:sz w:val="22"/>
          <w:szCs w:val="22"/>
          <w:highlight w:val="none"/>
        </w:rPr>
      </w:pPr>
      <w:bookmarkStart w:id="108" w:name="bookmark16"/>
      <w:r>
        <w:rPr>
          <w:rFonts w:hint="eastAsia" w:ascii="新宋体" w:hAnsi="新宋体" w:eastAsia="新宋体" w:cs="新宋体"/>
          <w:color w:val="auto"/>
          <w:sz w:val="22"/>
          <w:szCs w:val="22"/>
          <w:highlight w:val="none"/>
        </w:rPr>
        <w:t>13.2 若乙方未能按照项目工期完成项目开发，且双方无法协商达成一致，甲方有权单方面解除本合同，乙方应退还已收取的全部费用并按合同总金额的1</w:t>
      </w:r>
      <w:r>
        <w:rPr>
          <w:rFonts w:ascii="新宋体" w:hAnsi="新宋体" w:eastAsia="新宋体" w:cs="新宋体"/>
          <w:color w:val="auto"/>
          <w:sz w:val="22"/>
          <w:szCs w:val="22"/>
          <w:highlight w:val="none"/>
        </w:rPr>
        <w:t>0%</w:t>
      </w:r>
      <w:r>
        <w:rPr>
          <w:rFonts w:hint="eastAsia" w:ascii="新宋体" w:hAnsi="新宋体" w:eastAsia="新宋体" w:cs="新宋体"/>
          <w:color w:val="auto"/>
          <w:sz w:val="22"/>
          <w:szCs w:val="22"/>
          <w:highlight w:val="none"/>
        </w:rPr>
        <w:t>向甲方支付违约金。</w:t>
      </w:r>
    </w:p>
    <w:p>
      <w:pPr>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zh-CN"/>
        </w:rPr>
        <w:t>第十四条  质量保证和权利保证</w:t>
      </w:r>
      <w:bookmarkEnd w:id="108"/>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w:t>
      </w:r>
      <w:r>
        <w:rPr>
          <w:rFonts w:hint="eastAsia" w:ascii="新宋体" w:hAnsi="新宋体" w:eastAsia="新宋体" w:cs="新宋体"/>
          <w:color w:val="auto"/>
          <w:sz w:val="22"/>
          <w:szCs w:val="22"/>
          <w:highlight w:val="none"/>
          <w:lang w:val="zh-CN"/>
        </w:rPr>
        <w:t>乙方保证在本合同项下提供给甲方的开发软件符合甲方提前告知的质量体系要求，乙方保证在本合同项下提供给甲方的应用系统源代码和技术文档符合甲方提前告知的规范要求。</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w:t>
      </w:r>
      <w:r>
        <w:rPr>
          <w:rFonts w:hint="eastAsia" w:ascii="新宋体" w:hAnsi="新宋体" w:eastAsia="新宋体" w:cs="新宋体"/>
          <w:color w:val="auto"/>
          <w:sz w:val="22"/>
          <w:szCs w:val="22"/>
          <w:highlight w:val="none"/>
          <w:lang w:val="zh-CN"/>
        </w:rPr>
        <w:t>乙方保证在本合同项下提供给甲方的应用系统具有良好的可维护性。</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w:t>
      </w:r>
      <w:r>
        <w:rPr>
          <w:rFonts w:hint="eastAsia" w:ascii="新宋体" w:hAnsi="新宋体" w:eastAsia="新宋体" w:cs="新宋体"/>
          <w:color w:val="auto"/>
          <w:sz w:val="22"/>
          <w:szCs w:val="22"/>
          <w:highlight w:val="none"/>
          <w:lang w:val="zh-CN"/>
        </w:rPr>
        <w:t>乙方保证提供给甲方的软件及资料不侵犯任何第三方的知识产权，否则乙方应承担甲方因此遭受的所有经济损失，若甲方因此与第三方发生法律纠纷的，乙方应负责处理一切相关事宜并承担所有费用。</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14.4</w:t>
      </w:r>
      <w:r>
        <w:rPr>
          <w:rFonts w:hint="eastAsia" w:ascii="新宋体" w:hAnsi="新宋体" w:eastAsia="新宋体" w:cs="新宋体"/>
          <w:color w:val="auto"/>
          <w:sz w:val="22"/>
          <w:szCs w:val="22"/>
          <w:highlight w:val="none"/>
          <w:lang w:val="zh-CN"/>
        </w:rPr>
        <w:t>乙方承诺，在项目开发过程中向甲方提供齐备的手册和文档，包括系统维护所需要的技术文档、系统运营所需要的使用手册等。</w:t>
      </w:r>
    </w:p>
    <w:p>
      <w:pPr>
        <w:spacing w:line="440" w:lineRule="exact"/>
        <w:rPr>
          <w:rFonts w:ascii="新宋体" w:hAnsi="新宋体" w:eastAsia="新宋体" w:cs="新宋体"/>
          <w:b/>
          <w:bCs/>
          <w:color w:val="auto"/>
          <w:sz w:val="22"/>
          <w:szCs w:val="22"/>
          <w:highlight w:val="none"/>
        </w:rPr>
      </w:pPr>
      <w:bookmarkStart w:id="109" w:name="bookmark17"/>
      <w:r>
        <w:rPr>
          <w:rFonts w:hint="eastAsia" w:ascii="新宋体" w:hAnsi="新宋体" w:eastAsia="新宋体" w:cs="新宋体"/>
          <w:b/>
          <w:bCs/>
          <w:color w:val="auto"/>
          <w:sz w:val="22"/>
          <w:szCs w:val="22"/>
          <w:highlight w:val="none"/>
          <w:lang w:val="zh-CN"/>
        </w:rPr>
        <w:t>第十五条  合同期限和终止</w:t>
      </w:r>
      <w:bookmarkEnd w:id="109"/>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w:t>
      </w:r>
      <w:r>
        <w:rPr>
          <w:rFonts w:hint="eastAsia" w:ascii="新宋体" w:hAnsi="新宋体" w:eastAsia="新宋体" w:cs="新宋体"/>
          <w:color w:val="auto"/>
          <w:sz w:val="22"/>
          <w:szCs w:val="22"/>
          <w:highlight w:val="none"/>
          <w:lang w:val="zh-CN"/>
        </w:rPr>
        <w:t>除非有提前终止的事由出现，本合同有效期截至双方全部履行完成本合同项下的义务时终止，即本合同书从双方签字盖章之日起生效，至免费维护服务期结束之日终止。</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w:t>
      </w:r>
      <w:r>
        <w:rPr>
          <w:rFonts w:hint="eastAsia" w:ascii="新宋体" w:hAnsi="新宋体" w:eastAsia="新宋体" w:cs="新宋体"/>
          <w:color w:val="auto"/>
          <w:sz w:val="22"/>
          <w:szCs w:val="22"/>
          <w:highlight w:val="none"/>
          <w:lang w:val="zh-CN"/>
        </w:rPr>
        <w:t>本合同一方严重违反其在本合同项下的任何义务，并且未能在对方发出书面通知指明该违约事项后10个工作日内改正的，守约方可以在发出书面通知15个工作日后终止本合同。</w:t>
      </w:r>
    </w:p>
    <w:p>
      <w:pPr>
        <w:spacing w:line="440" w:lineRule="exact"/>
        <w:rPr>
          <w:rFonts w:ascii="新宋体" w:hAnsi="新宋体" w:eastAsia="新宋体" w:cs="新宋体"/>
          <w:b/>
          <w:bCs/>
          <w:color w:val="auto"/>
          <w:sz w:val="22"/>
          <w:szCs w:val="22"/>
          <w:highlight w:val="none"/>
        </w:rPr>
      </w:pPr>
      <w:bookmarkStart w:id="110" w:name="bookmark18"/>
      <w:r>
        <w:rPr>
          <w:rFonts w:hint="eastAsia" w:ascii="新宋体" w:hAnsi="新宋体" w:eastAsia="新宋体" w:cs="新宋体"/>
          <w:b/>
          <w:bCs/>
          <w:color w:val="auto"/>
          <w:sz w:val="22"/>
          <w:szCs w:val="22"/>
          <w:highlight w:val="none"/>
        </w:rPr>
        <w:t>第十六条  不可抗力</w:t>
      </w:r>
      <w:bookmarkEnd w:id="110"/>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w:t>
      </w:r>
      <w:r>
        <w:rPr>
          <w:rFonts w:hint="eastAsia" w:ascii="新宋体" w:hAnsi="新宋体" w:eastAsia="新宋体" w:cs="新宋体"/>
          <w:color w:val="auto"/>
          <w:sz w:val="22"/>
          <w:szCs w:val="22"/>
          <w:highlight w:val="none"/>
          <w:lang w:val="zh-CN"/>
        </w:rPr>
        <w:t>由于地震、台风、水灾、火灾、战争、国家政策和法律变化以及其他不能预见并对其发生和后果不能预防或避免的不可抗力，直接影响本合同的履行或者不能按照合同的约定履行时，遇有上述不可抗力的一方，应以最快方式通知对方，并在不可抗力消失后10个工作日之内，提供上述不可抗力的详细情况及合同不能履行，或者部分不能履行，或者需要延期履行的理由和有效的证明文件。</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16.2</w:t>
      </w:r>
      <w:r>
        <w:rPr>
          <w:rFonts w:hint="eastAsia" w:ascii="新宋体" w:hAnsi="新宋体" w:eastAsia="新宋体" w:cs="新宋体"/>
          <w:color w:val="auto"/>
          <w:sz w:val="22"/>
          <w:szCs w:val="22"/>
          <w:highlight w:val="none"/>
          <w:lang w:val="zh-CN"/>
        </w:rPr>
        <w:t>如果不可抗力事件持续存在超过45个工作日，双方应通过友好协商，商定继续履行本合同的方法或者终止本合同。</w:t>
      </w:r>
    </w:p>
    <w:p>
      <w:pPr>
        <w:spacing w:line="440" w:lineRule="exact"/>
        <w:rPr>
          <w:rFonts w:ascii="新宋体" w:hAnsi="新宋体" w:eastAsia="新宋体" w:cs="新宋体"/>
          <w:b/>
          <w:bCs/>
          <w:color w:val="auto"/>
          <w:sz w:val="22"/>
          <w:szCs w:val="22"/>
          <w:highlight w:val="none"/>
        </w:rPr>
      </w:pPr>
      <w:bookmarkStart w:id="111" w:name="bookmark19"/>
      <w:r>
        <w:rPr>
          <w:rFonts w:hint="eastAsia" w:ascii="新宋体" w:hAnsi="新宋体" w:eastAsia="新宋体" w:cs="新宋体"/>
          <w:b/>
          <w:bCs/>
          <w:color w:val="auto"/>
          <w:sz w:val="22"/>
          <w:szCs w:val="22"/>
          <w:highlight w:val="none"/>
          <w:lang w:val="zh-CN"/>
        </w:rPr>
        <w:t>第十七条  适用法律和争议解决</w:t>
      </w:r>
      <w:bookmarkEnd w:id="111"/>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w:t>
      </w:r>
      <w:r>
        <w:rPr>
          <w:rFonts w:hint="eastAsia" w:ascii="新宋体" w:hAnsi="新宋体" w:eastAsia="新宋体" w:cs="新宋体"/>
          <w:color w:val="auto"/>
          <w:sz w:val="22"/>
          <w:szCs w:val="22"/>
          <w:highlight w:val="none"/>
          <w:lang w:val="zh-CN"/>
        </w:rPr>
        <w:t>本合同的订立、效力、解释、履行和争议的解决受中华人民共和国法律管辖。</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w:t>
      </w:r>
      <w:r>
        <w:rPr>
          <w:rFonts w:hint="eastAsia" w:ascii="新宋体" w:hAnsi="新宋体" w:eastAsia="新宋体" w:cs="新宋体"/>
          <w:color w:val="auto"/>
          <w:sz w:val="22"/>
          <w:szCs w:val="22"/>
          <w:highlight w:val="none"/>
          <w:lang w:val="zh-CN"/>
        </w:rPr>
        <w:t>有关本合同的任何争议，双方应首先本着相互信任、长期合作的原则，共同协商解决。协商不成，双方同意由温州仲裁委员会进行仲裁。</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w:t>
      </w:r>
      <w:r>
        <w:rPr>
          <w:rFonts w:hint="eastAsia" w:ascii="新宋体" w:hAnsi="新宋体" w:eastAsia="新宋体" w:cs="新宋体"/>
          <w:color w:val="auto"/>
          <w:sz w:val="22"/>
          <w:szCs w:val="22"/>
          <w:highlight w:val="none"/>
          <w:lang w:val="zh-CN"/>
        </w:rPr>
        <w:t>除正在提交仲裁或与仲裁有关的部分外，本合同其余部分应继续履行。</w:t>
      </w:r>
    </w:p>
    <w:p>
      <w:pPr>
        <w:spacing w:line="440" w:lineRule="exact"/>
        <w:rPr>
          <w:rFonts w:ascii="新宋体" w:hAnsi="新宋体" w:eastAsia="新宋体" w:cs="新宋体"/>
          <w:b/>
          <w:bCs/>
          <w:color w:val="auto"/>
          <w:sz w:val="22"/>
          <w:szCs w:val="22"/>
          <w:highlight w:val="none"/>
        </w:rPr>
      </w:pPr>
      <w:bookmarkStart w:id="112" w:name="bookmark20"/>
      <w:r>
        <w:rPr>
          <w:rFonts w:hint="eastAsia" w:ascii="新宋体" w:hAnsi="新宋体" w:eastAsia="新宋体" w:cs="新宋体"/>
          <w:b/>
          <w:bCs/>
          <w:color w:val="auto"/>
          <w:sz w:val="22"/>
          <w:szCs w:val="22"/>
          <w:highlight w:val="none"/>
        </w:rPr>
        <w:t>第十八条  其它</w:t>
      </w:r>
      <w:bookmarkEnd w:id="112"/>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18.1通知与送达： </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甲乙双方为履行本合同相互间送达的文件可按以下方式进行：</w:t>
      </w:r>
    </w:p>
    <w:p>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甲方联系人： </w:t>
      </w:r>
      <w:r>
        <w:rPr>
          <w:rFonts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rPr>
        <w:t xml:space="preserve">，联系电话：，电子邮箱： </w:t>
      </w:r>
      <w:r>
        <w:rPr>
          <w:rFonts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rPr>
        <w:t xml:space="preserve">微信号码： </w:t>
      </w:r>
      <w:r>
        <w:rPr>
          <w:rFonts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rPr>
        <w:t>；</w:t>
      </w:r>
    </w:p>
    <w:p>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乙方联系人： </w:t>
      </w:r>
      <w:r>
        <w:rPr>
          <w:rFonts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rPr>
        <w:t xml:space="preserve">，联系电话：，电子邮箱： </w:t>
      </w:r>
      <w:r>
        <w:rPr>
          <w:rFonts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rPr>
        <w:t xml:space="preserve">微信号码： </w:t>
      </w:r>
      <w:r>
        <w:rPr>
          <w:rFonts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rPr>
        <w:t>；</w:t>
      </w:r>
    </w:p>
    <w:p>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以上联系方式为甲乙双方认可的正式文件送达地址及送达方式，如有变更，变更方有义务以电子邮件方式向另一方发出书面通知，否则以原联系方式发出的书面通知在发出后（无论是否收到）当日即视为已送达。</w:t>
      </w:r>
    </w:p>
    <w:p>
      <w:pPr>
        <w:spacing w:line="440" w:lineRule="exact"/>
        <w:ind w:firstLine="440" w:firstLineChars="200"/>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18.2</w:t>
      </w:r>
      <w:r>
        <w:rPr>
          <w:rFonts w:hint="eastAsia" w:ascii="新宋体" w:hAnsi="新宋体" w:eastAsia="新宋体" w:cs="新宋体"/>
          <w:color w:val="auto"/>
          <w:sz w:val="22"/>
          <w:szCs w:val="22"/>
          <w:highlight w:val="none"/>
          <w:lang w:val="zh-CN"/>
        </w:rPr>
        <w:t>本合同自双方签字盖章之日起生效。</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未经对方事先的书面同意，任何一方不得将本合同项下全部或部分权利、义务或利益转让或授予第三方。</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r>
        <w:rPr>
          <w:rFonts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zh-CN"/>
        </w:rPr>
        <w:t>本合同的附件、采购文件、投标文件以及投标人的各项承诺为本协议不可分割的组成部分，并且与本合同正文的条款具有同等效力。如果本合同正文的条款与附件的</w:t>
      </w:r>
      <w:r>
        <w:rPr>
          <w:rFonts w:hint="eastAsia" w:ascii="新宋体" w:hAnsi="新宋体" w:eastAsia="新宋体" w:cs="新宋体"/>
          <w:color w:val="auto"/>
          <w:sz w:val="22"/>
          <w:szCs w:val="22"/>
          <w:highlight w:val="none"/>
        </w:rPr>
        <w:t>条款有冲突，以附件条款为准。</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18.</w:t>
      </w:r>
      <w:r>
        <w:rPr>
          <w:rFonts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本合同的主要内容可根据招标结果由甲乙双方协商调整。</w:t>
      </w:r>
    </w:p>
    <w:p>
      <w:pPr>
        <w:spacing w:line="44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18.</w:t>
      </w:r>
      <w:r>
        <w:rPr>
          <w:rFonts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zh-CN"/>
        </w:rPr>
        <w:t>如需修改或补充合同内容，经协商，双方应签署书面修改或补充协议，该协议将作为本合同的一个组成部分。</w:t>
      </w: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18.</w:t>
      </w:r>
      <w:r>
        <w:rPr>
          <w:rFonts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t>本合同一式陆份，甲乙双方各叁份，每份具有同等法律效力。</w:t>
      </w:r>
    </w:p>
    <w:p>
      <w:pPr>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br w:type="page"/>
      </w:r>
      <w:r>
        <w:rPr>
          <w:rFonts w:hint="eastAsia" w:ascii="新宋体" w:hAnsi="新宋体" w:eastAsia="新宋体" w:cs="新宋体"/>
          <w:color w:val="auto"/>
          <w:sz w:val="22"/>
          <w:szCs w:val="22"/>
          <w:highlight w:val="none"/>
          <w:lang w:val="zh-CN"/>
        </w:rPr>
        <w:t>（本页为合同签署页，以下无正文）</w:t>
      </w:r>
    </w:p>
    <w:p>
      <w:pPr>
        <w:spacing w:line="440" w:lineRule="exact"/>
        <w:rPr>
          <w:rFonts w:ascii="新宋体" w:hAnsi="新宋体" w:eastAsia="新宋体" w:cs="新宋体"/>
          <w:color w:val="auto"/>
          <w:sz w:val="22"/>
          <w:szCs w:val="22"/>
          <w:highlight w:val="none"/>
        </w:rPr>
      </w:pPr>
    </w:p>
    <w:p>
      <w:pPr>
        <w:spacing w:line="440" w:lineRule="exact"/>
        <w:rPr>
          <w:rFonts w:ascii="新宋体" w:hAnsi="新宋体" w:eastAsia="新宋体" w:cs="新宋体"/>
          <w:color w:val="auto"/>
          <w:sz w:val="22"/>
          <w:szCs w:val="22"/>
          <w:highlight w:val="none"/>
        </w:rPr>
      </w:pPr>
    </w:p>
    <w:p>
      <w:pPr>
        <w:spacing w:line="440" w:lineRule="exact"/>
        <w:rPr>
          <w:rFonts w:ascii="新宋体" w:hAnsi="新宋体" w:eastAsia="新宋体" w:cs="新宋体"/>
          <w:color w:val="auto"/>
          <w:sz w:val="22"/>
          <w:szCs w:val="22"/>
          <w:highlight w:val="none"/>
        </w:rPr>
      </w:pPr>
    </w:p>
    <w:p>
      <w:pPr>
        <w:tabs>
          <w:tab w:val="left" w:pos="360"/>
        </w:tabs>
        <w:spacing w:line="440" w:lineRule="exact"/>
        <w:ind w:firstLine="5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40" w:lineRule="exact"/>
        <w:ind w:firstLine="5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40" w:lineRule="exact"/>
        <w:ind w:firstLine="5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40" w:lineRule="exact"/>
        <w:ind w:firstLine="5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40" w:lineRule="exact"/>
        <w:ind w:firstLine="5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40" w:lineRule="exact"/>
        <w:ind w:firstLine="5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40" w:lineRule="exact"/>
        <w:ind w:firstLine="5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40" w:lineRule="exact"/>
        <w:ind w:firstLine="5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pacing w:line="44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签约日期：</w:t>
      </w:r>
    </w:p>
    <w:p>
      <w:pPr>
        <w:spacing w:line="440" w:lineRule="exact"/>
        <w:ind w:firstLine="6490" w:firstLineChars="29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pPr>
        <w:spacing w:line="360" w:lineRule="auto"/>
        <w:ind w:firstLine="454"/>
        <w:rPr>
          <w:rFonts w:hint="eastAsia"/>
          <w:color w:val="auto"/>
          <w:highlight w:val="none"/>
        </w:rPr>
      </w:pPr>
      <w:r>
        <w:rPr>
          <w:rFonts w:hint="eastAsia" w:ascii="新宋体" w:hAnsi="新宋体" w:eastAsia="新宋体" w:cs="新宋体"/>
          <w:color w:val="auto"/>
          <w:sz w:val="22"/>
          <w:szCs w:val="22"/>
          <w:highlight w:val="none"/>
        </w:rPr>
        <w:t>签约地点</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rPr>
        <w:tab/>
      </w:r>
    </w:p>
    <w:p>
      <w:pPr>
        <w:pStyle w:val="664"/>
        <w:keepNext/>
        <w:keepLines/>
        <w:shd w:val="clear" w:color="auto" w:fill="auto"/>
        <w:jc w:val="left"/>
        <w:rPr>
          <w:rFonts w:hint="eastAsia" w:ascii="宋体" w:hAnsi="宋体" w:eastAsia="宋体" w:cs="宋体"/>
          <w:color w:val="auto"/>
          <w:sz w:val="22"/>
          <w:szCs w:val="22"/>
          <w:highlight w:val="none"/>
        </w:rPr>
      </w:pPr>
    </w:p>
    <w:p>
      <w:pPr>
        <w:pStyle w:val="4"/>
        <w:rPr>
          <w:rFonts w:hint="eastAsia" w:ascii="宋体" w:hAnsi="宋体" w:eastAsia="宋体" w:cs="宋体"/>
          <w:bCs w:val="0"/>
          <w:color w:val="auto"/>
          <w:sz w:val="36"/>
          <w:szCs w:val="36"/>
          <w:highlight w:val="none"/>
        </w:rPr>
      </w:pPr>
      <w:bookmarkStart w:id="113" w:name="_Toc58406692"/>
      <w:bookmarkStart w:id="114" w:name="_Toc29422"/>
      <w:bookmarkStart w:id="115" w:name="_Toc5314"/>
      <w:bookmarkStart w:id="116" w:name="_Toc21106"/>
      <w:r>
        <w:rPr>
          <w:rFonts w:hint="eastAsia" w:ascii="宋体" w:hAnsi="宋体" w:eastAsia="宋体" w:cs="宋体"/>
          <w:bCs w:val="0"/>
          <w:color w:val="auto"/>
          <w:sz w:val="36"/>
          <w:szCs w:val="36"/>
          <w:highlight w:val="none"/>
        </w:rPr>
        <w:br w:type="page"/>
      </w:r>
      <w:r>
        <w:rPr>
          <w:rFonts w:hint="eastAsia" w:ascii="宋体" w:hAnsi="宋体" w:eastAsia="宋体" w:cs="宋体"/>
          <w:bCs w:val="0"/>
          <w:color w:val="auto"/>
          <w:sz w:val="36"/>
          <w:szCs w:val="36"/>
          <w:highlight w:val="none"/>
        </w:rPr>
        <w:t>第四部分   投标文件格式</w:t>
      </w:r>
      <w:bookmarkEnd w:id="113"/>
      <w:bookmarkEnd w:id="114"/>
      <w:bookmarkEnd w:id="115"/>
      <w:bookmarkEnd w:id="116"/>
    </w:p>
    <w:p>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55"/>
        <w:ind w:firstLine="281"/>
        <w:rPr>
          <w:rFonts w:hint="eastAsia" w:ascii="宋体" w:hAnsi="宋体" w:cs="宋体"/>
          <w:color w:val="auto"/>
          <w:sz w:val="28"/>
          <w:szCs w:val="28"/>
          <w:highlight w:val="none"/>
        </w:rPr>
      </w:pPr>
    </w:p>
    <w:p>
      <w:pPr>
        <w:pStyle w:val="55"/>
        <w:ind w:firstLine="281"/>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资格审查资料</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rPr>
          <w:rFonts w:hint="eastAsia" w:ascii="宋体" w:hAnsi="宋体" w:cs="宋体"/>
          <w:color w:val="auto"/>
          <w:sz w:val="28"/>
          <w:szCs w:val="28"/>
          <w:highlight w:val="none"/>
          <w:u w:val="singl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rPr>
          <w:rFonts w:hint="eastAsia" w:ascii="宋体" w:hAnsi="宋体" w:cs="宋体"/>
          <w:color w:val="auto"/>
          <w:sz w:val="28"/>
          <w:szCs w:val="28"/>
          <w:highlight w:val="none"/>
        </w:rPr>
      </w:pPr>
    </w:p>
    <w:p>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pPr>
        <w:jc w:val="center"/>
        <w:rPr>
          <w:rFonts w:hint="eastAsia" w:ascii="宋体" w:hAnsi="宋体" w:cs="宋体"/>
          <w:b/>
          <w:bCs/>
          <w:color w:val="auto"/>
          <w:sz w:val="52"/>
          <w:szCs w:val="52"/>
          <w:highlight w:val="none"/>
        </w:rPr>
      </w:pPr>
      <w:bookmarkStart w:id="117" w:name="_Toc504034734"/>
      <w:bookmarkStart w:id="118" w:name="_Toc465107614"/>
      <w:r>
        <w:rPr>
          <w:rFonts w:hint="eastAsia" w:ascii="宋体" w:hAnsi="宋体" w:cs="宋体"/>
          <w:b/>
          <w:bCs/>
          <w:color w:val="auto"/>
          <w:sz w:val="52"/>
          <w:szCs w:val="52"/>
          <w:highlight w:val="none"/>
        </w:rPr>
        <w:t>目    录</w:t>
      </w:r>
    </w:p>
    <w:p>
      <w:pPr>
        <w:pStyle w:val="2"/>
        <w:keepNext w:val="0"/>
        <w:keepLines w:val="0"/>
        <w:pageBreakBefore w:val="0"/>
        <w:widowControl w:val="0"/>
        <w:kinsoku/>
        <w:wordWrap/>
        <w:overflowPunct/>
        <w:topLinePunct w:val="0"/>
        <w:autoSpaceDE/>
        <w:autoSpaceDN/>
        <w:bidi w:val="0"/>
        <w:adjustRightInd w:val="0"/>
        <w:snapToGrid/>
        <w:spacing w:line="480" w:lineRule="auto"/>
        <w:ind w:firstLine="420"/>
        <w:textAlignment w:val="baseline"/>
        <w:rPr>
          <w:rFonts w:hint="eastAsia"/>
          <w:color w:val="auto"/>
          <w:highlight w:val="none"/>
        </w:rPr>
      </w:pPr>
    </w:p>
    <w:p>
      <w:pPr>
        <w:pStyle w:val="2"/>
        <w:keepNext w:val="0"/>
        <w:keepLines w:val="0"/>
        <w:pageBreakBefore w:val="0"/>
        <w:widowControl w:val="0"/>
        <w:kinsoku/>
        <w:wordWrap/>
        <w:overflowPunct/>
        <w:topLinePunct w:val="0"/>
        <w:autoSpaceDE/>
        <w:autoSpaceDN/>
        <w:bidi w:val="0"/>
        <w:adjustRightInd w:val="0"/>
        <w:snapToGrid/>
        <w:spacing w:line="480" w:lineRule="auto"/>
        <w:ind w:firstLine="420"/>
        <w:textAlignment w:val="baseline"/>
        <w:rPr>
          <w:rFonts w:hint="eastAsia"/>
          <w:color w:val="auto"/>
          <w:highlight w:val="none"/>
        </w:rPr>
      </w:pPr>
    </w:p>
    <w:p>
      <w:pPr>
        <w:pStyle w:val="4"/>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一、法定代表人（单位负责人）授权书和被授权人有效身份证明。</w:t>
      </w:r>
    </w:p>
    <w:p>
      <w:pPr>
        <w:pStyle w:val="4"/>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二、营业执照(或事业法人登记证书或其它工商等登记证明材料)。</w:t>
      </w:r>
    </w:p>
    <w:p>
      <w:pPr>
        <w:pStyle w:val="4"/>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三、中小企业声明函（或监狱企业声明函或残疾人福利性单位声明函）（采购文件第二部分相关附件）</w:t>
      </w:r>
    </w:p>
    <w:p>
      <w:pPr>
        <w:pStyle w:val="4"/>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四、资格条件承诺函</w:t>
      </w:r>
    </w:p>
    <w:p>
      <w:pPr>
        <w:pStyle w:val="4"/>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五、申请材料真实性声明</w:t>
      </w:r>
    </w:p>
    <w:p>
      <w:pPr>
        <w:pStyle w:val="4"/>
        <w:spacing w:line="360" w:lineRule="auto"/>
        <w:ind w:left="420"/>
        <w:jc w:val="left"/>
        <w:rPr>
          <w:rFonts w:hint="eastAsia" w:ascii="宋体" w:hAnsi="宋体" w:eastAsia="宋体" w:cs="宋体"/>
          <w:b w:val="0"/>
          <w:color w:val="auto"/>
          <w:sz w:val="22"/>
          <w:szCs w:val="22"/>
          <w:highlight w:val="none"/>
        </w:rPr>
      </w:pPr>
    </w:p>
    <w:p>
      <w:pPr>
        <w:pStyle w:val="4"/>
        <w:spacing w:line="360" w:lineRule="auto"/>
        <w:ind w:left="420"/>
        <w:jc w:val="left"/>
        <w:rPr>
          <w:rFonts w:hint="eastAsia" w:ascii="宋体" w:hAnsi="宋体" w:eastAsia="宋体" w:cs="宋体"/>
          <w:b w:val="0"/>
          <w:color w:val="auto"/>
          <w:sz w:val="22"/>
          <w:szCs w:val="22"/>
          <w:highlight w:val="none"/>
        </w:rPr>
      </w:pPr>
    </w:p>
    <w:p>
      <w:pPr>
        <w:pStyle w:val="4"/>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pPr>
        <w:spacing w:line="420" w:lineRule="exact"/>
        <w:rPr>
          <w:rFonts w:hint="eastAsia" w:ascii="宋体" w:hAnsi="宋体" w:cs="宋体"/>
          <w:b/>
          <w:color w:val="auto"/>
          <w:sz w:val="22"/>
          <w:szCs w:val="22"/>
          <w:highlight w:val="none"/>
        </w:rPr>
      </w:pPr>
    </w:p>
    <w:p>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温州市财政局</w:t>
      </w:r>
      <w:r>
        <w:rPr>
          <w:rFonts w:hint="eastAsia" w:ascii="宋体" w:hAnsi="宋体" w:cs="宋体"/>
          <w:color w:val="auto"/>
          <w:sz w:val="22"/>
          <w:szCs w:val="22"/>
          <w:highlight w:val="none"/>
        </w:rPr>
        <w:t>:</w:t>
      </w:r>
    </w:p>
    <w:p>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pPr>
        <w:spacing w:line="460" w:lineRule="exact"/>
        <w:rPr>
          <w:rFonts w:hint="eastAsia" w:ascii="宋体" w:hAnsi="宋体" w:cs="宋体"/>
          <w:color w:val="auto"/>
          <w:sz w:val="22"/>
          <w:szCs w:val="22"/>
          <w:highlight w:val="none"/>
          <w:u w:val="single"/>
        </w:rPr>
      </w:pPr>
    </w:p>
    <w:p>
      <w:pPr>
        <w:spacing w:line="4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（采购项目名称、编号）的采购活动，全权代表我方处理采购活动中的一切事宜。</w:t>
      </w:r>
    </w:p>
    <w:p>
      <w:pPr>
        <w:spacing w:line="460" w:lineRule="exact"/>
        <w:ind w:firstLine="2955"/>
        <w:rPr>
          <w:rFonts w:hint="eastAsia" w:ascii="宋体" w:hAnsi="宋体" w:cs="宋体"/>
          <w:color w:val="auto"/>
          <w:sz w:val="22"/>
          <w:szCs w:val="22"/>
          <w:highlight w:val="none"/>
        </w:rPr>
      </w:pPr>
    </w:p>
    <w:p>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spacing w:line="460" w:lineRule="exact"/>
        <w:ind w:firstLine="3971" w:firstLineChars="180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pPr>
        <w:spacing w:line="46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460" w:lineRule="exact"/>
        <w:rPr>
          <w:rFonts w:hint="eastAsia" w:ascii="宋体" w:hAnsi="宋体" w:cs="宋体"/>
          <w:color w:val="auto"/>
          <w:sz w:val="22"/>
          <w:szCs w:val="22"/>
          <w:highlight w:val="none"/>
        </w:rPr>
      </w:pPr>
    </w:p>
    <w:p>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职务：</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详细通讯地址：</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电话：</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传真：</w:t>
      </w:r>
    </w:p>
    <w:p>
      <w:pPr>
        <w:spacing w:line="4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pPr>
              <w:spacing w:line="3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投标人代表身份证扫描件</w:t>
            </w:r>
          </w:p>
          <w:p>
            <w:pPr>
              <w:spacing w:line="380" w:lineRule="exact"/>
              <w:jc w:val="center"/>
              <w:rPr>
                <w:rFonts w:hint="eastAsia" w:ascii="宋体" w:hAnsi="宋体" w:cs="宋体"/>
                <w:b/>
                <w:bCs/>
                <w:color w:val="auto"/>
                <w:sz w:val="28"/>
                <w:highlight w:val="none"/>
              </w:rPr>
            </w:pPr>
          </w:p>
        </w:tc>
      </w:tr>
    </w:tbl>
    <w:p>
      <w:pPr>
        <w:pStyle w:val="4"/>
        <w:rPr>
          <w:rFonts w:hint="eastAsia" w:ascii="新宋体" w:hAnsi="新宋体" w:eastAsia="新宋体" w:cs="新宋体"/>
          <w:color w:val="auto"/>
          <w:kern w:val="0"/>
          <w:sz w:val="28"/>
          <w:szCs w:val="28"/>
          <w:highlight w:val="none"/>
        </w:rPr>
      </w:pPr>
      <w:r>
        <w:rPr>
          <w:rFonts w:hint="eastAsia" w:ascii="宋体" w:hAnsi="宋体" w:cs="宋体"/>
          <w:color w:val="auto"/>
          <w:sz w:val="22"/>
          <w:szCs w:val="22"/>
          <w:highlight w:val="none"/>
        </w:rPr>
        <w:br w:type="page"/>
      </w:r>
      <w:bookmarkStart w:id="119" w:name="_Toc23773"/>
      <w:r>
        <w:rPr>
          <w:rFonts w:hint="eastAsia" w:ascii="新宋体" w:hAnsi="新宋体" w:eastAsia="新宋体" w:cs="新宋体"/>
          <w:color w:val="auto"/>
          <w:kern w:val="0"/>
          <w:sz w:val="28"/>
          <w:szCs w:val="28"/>
          <w:highlight w:val="none"/>
        </w:rPr>
        <w:t>资格条件承诺函</w:t>
      </w:r>
      <w:bookmarkEnd w:id="119"/>
    </w:p>
    <w:p>
      <w:pPr>
        <w:spacing w:line="440" w:lineRule="exact"/>
        <w:ind w:right="-153" w:rightChars="-73"/>
        <w:rPr>
          <w:rFonts w:hint="eastAsia" w:ascii="宋体" w:hAnsi="宋体" w:cs="宋体"/>
          <w:color w:val="auto"/>
          <w:sz w:val="22"/>
          <w:szCs w:val="22"/>
          <w:highlight w:val="none"/>
        </w:rPr>
      </w:pPr>
    </w:p>
    <w:p>
      <w:pPr>
        <w:spacing w:line="42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温州市财政局：</w:t>
      </w:r>
    </w:p>
    <w:p>
      <w:pPr>
        <w:spacing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pPr>
        <w:shd w:val="clear" w:color="auto" w:fill="FFFFFF"/>
        <w:snapToGrid w:val="0"/>
        <w:spacing w:line="440" w:lineRule="exact"/>
        <w:rPr>
          <w:rFonts w:hint="eastAsia" w:ascii="宋体" w:hAnsi="宋体" w:cs="宋体"/>
          <w:color w:val="auto"/>
          <w:sz w:val="22"/>
          <w:szCs w:val="22"/>
          <w:highlight w:val="none"/>
        </w:rPr>
      </w:pPr>
    </w:p>
    <w:p>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（采购项目名称、编号）项目投标，现郑重承诺：</w:t>
      </w:r>
    </w:p>
    <w:p>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"http://www.creditchina.gov.cn）、" </w:instrText>
      </w:r>
      <w:r>
        <w:rPr>
          <w:rFonts w:hint="eastAsia" w:ascii="宋体" w:hAnsi="宋体" w:cs="宋体"/>
          <w:color w:val="auto"/>
          <w:kern w:val="0"/>
          <w:sz w:val="22"/>
          <w:szCs w:val="22"/>
          <w:highlight w:val="none"/>
        </w:rPr>
        <w:fldChar w:fldCharType="separate"/>
      </w:r>
      <w:r>
        <w:rPr>
          <w:rStyle w:val="69"/>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3.单位、法定代表人（单位负责人）、本项目被授权人及本项目负责人在参加本项目前三年内（以法院判决书生效日期为准）均无行贿犯罪记录。</w:t>
      </w:r>
    </w:p>
    <w:p>
      <w:pPr>
        <w:widowControl/>
        <w:snapToGrid w:val="0"/>
        <w:spacing w:line="440" w:lineRule="exact"/>
        <w:ind w:firstLine="440" w:firstLineChars="200"/>
        <w:jc w:val="left"/>
        <w:rPr>
          <w:rFonts w:hint="eastAsia" w:ascii="宋体" w:hAnsi="宋体" w:cs="宋体"/>
          <w:color w:val="auto"/>
          <w:kern w:val="0"/>
          <w:sz w:val="22"/>
          <w:szCs w:val="22"/>
          <w:highlight w:val="none"/>
        </w:rPr>
      </w:pPr>
    </w:p>
    <w:p>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pPr>
        <w:pStyle w:val="29"/>
        <w:spacing w:line="600" w:lineRule="exact"/>
        <w:ind w:firstLine="4840" w:firstLineChars="2200"/>
        <w:rPr>
          <w:rFonts w:hint="eastAsia" w:hAnsi="宋体" w:cs="宋体"/>
          <w:color w:val="auto"/>
          <w:sz w:val="22"/>
          <w:szCs w:val="22"/>
          <w:highlight w:val="none"/>
        </w:rPr>
      </w:pP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380" w:lineRule="exact"/>
        <w:ind w:left="-358" w:leftChars="-171" w:hanging="1"/>
        <w:jc w:val="center"/>
        <w:rPr>
          <w:rFonts w:hint="eastAsia" w:ascii="宋体" w:hAnsi="宋体" w:cs="宋体"/>
          <w:bCs/>
          <w:color w:val="auto"/>
          <w:sz w:val="22"/>
          <w:szCs w:val="22"/>
          <w:highlight w:val="none"/>
        </w:rPr>
      </w:pPr>
    </w:p>
    <w:p>
      <w:pPr>
        <w:spacing w:line="380" w:lineRule="exact"/>
        <w:ind w:left="-359" w:leftChars="-171" w:firstLine="442" w:firstLineChars="20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pPr>
        <w:spacing w:line="420" w:lineRule="exact"/>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温州市财政局：</w:t>
      </w:r>
    </w:p>
    <w:p>
      <w:pPr>
        <w:spacing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（采购项目名称、编号）招投标活动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pPr>
        <w:spacing w:line="360" w:lineRule="auto"/>
        <w:rPr>
          <w:rFonts w:hint="eastAsia" w:ascii="宋体" w:hAnsi="宋体" w:cs="宋体"/>
          <w:color w:val="auto"/>
          <w:sz w:val="22"/>
          <w:highlight w:val="none"/>
        </w:rPr>
      </w:pPr>
    </w:p>
    <w:p>
      <w:pPr>
        <w:spacing w:line="360" w:lineRule="auto"/>
        <w:rPr>
          <w:rFonts w:hint="eastAsia" w:ascii="宋体" w:hAnsi="宋体" w:cs="宋体"/>
          <w:color w:val="auto"/>
          <w:sz w:val="22"/>
          <w:highlight w:val="none"/>
        </w:rPr>
      </w:pPr>
    </w:p>
    <w:p>
      <w:pPr>
        <w:spacing w:line="380" w:lineRule="exact"/>
        <w:ind w:left="-359" w:leftChars="-171" w:firstLine="442" w:firstLineChars="200"/>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▲不提交本声明书按无效标处理。</w:t>
      </w:r>
    </w:p>
    <w:p>
      <w:pPr>
        <w:spacing w:line="440" w:lineRule="exact"/>
        <w:rPr>
          <w:rFonts w:ascii="宋体" w:hAnsi="宋体"/>
          <w:color w:val="auto"/>
          <w:sz w:val="22"/>
          <w:szCs w:val="22"/>
          <w:highlight w:val="none"/>
          <w:u w:val="single"/>
        </w:rPr>
      </w:pPr>
      <w:r>
        <w:rPr>
          <w:rFonts w:hint="eastAsia" w:ascii="宋体" w:hAnsi="宋体"/>
          <w:color w:val="auto"/>
          <w:sz w:val="22"/>
          <w:szCs w:val="22"/>
          <w:highlight w:val="none"/>
          <w:u w:val="single"/>
        </w:rPr>
        <w:t xml:space="preserve">                      </w:t>
      </w:r>
    </w:p>
    <w:p>
      <w:pPr>
        <w:pStyle w:val="55"/>
        <w:ind w:firstLine="221"/>
        <w:rPr>
          <w:rFonts w:ascii="宋体" w:hAnsi="宋体"/>
          <w:color w:val="auto"/>
          <w:sz w:val="22"/>
          <w:szCs w:val="22"/>
          <w:highlight w:val="none"/>
          <w:u w:val="single"/>
        </w:rPr>
      </w:pPr>
    </w:p>
    <w:p>
      <w:pPr>
        <w:pStyle w:val="55"/>
        <w:ind w:firstLine="321"/>
        <w:rPr>
          <w:rFonts w:hint="eastAsia" w:ascii="宋体" w:hAnsi="宋体" w:cs="宋体"/>
          <w:color w:val="auto"/>
          <w:highlight w:val="none"/>
        </w:rPr>
      </w:pPr>
    </w:p>
    <w:p>
      <w:pPr>
        <w:pStyle w:val="4"/>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pPr>
        <w:spacing w:before="120" w:beforeLines="50" w:after="120" w:afterLines="50"/>
        <w:rPr>
          <w:rFonts w:hint="eastAsia" w:ascii="宋体" w:hAnsi="宋体" w:cs="宋体"/>
          <w:color w:val="auto"/>
          <w:sz w:val="22"/>
          <w:szCs w:val="22"/>
          <w:highlight w:val="none"/>
        </w:rPr>
      </w:pPr>
      <w:r>
        <w:rPr>
          <w:rFonts w:hint="eastAsia" w:ascii="宋体" w:hAnsi="宋体" w:cs="宋体"/>
          <w:color w:val="auto"/>
          <w:sz w:val="22"/>
          <w:szCs w:val="22"/>
          <w:highlight w:val="none"/>
        </w:rPr>
        <w:t>（商务技术文件封面，供参考）</w:t>
      </w:r>
      <w:bookmarkEnd w:id="117"/>
      <w:bookmarkEnd w:id="118"/>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 xml:space="preserve">                 （项目名称）              投标文件</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55"/>
        <w:ind w:firstLine="281"/>
        <w:rPr>
          <w:rFonts w:hint="eastAsia" w:ascii="宋体" w:hAnsi="宋体" w:cs="宋体"/>
          <w:color w:val="auto"/>
          <w:sz w:val="28"/>
          <w:szCs w:val="28"/>
          <w:highlight w:val="none"/>
        </w:rPr>
      </w:pPr>
    </w:p>
    <w:p>
      <w:pPr>
        <w:pStyle w:val="55"/>
        <w:ind w:firstLine="281"/>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商 务 技 术 文 件</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pStyle w:val="55"/>
        <w:ind w:firstLine="321"/>
        <w:rPr>
          <w:rFonts w:hint="eastAsia" w:ascii="宋体" w:hAnsi="宋体" w:cs="宋体"/>
          <w:color w:val="auto"/>
          <w:highlight w:val="none"/>
        </w:rPr>
      </w:pPr>
    </w:p>
    <w:p>
      <w:pPr>
        <w:spacing w:line="360" w:lineRule="auto"/>
        <w:rPr>
          <w:rFonts w:hint="eastAsia" w:ascii="宋体" w:hAnsi="宋体" w:cs="宋体"/>
          <w:color w:val="auto"/>
          <w:szCs w:val="21"/>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rPr>
          <w:rFonts w:hint="eastAsia" w:ascii="宋体" w:hAnsi="宋体" w:cs="宋体"/>
          <w:color w:val="auto"/>
          <w:sz w:val="28"/>
          <w:szCs w:val="28"/>
          <w:highlight w:val="none"/>
          <w:u w:val="singl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rPr>
          <w:rFonts w:hint="eastAsia" w:ascii="宋体" w:hAnsi="宋体" w:cs="宋体"/>
          <w:color w:val="auto"/>
          <w:sz w:val="28"/>
          <w:szCs w:val="28"/>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pStyle w:val="55"/>
        <w:ind w:firstLine="0" w:firstLineChars="0"/>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目录</w:t>
      </w:r>
    </w:p>
    <w:p>
      <w:pPr>
        <w:pStyle w:val="55"/>
        <w:ind w:firstLine="0" w:firstLineChars="0"/>
        <w:jc w:val="center"/>
        <w:rPr>
          <w:rFonts w:hint="eastAsia" w:ascii="宋体" w:hAnsi="宋体" w:cs="宋体"/>
          <w:color w:val="auto"/>
          <w:sz w:val="22"/>
          <w:szCs w:val="22"/>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eastAsia="新宋体"/>
                <w:b/>
                <w:color w:val="auto"/>
                <w:sz w:val="22"/>
                <w:szCs w:val="22"/>
                <w:highlight w:val="none"/>
              </w:rPr>
            </w:pPr>
            <w:r>
              <w:rPr>
                <w:rFonts w:hint="eastAsia" w:eastAsia="新宋体"/>
                <w:b/>
                <w:color w:val="auto"/>
                <w:sz w:val="22"/>
                <w:szCs w:val="22"/>
                <w:highlight w:val="none"/>
              </w:rPr>
              <w:t>序号</w:t>
            </w:r>
          </w:p>
        </w:tc>
        <w:tc>
          <w:tcPr>
            <w:tcW w:w="9109" w:type="dxa"/>
            <w:noWrap w:val="0"/>
            <w:vAlign w:val="center"/>
          </w:tcPr>
          <w:p>
            <w:pPr>
              <w:jc w:val="center"/>
              <w:rPr>
                <w:rFonts w:eastAsia="新宋体"/>
                <w:b/>
                <w:color w:val="auto"/>
                <w:sz w:val="22"/>
                <w:szCs w:val="22"/>
                <w:highlight w:val="none"/>
              </w:rPr>
            </w:pPr>
            <w:r>
              <w:rPr>
                <w:rFonts w:hint="eastAsia" w:eastAsia="新宋体"/>
                <w:b/>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eastAsia="新宋体"/>
                <w:color w:val="auto"/>
                <w:sz w:val="22"/>
                <w:szCs w:val="22"/>
                <w:highlight w:val="none"/>
              </w:rPr>
            </w:pPr>
            <w:r>
              <w:rPr>
                <w:rFonts w:hint="eastAsia" w:eastAsia="新宋体"/>
                <w:color w:val="auto"/>
                <w:sz w:val="22"/>
                <w:szCs w:val="22"/>
                <w:highlight w:val="none"/>
              </w:rPr>
              <w:t>1</w:t>
            </w:r>
          </w:p>
        </w:tc>
        <w:tc>
          <w:tcPr>
            <w:tcW w:w="9109" w:type="dxa"/>
            <w:noWrap w:val="0"/>
            <w:vAlign w:val="center"/>
          </w:tcPr>
          <w:p>
            <w:pPr>
              <w:rPr>
                <w:rFonts w:eastAsia="新宋体"/>
                <w:b/>
                <w:color w:val="auto"/>
                <w:sz w:val="22"/>
                <w:szCs w:val="22"/>
                <w:highlight w:val="none"/>
              </w:rPr>
            </w:pPr>
            <w:r>
              <w:rPr>
                <w:rFonts w:hint="eastAsia" w:eastAsia="新宋体"/>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eastAsia="新宋体"/>
                <w:color w:val="auto"/>
                <w:sz w:val="22"/>
                <w:szCs w:val="22"/>
                <w:highlight w:val="none"/>
              </w:rPr>
            </w:pPr>
            <w:r>
              <w:rPr>
                <w:rFonts w:hint="eastAsia" w:eastAsia="新宋体"/>
                <w:color w:val="auto"/>
                <w:sz w:val="22"/>
                <w:szCs w:val="22"/>
                <w:highlight w:val="none"/>
              </w:rPr>
              <w:t>2</w:t>
            </w:r>
          </w:p>
        </w:tc>
        <w:tc>
          <w:tcPr>
            <w:tcW w:w="9109" w:type="dxa"/>
            <w:noWrap w:val="0"/>
            <w:vAlign w:val="center"/>
          </w:tcPr>
          <w:p>
            <w:pPr>
              <w:rPr>
                <w:rFonts w:eastAsia="新宋体"/>
                <w:color w:val="auto"/>
                <w:sz w:val="22"/>
                <w:szCs w:val="22"/>
                <w:highlight w:val="none"/>
              </w:rPr>
            </w:pPr>
            <w:r>
              <w:rPr>
                <w:rFonts w:hint="eastAsia" w:eastAsia="新宋体"/>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3</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投标人综合情况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4</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val="en-US" w:eastAsia="zh-CN"/>
              </w:rPr>
              <w:t>项目</w:t>
            </w:r>
            <w:r>
              <w:rPr>
                <w:rFonts w:hint="eastAsia" w:ascii="宋体" w:hAnsi="宋体" w:eastAsia="宋体" w:cs="宋体"/>
                <w:b w:val="0"/>
                <w:bCs w:val="0"/>
                <w:color w:val="auto"/>
                <w:sz w:val="22"/>
                <w:szCs w:val="22"/>
                <w:highlight w:val="none"/>
                <w:u w:val="none"/>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rPr>
              <w:t>5</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功能演示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rPr>
              <w:t>6</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lang w:bidi="ar"/>
              </w:rPr>
              <w:t>项目组织和实施能力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rPr>
              <w:t>7</w:t>
            </w:r>
          </w:p>
        </w:tc>
        <w:tc>
          <w:tcPr>
            <w:tcW w:w="9109" w:type="dxa"/>
            <w:noWrap w:val="0"/>
            <w:vAlign w:val="center"/>
          </w:tcPr>
          <w:p>
            <w:pPr>
              <w:tabs>
                <w:tab w:val="left" w:pos="5355"/>
              </w:tabs>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rPr>
              <w:t>8</w:t>
            </w:r>
          </w:p>
        </w:tc>
        <w:tc>
          <w:tcPr>
            <w:tcW w:w="9109" w:type="dxa"/>
            <w:noWrap w:val="0"/>
            <w:vAlign w:val="center"/>
          </w:tcPr>
          <w:p>
            <w:pPr>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技术服务力量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lang w:val="en-US" w:eastAsia="zh-CN"/>
              </w:rPr>
              <w:t>9</w:t>
            </w:r>
          </w:p>
        </w:tc>
        <w:tc>
          <w:tcPr>
            <w:tcW w:w="9109" w:type="dxa"/>
            <w:noWrap w:val="0"/>
            <w:vAlign w:val="center"/>
          </w:tcPr>
          <w:p>
            <w:pPr>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售后及培训方案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sz w:val="22"/>
                <w:szCs w:val="22"/>
                <w:highlight w:val="none"/>
                <w:u w:val="none"/>
                <w:lang w:val="en-US" w:eastAsia="zh-CN"/>
              </w:rPr>
              <w:t>10</w:t>
            </w:r>
          </w:p>
        </w:tc>
        <w:tc>
          <w:tcPr>
            <w:tcW w:w="9109" w:type="dxa"/>
            <w:noWrap w:val="0"/>
            <w:vAlign w:val="center"/>
          </w:tcPr>
          <w:p>
            <w:pPr>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资信证明文件（本部分为技术资信分评分内容，各供应商参照评分标准根据自身情况提供）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pPr>
              <w:jc w:val="center"/>
              <w:rPr>
                <w:rFonts w:hint="default" w:eastAsia="新宋体"/>
                <w:color w:val="auto"/>
                <w:sz w:val="22"/>
                <w:szCs w:val="22"/>
                <w:highlight w:val="none"/>
                <w:lang w:val="en-US" w:eastAsia="zh-CN"/>
              </w:rPr>
            </w:pPr>
            <w:r>
              <w:rPr>
                <w:rFonts w:hint="eastAsia" w:eastAsia="新宋体"/>
                <w:color w:val="auto"/>
                <w:sz w:val="22"/>
                <w:szCs w:val="22"/>
                <w:highlight w:val="none"/>
                <w:lang w:val="en-US" w:eastAsia="zh-CN"/>
              </w:rPr>
              <w:t>11</w:t>
            </w:r>
          </w:p>
        </w:tc>
        <w:tc>
          <w:tcPr>
            <w:tcW w:w="9109" w:type="dxa"/>
            <w:noWrap w:val="0"/>
            <w:vAlign w:val="center"/>
          </w:tcPr>
          <w:p>
            <w:pPr>
              <w:rPr>
                <w:rFonts w:eastAsia="新宋体"/>
                <w:color w:val="auto"/>
                <w:sz w:val="22"/>
                <w:szCs w:val="22"/>
                <w:highlight w:val="none"/>
              </w:rPr>
            </w:pPr>
            <w:r>
              <w:rPr>
                <w:rFonts w:hint="eastAsia" w:eastAsia="新宋体"/>
                <w:bCs/>
                <w:color w:val="auto"/>
                <w:sz w:val="22"/>
                <w:szCs w:val="22"/>
                <w:highlight w:val="none"/>
              </w:rPr>
              <w:t>针对评分细则，编制目录索引，注明评标细则项目所在投标文件页码，格式自拟</w:t>
            </w:r>
          </w:p>
        </w:tc>
      </w:tr>
    </w:tbl>
    <w:p>
      <w:pPr>
        <w:spacing w:line="46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pPr>
        <w:spacing w:line="460" w:lineRule="exact"/>
        <w:ind w:left="22" w:hanging="22" w:hangingChars="8"/>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温州市财政局</w:t>
      </w:r>
      <w:r>
        <w:rPr>
          <w:rFonts w:hint="eastAsia" w:ascii="宋体" w:hAnsi="宋体" w:cs="宋体"/>
          <w:color w:val="auto"/>
          <w:sz w:val="22"/>
          <w:szCs w:val="22"/>
          <w:highlight w:val="none"/>
        </w:rPr>
        <w:t>：</w:t>
      </w:r>
    </w:p>
    <w:p>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pPr>
        <w:spacing w:line="42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项目（项目编号：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在此提交的投标文件中，包括如下内容，并已分别单独提交：</w:t>
      </w:r>
    </w:p>
    <w:p>
      <w:pPr>
        <w:numPr>
          <w:ilvl w:val="0"/>
          <w:numId w:val="25"/>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按“投标人须知”要求编制的投标文件资格审查资料 ；</w:t>
      </w:r>
    </w:p>
    <w:p>
      <w:pPr>
        <w:numPr>
          <w:ilvl w:val="0"/>
          <w:numId w:val="25"/>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按“投标人须知”要求编制的投标文件商务商务技术文件 ；</w:t>
      </w:r>
    </w:p>
    <w:p>
      <w:pPr>
        <w:numPr>
          <w:ilvl w:val="0"/>
          <w:numId w:val="25"/>
        </w:numPr>
        <w:spacing w:line="420" w:lineRule="exact"/>
        <w:rPr>
          <w:rFonts w:hint="eastAsia" w:ascii="宋体" w:hAnsi="宋体" w:cs="宋体"/>
          <w:color w:val="auto"/>
          <w:szCs w:val="21"/>
          <w:highlight w:val="none"/>
        </w:rPr>
      </w:pPr>
      <w:r>
        <w:rPr>
          <w:rFonts w:hint="eastAsia" w:ascii="宋体" w:hAnsi="宋体" w:cs="宋体"/>
          <w:color w:val="auto"/>
          <w:sz w:val="22"/>
          <w:highlight w:val="none"/>
        </w:rPr>
        <w:t>按“投标人须知”要求编制的投标文件投标报价标 。</w:t>
      </w:r>
    </w:p>
    <w:p>
      <w:pPr>
        <w:autoSpaceDE w:val="0"/>
        <w:autoSpaceDN w:val="0"/>
        <w:adjustRightInd w:val="0"/>
        <w:spacing w:line="420" w:lineRule="atLeast"/>
        <w:ind w:firstLine="440"/>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我方己完全明白采购文件的所有条款要求，并重申以下几点：</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同意提供按照贵方可能要求的与投标有关的一切数据或资料等。若贵方需要，我方愿意提供我方作出的一切承诺的证明材料。</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如中标，保证按照采购文件要求及投标文件的承诺与采购人签订合同，保证履行合同条款。</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同意在采购文件中供应商须知规定的开标日期起遵守本投标书中的承诺且在投标有效期满之前均具有约束力。</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如果在开标后规定的投标有效期内撤回投标，我方接受贵方处罚。</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完全理解贵方不一定要接受最低价的投标。</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在参加本项目前三年内（被通报或者处罚的违法行为有：</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）或（没有因违法经营受到刑事处罚或者责令停产停业、吊销许可证或者执照、较大数额罚款等行政处罚或处罚）或（在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至</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期间禁止参加政府采购活动但是期限届满，须附相关证明文件）</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在投标截止前（未被“信用中国”网站(</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"http://www.creditchina.gov.cn" </w:instrText>
      </w:r>
      <w:r>
        <w:rPr>
          <w:rFonts w:hint="eastAsia" w:ascii="宋体" w:hAnsi="宋体" w:cs="宋体"/>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)列入失信被执行人、重大税收违法案件当事人名单；未被“中国政府采购网”(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"http://www.ccgp.gov.cn" </w:instrText>
      </w:r>
      <w:r>
        <w:rPr>
          <w:rFonts w:hint="eastAsia" w:ascii="宋体" w:hAnsi="宋体" w:cs="宋体"/>
          <w:color w:val="auto"/>
          <w:highlight w:val="none"/>
        </w:rPr>
        <w:fldChar w:fldCharType="separate"/>
      </w:r>
      <w:r>
        <w:rPr>
          <w:rFonts w:hint="eastAsia" w:ascii="宋体" w:hAnsi="宋体" w:cs="宋体"/>
          <w:color w:val="auto"/>
          <w:sz w:val="22"/>
          <w:highlight w:val="none"/>
        </w:rPr>
        <w:t>www.ccgp.gov.cn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)列入政府采购严重违法失信行为记录名单。）或（被“信用中国”或“中国政府采购网”列入……名单。）</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单位、法定代表人（单位负责人）、本项目被授权人及本项目负责人在参加本项目前三年内（以法院判决书生效日期为准）均无行贿犯罪记录。</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(1)提供虚假材料（承诺）谋取中标、成交的；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(2)采取不正当手段诋毁、排挤其他供应商的；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(3)与采购人、其它供应商或者采购代理机构恶意串通的；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(4)向采购人、采购代理机构行贿或者提供其他不正当利益的；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pPr>
        <w:spacing w:line="42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pPr>
        <w:numPr>
          <w:ilvl w:val="0"/>
          <w:numId w:val="26"/>
        </w:numPr>
        <w:spacing w:line="420" w:lineRule="exact"/>
        <w:rPr>
          <w:rFonts w:hint="eastAsia" w:ascii="宋体" w:hAnsi="宋体" w:cs="宋体"/>
          <w:color w:val="auto"/>
          <w:sz w:val="22"/>
          <w:highlight w:val="none"/>
        </w:rPr>
      </w:pPr>
      <w:r>
        <w:rPr>
          <w:rFonts w:hint="eastAsia" w:ascii="宋体" w:hAnsi="宋体" w:cs="宋体"/>
          <w:color w:val="auto"/>
          <w:sz w:val="22"/>
          <w:highlight w:val="none"/>
        </w:rPr>
        <w:t>所有与本投标有关的函件请发往下列地址：</w:t>
      </w:r>
    </w:p>
    <w:p>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pPr>
        <w:spacing w:line="420" w:lineRule="exact"/>
        <w:ind w:firstLine="43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pPr>
        <w:spacing w:line="420" w:lineRule="exact"/>
        <w:ind w:firstLine="435"/>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pPr>
        <w:spacing w:line="420" w:lineRule="exact"/>
        <w:ind w:firstLine="770" w:firstLineChars="350"/>
        <w:rPr>
          <w:rFonts w:hint="eastAsia" w:ascii="宋体" w:hAnsi="宋体" w:cs="宋体"/>
          <w:color w:val="auto"/>
          <w:sz w:val="22"/>
          <w:szCs w:val="22"/>
          <w:highlight w:val="non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日期：  年   月  日</w:t>
      </w:r>
    </w:p>
    <w:p>
      <w:pPr>
        <w:spacing w:line="460" w:lineRule="exact"/>
        <w:ind w:firstLine="4620"/>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pPr>
        <w:spacing w:line="460" w:lineRule="exact"/>
        <w:ind w:firstLine="4620"/>
        <w:rPr>
          <w:rFonts w:hint="eastAsia" w:ascii="宋体" w:hAnsi="宋体" w:cs="宋体"/>
          <w:color w:val="auto"/>
          <w:sz w:val="22"/>
          <w:szCs w:val="22"/>
          <w:highlight w:val="none"/>
          <w:u w:val="single"/>
        </w:rPr>
      </w:pPr>
    </w:p>
    <w:p>
      <w:pPr>
        <w:spacing w:line="460" w:lineRule="exac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▲不提供投标函的投标文件将被视为未实质性响应采购文件。</w:t>
      </w:r>
    </w:p>
    <w:p>
      <w:pPr>
        <w:spacing w:line="460" w:lineRule="exact"/>
        <w:ind w:firstLine="435"/>
        <w:rPr>
          <w:rFonts w:hint="eastAsia" w:ascii="宋体" w:hAnsi="宋体" w:cs="宋体"/>
          <w:b/>
          <w:color w:val="auto"/>
          <w:sz w:val="22"/>
          <w:szCs w:val="22"/>
          <w:highlight w:val="none"/>
          <w:u w:val="single"/>
        </w:rPr>
      </w:pPr>
    </w:p>
    <w:p>
      <w:pPr>
        <w:spacing w:line="4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u w:val="single"/>
        </w:rPr>
        <w:br w:type="page"/>
      </w:r>
      <w:r>
        <w:rPr>
          <w:rFonts w:hint="eastAsia" w:ascii="宋体" w:hAnsi="宋体" w:cs="宋体"/>
          <w:b/>
          <w:bCs/>
          <w:color w:val="auto"/>
          <w:sz w:val="22"/>
          <w:szCs w:val="22"/>
          <w:highlight w:val="none"/>
        </w:rPr>
        <w:t>附件二</w:t>
      </w:r>
    </w:p>
    <w:p>
      <w:pPr>
        <w:spacing w:line="46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pPr>
        <w:ind w:firstLine="435"/>
        <w:jc w:val="center"/>
        <w:rPr>
          <w:rFonts w:hint="eastAsia" w:ascii="宋体" w:hAnsi="宋体" w:cs="宋体"/>
          <w:b/>
          <w:color w:val="auto"/>
          <w:sz w:val="44"/>
          <w:highlight w:val="none"/>
        </w:rPr>
      </w:pPr>
    </w:p>
    <w:p>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4"/>
          <w:highlight w:val="none"/>
        </w:rPr>
        <w:t xml:space="preserve">   </w:t>
      </w:r>
      <w:r>
        <w:rPr>
          <w:rFonts w:hint="eastAsia" w:ascii="宋体" w:hAnsi="宋体" w:cs="宋体"/>
          <w:bCs/>
          <w:color w:val="auto"/>
          <w:sz w:val="22"/>
          <w:szCs w:val="22"/>
          <w:highlight w:val="none"/>
        </w:rPr>
        <w:t>项目名称：                                      项目编号：</w:t>
      </w:r>
    </w:p>
    <w:p>
      <w:pPr>
        <w:ind w:firstLine="361" w:firstLineChars="150"/>
        <w:rPr>
          <w:rFonts w:hint="eastAsia" w:ascii="宋体" w:hAnsi="宋体" w:cs="宋体"/>
          <w:b/>
          <w:color w:val="auto"/>
          <w:sz w:val="24"/>
          <w:highlight w:val="none"/>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投标人技术响应</w:t>
            </w:r>
          </w:p>
        </w:tc>
        <w:tc>
          <w:tcPr>
            <w:tcW w:w="2115"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pPr>
              <w:jc w:val="center"/>
              <w:rPr>
                <w:rFonts w:hint="eastAsia" w:ascii="宋体" w:hAnsi="宋体" w:cs="宋体"/>
                <w:color w:val="auto"/>
                <w:sz w:val="22"/>
                <w:szCs w:val="22"/>
                <w:highlight w:val="none"/>
              </w:rPr>
            </w:pPr>
          </w:p>
        </w:tc>
        <w:tc>
          <w:tcPr>
            <w:tcW w:w="2538" w:type="dxa"/>
            <w:noWrap w:val="0"/>
            <w:vAlign w:val="center"/>
          </w:tcPr>
          <w:p>
            <w:pPr>
              <w:jc w:val="center"/>
              <w:rPr>
                <w:rFonts w:hint="eastAsia" w:ascii="宋体" w:hAnsi="宋体" w:cs="宋体"/>
                <w:color w:val="auto"/>
                <w:sz w:val="22"/>
                <w:szCs w:val="22"/>
                <w:highlight w:val="none"/>
              </w:rPr>
            </w:pPr>
          </w:p>
        </w:tc>
        <w:tc>
          <w:tcPr>
            <w:tcW w:w="2326" w:type="dxa"/>
            <w:noWrap w:val="0"/>
            <w:vAlign w:val="center"/>
          </w:tcPr>
          <w:p>
            <w:pPr>
              <w:jc w:val="center"/>
              <w:rPr>
                <w:rFonts w:hint="eastAsia" w:ascii="宋体" w:hAnsi="宋体" w:cs="宋体"/>
                <w:color w:val="auto"/>
                <w:sz w:val="22"/>
                <w:szCs w:val="22"/>
                <w:highlight w:val="none"/>
              </w:rPr>
            </w:pPr>
          </w:p>
        </w:tc>
        <w:tc>
          <w:tcPr>
            <w:tcW w:w="2115" w:type="dxa"/>
            <w:noWrap w:val="0"/>
            <w:vAlign w:val="center"/>
          </w:tcPr>
          <w:p>
            <w:pPr>
              <w:jc w:val="center"/>
              <w:rPr>
                <w:rFonts w:hint="eastAsia" w:ascii="宋体" w:hAnsi="宋体" w:cs="宋体"/>
                <w:color w:val="auto"/>
                <w:sz w:val="22"/>
                <w:szCs w:val="22"/>
                <w:highlight w:val="none"/>
              </w:rPr>
            </w:pPr>
          </w:p>
        </w:tc>
        <w:tc>
          <w:tcPr>
            <w:tcW w:w="1902"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宋体" w:hAnsi="宋体" w:cs="宋体"/>
                <w:color w:val="auto"/>
                <w:sz w:val="22"/>
                <w:szCs w:val="22"/>
                <w:highlight w:val="none"/>
              </w:rPr>
            </w:pPr>
          </w:p>
        </w:tc>
        <w:tc>
          <w:tcPr>
            <w:tcW w:w="2538" w:type="dxa"/>
            <w:noWrap w:val="0"/>
            <w:vAlign w:val="center"/>
          </w:tcPr>
          <w:p>
            <w:pPr>
              <w:jc w:val="center"/>
              <w:rPr>
                <w:rFonts w:hint="eastAsia" w:ascii="宋体" w:hAnsi="宋体" w:cs="宋体"/>
                <w:color w:val="auto"/>
                <w:sz w:val="22"/>
                <w:szCs w:val="22"/>
                <w:highlight w:val="none"/>
              </w:rPr>
            </w:pPr>
          </w:p>
        </w:tc>
        <w:tc>
          <w:tcPr>
            <w:tcW w:w="2326" w:type="dxa"/>
            <w:noWrap w:val="0"/>
            <w:vAlign w:val="center"/>
          </w:tcPr>
          <w:p>
            <w:pPr>
              <w:jc w:val="center"/>
              <w:rPr>
                <w:rFonts w:hint="eastAsia" w:ascii="宋体" w:hAnsi="宋体" w:cs="宋体"/>
                <w:color w:val="auto"/>
                <w:sz w:val="22"/>
                <w:szCs w:val="22"/>
                <w:highlight w:val="none"/>
              </w:rPr>
            </w:pPr>
          </w:p>
        </w:tc>
        <w:tc>
          <w:tcPr>
            <w:tcW w:w="2115" w:type="dxa"/>
            <w:noWrap w:val="0"/>
            <w:vAlign w:val="center"/>
          </w:tcPr>
          <w:p>
            <w:pPr>
              <w:jc w:val="center"/>
              <w:rPr>
                <w:rFonts w:hint="eastAsia" w:ascii="宋体" w:hAnsi="宋体" w:cs="宋体"/>
                <w:color w:val="auto"/>
                <w:sz w:val="22"/>
                <w:szCs w:val="22"/>
                <w:highlight w:val="none"/>
              </w:rPr>
            </w:pPr>
          </w:p>
        </w:tc>
        <w:tc>
          <w:tcPr>
            <w:tcW w:w="1902"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宋体" w:hAnsi="宋体" w:cs="宋体"/>
                <w:color w:val="auto"/>
                <w:sz w:val="22"/>
                <w:szCs w:val="22"/>
                <w:highlight w:val="none"/>
              </w:rPr>
            </w:pPr>
          </w:p>
        </w:tc>
        <w:tc>
          <w:tcPr>
            <w:tcW w:w="2538" w:type="dxa"/>
            <w:noWrap w:val="0"/>
            <w:vAlign w:val="center"/>
          </w:tcPr>
          <w:p>
            <w:pPr>
              <w:jc w:val="center"/>
              <w:rPr>
                <w:rFonts w:hint="eastAsia" w:ascii="宋体" w:hAnsi="宋体" w:cs="宋体"/>
                <w:color w:val="auto"/>
                <w:sz w:val="22"/>
                <w:szCs w:val="22"/>
                <w:highlight w:val="none"/>
              </w:rPr>
            </w:pPr>
          </w:p>
        </w:tc>
        <w:tc>
          <w:tcPr>
            <w:tcW w:w="2326" w:type="dxa"/>
            <w:noWrap w:val="0"/>
            <w:vAlign w:val="center"/>
          </w:tcPr>
          <w:p>
            <w:pPr>
              <w:jc w:val="center"/>
              <w:rPr>
                <w:rFonts w:hint="eastAsia" w:ascii="宋体" w:hAnsi="宋体" w:cs="宋体"/>
                <w:color w:val="auto"/>
                <w:sz w:val="22"/>
                <w:szCs w:val="22"/>
                <w:highlight w:val="none"/>
              </w:rPr>
            </w:pPr>
          </w:p>
        </w:tc>
        <w:tc>
          <w:tcPr>
            <w:tcW w:w="2115" w:type="dxa"/>
            <w:noWrap w:val="0"/>
            <w:vAlign w:val="center"/>
          </w:tcPr>
          <w:p>
            <w:pPr>
              <w:jc w:val="center"/>
              <w:rPr>
                <w:rFonts w:hint="eastAsia" w:ascii="宋体" w:hAnsi="宋体" w:cs="宋体"/>
                <w:color w:val="auto"/>
                <w:sz w:val="22"/>
                <w:szCs w:val="22"/>
                <w:highlight w:val="none"/>
              </w:rPr>
            </w:pPr>
          </w:p>
        </w:tc>
        <w:tc>
          <w:tcPr>
            <w:tcW w:w="1902"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宋体" w:hAnsi="宋体" w:cs="宋体"/>
                <w:color w:val="auto"/>
                <w:sz w:val="22"/>
                <w:szCs w:val="22"/>
                <w:highlight w:val="none"/>
              </w:rPr>
            </w:pPr>
          </w:p>
        </w:tc>
        <w:tc>
          <w:tcPr>
            <w:tcW w:w="2538" w:type="dxa"/>
            <w:noWrap w:val="0"/>
            <w:vAlign w:val="center"/>
          </w:tcPr>
          <w:p>
            <w:pPr>
              <w:jc w:val="center"/>
              <w:rPr>
                <w:rFonts w:hint="eastAsia" w:ascii="宋体" w:hAnsi="宋体" w:cs="宋体"/>
                <w:color w:val="auto"/>
                <w:sz w:val="22"/>
                <w:szCs w:val="22"/>
                <w:highlight w:val="none"/>
              </w:rPr>
            </w:pPr>
          </w:p>
        </w:tc>
        <w:tc>
          <w:tcPr>
            <w:tcW w:w="2326" w:type="dxa"/>
            <w:noWrap w:val="0"/>
            <w:vAlign w:val="center"/>
          </w:tcPr>
          <w:p>
            <w:pPr>
              <w:jc w:val="center"/>
              <w:rPr>
                <w:rFonts w:hint="eastAsia" w:ascii="宋体" w:hAnsi="宋体" w:cs="宋体"/>
                <w:color w:val="auto"/>
                <w:sz w:val="22"/>
                <w:szCs w:val="22"/>
                <w:highlight w:val="none"/>
              </w:rPr>
            </w:pPr>
          </w:p>
        </w:tc>
        <w:tc>
          <w:tcPr>
            <w:tcW w:w="2115" w:type="dxa"/>
            <w:noWrap w:val="0"/>
            <w:vAlign w:val="center"/>
          </w:tcPr>
          <w:p>
            <w:pPr>
              <w:jc w:val="center"/>
              <w:rPr>
                <w:rFonts w:hint="eastAsia" w:ascii="宋体" w:hAnsi="宋体" w:cs="宋体"/>
                <w:color w:val="auto"/>
                <w:sz w:val="22"/>
                <w:szCs w:val="22"/>
                <w:highlight w:val="none"/>
              </w:rPr>
            </w:pPr>
          </w:p>
        </w:tc>
        <w:tc>
          <w:tcPr>
            <w:tcW w:w="1902"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hint="eastAsia" w:ascii="宋体" w:hAnsi="宋体" w:cs="宋体"/>
                <w:color w:val="auto"/>
                <w:sz w:val="22"/>
                <w:szCs w:val="22"/>
                <w:highlight w:val="none"/>
              </w:rPr>
            </w:pPr>
          </w:p>
        </w:tc>
        <w:tc>
          <w:tcPr>
            <w:tcW w:w="2538" w:type="dxa"/>
            <w:noWrap w:val="0"/>
            <w:vAlign w:val="center"/>
          </w:tcPr>
          <w:p>
            <w:pPr>
              <w:jc w:val="center"/>
              <w:rPr>
                <w:rFonts w:hint="eastAsia" w:ascii="宋体" w:hAnsi="宋体" w:cs="宋体"/>
                <w:color w:val="auto"/>
                <w:sz w:val="22"/>
                <w:szCs w:val="22"/>
                <w:highlight w:val="none"/>
              </w:rPr>
            </w:pPr>
          </w:p>
        </w:tc>
        <w:tc>
          <w:tcPr>
            <w:tcW w:w="2326" w:type="dxa"/>
            <w:noWrap w:val="0"/>
            <w:vAlign w:val="center"/>
          </w:tcPr>
          <w:p>
            <w:pPr>
              <w:jc w:val="center"/>
              <w:rPr>
                <w:rFonts w:hint="eastAsia" w:ascii="宋体" w:hAnsi="宋体" w:cs="宋体"/>
                <w:color w:val="auto"/>
                <w:sz w:val="22"/>
                <w:szCs w:val="22"/>
                <w:highlight w:val="none"/>
              </w:rPr>
            </w:pPr>
          </w:p>
        </w:tc>
        <w:tc>
          <w:tcPr>
            <w:tcW w:w="2115" w:type="dxa"/>
            <w:noWrap w:val="0"/>
            <w:vAlign w:val="center"/>
          </w:tcPr>
          <w:p>
            <w:pPr>
              <w:jc w:val="center"/>
              <w:rPr>
                <w:rFonts w:hint="eastAsia" w:ascii="宋体" w:hAnsi="宋体" w:cs="宋体"/>
                <w:color w:val="auto"/>
                <w:sz w:val="22"/>
                <w:szCs w:val="22"/>
                <w:highlight w:val="none"/>
              </w:rPr>
            </w:pPr>
          </w:p>
        </w:tc>
        <w:tc>
          <w:tcPr>
            <w:tcW w:w="1902" w:type="dxa"/>
            <w:noWrap w:val="0"/>
            <w:vAlign w:val="center"/>
          </w:tcPr>
          <w:p>
            <w:pPr>
              <w:jc w:val="center"/>
              <w:rPr>
                <w:rFonts w:hint="eastAsia" w:ascii="宋体" w:hAnsi="宋体" w:cs="宋体"/>
                <w:color w:val="auto"/>
                <w:sz w:val="22"/>
                <w:szCs w:val="22"/>
                <w:highlight w:val="none"/>
              </w:rPr>
            </w:pPr>
          </w:p>
        </w:tc>
      </w:tr>
    </w:tbl>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pPr>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p>
    <w:p>
      <w:pPr>
        <w:spacing w:line="400" w:lineRule="exact"/>
        <w:rPr>
          <w:rFonts w:hint="eastAsia" w:ascii="宋体" w:hAnsi="宋体" w:cs="宋体"/>
          <w:color w:val="auto"/>
          <w:sz w:val="22"/>
          <w:szCs w:val="22"/>
          <w:highlight w:val="none"/>
        </w:rPr>
      </w:pP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日期：  年   月  日</w:t>
      </w:r>
    </w:p>
    <w:p>
      <w:pPr>
        <w:spacing w:line="400" w:lineRule="exact"/>
        <w:rPr>
          <w:rFonts w:hint="eastAsia" w:ascii="宋体" w:hAnsi="宋体" w:cs="宋体"/>
          <w:color w:val="auto"/>
          <w:sz w:val="22"/>
          <w:szCs w:val="22"/>
          <w:highlight w:val="none"/>
        </w:rPr>
      </w:pPr>
    </w:p>
    <w:p>
      <w:pPr>
        <w:spacing w:line="500" w:lineRule="exact"/>
        <w:jc w:val="center"/>
        <w:rPr>
          <w:rFonts w:hint="eastAsia"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pPr>
        <w:ind w:firstLine="435"/>
        <w:jc w:val="center"/>
        <w:rPr>
          <w:rFonts w:hint="eastAsia" w:ascii="宋体" w:hAnsi="宋体" w:cs="宋体"/>
          <w:b/>
          <w:color w:val="auto"/>
          <w:sz w:val="44"/>
          <w:highlight w:val="none"/>
        </w:rPr>
      </w:pPr>
    </w:p>
    <w:p>
      <w:pPr>
        <w:overflowPunct w:val="0"/>
        <w:spacing w:line="380" w:lineRule="exact"/>
        <w:rPr>
          <w:rFonts w:hint="eastAsia" w:ascii="宋体" w:hAnsi="宋体" w:cs="宋体"/>
          <w:bCs/>
          <w:color w:val="auto"/>
          <w:sz w:val="22"/>
          <w:szCs w:val="22"/>
          <w:highlight w:val="none"/>
        </w:rPr>
      </w:pPr>
      <w:r>
        <w:rPr>
          <w:rFonts w:hint="eastAsia" w:ascii="宋体" w:hAnsi="宋体" w:cs="宋体"/>
          <w:b/>
          <w:color w:val="auto"/>
          <w:sz w:val="22"/>
          <w:szCs w:val="22"/>
          <w:highlight w:val="none"/>
        </w:rPr>
        <w:t xml:space="preserve">  </w:t>
      </w:r>
      <w:r>
        <w:rPr>
          <w:rFonts w:hint="eastAsia" w:ascii="宋体" w:hAnsi="宋体" w:cs="宋体"/>
          <w:bCs/>
          <w:color w:val="auto"/>
          <w:sz w:val="22"/>
          <w:szCs w:val="22"/>
          <w:highlight w:val="none"/>
        </w:rPr>
        <w:t>项目名称：                                      项目编号：</w:t>
      </w:r>
    </w:p>
    <w:p>
      <w:pPr>
        <w:ind w:firstLine="221" w:firstLineChars="100"/>
        <w:rPr>
          <w:rFonts w:hint="eastAsia" w:ascii="宋体" w:hAnsi="宋体" w:cs="宋体"/>
          <w:b/>
          <w:color w:val="auto"/>
          <w:sz w:val="22"/>
          <w:szCs w:val="22"/>
          <w:highlight w:val="none"/>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投标文件商务条款</w:t>
            </w:r>
          </w:p>
        </w:tc>
        <w:tc>
          <w:tcPr>
            <w:tcW w:w="1200"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2184" w:type="dxa"/>
            <w:noWrap w:val="0"/>
            <w:vAlign w:val="center"/>
          </w:tcPr>
          <w:p>
            <w:pPr>
              <w:jc w:val="center"/>
              <w:rPr>
                <w:rFonts w:hint="eastAsia" w:ascii="宋体" w:hAnsi="宋体" w:cs="宋体"/>
                <w:color w:val="auto"/>
                <w:sz w:val="22"/>
                <w:szCs w:val="22"/>
                <w:highlight w:val="none"/>
              </w:rPr>
            </w:pPr>
          </w:p>
        </w:tc>
        <w:tc>
          <w:tcPr>
            <w:tcW w:w="2402" w:type="dxa"/>
            <w:noWrap w:val="0"/>
            <w:vAlign w:val="center"/>
          </w:tcPr>
          <w:p>
            <w:pPr>
              <w:jc w:val="center"/>
              <w:rPr>
                <w:rFonts w:hint="eastAsia" w:ascii="宋体" w:hAnsi="宋体" w:cs="宋体"/>
                <w:color w:val="auto"/>
                <w:sz w:val="22"/>
                <w:szCs w:val="22"/>
                <w:highlight w:val="none"/>
              </w:rPr>
            </w:pPr>
          </w:p>
        </w:tc>
        <w:tc>
          <w:tcPr>
            <w:tcW w:w="1200" w:type="dxa"/>
            <w:noWrap w:val="0"/>
            <w:vAlign w:val="center"/>
          </w:tcPr>
          <w:p>
            <w:pPr>
              <w:jc w:val="center"/>
              <w:rPr>
                <w:rFonts w:hint="eastAsia" w:ascii="宋体" w:hAnsi="宋体" w:cs="宋体"/>
                <w:color w:val="auto"/>
                <w:sz w:val="22"/>
                <w:szCs w:val="22"/>
                <w:highlight w:val="none"/>
              </w:rPr>
            </w:pPr>
          </w:p>
        </w:tc>
        <w:tc>
          <w:tcPr>
            <w:tcW w:w="1588"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项目服务时间</w:t>
            </w:r>
          </w:p>
        </w:tc>
        <w:tc>
          <w:tcPr>
            <w:tcW w:w="2184" w:type="dxa"/>
            <w:noWrap w:val="0"/>
            <w:vAlign w:val="center"/>
          </w:tcPr>
          <w:p>
            <w:pPr>
              <w:jc w:val="center"/>
              <w:rPr>
                <w:rFonts w:hint="eastAsia" w:ascii="宋体" w:hAnsi="宋体" w:cs="宋体"/>
                <w:color w:val="auto"/>
                <w:sz w:val="22"/>
                <w:szCs w:val="22"/>
                <w:highlight w:val="none"/>
              </w:rPr>
            </w:pPr>
          </w:p>
        </w:tc>
        <w:tc>
          <w:tcPr>
            <w:tcW w:w="2402" w:type="dxa"/>
            <w:noWrap w:val="0"/>
            <w:vAlign w:val="center"/>
          </w:tcPr>
          <w:p>
            <w:pPr>
              <w:jc w:val="center"/>
              <w:rPr>
                <w:rFonts w:hint="eastAsia" w:ascii="宋体" w:hAnsi="宋体" w:cs="宋体"/>
                <w:color w:val="auto"/>
                <w:sz w:val="22"/>
                <w:szCs w:val="22"/>
                <w:highlight w:val="none"/>
              </w:rPr>
            </w:pPr>
          </w:p>
        </w:tc>
        <w:tc>
          <w:tcPr>
            <w:tcW w:w="1200" w:type="dxa"/>
            <w:noWrap w:val="0"/>
            <w:vAlign w:val="center"/>
          </w:tcPr>
          <w:p>
            <w:pPr>
              <w:jc w:val="center"/>
              <w:rPr>
                <w:rFonts w:hint="eastAsia" w:ascii="宋体" w:hAnsi="宋体" w:cs="宋体"/>
                <w:color w:val="auto"/>
                <w:sz w:val="22"/>
                <w:szCs w:val="22"/>
                <w:highlight w:val="none"/>
              </w:rPr>
            </w:pPr>
          </w:p>
        </w:tc>
        <w:tc>
          <w:tcPr>
            <w:tcW w:w="1588"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noWrap w:val="0"/>
            <w:vAlign w:val="center"/>
          </w:tcPr>
          <w:p>
            <w:pPr>
              <w:jc w:val="center"/>
              <w:rPr>
                <w:rFonts w:hint="eastAsia" w:ascii="宋体" w:hAnsi="宋体" w:cs="宋体"/>
                <w:color w:val="auto"/>
                <w:sz w:val="22"/>
                <w:szCs w:val="22"/>
                <w:highlight w:val="none"/>
              </w:rPr>
            </w:pPr>
          </w:p>
        </w:tc>
        <w:tc>
          <w:tcPr>
            <w:tcW w:w="2184" w:type="dxa"/>
            <w:noWrap w:val="0"/>
            <w:vAlign w:val="center"/>
          </w:tcPr>
          <w:p>
            <w:pPr>
              <w:jc w:val="center"/>
              <w:rPr>
                <w:rFonts w:hint="eastAsia" w:ascii="宋体" w:hAnsi="宋体" w:cs="宋体"/>
                <w:color w:val="auto"/>
                <w:sz w:val="22"/>
                <w:szCs w:val="22"/>
                <w:highlight w:val="none"/>
              </w:rPr>
            </w:pPr>
          </w:p>
        </w:tc>
        <w:tc>
          <w:tcPr>
            <w:tcW w:w="2402" w:type="dxa"/>
            <w:noWrap w:val="0"/>
            <w:vAlign w:val="center"/>
          </w:tcPr>
          <w:p>
            <w:pPr>
              <w:jc w:val="center"/>
              <w:rPr>
                <w:rFonts w:hint="eastAsia" w:ascii="宋体" w:hAnsi="宋体" w:cs="宋体"/>
                <w:color w:val="auto"/>
                <w:sz w:val="22"/>
                <w:szCs w:val="22"/>
                <w:highlight w:val="none"/>
              </w:rPr>
            </w:pPr>
          </w:p>
        </w:tc>
        <w:tc>
          <w:tcPr>
            <w:tcW w:w="1200" w:type="dxa"/>
            <w:noWrap w:val="0"/>
            <w:vAlign w:val="center"/>
          </w:tcPr>
          <w:p>
            <w:pPr>
              <w:jc w:val="center"/>
              <w:rPr>
                <w:rFonts w:hint="eastAsia" w:ascii="宋体" w:hAnsi="宋体" w:cs="宋体"/>
                <w:color w:val="auto"/>
                <w:sz w:val="22"/>
                <w:szCs w:val="22"/>
                <w:highlight w:val="none"/>
              </w:rPr>
            </w:pPr>
          </w:p>
        </w:tc>
        <w:tc>
          <w:tcPr>
            <w:tcW w:w="1588"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noWrap w:val="0"/>
            <w:vAlign w:val="center"/>
          </w:tcPr>
          <w:p>
            <w:pPr>
              <w:jc w:val="center"/>
              <w:rPr>
                <w:rFonts w:hint="eastAsia" w:ascii="宋体" w:hAnsi="宋体" w:cs="宋体"/>
                <w:color w:val="auto"/>
                <w:sz w:val="22"/>
                <w:szCs w:val="22"/>
                <w:highlight w:val="none"/>
              </w:rPr>
            </w:pPr>
          </w:p>
        </w:tc>
        <w:tc>
          <w:tcPr>
            <w:tcW w:w="2184" w:type="dxa"/>
            <w:noWrap w:val="0"/>
            <w:vAlign w:val="center"/>
          </w:tcPr>
          <w:p>
            <w:pPr>
              <w:jc w:val="center"/>
              <w:rPr>
                <w:rFonts w:hint="eastAsia" w:ascii="宋体" w:hAnsi="宋体" w:cs="宋体"/>
                <w:color w:val="auto"/>
                <w:sz w:val="22"/>
                <w:szCs w:val="22"/>
                <w:highlight w:val="none"/>
              </w:rPr>
            </w:pPr>
          </w:p>
        </w:tc>
        <w:tc>
          <w:tcPr>
            <w:tcW w:w="2402" w:type="dxa"/>
            <w:noWrap w:val="0"/>
            <w:vAlign w:val="center"/>
          </w:tcPr>
          <w:p>
            <w:pPr>
              <w:jc w:val="center"/>
              <w:rPr>
                <w:rFonts w:hint="eastAsia" w:ascii="宋体" w:hAnsi="宋体" w:cs="宋体"/>
                <w:color w:val="auto"/>
                <w:sz w:val="22"/>
                <w:szCs w:val="22"/>
                <w:highlight w:val="none"/>
              </w:rPr>
            </w:pPr>
          </w:p>
        </w:tc>
        <w:tc>
          <w:tcPr>
            <w:tcW w:w="1200" w:type="dxa"/>
            <w:noWrap w:val="0"/>
            <w:vAlign w:val="center"/>
          </w:tcPr>
          <w:p>
            <w:pPr>
              <w:jc w:val="center"/>
              <w:rPr>
                <w:rFonts w:hint="eastAsia" w:ascii="宋体" w:hAnsi="宋体" w:cs="宋体"/>
                <w:color w:val="auto"/>
                <w:sz w:val="22"/>
                <w:szCs w:val="22"/>
                <w:highlight w:val="none"/>
              </w:rPr>
            </w:pPr>
          </w:p>
        </w:tc>
        <w:tc>
          <w:tcPr>
            <w:tcW w:w="1588"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noWrap w:val="0"/>
            <w:vAlign w:val="center"/>
          </w:tcPr>
          <w:p>
            <w:pPr>
              <w:jc w:val="center"/>
              <w:rPr>
                <w:rFonts w:hint="eastAsia" w:ascii="宋体" w:hAnsi="宋体" w:cs="宋体"/>
                <w:color w:val="auto"/>
                <w:sz w:val="22"/>
                <w:szCs w:val="22"/>
                <w:highlight w:val="none"/>
              </w:rPr>
            </w:pPr>
          </w:p>
        </w:tc>
        <w:tc>
          <w:tcPr>
            <w:tcW w:w="2184" w:type="dxa"/>
            <w:noWrap w:val="0"/>
            <w:vAlign w:val="center"/>
          </w:tcPr>
          <w:p>
            <w:pPr>
              <w:jc w:val="center"/>
              <w:rPr>
                <w:rFonts w:hint="eastAsia" w:ascii="宋体" w:hAnsi="宋体" w:cs="宋体"/>
                <w:color w:val="auto"/>
                <w:sz w:val="22"/>
                <w:szCs w:val="22"/>
                <w:highlight w:val="none"/>
              </w:rPr>
            </w:pPr>
          </w:p>
        </w:tc>
        <w:tc>
          <w:tcPr>
            <w:tcW w:w="2402" w:type="dxa"/>
            <w:noWrap w:val="0"/>
            <w:vAlign w:val="center"/>
          </w:tcPr>
          <w:p>
            <w:pPr>
              <w:jc w:val="center"/>
              <w:rPr>
                <w:rFonts w:hint="eastAsia" w:ascii="宋体" w:hAnsi="宋体" w:cs="宋体"/>
                <w:color w:val="auto"/>
                <w:sz w:val="22"/>
                <w:szCs w:val="22"/>
                <w:highlight w:val="none"/>
              </w:rPr>
            </w:pPr>
          </w:p>
        </w:tc>
        <w:tc>
          <w:tcPr>
            <w:tcW w:w="1200" w:type="dxa"/>
            <w:noWrap w:val="0"/>
            <w:vAlign w:val="center"/>
          </w:tcPr>
          <w:p>
            <w:pPr>
              <w:jc w:val="center"/>
              <w:rPr>
                <w:rFonts w:hint="eastAsia" w:ascii="宋体" w:hAnsi="宋体" w:cs="宋体"/>
                <w:color w:val="auto"/>
                <w:sz w:val="22"/>
                <w:szCs w:val="22"/>
                <w:highlight w:val="none"/>
              </w:rPr>
            </w:pPr>
          </w:p>
        </w:tc>
        <w:tc>
          <w:tcPr>
            <w:tcW w:w="1588" w:type="dxa"/>
            <w:noWrap w:val="0"/>
            <w:vAlign w:val="center"/>
          </w:tcPr>
          <w:p>
            <w:pPr>
              <w:jc w:val="center"/>
              <w:rPr>
                <w:rFonts w:hint="eastAsia"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noWrap w:val="0"/>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noWrap w:val="0"/>
            <w:vAlign w:val="center"/>
          </w:tcPr>
          <w:p>
            <w:pPr>
              <w:jc w:val="center"/>
              <w:rPr>
                <w:rFonts w:hint="eastAsia" w:ascii="宋体" w:hAnsi="宋体" w:cs="宋体"/>
                <w:color w:val="auto"/>
                <w:sz w:val="22"/>
                <w:szCs w:val="22"/>
                <w:highlight w:val="none"/>
              </w:rPr>
            </w:pPr>
          </w:p>
        </w:tc>
        <w:tc>
          <w:tcPr>
            <w:tcW w:w="2402" w:type="dxa"/>
            <w:noWrap w:val="0"/>
            <w:vAlign w:val="center"/>
          </w:tcPr>
          <w:p>
            <w:pPr>
              <w:jc w:val="center"/>
              <w:rPr>
                <w:rFonts w:hint="eastAsia" w:ascii="宋体" w:hAnsi="宋体" w:cs="宋体"/>
                <w:color w:val="auto"/>
                <w:sz w:val="22"/>
                <w:szCs w:val="22"/>
                <w:highlight w:val="none"/>
              </w:rPr>
            </w:pPr>
          </w:p>
        </w:tc>
        <w:tc>
          <w:tcPr>
            <w:tcW w:w="1200" w:type="dxa"/>
            <w:noWrap w:val="0"/>
            <w:vAlign w:val="center"/>
          </w:tcPr>
          <w:p>
            <w:pPr>
              <w:jc w:val="center"/>
              <w:rPr>
                <w:rFonts w:hint="eastAsia" w:ascii="宋体" w:hAnsi="宋体" w:cs="宋体"/>
                <w:color w:val="auto"/>
                <w:sz w:val="22"/>
                <w:szCs w:val="22"/>
                <w:highlight w:val="none"/>
              </w:rPr>
            </w:pPr>
          </w:p>
        </w:tc>
        <w:tc>
          <w:tcPr>
            <w:tcW w:w="1588" w:type="dxa"/>
            <w:noWrap w:val="0"/>
            <w:vAlign w:val="center"/>
          </w:tcPr>
          <w:p>
            <w:pPr>
              <w:jc w:val="center"/>
              <w:rPr>
                <w:rFonts w:hint="eastAsia" w:ascii="宋体" w:hAnsi="宋体" w:cs="宋体"/>
                <w:color w:val="auto"/>
                <w:sz w:val="22"/>
                <w:szCs w:val="22"/>
                <w:highlight w:val="none"/>
              </w:rPr>
            </w:pPr>
          </w:p>
        </w:tc>
      </w:tr>
    </w:tbl>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w:t>
      </w:r>
    </w:p>
    <w:p>
      <w:pPr>
        <w:spacing w:line="5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不填写此表视作完全响应采购文件要求。</w:t>
      </w:r>
    </w:p>
    <w:p>
      <w:pPr>
        <w:spacing w:line="500" w:lineRule="exact"/>
        <w:ind w:firstLine="4400" w:firstLineChars="2000"/>
        <w:rPr>
          <w:rFonts w:hint="eastAsia" w:ascii="宋体" w:hAnsi="宋体" w:cs="宋体"/>
          <w:color w:val="auto"/>
          <w:sz w:val="22"/>
          <w:szCs w:val="22"/>
          <w:highlight w:val="none"/>
        </w:rPr>
      </w:pPr>
    </w:p>
    <w:p>
      <w:pPr>
        <w:spacing w:line="500" w:lineRule="exact"/>
        <w:ind w:firstLine="4400" w:firstLineChars="2000"/>
        <w:rPr>
          <w:rFonts w:hint="eastAsia" w:ascii="宋体" w:hAnsi="宋体" w:cs="宋体"/>
          <w:color w:val="auto"/>
          <w:sz w:val="22"/>
          <w:szCs w:val="22"/>
          <w:highlight w:val="none"/>
        </w:rPr>
      </w:pPr>
    </w:p>
    <w:p>
      <w:pPr>
        <w:spacing w:line="500" w:lineRule="exact"/>
        <w:ind w:firstLine="4400" w:firstLineChars="2000"/>
        <w:rPr>
          <w:rFonts w:hint="eastAsia" w:ascii="宋体" w:hAnsi="宋体" w:cs="宋体"/>
          <w:color w:val="auto"/>
          <w:sz w:val="22"/>
          <w:szCs w:val="22"/>
          <w:highlight w:val="none"/>
        </w:rPr>
      </w:pP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日期：  年   月  日</w:t>
      </w:r>
    </w:p>
    <w:p>
      <w:pPr>
        <w:tabs>
          <w:tab w:val="left" w:pos="840"/>
        </w:tabs>
        <w:adjustRightInd w:val="0"/>
        <w:snapToGrid w:val="0"/>
        <w:spacing w:line="360" w:lineRule="auto"/>
        <w:ind w:left="420" w:leftChars="200" w:firstLine="330" w:firstLineChars="150"/>
        <w:rPr>
          <w:rFonts w:hint="eastAsia" w:ascii="宋体" w:hAnsi="宋体" w:cs="宋体"/>
          <w:color w:val="auto"/>
          <w:sz w:val="22"/>
          <w:szCs w:val="22"/>
          <w:highlight w:val="none"/>
        </w:rPr>
      </w:pPr>
    </w:p>
    <w:p>
      <w:pPr>
        <w:tabs>
          <w:tab w:val="left" w:pos="840"/>
        </w:tabs>
        <w:adjustRightInd w:val="0"/>
        <w:snapToGrid w:val="0"/>
        <w:spacing w:line="360" w:lineRule="auto"/>
        <w:ind w:left="18" w:hanging="17" w:hangingChars="8"/>
        <w:jc w:val="left"/>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附件三</w:t>
      </w:r>
    </w:p>
    <w:p>
      <w:pPr>
        <w:tabs>
          <w:tab w:val="left" w:pos="840"/>
        </w:tabs>
        <w:adjustRightInd w:val="0"/>
        <w:snapToGrid w:val="0"/>
        <w:spacing w:line="360" w:lineRule="auto"/>
        <w:ind w:left="22" w:hanging="22" w:hangingChars="8"/>
        <w:jc w:val="center"/>
        <w:rPr>
          <w:rFonts w:hint="eastAsia" w:eastAsia="新宋体"/>
          <w:b/>
          <w:bCs/>
          <w:color w:val="auto"/>
          <w:sz w:val="28"/>
          <w:szCs w:val="28"/>
          <w:highlight w:val="none"/>
        </w:rPr>
      </w:pPr>
      <w:r>
        <w:rPr>
          <w:rFonts w:hint="eastAsia" w:eastAsia="新宋体"/>
          <w:b/>
          <w:bCs/>
          <w:color w:val="auto"/>
          <w:sz w:val="28"/>
          <w:szCs w:val="28"/>
          <w:highlight w:val="none"/>
        </w:rPr>
        <w:t>供应商为完成本项目组建的工作小组名单</w:t>
      </w:r>
    </w:p>
    <w:p>
      <w:pPr>
        <w:pStyle w:val="29"/>
        <w:spacing w:line="400" w:lineRule="atLeast"/>
        <w:ind w:left="17" w:hanging="17" w:hangingChars="6"/>
        <w:jc w:val="center"/>
        <w:rPr>
          <w:rFonts w:hint="eastAsia" w:ascii="新宋体" w:hAnsi="新宋体" w:eastAsia="新宋体"/>
          <w:b/>
          <w:color w:val="auto"/>
          <w:sz w:val="28"/>
          <w:highlight w:val="none"/>
        </w:rPr>
      </w:pPr>
      <w:r>
        <w:rPr>
          <w:rFonts w:hint="eastAsia" w:ascii="新宋体" w:hAnsi="新宋体" w:eastAsia="新宋体"/>
          <w:b/>
          <w:color w:val="auto"/>
          <w:sz w:val="28"/>
          <w:highlight w:val="none"/>
        </w:rPr>
        <w:t>（1）项目负责人简历表</w:t>
      </w:r>
    </w:p>
    <w:p>
      <w:pPr>
        <w:pStyle w:val="29"/>
        <w:spacing w:line="400" w:lineRule="atLeast"/>
        <w:ind w:left="663" w:hanging="663" w:hangingChars="300"/>
        <w:rPr>
          <w:rFonts w:hint="eastAsia" w:ascii="新宋体" w:hAnsi="新宋体" w:eastAsia="新宋体"/>
          <w:b/>
          <w:color w:val="auto"/>
          <w:sz w:val="22"/>
          <w:highlight w:val="none"/>
        </w:rPr>
      </w:pPr>
      <w:r>
        <w:rPr>
          <w:rFonts w:hint="eastAsia" w:ascii="新宋体" w:hAnsi="新宋体" w:eastAsia="新宋体"/>
          <w:b/>
          <w:color w:val="auto"/>
          <w:sz w:val="22"/>
          <w:highlight w:val="none"/>
        </w:rPr>
        <w:t>项目名称：                                            项目编号：</w:t>
      </w:r>
    </w:p>
    <w:tbl>
      <w:tblPr>
        <w:tblStyle w:val="57"/>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lang w:eastAsia="zh-CN"/>
              </w:rPr>
              <w:t>1.</w:t>
            </w:r>
            <w:r>
              <w:rPr>
                <w:rFonts w:hint="eastAsia" w:eastAsia="新宋体"/>
                <w:color w:val="auto"/>
                <w:sz w:val="22"/>
                <w:szCs w:val="22"/>
                <w:highlight w:val="none"/>
              </w:rPr>
              <w:t>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姓   名</w:t>
            </w:r>
          </w:p>
        </w:tc>
        <w:tc>
          <w:tcPr>
            <w:tcW w:w="1799"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年  龄</w:t>
            </w:r>
          </w:p>
        </w:tc>
        <w:tc>
          <w:tcPr>
            <w:tcW w:w="1062"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p>
        </w:tc>
        <w:tc>
          <w:tcPr>
            <w:tcW w:w="2074"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学  历</w:t>
            </w:r>
          </w:p>
        </w:tc>
        <w:tc>
          <w:tcPr>
            <w:tcW w:w="1568"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毕业学校</w:t>
            </w:r>
          </w:p>
        </w:tc>
        <w:tc>
          <w:tcPr>
            <w:tcW w:w="1799" w:type="dxa"/>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专  业</w:t>
            </w:r>
          </w:p>
        </w:tc>
        <w:tc>
          <w:tcPr>
            <w:tcW w:w="1062"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p>
        </w:tc>
        <w:tc>
          <w:tcPr>
            <w:tcW w:w="2074"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职  务</w:t>
            </w:r>
          </w:p>
        </w:tc>
        <w:tc>
          <w:tcPr>
            <w:tcW w:w="1568"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职  称</w:t>
            </w:r>
          </w:p>
        </w:tc>
        <w:tc>
          <w:tcPr>
            <w:tcW w:w="1799" w:type="dxa"/>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1567"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拟任何职</w:t>
            </w:r>
          </w:p>
        </w:tc>
        <w:tc>
          <w:tcPr>
            <w:tcW w:w="1062"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p>
        </w:tc>
        <w:tc>
          <w:tcPr>
            <w:tcW w:w="2074"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参加工作</w:t>
            </w:r>
          </w:p>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时间</w:t>
            </w:r>
          </w:p>
        </w:tc>
        <w:tc>
          <w:tcPr>
            <w:tcW w:w="1568"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lang w:eastAsia="zh-CN"/>
              </w:rPr>
              <w:t>2.</w:t>
            </w:r>
            <w:r>
              <w:rPr>
                <w:rFonts w:hint="eastAsia" w:eastAsia="新宋体"/>
                <w:color w:val="auto"/>
                <w:sz w:val="22"/>
                <w:szCs w:val="22"/>
                <w:highlight w:val="none"/>
              </w:rPr>
              <w:t>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时  间</w:t>
            </w:r>
          </w:p>
        </w:tc>
        <w:tc>
          <w:tcPr>
            <w:tcW w:w="8070" w:type="dxa"/>
            <w:gridSpan w:val="6"/>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8070" w:type="dxa"/>
            <w:gridSpan w:val="6"/>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8070" w:type="dxa"/>
            <w:gridSpan w:val="6"/>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lang w:eastAsia="zh-CN"/>
              </w:rPr>
              <w:t>3.</w:t>
            </w:r>
            <w:r>
              <w:rPr>
                <w:rFonts w:hint="eastAsia" w:eastAsia="新宋体"/>
                <w:color w:val="auto"/>
                <w:sz w:val="22"/>
                <w:szCs w:val="22"/>
                <w:highlight w:val="none"/>
              </w:rPr>
              <w:t>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序号</w:t>
            </w:r>
          </w:p>
        </w:tc>
        <w:tc>
          <w:tcPr>
            <w:tcW w:w="3427" w:type="dxa"/>
            <w:gridSpan w:val="3"/>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项  目  名  称</w:t>
            </w:r>
          </w:p>
        </w:tc>
        <w:tc>
          <w:tcPr>
            <w:tcW w:w="1440"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完成年份</w:t>
            </w:r>
          </w:p>
        </w:tc>
        <w:tc>
          <w:tcPr>
            <w:tcW w:w="3642" w:type="dxa"/>
            <w:gridSpan w:val="2"/>
            <w:tcBorders>
              <w:top w:val="single" w:color="auto" w:sz="4" w:space="0"/>
              <w:bottom w:val="single" w:color="auto" w:sz="4" w:space="0"/>
            </w:tcBorders>
            <w:noWrap w:val="0"/>
            <w:vAlign w:val="center"/>
          </w:tcPr>
          <w:p>
            <w:pPr>
              <w:spacing w:line="360" w:lineRule="exact"/>
              <w:jc w:val="center"/>
              <w:rPr>
                <w:rFonts w:hint="eastAsia" w:eastAsia="新宋体"/>
                <w:color w:val="auto"/>
                <w:sz w:val="22"/>
                <w:szCs w:val="22"/>
                <w:highlight w:val="none"/>
              </w:rPr>
            </w:pPr>
            <w:r>
              <w:rPr>
                <w:rFonts w:hint="eastAsia" w:eastAsia="新宋体"/>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3427" w:type="dxa"/>
            <w:gridSpan w:val="3"/>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1440" w:type="dxa"/>
            <w:gridSpan w:val="2"/>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c>
          <w:tcPr>
            <w:tcW w:w="3642" w:type="dxa"/>
            <w:gridSpan w:val="2"/>
            <w:tcBorders>
              <w:top w:val="single" w:color="auto" w:sz="4" w:space="0"/>
              <w:bottom w:val="single" w:color="auto" w:sz="4" w:space="0"/>
            </w:tcBorders>
            <w:noWrap w:val="0"/>
            <w:vAlign w:val="center"/>
          </w:tcPr>
          <w:p>
            <w:pPr>
              <w:spacing w:line="360" w:lineRule="exact"/>
              <w:rPr>
                <w:rFonts w:hint="eastAsia"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0"/>
            <w:vAlign w:val="center"/>
          </w:tcPr>
          <w:p>
            <w:pPr>
              <w:spacing w:line="360" w:lineRule="exact"/>
              <w:rPr>
                <w:rFonts w:hint="eastAsia" w:eastAsia="新宋体"/>
                <w:color w:val="auto"/>
                <w:sz w:val="22"/>
                <w:szCs w:val="22"/>
                <w:highlight w:val="none"/>
              </w:rPr>
            </w:pPr>
          </w:p>
        </w:tc>
        <w:tc>
          <w:tcPr>
            <w:tcW w:w="3427" w:type="dxa"/>
            <w:gridSpan w:val="3"/>
            <w:tcBorders>
              <w:top w:val="single" w:color="auto" w:sz="4" w:space="0"/>
              <w:bottom w:val="single" w:color="auto" w:sz="12" w:space="0"/>
            </w:tcBorders>
            <w:noWrap w:val="0"/>
            <w:vAlign w:val="center"/>
          </w:tcPr>
          <w:p>
            <w:pPr>
              <w:spacing w:line="360" w:lineRule="exact"/>
              <w:rPr>
                <w:rFonts w:hint="eastAsia" w:eastAsia="新宋体"/>
                <w:color w:val="auto"/>
                <w:sz w:val="22"/>
                <w:szCs w:val="22"/>
                <w:highlight w:val="none"/>
              </w:rPr>
            </w:pPr>
          </w:p>
        </w:tc>
        <w:tc>
          <w:tcPr>
            <w:tcW w:w="1440" w:type="dxa"/>
            <w:gridSpan w:val="2"/>
            <w:tcBorders>
              <w:top w:val="single" w:color="auto" w:sz="4" w:space="0"/>
              <w:bottom w:val="single" w:color="auto" w:sz="12" w:space="0"/>
            </w:tcBorders>
            <w:noWrap w:val="0"/>
            <w:vAlign w:val="center"/>
          </w:tcPr>
          <w:p>
            <w:pPr>
              <w:spacing w:line="360" w:lineRule="exact"/>
              <w:rPr>
                <w:rFonts w:hint="eastAsia" w:eastAsia="新宋体"/>
                <w:color w:val="auto"/>
                <w:sz w:val="22"/>
                <w:szCs w:val="22"/>
                <w:highlight w:val="none"/>
              </w:rPr>
            </w:pPr>
          </w:p>
        </w:tc>
        <w:tc>
          <w:tcPr>
            <w:tcW w:w="3642" w:type="dxa"/>
            <w:gridSpan w:val="2"/>
            <w:tcBorders>
              <w:top w:val="single" w:color="auto" w:sz="4" w:space="0"/>
              <w:bottom w:val="single" w:color="auto" w:sz="12" w:space="0"/>
            </w:tcBorders>
            <w:noWrap w:val="0"/>
            <w:vAlign w:val="center"/>
          </w:tcPr>
          <w:p>
            <w:pPr>
              <w:spacing w:line="360" w:lineRule="exact"/>
              <w:rPr>
                <w:rFonts w:hint="eastAsia" w:eastAsia="新宋体"/>
                <w:color w:val="auto"/>
                <w:sz w:val="22"/>
                <w:szCs w:val="22"/>
                <w:highlight w:val="none"/>
              </w:rPr>
            </w:pPr>
          </w:p>
        </w:tc>
      </w:tr>
    </w:tbl>
    <w:p>
      <w:pPr>
        <w:pStyle w:val="29"/>
        <w:spacing w:line="340" w:lineRule="exact"/>
        <w:ind w:left="660" w:hanging="660" w:hangingChars="30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w:t>
      </w:r>
    </w:p>
    <w:p>
      <w:pPr>
        <w:spacing w:line="380" w:lineRule="exact"/>
        <w:ind w:left="4420" w:leftChars="2000" w:hanging="220" w:hangingChars="100"/>
        <w:rPr>
          <w:rFonts w:hint="eastAsia" w:eastAsia="新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eastAsia="新宋体"/>
          <w:color w:val="auto"/>
          <w:sz w:val="22"/>
          <w:szCs w:val="22"/>
          <w:highlight w:val="none"/>
        </w:rPr>
        <w:t>投标人全称（盖章）：</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日期：  年   月  日</w:t>
      </w:r>
      <w:r>
        <w:rPr>
          <w:rFonts w:hint="eastAsia" w:ascii="宋体" w:hAnsi="宋体" w:cs="宋体"/>
          <w:color w:val="auto"/>
          <w:sz w:val="22"/>
          <w:szCs w:val="22"/>
          <w:highlight w:val="none"/>
          <w:u w:val="single"/>
        </w:rPr>
        <w:t xml:space="preserve">                       </w:t>
      </w:r>
    </w:p>
    <w:p>
      <w:pPr>
        <w:jc w:val="center"/>
        <w:rPr>
          <w:rFonts w:hint="eastAsia" w:eastAsia="新宋体"/>
          <w:b/>
          <w:color w:val="auto"/>
          <w:sz w:val="28"/>
          <w:szCs w:val="21"/>
          <w:highlight w:val="none"/>
        </w:rPr>
      </w:pPr>
      <w:r>
        <w:rPr>
          <w:rFonts w:hint="eastAsia" w:eastAsia="新宋体"/>
          <w:b/>
          <w:color w:val="auto"/>
          <w:sz w:val="28"/>
          <w:highlight w:val="none"/>
        </w:rPr>
        <w:br w:type="page"/>
      </w:r>
      <w:r>
        <w:rPr>
          <w:rFonts w:hint="eastAsia" w:eastAsia="新宋体"/>
          <w:b/>
          <w:color w:val="auto"/>
          <w:sz w:val="28"/>
          <w:szCs w:val="21"/>
          <w:highlight w:val="none"/>
        </w:rPr>
        <w:t>（2）拟投入的项目实施人员名单</w:t>
      </w:r>
    </w:p>
    <w:p>
      <w:pPr>
        <w:rPr>
          <w:rFonts w:hint="eastAsia" w:eastAsia="新宋体"/>
          <w:color w:val="auto"/>
          <w:sz w:val="22"/>
          <w:highlight w:val="none"/>
        </w:rPr>
      </w:pPr>
      <w:r>
        <w:rPr>
          <w:rFonts w:hint="eastAsia" w:eastAsia="新宋体"/>
          <w:b/>
          <w:color w:val="auto"/>
          <w:sz w:val="24"/>
          <w:highlight w:val="none"/>
        </w:rPr>
        <w:t>项目名称：</w:t>
      </w:r>
      <w:r>
        <w:rPr>
          <w:rFonts w:hint="eastAsia" w:eastAsia="新宋体"/>
          <w:b/>
          <w:color w:val="auto"/>
          <w:sz w:val="22"/>
          <w:highlight w:val="none"/>
        </w:rPr>
        <w:t xml:space="preserve">                                         项目编号：</w:t>
      </w:r>
      <w:r>
        <w:rPr>
          <w:rFonts w:hint="eastAsia" w:eastAsia="新宋体"/>
          <w:color w:val="auto"/>
          <w:sz w:val="22"/>
          <w:highlight w:val="none"/>
        </w:rPr>
        <w:t xml:space="preserve"> </w:t>
      </w: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eastAsia="新宋体"/>
                <w:color w:val="auto"/>
                <w:sz w:val="22"/>
                <w:highlight w:val="none"/>
              </w:rPr>
            </w:pPr>
            <w:r>
              <w:rPr>
                <w:rFonts w:hint="eastAsia" w:eastAsia="新宋体"/>
                <w:color w:val="auto"/>
                <w:sz w:val="22"/>
                <w:highlight w:val="none"/>
              </w:rPr>
              <w:t>序号</w:t>
            </w:r>
          </w:p>
        </w:tc>
        <w:tc>
          <w:tcPr>
            <w:tcW w:w="958" w:type="dxa"/>
            <w:noWrap w:val="0"/>
            <w:vAlign w:val="center"/>
          </w:tcPr>
          <w:p>
            <w:pPr>
              <w:spacing w:line="360" w:lineRule="auto"/>
              <w:jc w:val="center"/>
              <w:rPr>
                <w:rFonts w:eastAsia="新宋体"/>
                <w:color w:val="auto"/>
                <w:sz w:val="22"/>
                <w:highlight w:val="none"/>
              </w:rPr>
            </w:pPr>
            <w:r>
              <w:rPr>
                <w:rFonts w:hint="eastAsia" w:eastAsia="新宋体"/>
                <w:color w:val="auto"/>
                <w:sz w:val="22"/>
                <w:highlight w:val="none"/>
              </w:rPr>
              <w:t>姓名</w:t>
            </w:r>
          </w:p>
        </w:tc>
        <w:tc>
          <w:tcPr>
            <w:tcW w:w="958" w:type="dxa"/>
            <w:noWrap w:val="0"/>
            <w:vAlign w:val="center"/>
          </w:tcPr>
          <w:p>
            <w:pPr>
              <w:spacing w:line="360" w:lineRule="auto"/>
              <w:jc w:val="center"/>
              <w:rPr>
                <w:rFonts w:eastAsia="新宋体"/>
                <w:color w:val="auto"/>
                <w:sz w:val="22"/>
                <w:highlight w:val="none"/>
              </w:rPr>
            </w:pPr>
            <w:r>
              <w:rPr>
                <w:rFonts w:hint="eastAsia" w:eastAsia="新宋体"/>
                <w:color w:val="auto"/>
                <w:sz w:val="22"/>
                <w:highlight w:val="none"/>
              </w:rPr>
              <w:t>性别</w:t>
            </w:r>
          </w:p>
        </w:tc>
        <w:tc>
          <w:tcPr>
            <w:tcW w:w="767" w:type="dxa"/>
            <w:noWrap w:val="0"/>
            <w:vAlign w:val="center"/>
          </w:tcPr>
          <w:p>
            <w:pPr>
              <w:spacing w:line="360" w:lineRule="auto"/>
              <w:jc w:val="center"/>
              <w:rPr>
                <w:rFonts w:eastAsia="新宋体"/>
                <w:color w:val="auto"/>
                <w:sz w:val="22"/>
                <w:highlight w:val="none"/>
              </w:rPr>
            </w:pPr>
            <w:r>
              <w:rPr>
                <w:rFonts w:hint="eastAsia" w:eastAsia="新宋体"/>
                <w:color w:val="auto"/>
                <w:sz w:val="22"/>
                <w:highlight w:val="none"/>
              </w:rPr>
              <w:t>年龄</w:t>
            </w:r>
          </w:p>
        </w:tc>
        <w:tc>
          <w:tcPr>
            <w:tcW w:w="767" w:type="dxa"/>
            <w:noWrap w:val="0"/>
            <w:vAlign w:val="center"/>
          </w:tcPr>
          <w:p>
            <w:pPr>
              <w:spacing w:line="360" w:lineRule="auto"/>
              <w:jc w:val="center"/>
              <w:rPr>
                <w:rFonts w:eastAsia="新宋体"/>
                <w:color w:val="auto"/>
                <w:sz w:val="22"/>
                <w:highlight w:val="none"/>
              </w:rPr>
            </w:pPr>
            <w:r>
              <w:rPr>
                <w:rFonts w:hint="eastAsia" w:eastAsia="新宋体"/>
                <w:color w:val="auto"/>
                <w:sz w:val="22"/>
                <w:highlight w:val="none"/>
              </w:rPr>
              <w:t>学历</w:t>
            </w:r>
          </w:p>
        </w:tc>
        <w:tc>
          <w:tcPr>
            <w:tcW w:w="1340" w:type="dxa"/>
            <w:noWrap w:val="0"/>
            <w:vAlign w:val="center"/>
          </w:tcPr>
          <w:p>
            <w:pPr>
              <w:spacing w:line="280" w:lineRule="exact"/>
              <w:jc w:val="center"/>
              <w:rPr>
                <w:rFonts w:eastAsia="新宋体"/>
                <w:color w:val="auto"/>
                <w:sz w:val="22"/>
                <w:highlight w:val="none"/>
              </w:rPr>
            </w:pPr>
            <w:r>
              <w:rPr>
                <w:rFonts w:hint="eastAsia" w:eastAsia="新宋体"/>
                <w:color w:val="auto"/>
                <w:sz w:val="22"/>
                <w:highlight w:val="none"/>
              </w:rPr>
              <w:t>职称/职务</w:t>
            </w:r>
          </w:p>
        </w:tc>
        <w:tc>
          <w:tcPr>
            <w:tcW w:w="1326" w:type="dxa"/>
            <w:noWrap w:val="0"/>
            <w:vAlign w:val="center"/>
          </w:tcPr>
          <w:p>
            <w:pPr>
              <w:spacing w:line="280" w:lineRule="exact"/>
              <w:jc w:val="center"/>
              <w:rPr>
                <w:rFonts w:eastAsia="新宋体"/>
                <w:color w:val="auto"/>
                <w:sz w:val="22"/>
                <w:highlight w:val="none"/>
              </w:rPr>
            </w:pPr>
            <w:r>
              <w:rPr>
                <w:rFonts w:hint="eastAsia" w:eastAsia="新宋体"/>
                <w:color w:val="auto"/>
                <w:highlight w:val="none"/>
              </w:rPr>
              <w:t>本工程中的岗位</w:t>
            </w:r>
          </w:p>
        </w:tc>
        <w:tc>
          <w:tcPr>
            <w:tcW w:w="1825" w:type="dxa"/>
            <w:noWrap w:val="0"/>
            <w:vAlign w:val="center"/>
          </w:tcPr>
          <w:p>
            <w:pPr>
              <w:spacing w:line="360" w:lineRule="auto"/>
              <w:jc w:val="center"/>
              <w:rPr>
                <w:rFonts w:eastAsia="新宋体"/>
                <w:color w:val="auto"/>
                <w:sz w:val="22"/>
                <w:highlight w:val="none"/>
              </w:rPr>
            </w:pPr>
            <w:r>
              <w:rPr>
                <w:rFonts w:hint="eastAsia" w:eastAsia="新宋体"/>
                <w:color w:val="auto"/>
                <w:sz w:val="22"/>
                <w:highlight w:val="none"/>
              </w:rPr>
              <w:t>从事专业年限</w:t>
            </w:r>
          </w:p>
        </w:tc>
        <w:tc>
          <w:tcPr>
            <w:tcW w:w="1147" w:type="dxa"/>
            <w:noWrap w:val="0"/>
            <w:vAlign w:val="center"/>
          </w:tcPr>
          <w:p>
            <w:pPr>
              <w:spacing w:line="360" w:lineRule="auto"/>
              <w:jc w:val="center"/>
              <w:rPr>
                <w:rFonts w:eastAsia="新宋体"/>
                <w:color w:val="auto"/>
                <w:sz w:val="22"/>
                <w:highlight w:val="none"/>
              </w:rPr>
            </w:pPr>
            <w:r>
              <w:rPr>
                <w:rFonts w:hint="eastAsia" w:eastAsia="新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958"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767" w:type="dxa"/>
            <w:noWrap w:val="0"/>
            <w:vAlign w:val="center"/>
          </w:tcPr>
          <w:p>
            <w:pPr>
              <w:spacing w:line="360" w:lineRule="auto"/>
              <w:jc w:val="center"/>
              <w:rPr>
                <w:rFonts w:eastAsia="新宋体"/>
                <w:color w:val="auto"/>
                <w:sz w:val="22"/>
                <w:highlight w:val="none"/>
              </w:rPr>
            </w:pPr>
          </w:p>
        </w:tc>
        <w:tc>
          <w:tcPr>
            <w:tcW w:w="1340" w:type="dxa"/>
            <w:noWrap w:val="0"/>
            <w:vAlign w:val="center"/>
          </w:tcPr>
          <w:p>
            <w:pPr>
              <w:spacing w:line="360" w:lineRule="auto"/>
              <w:jc w:val="center"/>
              <w:rPr>
                <w:rFonts w:eastAsia="新宋体"/>
                <w:color w:val="auto"/>
                <w:sz w:val="22"/>
                <w:highlight w:val="none"/>
              </w:rPr>
            </w:pPr>
          </w:p>
        </w:tc>
        <w:tc>
          <w:tcPr>
            <w:tcW w:w="1326" w:type="dxa"/>
            <w:noWrap w:val="0"/>
            <w:vAlign w:val="center"/>
          </w:tcPr>
          <w:p>
            <w:pPr>
              <w:spacing w:line="360" w:lineRule="auto"/>
              <w:jc w:val="center"/>
              <w:rPr>
                <w:rFonts w:eastAsia="新宋体"/>
                <w:color w:val="auto"/>
                <w:sz w:val="22"/>
                <w:highlight w:val="none"/>
              </w:rPr>
            </w:pPr>
          </w:p>
        </w:tc>
        <w:tc>
          <w:tcPr>
            <w:tcW w:w="1825" w:type="dxa"/>
            <w:noWrap w:val="0"/>
            <w:vAlign w:val="top"/>
          </w:tcPr>
          <w:p>
            <w:pPr>
              <w:spacing w:line="360" w:lineRule="auto"/>
              <w:jc w:val="center"/>
              <w:rPr>
                <w:rFonts w:eastAsia="新宋体"/>
                <w:color w:val="auto"/>
                <w:sz w:val="22"/>
                <w:highlight w:val="none"/>
              </w:rPr>
            </w:pPr>
          </w:p>
        </w:tc>
        <w:tc>
          <w:tcPr>
            <w:tcW w:w="1147" w:type="dxa"/>
            <w:noWrap w:val="0"/>
            <w:vAlign w:val="center"/>
          </w:tcPr>
          <w:p>
            <w:pPr>
              <w:spacing w:line="360" w:lineRule="auto"/>
              <w:jc w:val="center"/>
              <w:rPr>
                <w:rFonts w:eastAsia="新宋体"/>
                <w:color w:val="auto"/>
                <w:sz w:val="22"/>
                <w:highlight w:val="none"/>
              </w:rPr>
            </w:pPr>
          </w:p>
        </w:tc>
      </w:tr>
    </w:tbl>
    <w:p>
      <w:pPr>
        <w:tabs>
          <w:tab w:val="left" w:pos="1620"/>
        </w:tabs>
        <w:spacing w:line="360" w:lineRule="exact"/>
        <w:ind w:right="-107"/>
        <w:rPr>
          <w:rFonts w:hint="eastAsia" w:ascii="宋体" w:hAnsi="宋体"/>
          <w:color w:val="auto"/>
          <w:sz w:val="22"/>
          <w:szCs w:val="22"/>
          <w:highlight w:val="none"/>
        </w:rPr>
      </w:pPr>
    </w:p>
    <w:p>
      <w:pPr>
        <w:pStyle w:val="29"/>
        <w:spacing w:line="400" w:lineRule="atLeast"/>
        <w:ind w:left="660" w:hanging="660" w:hangingChars="300"/>
        <w:rPr>
          <w:rFonts w:ascii="新宋体" w:hAnsi="新宋体" w:eastAsia="新宋体"/>
          <w:color w:val="auto"/>
          <w:sz w:val="22"/>
          <w:highlight w:val="none"/>
        </w:rPr>
      </w:pPr>
      <w:r>
        <w:rPr>
          <w:rFonts w:hint="eastAsia" w:ascii="新宋体" w:hAnsi="新宋体" w:eastAsia="新宋体"/>
          <w:color w:val="auto"/>
          <w:sz w:val="22"/>
          <w:highlight w:val="none"/>
        </w:rPr>
        <w:t>注：此表仅提供了表格形式，投标人可按此表格复制。</w:t>
      </w:r>
    </w:p>
    <w:p>
      <w:pPr>
        <w:pStyle w:val="29"/>
        <w:spacing w:line="400" w:lineRule="atLeast"/>
        <w:ind w:left="1"/>
        <w:jc w:val="left"/>
        <w:rPr>
          <w:rFonts w:hint="eastAsia" w:eastAsia="新宋体"/>
          <w:color w:val="auto"/>
          <w:sz w:val="22"/>
          <w:szCs w:val="22"/>
          <w:highlight w:val="none"/>
        </w:rPr>
      </w:pPr>
    </w:p>
    <w:p>
      <w:pPr>
        <w:bidi w:val="0"/>
        <w:rPr>
          <w:rFonts w:hint="eastAsia" w:eastAsia="新宋体"/>
          <w:color w:val="auto"/>
          <w:sz w:val="22"/>
          <w:szCs w:val="22"/>
          <w:highlight w:val="none"/>
        </w:rPr>
      </w:pPr>
    </w:p>
    <w:p>
      <w:pPr>
        <w:bidi w:val="0"/>
        <w:rPr>
          <w:rFonts w:hint="eastAsia" w:eastAsia="新宋体"/>
          <w:color w:val="auto"/>
          <w:sz w:val="22"/>
          <w:szCs w:val="22"/>
          <w:highlight w:val="none"/>
        </w:rPr>
      </w:pPr>
    </w:p>
    <w:p>
      <w:pPr>
        <w:bidi w:val="0"/>
        <w:rPr>
          <w:rFonts w:hint="eastAsia" w:eastAsia="新宋体"/>
          <w:color w:val="auto"/>
          <w:sz w:val="22"/>
          <w:szCs w:val="22"/>
          <w:highlight w:val="none"/>
        </w:rPr>
      </w:pPr>
    </w:p>
    <w:p>
      <w:pPr>
        <w:spacing w:line="380" w:lineRule="exact"/>
        <w:ind w:left="4418" w:leftChars="2104" w:firstLine="0" w:firstLineChars="0"/>
        <w:jc w:val="left"/>
        <w:rPr>
          <w:rFonts w:hint="eastAsia"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jc w:val="left"/>
        <w:rPr>
          <w:rFonts w:hint="eastAsia" w:eastAsia="新宋体"/>
          <w:color w:val="auto"/>
          <w:sz w:val="22"/>
          <w:szCs w:val="22"/>
          <w:highlight w:val="none"/>
        </w:rPr>
      </w:pPr>
      <w:r>
        <w:rPr>
          <w:rFonts w:hint="eastAsia" w:eastAsia="新宋体"/>
          <w:color w:val="auto"/>
          <w:sz w:val="22"/>
          <w:szCs w:val="22"/>
          <w:highlight w:val="none"/>
        </w:rPr>
        <w:t>法定代表人或授权代表（签字）：</w:t>
      </w:r>
    </w:p>
    <w:p>
      <w:pPr>
        <w:bidi w:val="0"/>
        <w:ind w:firstLine="4400" w:firstLineChars="2000"/>
        <w:jc w:val="left"/>
        <w:rPr>
          <w:rFonts w:hint="eastAsia" w:eastAsia="新宋体"/>
          <w:color w:val="auto"/>
          <w:sz w:val="22"/>
          <w:szCs w:val="22"/>
          <w:highlight w:val="none"/>
        </w:rPr>
      </w:pPr>
      <w:r>
        <w:rPr>
          <w:rFonts w:hint="eastAsia" w:eastAsia="新宋体"/>
          <w:color w:val="auto"/>
          <w:sz w:val="22"/>
          <w:szCs w:val="22"/>
          <w:highlight w:val="none"/>
        </w:rPr>
        <w:t>日期：  年   月  日</w:t>
      </w:r>
      <w:r>
        <w:rPr>
          <w:rFonts w:hint="eastAsia" w:ascii="宋体" w:hAnsi="宋体" w:cs="宋体"/>
          <w:color w:val="auto"/>
          <w:sz w:val="22"/>
          <w:szCs w:val="22"/>
          <w:highlight w:val="none"/>
          <w:u w:val="single"/>
        </w:rPr>
        <w:t xml:space="preserve">       </w:t>
      </w:r>
      <w:r>
        <w:rPr>
          <w:rFonts w:hint="eastAsia" w:eastAsia="新宋体"/>
          <w:color w:val="auto"/>
          <w:sz w:val="22"/>
          <w:szCs w:val="22"/>
          <w:highlight w:val="none"/>
        </w:rPr>
        <w:br w:type="page"/>
      </w:r>
      <w:r>
        <w:rPr>
          <w:rFonts w:hint="eastAsia" w:eastAsia="新宋体"/>
          <w:b/>
          <w:bCs/>
          <w:color w:val="auto"/>
          <w:sz w:val="22"/>
          <w:szCs w:val="22"/>
          <w:highlight w:val="none"/>
        </w:rPr>
        <w:t>附件四</w:t>
      </w:r>
    </w:p>
    <w:p>
      <w:pPr>
        <w:pStyle w:val="29"/>
        <w:spacing w:line="400" w:lineRule="atLeast"/>
        <w:ind w:left="1"/>
        <w:jc w:val="center"/>
        <w:rPr>
          <w:rFonts w:hint="eastAsia" w:ascii="新宋体" w:hAnsi="新宋体" w:eastAsia="新宋体"/>
          <w:b/>
          <w:color w:val="auto"/>
          <w:sz w:val="28"/>
          <w:highlight w:val="none"/>
        </w:rPr>
      </w:pPr>
      <w:r>
        <w:rPr>
          <w:rFonts w:hint="eastAsia" w:eastAsia="新宋体"/>
          <w:color w:val="auto"/>
          <w:sz w:val="22"/>
          <w:szCs w:val="22"/>
          <w:highlight w:val="none"/>
        </w:rPr>
        <w:t xml:space="preserve"> </w:t>
      </w:r>
      <w:r>
        <w:rPr>
          <w:rFonts w:hint="eastAsia" w:ascii="新宋体" w:hAnsi="新宋体" w:eastAsia="新宋体"/>
          <w:b/>
          <w:color w:val="auto"/>
          <w:sz w:val="28"/>
          <w:highlight w:val="none"/>
        </w:rPr>
        <w:t>投标人</w:t>
      </w:r>
      <w:r>
        <w:rPr>
          <w:rFonts w:hint="eastAsia" w:ascii="新宋体" w:hAnsi="新宋体" w:eastAsia="新宋体"/>
          <w:b/>
          <w:color w:val="auto"/>
          <w:sz w:val="28"/>
          <w:highlight w:val="none"/>
          <w:lang w:val="en-US" w:eastAsia="zh-CN"/>
        </w:rPr>
        <w:t>同类</w:t>
      </w:r>
      <w:r>
        <w:rPr>
          <w:rFonts w:hint="eastAsia" w:ascii="新宋体" w:hAnsi="新宋体" w:eastAsia="新宋体"/>
          <w:b/>
          <w:color w:val="auto"/>
          <w:sz w:val="28"/>
          <w:highlight w:val="none"/>
        </w:rPr>
        <w:t>业绩一览表</w:t>
      </w:r>
    </w:p>
    <w:p>
      <w:pPr>
        <w:spacing w:line="360" w:lineRule="exact"/>
        <w:jc w:val="center"/>
        <w:rPr>
          <w:rFonts w:hint="eastAsia" w:eastAsia="新宋体"/>
          <w:color w:val="auto"/>
          <w:sz w:val="22"/>
          <w:highlight w:val="none"/>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noWrap w:val="0"/>
            <w:vAlign w:val="center"/>
          </w:tcPr>
          <w:p>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noWrap w:val="0"/>
            <w:vAlign w:val="center"/>
          </w:tcPr>
          <w:p>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noWrap w:val="0"/>
            <w:vAlign w:val="center"/>
          </w:tcPr>
          <w:p>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noWrap w:val="0"/>
            <w:vAlign w:val="center"/>
          </w:tcPr>
          <w:p>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noWrap w:val="0"/>
            <w:vAlign w:val="center"/>
          </w:tcPr>
          <w:p>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noWrap w:val="0"/>
            <w:vAlign w:val="center"/>
          </w:tcPr>
          <w:p>
            <w:pPr>
              <w:spacing w:line="380" w:lineRule="exact"/>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38"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583"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2036"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471"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007" w:type="dxa"/>
            <w:noWrap w:val="0"/>
            <w:vAlign w:val="top"/>
          </w:tcPr>
          <w:p>
            <w:pPr>
              <w:spacing w:after="120" w:line="360" w:lineRule="atLeast"/>
              <w:jc w:val="center"/>
              <w:rPr>
                <w:rFonts w:hint="eastAsia" w:ascii="新宋体" w:hAnsi="新宋体" w:eastAsia="新宋体"/>
                <w:color w:val="auto"/>
                <w:sz w:val="22"/>
                <w:szCs w:val="22"/>
                <w:highlight w:val="none"/>
              </w:rPr>
            </w:pPr>
          </w:p>
        </w:tc>
        <w:tc>
          <w:tcPr>
            <w:tcW w:w="1351" w:type="dxa"/>
            <w:noWrap w:val="0"/>
            <w:vAlign w:val="top"/>
          </w:tcPr>
          <w:p>
            <w:pPr>
              <w:spacing w:after="120" w:line="360" w:lineRule="atLeast"/>
              <w:jc w:val="center"/>
              <w:rPr>
                <w:rFonts w:hint="eastAsia" w:ascii="新宋体" w:hAnsi="新宋体" w:eastAsia="新宋体"/>
                <w:color w:val="auto"/>
                <w:sz w:val="22"/>
                <w:szCs w:val="22"/>
                <w:highlight w:val="none"/>
              </w:rPr>
            </w:pPr>
          </w:p>
        </w:tc>
      </w:tr>
    </w:tbl>
    <w:p>
      <w:pPr>
        <w:spacing w:line="380" w:lineRule="exact"/>
        <w:rPr>
          <w:rFonts w:hint="eastAsia" w:eastAsia="新宋体"/>
          <w:color w:val="auto"/>
          <w:sz w:val="22"/>
          <w:szCs w:val="22"/>
          <w:highlight w:val="none"/>
        </w:rPr>
      </w:pPr>
      <w:r>
        <w:rPr>
          <w:rFonts w:hint="eastAsia" w:eastAsia="新宋体"/>
          <w:color w:val="auto"/>
          <w:sz w:val="22"/>
          <w:szCs w:val="22"/>
          <w:highlight w:val="none"/>
        </w:rPr>
        <w:t>注：</w:t>
      </w:r>
      <w:r>
        <w:rPr>
          <w:rFonts w:hint="eastAsia" w:eastAsia="新宋体"/>
          <w:color w:val="auto"/>
          <w:sz w:val="22"/>
          <w:szCs w:val="22"/>
          <w:highlight w:val="none"/>
          <w:lang w:eastAsia="zh-CN"/>
        </w:rPr>
        <w:t>1.</w:t>
      </w:r>
      <w:r>
        <w:rPr>
          <w:rFonts w:hint="eastAsia" w:eastAsia="新宋体"/>
          <w:color w:val="auto"/>
          <w:sz w:val="22"/>
          <w:szCs w:val="22"/>
          <w:highlight w:val="none"/>
        </w:rPr>
        <w:t>每项业绩须提供相关的证明材料，以合同文本为准（扫描件上加盖投标人有效的公章）；</w:t>
      </w:r>
    </w:p>
    <w:p>
      <w:pPr>
        <w:spacing w:line="380" w:lineRule="exact"/>
        <w:rPr>
          <w:rFonts w:hint="eastAsia" w:eastAsia="新宋体"/>
          <w:color w:val="auto"/>
          <w:sz w:val="22"/>
          <w:szCs w:val="22"/>
          <w:highlight w:val="none"/>
        </w:rPr>
      </w:pPr>
      <w:r>
        <w:rPr>
          <w:rFonts w:hint="eastAsia" w:eastAsia="新宋体"/>
          <w:color w:val="auto"/>
          <w:sz w:val="22"/>
          <w:szCs w:val="22"/>
          <w:highlight w:val="none"/>
          <w:lang w:eastAsia="zh-CN"/>
        </w:rPr>
        <w:t>2.</w:t>
      </w:r>
      <w:r>
        <w:rPr>
          <w:rFonts w:hint="eastAsia" w:eastAsia="新宋体"/>
          <w:color w:val="auto"/>
          <w:sz w:val="22"/>
          <w:szCs w:val="22"/>
          <w:highlight w:val="none"/>
        </w:rPr>
        <w:t>本表可在不改变格式的情况下根据具体需要自行增减。</w:t>
      </w:r>
    </w:p>
    <w:p>
      <w:pPr>
        <w:spacing w:line="380" w:lineRule="exact"/>
        <w:rPr>
          <w:rFonts w:hint="eastAsia" w:eastAsia="新宋体"/>
          <w:color w:val="auto"/>
          <w:sz w:val="22"/>
          <w:szCs w:val="22"/>
          <w:highlight w:val="none"/>
        </w:rPr>
      </w:pPr>
    </w:p>
    <w:p>
      <w:pPr>
        <w:spacing w:line="380" w:lineRule="exact"/>
        <w:rPr>
          <w:rFonts w:hint="eastAsia" w:eastAsia="新宋体"/>
          <w:b/>
          <w:bCs/>
          <w:color w:val="auto"/>
          <w:sz w:val="22"/>
          <w:szCs w:val="22"/>
          <w:highlight w:val="none"/>
        </w:rPr>
      </w:pP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日期：  年   月  日</w:t>
      </w:r>
    </w:p>
    <w:p>
      <w:pPr>
        <w:spacing w:line="360" w:lineRule="auto"/>
        <w:rPr>
          <w:rFonts w:hint="eastAsia" w:eastAsia="新宋体"/>
          <w:color w:val="auto"/>
          <w:highlight w:val="none"/>
        </w:rPr>
      </w:pPr>
    </w:p>
    <w:p>
      <w:pPr>
        <w:pStyle w:val="29"/>
        <w:spacing w:line="400" w:lineRule="atLeast"/>
        <w:jc w:val="left"/>
        <w:rPr>
          <w:rFonts w:hint="eastAsia" w:hAnsi="宋体" w:cs="宋体"/>
          <w:color w:val="auto"/>
          <w:sz w:val="22"/>
          <w:szCs w:val="22"/>
          <w:highlight w:val="none"/>
        </w:rPr>
      </w:pPr>
      <w:r>
        <w:rPr>
          <w:rFonts w:hint="eastAsia" w:ascii="新宋体" w:hAnsi="新宋体" w:eastAsia="新宋体"/>
          <w:b/>
          <w:color w:val="auto"/>
          <w:sz w:val="28"/>
          <w:highlight w:val="none"/>
        </w:rPr>
        <w:br w:type="page"/>
      </w:r>
      <w:r>
        <w:rPr>
          <w:rFonts w:hint="eastAsia" w:hAnsi="宋体" w:cs="宋体"/>
          <w:color w:val="auto"/>
          <w:sz w:val="22"/>
          <w:szCs w:val="22"/>
          <w:highlight w:val="none"/>
        </w:rPr>
        <w:t xml:space="preserve"> （报价文件封面，供参考）</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投标文件</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55"/>
        <w:ind w:firstLine="281"/>
        <w:rPr>
          <w:rFonts w:hint="eastAsia" w:ascii="宋体" w:hAnsi="宋体" w:cs="宋体"/>
          <w:color w:val="auto"/>
          <w:sz w:val="28"/>
          <w:szCs w:val="28"/>
          <w:highlight w:val="none"/>
        </w:rPr>
      </w:pPr>
    </w:p>
    <w:p>
      <w:pPr>
        <w:pStyle w:val="55"/>
        <w:ind w:firstLine="281"/>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报 价 文 件</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供应商：</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rPr>
          <w:rFonts w:hint="eastAsia" w:ascii="宋体" w:hAnsi="宋体" w:cs="宋体"/>
          <w:color w:val="auto"/>
          <w:sz w:val="28"/>
          <w:szCs w:val="28"/>
          <w:highlight w:val="none"/>
          <w:u w:val="single"/>
        </w:rPr>
      </w:pP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法定代表人（单位负责人）或其委托代理人：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pPr>
        <w:rPr>
          <w:rFonts w:hint="eastAsia" w:ascii="宋体" w:hAnsi="宋体" w:cs="宋体"/>
          <w:color w:val="auto"/>
          <w:sz w:val="28"/>
          <w:szCs w:val="28"/>
          <w:highlight w:val="none"/>
        </w:rPr>
      </w:pPr>
    </w:p>
    <w:p>
      <w:pPr>
        <w:overflowPunct w:val="0"/>
        <w:spacing w:line="380" w:lineRule="exact"/>
        <w:ind w:firstLine="2738" w:firstLineChars="978"/>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overflowPunct w:val="0"/>
        <w:spacing w:line="380" w:lineRule="exact"/>
        <w:rPr>
          <w:rFonts w:hint="eastAsia"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pPr>
        <w:autoSpaceDE w:val="0"/>
        <w:autoSpaceDN w:val="0"/>
        <w:adjustRightInd w:val="0"/>
        <w:spacing w:line="460" w:lineRule="atLeast"/>
        <w:jc w:val="center"/>
        <w:rPr>
          <w:rFonts w:hint="eastAsia" w:ascii="宋体" w:hAnsi="宋体" w:cs="宋体"/>
          <w:b/>
          <w:bCs/>
          <w:color w:val="auto"/>
          <w:kern w:val="0"/>
          <w:sz w:val="28"/>
          <w:szCs w:val="28"/>
          <w:highlight w:val="none"/>
          <w:lang w:val="zh-CN"/>
        </w:rPr>
      </w:pPr>
    </w:p>
    <w:p>
      <w:pPr>
        <w:jc w:val="center"/>
        <w:rPr>
          <w:rFonts w:hint="eastAsia" w:ascii="宋体" w:hAnsi="宋体" w:cs="宋体"/>
          <w:b/>
          <w:color w:val="auto"/>
          <w:sz w:val="28"/>
          <w:highlight w:val="none"/>
        </w:rPr>
      </w:pPr>
      <w:r>
        <w:rPr>
          <w:rFonts w:hint="eastAsia" w:ascii="宋体" w:hAnsi="宋体" w:cs="宋体"/>
          <w:b/>
          <w:color w:val="auto"/>
          <w:sz w:val="28"/>
          <w:highlight w:val="none"/>
        </w:rPr>
        <w:t>开标一览表</w:t>
      </w:r>
    </w:p>
    <w:p>
      <w:pPr>
        <w:overflowPunct w:val="0"/>
        <w:spacing w:line="380" w:lineRule="exact"/>
        <w:jc w:val="center"/>
        <w:rPr>
          <w:rFonts w:hint="eastAsia" w:ascii="宋体" w:hAnsi="宋体" w:cs="宋体"/>
          <w:b/>
          <w:bCs/>
          <w:color w:val="auto"/>
          <w:sz w:val="28"/>
          <w:highlight w:val="none"/>
        </w:rPr>
      </w:pPr>
    </w:p>
    <w:p>
      <w:pPr>
        <w:overflowPunct w:val="0"/>
        <w:spacing w:line="380" w:lineRule="exact"/>
        <w:jc w:val="center"/>
        <w:rPr>
          <w:rFonts w:hint="eastAsia" w:ascii="宋体" w:hAnsi="宋体" w:cs="宋体"/>
          <w:b/>
          <w:bCs/>
          <w:color w:val="auto"/>
          <w:sz w:val="28"/>
          <w:highlight w:val="none"/>
        </w:rPr>
      </w:pPr>
    </w:p>
    <w:p>
      <w:pPr>
        <w:overflowPunct w:val="0"/>
        <w:spacing w:line="38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0"/>
            <w:vAlign w:val="center"/>
          </w:tcPr>
          <w:p>
            <w:pPr>
              <w:autoSpaceDE w:val="0"/>
              <w:autoSpaceDN w:val="0"/>
              <w:adjustRightInd w:val="0"/>
              <w:spacing w:line="380" w:lineRule="atLeast"/>
              <w:ind w:right="349" w:firstLine="331"/>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投标总价（大写）：</w:t>
            </w:r>
          </w:p>
          <w:p>
            <w:pPr>
              <w:autoSpaceDE w:val="0"/>
              <w:autoSpaceDN w:val="0"/>
              <w:adjustRightInd w:val="0"/>
              <w:spacing w:line="380" w:lineRule="atLeast"/>
              <w:ind w:right="349" w:firstLine="331"/>
              <w:jc w:val="left"/>
              <w:rPr>
                <w:rFonts w:hint="eastAsia" w:ascii="宋体" w:hAnsi="宋体" w:cs="宋体"/>
                <w:b/>
                <w:bCs/>
                <w:color w:val="auto"/>
                <w:kern w:val="0"/>
                <w:sz w:val="22"/>
                <w:szCs w:val="22"/>
                <w:highlight w:val="none"/>
              </w:rPr>
            </w:pPr>
          </w:p>
          <w:p>
            <w:pPr>
              <w:autoSpaceDE w:val="0"/>
              <w:autoSpaceDN w:val="0"/>
              <w:adjustRightInd w:val="0"/>
              <w:spacing w:line="380" w:lineRule="atLeast"/>
              <w:ind w:right="349" w:firstLine="331"/>
              <w:jc w:val="lef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（小写）¥</w:t>
            </w:r>
          </w:p>
        </w:tc>
      </w:tr>
    </w:tbl>
    <w:p>
      <w:pPr>
        <w:overflowPunct w:val="0"/>
        <w:spacing w:line="380" w:lineRule="exact"/>
        <w:rPr>
          <w:rFonts w:hint="eastAsia" w:ascii="宋体" w:hAnsi="宋体" w:cs="宋体"/>
          <w:bCs/>
          <w:color w:val="auto"/>
          <w:sz w:val="22"/>
          <w:szCs w:val="22"/>
          <w:highlight w:val="none"/>
        </w:rPr>
      </w:pPr>
    </w:p>
    <w:p>
      <w:pPr>
        <w:overflowPunct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p>
      <w:pPr>
        <w:spacing w:line="380" w:lineRule="exact"/>
        <w:ind w:left="11" w:hanging="11" w:hangingChars="5"/>
        <w:rPr>
          <w:rFonts w:hint="eastAsia" w:ascii="宋体" w:hAnsi="宋体" w:cs="宋体"/>
          <w:b/>
          <w:color w:val="auto"/>
          <w:sz w:val="22"/>
          <w:highlight w:val="none"/>
        </w:rPr>
      </w:pPr>
      <w:r>
        <w:rPr>
          <w:rFonts w:hint="eastAsia" w:ascii="宋体" w:hAnsi="宋体" w:cs="宋体"/>
          <w:b/>
          <w:color w:val="auto"/>
          <w:sz w:val="22"/>
          <w:highlight w:val="none"/>
        </w:rPr>
        <w:t>此栏内投标总价应与“投标分项报价表”中总计价相一致。</w:t>
      </w:r>
    </w:p>
    <w:p>
      <w:pPr>
        <w:overflowPunct w:val="0"/>
        <w:spacing w:line="460" w:lineRule="exact"/>
        <w:rPr>
          <w:rFonts w:hint="eastAsia" w:ascii="宋体" w:hAnsi="宋体" w:cs="宋体"/>
          <w:b/>
          <w:color w:val="auto"/>
          <w:sz w:val="22"/>
          <w:szCs w:val="22"/>
          <w:highlight w:val="none"/>
        </w:rPr>
      </w:pPr>
    </w:p>
    <w:p>
      <w:pPr>
        <w:overflowPunct w:val="0"/>
        <w:spacing w:line="460" w:lineRule="exact"/>
        <w:rPr>
          <w:rFonts w:hint="eastAsia" w:ascii="宋体" w:hAnsi="宋体" w:cs="宋体"/>
          <w:color w:val="auto"/>
          <w:sz w:val="22"/>
          <w:szCs w:val="22"/>
          <w:highlight w:val="none"/>
        </w:rPr>
      </w:pP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日期：  年   月  日</w:t>
      </w:r>
    </w:p>
    <w:p>
      <w:pPr>
        <w:overflowPunct w:val="0"/>
        <w:spacing w:line="460" w:lineRule="exact"/>
        <w:rPr>
          <w:rFonts w:hint="eastAsia" w:ascii="宋体" w:hAnsi="宋体" w:cs="宋体"/>
          <w:color w:val="auto"/>
          <w:sz w:val="22"/>
          <w:szCs w:val="22"/>
          <w:highlight w:val="none"/>
        </w:rPr>
      </w:pPr>
    </w:p>
    <w:p>
      <w:pPr>
        <w:overflowPunct w:val="0"/>
        <w:spacing w:line="380" w:lineRule="exact"/>
        <w:ind w:firstLine="9460" w:firstLineChars="4300"/>
        <w:rPr>
          <w:rFonts w:hint="eastAsia" w:ascii="宋体" w:hAnsi="宋体" w:cs="宋体"/>
          <w:color w:val="auto"/>
          <w:sz w:val="22"/>
          <w:szCs w:val="22"/>
          <w:highlight w:val="none"/>
        </w:rPr>
      </w:pPr>
    </w:p>
    <w:p>
      <w:pPr>
        <w:spacing w:line="380" w:lineRule="exact"/>
        <w:jc w:val="center"/>
        <w:rPr>
          <w:rFonts w:hint="eastAsia"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投标分项报价表</w:t>
      </w:r>
    </w:p>
    <w:p>
      <w:pPr>
        <w:spacing w:line="380" w:lineRule="exact"/>
        <w:rPr>
          <w:rFonts w:hint="eastAsia" w:eastAsia="新宋体"/>
          <w:b/>
          <w:color w:val="auto"/>
          <w:sz w:val="22"/>
          <w:highlight w:val="none"/>
        </w:rPr>
      </w:pPr>
      <w:bookmarkStart w:id="120" w:name="_Toc15843"/>
      <w:bookmarkStart w:id="121" w:name="_Toc58406693"/>
      <w:r>
        <w:rPr>
          <w:rFonts w:hint="eastAsia" w:eastAsia="新宋体"/>
          <w:b/>
          <w:color w:val="auto"/>
          <w:sz w:val="22"/>
          <w:highlight w:val="none"/>
        </w:rPr>
        <w:t xml:space="preserve">项目名称： </w:t>
      </w:r>
      <w:r>
        <w:rPr>
          <w:rFonts w:hint="eastAsia" w:eastAsia="新宋体"/>
          <w:color w:val="auto"/>
          <w:sz w:val="22"/>
          <w:highlight w:val="none"/>
        </w:rPr>
        <w:t xml:space="preserve">       </w:t>
      </w:r>
      <w:r>
        <w:rPr>
          <w:rFonts w:hint="eastAsia" w:eastAsia="新宋体"/>
          <w:b/>
          <w:color w:val="auto"/>
          <w:sz w:val="22"/>
          <w:highlight w:val="none"/>
        </w:rPr>
        <w:t xml:space="preserve">                             项目编号：       价格单位：元</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419"/>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序号</w:t>
            </w:r>
          </w:p>
        </w:tc>
        <w:tc>
          <w:tcPr>
            <w:tcW w:w="3419"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项目内容</w:t>
            </w:r>
          </w:p>
        </w:tc>
        <w:tc>
          <w:tcPr>
            <w:tcW w:w="5790"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1</w:t>
            </w:r>
          </w:p>
          <w:p>
            <w:pPr>
              <w:jc w:val="center"/>
              <w:rPr>
                <w:rFonts w:hint="eastAsia" w:eastAsia="新宋体"/>
                <w:color w:val="auto"/>
                <w:szCs w:val="21"/>
                <w:highlight w:val="none"/>
              </w:rPr>
            </w:pPr>
          </w:p>
        </w:tc>
        <w:tc>
          <w:tcPr>
            <w:tcW w:w="3419" w:type="dxa"/>
            <w:noWrap w:val="0"/>
            <w:vAlign w:val="center"/>
          </w:tcPr>
          <w:p>
            <w:pPr>
              <w:jc w:val="center"/>
              <w:rPr>
                <w:rFonts w:hint="eastAsia" w:eastAsia="新宋体"/>
                <w:color w:val="auto"/>
                <w:szCs w:val="21"/>
                <w:highlight w:val="none"/>
                <w:lang w:val="en-US" w:eastAsia="zh-CN"/>
              </w:rPr>
            </w:pPr>
            <w:r>
              <w:rPr>
                <w:rFonts w:hint="eastAsia" w:eastAsia="新宋体"/>
                <w:color w:val="auto"/>
                <w:szCs w:val="21"/>
                <w:highlight w:val="none"/>
                <w:lang w:val="en-US" w:eastAsia="zh-CN"/>
              </w:rPr>
              <w:t>软件开发</w:t>
            </w:r>
          </w:p>
        </w:tc>
        <w:tc>
          <w:tcPr>
            <w:tcW w:w="5790" w:type="dxa"/>
            <w:noWrap w:val="0"/>
            <w:vAlign w:val="center"/>
          </w:tcPr>
          <w:p>
            <w:pPr>
              <w:rPr>
                <w:rFonts w:hint="eastAsia"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2</w:t>
            </w:r>
          </w:p>
        </w:tc>
        <w:tc>
          <w:tcPr>
            <w:tcW w:w="3419" w:type="dxa"/>
            <w:noWrap w:val="0"/>
            <w:vAlign w:val="center"/>
          </w:tcPr>
          <w:p>
            <w:pPr>
              <w:jc w:val="center"/>
              <w:rPr>
                <w:rFonts w:hint="default" w:eastAsia="新宋体"/>
                <w:color w:val="auto"/>
                <w:szCs w:val="21"/>
                <w:highlight w:val="none"/>
                <w:lang w:val="en-US" w:eastAsia="zh-CN"/>
              </w:rPr>
            </w:pPr>
            <w:r>
              <w:rPr>
                <w:rFonts w:hint="eastAsia" w:eastAsia="新宋体"/>
                <w:color w:val="auto"/>
                <w:szCs w:val="21"/>
                <w:highlight w:val="none"/>
                <w:lang w:val="en-US" w:eastAsia="zh-CN"/>
              </w:rPr>
              <w:t>运营服务</w:t>
            </w:r>
          </w:p>
        </w:tc>
        <w:tc>
          <w:tcPr>
            <w:tcW w:w="5790" w:type="dxa"/>
            <w:noWrap w:val="0"/>
            <w:vAlign w:val="center"/>
          </w:tcPr>
          <w:p>
            <w:pPr>
              <w:jc w:val="center"/>
              <w:rPr>
                <w:rFonts w:hint="eastAsia"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3</w:t>
            </w:r>
          </w:p>
        </w:tc>
        <w:tc>
          <w:tcPr>
            <w:tcW w:w="3419" w:type="dxa"/>
            <w:noWrap w:val="0"/>
            <w:vAlign w:val="center"/>
          </w:tcPr>
          <w:p>
            <w:pPr>
              <w:jc w:val="center"/>
              <w:rPr>
                <w:rFonts w:hint="default" w:eastAsia="新宋体"/>
                <w:color w:val="auto"/>
                <w:szCs w:val="21"/>
                <w:highlight w:val="none"/>
                <w:lang w:val="en-US" w:eastAsia="zh-CN"/>
              </w:rPr>
            </w:pPr>
            <w:r>
              <w:rPr>
                <w:rFonts w:hint="eastAsia" w:eastAsia="新宋体"/>
                <w:color w:val="auto"/>
                <w:szCs w:val="21"/>
                <w:highlight w:val="none"/>
                <w:lang w:val="en-US" w:eastAsia="zh-CN"/>
              </w:rPr>
              <w:t>...</w:t>
            </w:r>
          </w:p>
        </w:tc>
        <w:tc>
          <w:tcPr>
            <w:tcW w:w="5790" w:type="dxa"/>
            <w:noWrap w:val="0"/>
            <w:vAlign w:val="center"/>
          </w:tcPr>
          <w:p>
            <w:pPr>
              <w:jc w:val="center"/>
              <w:rPr>
                <w:rFonts w:hint="eastAsia"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4</w:t>
            </w:r>
          </w:p>
        </w:tc>
        <w:tc>
          <w:tcPr>
            <w:tcW w:w="3419" w:type="dxa"/>
            <w:noWrap w:val="0"/>
            <w:vAlign w:val="center"/>
          </w:tcPr>
          <w:p>
            <w:pPr>
              <w:jc w:val="center"/>
              <w:rPr>
                <w:rFonts w:hint="default" w:eastAsia="新宋体"/>
                <w:color w:val="auto"/>
                <w:szCs w:val="21"/>
                <w:highlight w:val="none"/>
                <w:lang w:val="en-US" w:eastAsia="zh-CN"/>
              </w:rPr>
            </w:pPr>
            <w:r>
              <w:rPr>
                <w:rFonts w:hint="eastAsia" w:eastAsia="新宋体"/>
                <w:color w:val="auto"/>
                <w:szCs w:val="21"/>
                <w:highlight w:val="none"/>
                <w:lang w:val="en-US" w:eastAsia="zh-CN"/>
              </w:rPr>
              <w:t>...</w:t>
            </w:r>
          </w:p>
        </w:tc>
        <w:tc>
          <w:tcPr>
            <w:tcW w:w="5790" w:type="dxa"/>
            <w:noWrap w:val="0"/>
            <w:vAlign w:val="center"/>
          </w:tcPr>
          <w:p>
            <w:pPr>
              <w:jc w:val="center"/>
              <w:rPr>
                <w:rFonts w:hint="eastAsia"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5</w:t>
            </w:r>
          </w:p>
        </w:tc>
        <w:tc>
          <w:tcPr>
            <w:tcW w:w="3419" w:type="dxa"/>
            <w:noWrap w:val="0"/>
            <w:vAlign w:val="center"/>
          </w:tcPr>
          <w:p>
            <w:pPr>
              <w:jc w:val="center"/>
              <w:rPr>
                <w:rFonts w:hint="default" w:eastAsia="新宋体"/>
                <w:color w:val="auto"/>
                <w:szCs w:val="21"/>
                <w:highlight w:val="none"/>
                <w:lang w:val="en-US" w:eastAsia="zh-CN"/>
              </w:rPr>
            </w:pPr>
            <w:r>
              <w:rPr>
                <w:rFonts w:hint="eastAsia" w:eastAsia="新宋体"/>
                <w:color w:val="auto"/>
                <w:szCs w:val="21"/>
                <w:highlight w:val="none"/>
                <w:lang w:val="en-US" w:eastAsia="zh-CN"/>
              </w:rPr>
              <w:t>...</w:t>
            </w:r>
          </w:p>
        </w:tc>
        <w:tc>
          <w:tcPr>
            <w:tcW w:w="5790" w:type="dxa"/>
            <w:noWrap w:val="0"/>
            <w:vAlign w:val="center"/>
          </w:tcPr>
          <w:p>
            <w:pPr>
              <w:jc w:val="center"/>
              <w:rPr>
                <w:rFonts w:hint="eastAsia"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6</w:t>
            </w:r>
          </w:p>
        </w:tc>
        <w:tc>
          <w:tcPr>
            <w:tcW w:w="3419" w:type="dxa"/>
            <w:noWrap w:val="0"/>
            <w:vAlign w:val="center"/>
          </w:tcPr>
          <w:p>
            <w:pPr>
              <w:jc w:val="center"/>
              <w:rPr>
                <w:rFonts w:hint="default" w:eastAsia="新宋体"/>
                <w:color w:val="auto"/>
                <w:szCs w:val="21"/>
                <w:highlight w:val="none"/>
                <w:lang w:val="en-US" w:eastAsia="zh-CN"/>
              </w:rPr>
            </w:pPr>
            <w:r>
              <w:rPr>
                <w:rFonts w:hint="eastAsia" w:eastAsia="新宋体"/>
                <w:color w:val="auto"/>
                <w:szCs w:val="21"/>
                <w:highlight w:val="none"/>
                <w:lang w:val="en-US" w:eastAsia="zh-CN"/>
              </w:rPr>
              <w:t>...</w:t>
            </w:r>
          </w:p>
        </w:tc>
        <w:tc>
          <w:tcPr>
            <w:tcW w:w="5790" w:type="dxa"/>
            <w:noWrap w:val="0"/>
            <w:vAlign w:val="center"/>
          </w:tcPr>
          <w:p>
            <w:pPr>
              <w:jc w:val="center"/>
              <w:rPr>
                <w:rFonts w:hint="eastAsia"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7</w:t>
            </w:r>
          </w:p>
        </w:tc>
        <w:tc>
          <w:tcPr>
            <w:tcW w:w="3419" w:type="dxa"/>
            <w:noWrap w:val="0"/>
            <w:vAlign w:val="center"/>
          </w:tcPr>
          <w:p>
            <w:pPr>
              <w:jc w:val="center"/>
              <w:rPr>
                <w:rFonts w:hint="eastAsia" w:eastAsia="新宋体"/>
                <w:color w:val="auto"/>
                <w:szCs w:val="21"/>
                <w:highlight w:val="none"/>
              </w:rPr>
            </w:pPr>
            <w:r>
              <w:rPr>
                <w:rFonts w:hint="eastAsia" w:eastAsia="新宋体"/>
                <w:color w:val="auto"/>
                <w:szCs w:val="21"/>
                <w:highlight w:val="none"/>
              </w:rPr>
              <w:t>其他</w:t>
            </w:r>
          </w:p>
        </w:tc>
        <w:tc>
          <w:tcPr>
            <w:tcW w:w="5790" w:type="dxa"/>
            <w:noWrap w:val="0"/>
            <w:vAlign w:val="center"/>
          </w:tcPr>
          <w:p>
            <w:pPr>
              <w:jc w:val="center"/>
              <w:rPr>
                <w:rFonts w:hint="eastAsia"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030" w:type="dxa"/>
            <w:gridSpan w:val="2"/>
            <w:noWrap w:val="0"/>
            <w:vAlign w:val="center"/>
          </w:tcPr>
          <w:p>
            <w:pPr>
              <w:jc w:val="center"/>
              <w:rPr>
                <w:rFonts w:hint="eastAsia" w:eastAsia="新宋体"/>
                <w:color w:val="auto"/>
                <w:szCs w:val="21"/>
                <w:highlight w:val="none"/>
              </w:rPr>
            </w:pPr>
            <w:r>
              <w:rPr>
                <w:rFonts w:hint="eastAsia" w:eastAsia="新宋体"/>
                <w:color w:val="auto"/>
                <w:szCs w:val="21"/>
                <w:highlight w:val="none"/>
              </w:rPr>
              <w:t>总    计   价</w:t>
            </w:r>
          </w:p>
        </w:tc>
        <w:tc>
          <w:tcPr>
            <w:tcW w:w="5790" w:type="dxa"/>
            <w:noWrap w:val="0"/>
            <w:vAlign w:val="center"/>
          </w:tcPr>
          <w:p>
            <w:pPr>
              <w:jc w:val="center"/>
              <w:rPr>
                <w:rFonts w:hint="eastAsia" w:eastAsia="新宋体"/>
                <w:color w:val="auto"/>
                <w:szCs w:val="21"/>
                <w:highlight w:val="none"/>
              </w:rPr>
            </w:pPr>
          </w:p>
        </w:tc>
      </w:tr>
    </w:tbl>
    <w:p>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1. </w:t>
      </w:r>
      <w:r>
        <w:rPr>
          <w:rFonts w:hint="eastAsia" w:ascii="新宋体" w:hAnsi="新宋体" w:eastAsia="新宋体" w:cs="新宋体"/>
          <w:b/>
          <w:bCs/>
          <w:color w:val="auto"/>
          <w:kern w:val="0"/>
          <w:sz w:val="22"/>
          <w:szCs w:val="22"/>
          <w:highlight w:val="none"/>
          <w:lang w:val="en-US" w:eastAsia="zh-CN"/>
        </w:rPr>
        <w:t>总</w:t>
      </w:r>
      <w:r>
        <w:rPr>
          <w:rFonts w:hint="eastAsia" w:ascii="新宋体" w:hAnsi="新宋体" w:eastAsia="新宋体" w:cs="新宋体"/>
          <w:b/>
          <w:bCs/>
          <w:color w:val="auto"/>
          <w:kern w:val="0"/>
          <w:sz w:val="22"/>
          <w:szCs w:val="22"/>
          <w:highlight w:val="none"/>
          <w:lang w:val="zh-CN"/>
        </w:rPr>
        <w:t>计价应与附件一“开标一览表”中投标总价相一致。</w:t>
      </w:r>
    </w:p>
    <w:p>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2. 不提供投标分项报价表的投标文件将被视为未实质性响应采购文件。 </w:t>
      </w:r>
    </w:p>
    <w:p>
      <w:pPr>
        <w:spacing w:line="38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3. 本表可在不改变格式的情况下根据具体需要自行增减。</w:t>
      </w:r>
    </w:p>
    <w:p>
      <w:pPr>
        <w:spacing w:line="380" w:lineRule="exact"/>
        <w:rPr>
          <w:rFonts w:hint="eastAsia" w:eastAsia="新宋体"/>
          <w:color w:val="auto"/>
          <w:sz w:val="22"/>
          <w:szCs w:val="22"/>
          <w:highlight w:val="none"/>
        </w:rPr>
      </w:pPr>
    </w:p>
    <w:p>
      <w:pPr>
        <w:spacing w:line="380" w:lineRule="exact"/>
        <w:rPr>
          <w:rFonts w:hint="eastAsia" w:eastAsia="新宋体"/>
          <w:color w:val="auto"/>
          <w:sz w:val="22"/>
          <w:szCs w:val="22"/>
          <w:highlight w:val="none"/>
        </w:rPr>
      </w:pP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hint="eastAsia" w:eastAsia="新宋体"/>
          <w:color w:val="auto"/>
          <w:sz w:val="22"/>
          <w:szCs w:val="22"/>
          <w:highlight w:val="none"/>
        </w:rPr>
      </w:pPr>
      <w:r>
        <w:rPr>
          <w:rFonts w:hint="eastAsia" w:eastAsia="新宋体"/>
          <w:color w:val="auto"/>
          <w:sz w:val="22"/>
          <w:szCs w:val="22"/>
          <w:highlight w:val="none"/>
        </w:rPr>
        <w:t>日期：  年   月  日</w:t>
      </w:r>
    </w:p>
    <w:p>
      <w:pPr>
        <w:pStyle w:val="4"/>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End w:id="1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120"/>
      <w:bookmarkEnd w:id="121"/>
      <w:bookmarkStart w:id="122" w:name="_Toc422225262"/>
      <w:bookmarkStart w:id="123" w:name="_Toc249758871"/>
      <w:bookmarkStart w:id="124" w:name="_Toc262105510"/>
      <w:bookmarkStart w:id="125" w:name="_Toc249758721"/>
      <w:bookmarkStart w:id="126" w:name="_Toc262049425"/>
      <w:bookmarkStart w:id="127" w:name="_Toc7368"/>
      <w:r>
        <w:rPr>
          <w:rFonts w:hint="eastAsia" w:ascii="宋体" w:hAnsi="宋体" w:eastAsia="宋体" w:cs="宋体"/>
          <w:color w:val="auto"/>
          <w:sz w:val="36"/>
          <w:szCs w:val="36"/>
          <w:highlight w:val="none"/>
        </w:rPr>
        <w:t>第五部分   采购内容及要求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22"/>
          <w:szCs w:val="22"/>
          <w:highlight w:val="none"/>
          <w:u w:val="none"/>
        </w:rPr>
      </w:pPr>
      <w:bookmarkStart w:id="128" w:name="_Toc109321980"/>
    </w:p>
    <w:bookmarkEnd w:id="128"/>
    <w:p>
      <w:pPr>
        <w:keepNext w:val="0"/>
        <w:keepLines w:val="0"/>
        <w:pageBreakBefore w:val="0"/>
        <w:kinsoku/>
        <w:wordWrap/>
        <w:overflowPunct/>
        <w:topLinePunct w:val="0"/>
        <w:autoSpaceDE/>
        <w:autoSpaceDN/>
        <w:bidi w:val="0"/>
        <w:adjustRightInd/>
        <w:snapToGrid w:val="0"/>
        <w:spacing w:line="440" w:lineRule="exac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一、项目概述</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惠企政策“直通车”为、聚焦涉企问题，助推政务服务标准化、规范化、便利化。旨在有针对性解决现有产业政策兑现中政策多门、“政策打架”，以及政策兑现难、执行评估难等问题，最大限度发挥政策引导和激励作用。</w:t>
      </w:r>
    </w:p>
    <w:p>
      <w:pPr>
        <w:keepNext w:val="0"/>
        <w:keepLines w:val="0"/>
        <w:pageBreakBefore w:val="0"/>
        <w:widowControl/>
        <w:kinsoku/>
        <w:wordWrap/>
        <w:overflowPunct/>
        <w:topLinePunct w:val="0"/>
        <w:autoSpaceDE/>
        <w:autoSpaceDN/>
        <w:bidi w:val="0"/>
        <w:adjustRightInd/>
        <w:spacing w:line="440" w:lineRule="exact"/>
        <w:ind w:firstLine="440" w:firstLineChars="200"/>
        <w:jc w:val="left"/>
        <w:textAlignment w:val="auto"/>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rPr>
        <w:t>为加强温州市产业政策的统筹管理和统一执行，提高财政奖补资金兑现效率，更高水平实现产业政策落地落细落实，在现有系统的基础上，本项目新增开发政策匹配模块、资质认定测算模块、亩均评价管理模块、联络员助手模块、账号审批、部门答疑模块、基层智治平台对接、奖补项目代办、日志采集模块等功能模块，并迭代升级电子审批单模块、在线审批模块、部门编制模块、支付推送模块、绩效采集模块等现有模块，完成系统页面改造、接口改造、表单改造，重构手机申报端以及国产化适配</w:t>
      </w:r>
      <w:r>
        <w:rPr>
          <w:rFonts w:hint="eastAsia" w:ascii="宋体" w:hAnsi="宋体" w:eastAsia="宋体" w:cs="宋体"/>
          <w:b w:val="0"/>
          <w:bCs/>
          <w:color w:val="auto"/>
          <w:sz w:val="22"/>
          <w:szCs w:val="22"/>
          <w:highlight w:val="none"/>
          <w:lang w:bidi="ar"/>
        </w:rPr>
        <w:t>。</w:t>
      </w:r>
    </w:p>
    <w:p>
      <w:pPr>
        <w:keepNext w:val="0"/>
        <w:keepLines w:val="0"/>
        <w:pageBreakBefore w:val="0"/>
        <w:widowControl/>
        <w:kinsoku/>
        <w:wordWrap/>
        <w:overflowPunct/>
        <w:topLinePunct w:val="0"/>
        <w:autoSpaceDE/>
        <w:autoSpaceDN/>
        <w:bidi w:val="0"/>
        <w:adjustRightInd/>
        <w:spacing w:line="440" w:lineRule="exact"/>
        <w:ind w:firstLine="440" w:firstLineChars="20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为顺利完成年度全地区奖补项目的申报兑现工作，涉及完成所有奖补项目（共4000多条）定制开发，为审计提供支撑，完成总量控制数据对接支撑、亩均数据归集清洗服务、政策绩效评估支撑、第三方改造、数据库迁移以及业务咨询服务和提供现场培训工作。</w:t>
      </w:r>
    </w:p>
    <w:p>
      <w:pPr>
        <w:keepNext w:val="0"/>
        <w:keepLines w:val="0"/>
        <w:pageBreakBefore w:val="0"/>
        <w:kinsoku/>
        <w:wordWrap/>
        <w:overflowPunct/>
        <w:topLinePunct w:val="0"/>
        <w:autoSpaceDE/>
        <w:autoSpaceDN/>
        <w:bidi w:val="0"/>
        <w:adjustRightInd/>
        <w:snapToGrid w:val="0"/>
        <w:spacing w:line="440" w:lineRule="exact"/>
        <w:textAlignment w:val="auto"/>
        <w:outlineLvl w:val="1"/>
        <w:rPr>
          <w:rFonts w:hint="eastAsia" w:ascii="宋体" w:hAnsi="宋体" w:eastAsia="宋体" w:cs="宋体"/>
          <w:b/>
          <w:bCs w:val="0"/>
          <w:color w:val="auto"/>
          <w:sz w:val="24"/>
          <w:szCs w:val="24"/>
          <w:highlight w:val="none"/>
        </w:rPr>
      </w:pPr>
    </w:p>
    <w:p>
      <w:pPr>
        <w:keepNext w:val="0"/>
        <w:keepLines w:val="0"/>
        <w:pageBreakBefore w:val="0"/>
        <w:kinsoku/>
        <w:wordWrap/>
        <w:overflowPunct/>
        <w:topLinePunct w:val="0"/>
        <w:autoSpaceDE/>
        <w:autoSpaceDN/>
        <w:bidi w:val="0"/>
        <w:adjustRightInd/>
        <w:snapToGrid w:val="0"/>
        <w:spacing w:line="440" w:lineRule="exac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二、采购内容</w:t>
      </w:r>
    </w:p>
    <w:p>
      <w:pPr>
        <w:pStyle w:val="55"/>
        <w:keepNext w:val="0"/>
        <w:keepLines w:val="0"/>
        <w:pageBreakBefore w:val="0"/>
        <w:numPr>
          <w:ilvl w:val="0"/>
          <w:numId w:val="0"/>
        </w:numPr>
        <w:kinsoku/>
        <w:wordWrap/>
        <w:overflowPunct/>
        <w:topLinePunct w:val="0"/>
        <w:bidi w:val="0"/>
        <w:spacing w:after="0" w:line="440" w:lineRule="exact"/>
        <w:ind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（一）采购清单</w:t>
      </w:r>
    </w:p>
    <w:tbl>
      <w:tblPr>
        <w:tblStyle w:val="5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517"/>
        <w:gridCol w:w="6"/>
        <w:gridCol w:w="1929"/>
        <w:gridCol w:w="397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1" w:type="pct"/>
            <w:noWrap w:val="0"/>
            <w:vAlign w:val="center"/>
          </w:tcPr>
          <w:p>
            <w:pPr>
              <w:pStyle w:val="55"/>
              <w:spacing w:after="0" w:line="240" w:lineRule="auto"/>
              <w:ind w:firstLine="0" w:firstLineChars="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序号</w:t>
            </w:r>
          </w:p>
        </w:tc>
        <w:tc>
          <w:tcPr>
            <w:tcW w:w="773" w:type="pct"/>
            <w:gridSpan w:val="2"/>
            <w:noWrap w:val="0"/>
            <w:vAlign w:val="center"/>
          </w:tcPr>
          <w:p>
            <w:pPr>
              <w:pStyle w:val="55"/>
              <w:spacing w:after="0" w:line="240" w:lineRule="auto"/>
              <w:ind w:firstLine="0" w:firstLineChars="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采购项</w:t>
            </w:r>
          </w:p>
        </w:tc>
        <w:tc>
          <w:tcPr>
            <w:tcW w:w="979" w:type="pct"/>
            <w:noWrap w:val="0"/>
            <w:vAlign w:val="center"/>
          </w:tcPr>
          <w:p>
            <w:pPr>
              <w:pStyle w:val="55"/>
              <w:spacing w:after="0" w:line="240" w:lineRule="auto"/>
              <w:ind w:firstLine="0" w:firstLineChars="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模块</w:t>
            </w:r>
          </w:p>
        </w:tc>
        <w:tc>
          <w:tcPr>
            <w:tcW w:w="2015" w:type="pct"/>
            <w:noWrap w:val="0"/>
            <w:vAlign w:val="center"/>
          </w:tcPr>
          <w:p>
            <w:pPr>
              <w:pStyle w:val="55"/>
              <w:spacing w:after="0" w:line="240" w:lineRule="auto"/>
              <w:ind w:firstLine="0" w:firstLineChars="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功能/组件</w:t>
            </w:r>
          </w:p>
        </w:tc>
        <w:tc>
          <w:tcPr>
            <w:tcW w:w="821" w:type="pct"/>
            <w:noWrap w:val="0"/>
            <w:vAlign w:val="center"/>
          </w:tcPr>
          <w:p>
            <w:pPr>
              <w:pStyle w:val="55"/>
              <w:spacing w:after="0" w:line="240" w:lineRule="auto"/>
              <w:ind w:firstLine="0" w:firstLineChars="0"/>
              <w:jc w:val="cente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现有基础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restar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773" w:type="pct"/>
            <w:gridSpan w:val="2"/>
            <w:vMerge w:val="restar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新增功能开发</w:t>
            </w: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政策匹配模块</w:t>
            </w:r>
          </w:p>
        </w:tc>
        <w:tc>
          <w:tcPr>
            <w:tcW w:w="2015"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包含政策拆解、政策匹配引擎、政策匹配模块、标签订阅模块、政策推送模块、政策置顶、标签管理以及政策标签梳理与维护。</w:t>
            </w:r>
          </w:p>
        </w:tc>
        <w:tc>
          <w:tcPr>
            <w:tcW w:w="821"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资质认定测算模块</w:t>
            </w:r>
          </w:p>
        </w:tc>
        <w:tc>
          <w:tcPr>
            <w:tcW w:w="2015"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包含资质认定测算公众端、规则执行引擎、资质认定指南管理、奖补项目与资质认定绑定以及资质认定测算定制开发</w:t>
            </w:r>
          </w:p>
        </w:tc>
        <w:tc>
          <w:tcPr>
            <w:tcW w:w="821"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联络员助手模块</w:t>
            </w:r>
          </w:p>
        </w:tc>
        <w:tc>
          <w:tcPr>
            <w:tcW w:w="2015"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包含联络员账号管理、联络员看板、部门看板</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账号审批模块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部门在线申请开通账号，审批通过后可登录系统，申请者需提供账号申请信息，包括申请部门、申请原因、申请理由等。</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亩均评价管理模块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展示企业亩均基本信息，根据实际情况管理企业亩均评价，对其进行新增、编辑、作废操作，并对操作进行日志记录，提供历史变更查询。</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部门答疑模块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普通审批用户可发起提问且支持上传附件，用户可选择其他用户是否可见，用户提交问题后，根据业务口径解释、资金管理办法解释口径等不同的问题类型，将流转至不同的答复用户，答复用户完成答复后，将提醒对应提问用户。</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奖补项目代办</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系统支持将奖补项目体外兑付的结果导入系统。奖补项目管理员通过批量代办功能进行代办项目的奖补结果录入</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跨年兑付管理模块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跨年兑付备忘簿管理，记录上一年度总量控制使用情况，可查询、导出数据在审批过程中根据备忘录记录，计算总量控制剩余额度。开发跨年总量控制核查批次以及申请流程。</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政策文件上线审批模块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(1)权限控制。政策文件编辑人员，地区联络员，系统管理员，可以看到不同范围的政策文件。只有政策文件编辑人员能对文件内容做修改。</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(2)审批流转流程。政策文件编辑人员提交给地区联络员审核，审核通过后，才显示在政策文件列表中。</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(3)修改留档。保存政策文件修改前后信息。</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认领奖补项目模块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(1)展示奖补项目名称，政策类别，适用对象，经办人，状态等字段。可按项目状态，认领状态筛选。按关键字查询记录。</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(2)系统管理员，地区联络员和主管部门人员，可以看到权限范围下的奖补项目。</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(3)认领操作。</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我的奖补项目模块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(1)展示奖补项目名称，项目状态，审批状态，申请人等字段。可按项目状态，拆解状态筛选。按关键字查询记录。</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(2)系统管理员，地区联络员和主管部门人员，可以看到权限范围下的奖补项目。</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(3)包括取消认领。发起查看指南，修改指南，终止项目，拆解项目操作。</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基层智治平台对接</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1.</w:t>
            </w:r>
            <w:r>
              <w:rPr>
                <w:rFonts w:hint="eastAsia" w:ascii="宋体" w:hAnsi="宋体" w:eastAsia="宋体" w:cs="宋体"/>
                <w:b w:val="0"/>
                <w:bCs/>
                <w:color w:val="auto"/>
                <w:sz w:val="22"/>
                <w:szCs w:val="22"/>
                <w:highlight w:val="none"/>
              </w:rPr>
              <w:t>利用企业地址数据，清洗全地区30w余家企业所属街道；</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lang w:eastAsia="zh-CN"/>
              </w:rPr>
              <w:t>2.</w:t>
            </w:r>
            <w:r>
              <w:rPr>
                <w:rFonts w:hint="eastAsia" w:ascii="宋体" w:hAnsi="宋体" w:eastAsia="宋体" w:cs="宋体"/>
                <w:b w:val="0"/>
                <w:bCs/>
                <w:color w:val="auto"/>
                <w:sz w:val="22"/>
                <w:szCs w:val="22"/>
                <w:highlight w:val="none"/>
              </w:rPr>
              <w:t>提供街道分管经济的领导可以查询辖区内企业的奖补项目兑现情况的功能</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市应用日志数据拦截</w:t>
            </w:r>
          </w:p>
        </w:tc>
        <w:tc>
          <w:tcPr>
            <w:tcW w:w="2015" w:type="pct"/>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添加用户行为日志和应用指标日志。采集用户登录、离开、办事开始、办事结束、进入某功能模块的行为信息和关键业务指标信息。</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总部项目拦截</w:t>
            </w:r>
          </w:p>
        </w:tc>
        <w:tc>
          <w:tcPr>
            <w:tcW w:w="2015" w:type="pct"/>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支持总部项目企业清单导入、作废、企业项目一对一解锁。在用户申报、流转核查、公示核查、代办核查系统奖补生命周期内实时拦截。</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预算管理模块</w:t>
            </w:r>
          </w:p>
        </w:tc>
        <w:tc>
          <w:tcPr>
            <w:tcW w:w="2015" w:type="pct"/>
            <w:noWrap w:val="0"/>
            <w:vAlign w:val="center"/>
          </w:tcPr>
          <w:p>
            <w:pPr>
              <w:pStyle w:val="55"/>
              <w:spacing w:after="0" w:line="240" w:lineRule="auto"/>
              <w:ind w:firstLine="0" w:firstLineChars="0"/>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联动预算一体化系统项目库及预算指标数据，将预算指标关联一或多个奖补项目。根据业务经办及财政管理人员需求开发，查询奖补项目预算执行情况报表。</w:t>
            </w:r>
          </w:p>
        </w:tc>
        <w:tc>
          <w:tcPr>
            <w:tcW w:w="821" w:type="pct"/>
            <w:noWrap w:val="0"/>
            <w:vAlign w:val="center"/>
          </w:tcPr>
          <w:p>
            <w:pPr>
              <w:spacing w:line="240" w:lineRule="auto"/>
              <w:jc w:val="center"/>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restar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2</w:t>
            </w:r>
          </w:p>
        </w:tc>
        <w:tc>
          <w:tcPr>
            <w:tcW w:w="773" w:type="pct"/>
            <w:gridSpan w:val="2"/>
            <w:vMerge w:val="restar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系统功能迭代开发</w:t>
            </w: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迭代升级部门编制模块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(1)限制每个节点的审批时长不得超过对应项目类型的限定时长。</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(2)限制企业申领单笔奖补项目资金低于5000元的不予兑付 （按新项目新办法 由用户自行选择）。</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(3)市本级项目需选择4大产业政策对应的条款。</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(4)提供奖补项目标签修改功能。</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(5)提供政策文件绑定奖补项目功能，录入奖补项目后选择对应政策文件，标注具体文本，并提供绑定预算指标。</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(6)增加“三重一大”、“第三方审计”勾选，审批时间可多延长15天。</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(7)增加附件上传功能，可供单位提交项目认定相关的管理办法文件。</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(8)增加启用跨年兑付备忘录的开关。</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(9)增加政策拆解入口。</w:t>
            </w:r>
          </w:p>
        </w:tc>
        <w:tc>
          <w:tcPr>
            <w:tcW w:w="821" w:type="pct"/>
            <w:noWrap w:val="0"/>
            <w:vAlign w:val="center"/>
          </w:tcPr>
          <w:p>
            <w:pPr>
              <w:widowControl/>
              <w:spacing w:line="240" w:lineRule="auto"/>
              <w:jc w:val="center"/>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lang w:bidi="ar"/>
              </w:rPr>
              <w:t>主管部门编制项目后经由部门主管审批、财政指导审批、奖补项目特殊配置完成政策上线系统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迭代免申即享模块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(1)在线编制增加是否企业确认配置，创建企业确认节点。</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(2)服务端增加免申即享确认，展示未确认免申即享工单列表以及同公司已确认免申即享工单。</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(3)提供企业银行信息确认和资金异议提交。</w:t>
            </w:r>
          </w:p>
        </w:tc>
        <w:tc>
          <w:tcPr>
            <w:tcW w:w="821" w:type="pct"/>
            <w:noWrap w:val="0"/>
            <w:vAlign w:val="center"/>
          </w:tcPr>
          <w:p>
            <w:pPr>
              <w:widowControl/>
              <w:spacing w:line="240" w:lineRule="auto"/>
              <w:jc w:val="center"/>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lang w:bidi="ar"/>
              </w:rPr>
              <w:t>惠企政策制定部门可根据奖补项目申报条件，直接确定资格定补项目企业清单，通过excel、接口推送等方式上传名单，自动生成申请工单，按奖补项目审批流程进行审批，并生成风险核查报告，审批完成后即实现申报主体无申报领取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迭代升级在线审批模块</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(1)全流程限时办结时间限制修改：审查遴选类改为60个工作日，数据核校类如需审批用户上传附件则时限由23个工作日的基础上多加25个工作日。 </w:t>
            </w:r>
          </w:p>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(2)主管部门退回后申报单位须在5个工作日内提交（5日内多次提交），最多可补充申报材料3次。</w:t>
            </w:r>
          </w:p>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(3)主管部门退回申报请求后，系统短信提示用户重新提交申报材料，4个工作日后仍未提交再次提醒申报单位，仍未提交按上述再次检查提醒，最多提醒2次。</w:t>
            </w:r>
          </w:p>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(4)申报批次管理中增设允许业务部门修改批次名称和时间的功能。</w:t>
            </w:r>
          </w:p>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(5)增设资金推送与资金拨付页面部门可操作回退的功能。</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实现奖励申报的权限管理、部门审批流转、奖励申报查重、表单管理、公告管理、申报指南管理、政策解读管理、申报批次管理、奖励申报概况查询、公示管理、回退管理、历史审批查询、公示结果导出、企业奖励申报查询、批次申报情况统计、与市税务部门和大数据共享平台的数据对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迭代升级电子审批单</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资金拨付前，经办部门选择需要的拨付工单，发起电子审批单在线审批，可根据实际拨付情况撤销已发起的审批单。</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查询并导出相应电子审批单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迭代升级支付推送模块（预算一体化对接）</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项目资金拨付时根据实际情况，选择市区分成拨付资金，从指定预算指标拨付资金。增加资金拨付银行卡异常修改功能。</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系统与省财政预算管理一体化系统连通，实时推送已经审核完毕的奖补申请到预算管理一体化系统。根据需要对支付情况进行查询，实现项目支付进度和奖补资金兑现情况实时可查可看可追溯。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迭代运维管理工具</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(1)添加就业补贴月份核定回滚工具</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(2)添加批次适用总量控制年度信息工具</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(3)优化就业补贴生成工具，核验并提示就业补贴生成失败原因。</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(4)添加社银重推工具。</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(5)添加社银自动资金确认项目管理工具</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(6)添加单个角色绑定指定部门项目的报表，批次角色的权限工具。</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(7)添加实时查询资金推送工具</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根据部门实际使用中遇到的问题，建设系统运维工具，如“510”红名单管理,劳务派遣单位管理，地理信息数据等，提升工作效率，达到运维工作减负的效果。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多因子认证改造</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申请并接入认证组件，将系统的主管部门与浙政钉组织架构关联。</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color w:val="auto"/>
                <w:sz w:val="22"/>
                <w:szCs w:val="22"/>
                <w:highlight w:val="none"/>
              </w:rPr>
              <w:t>暂无该功能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迭代绩效采集</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根据绩效表格，修改页面显示，开发添加自定义字段功能，支持填报个性化指标。</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提供固定绩效模板填报指标数据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restar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3</w:t>
            </w:r>
          </w:p>
        </w:tc>
        <w:tc>
          <w:tcPr>
            <w:tcW w:w="773" w:type="pct"/>
            <w:gridSpan w:val="2"/>
            <w:vMerge w:val="restar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前后端分离改造</w:t>
            </w: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页面改造</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需要改造110个页面，包含公众端服务端奖补公示栏,猜你喜欢栏,奖补办理进度栏,我的公示栏,申报大厅栏等模块。</w:t>
            </w:r>
          </w:p>
        </w:tc>
        <w:tc>
          <w:tcPr>
            <w:tcW w:w="821" w:type="pct"/>
            <w:noWrap w:val="0"/>
            <w:vAlign w:val="center"/>
          </w:tcPr>
          <w:p>
            <w:pPr>
              <w:widowControl/>
              <w:spacing w:line="240" w:lineRule="auto"/>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原系统前后端不分离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接口改造</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需要改造400余个接口。</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原接口不适配前后端分离架构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773" w:type="pct"/>
            <w:gridSpan w:val="2"/>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表单改造</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需要改造1800余个表单（总共4800多个表单，去重后1800余）；其中400多个表单涉及数据共享、复杂业务逻辑判断。</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原表单前后端不分离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4</w:t>
            </w:r>
          </w:p>
        </w:tc>
        <w:tc>
          <w:tcPr>
            <w:tcW w:w="773" w:type="pct"/>
            <w:gridSpan w:val="2"/>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移动端改造</w:t>
            </w:r>
          </w:p>
        </w:tc>
        <w:tc>
          <w:tcPr>
            <w:tcW w:w="979"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重构手机申报端</w:t>
            </w:r>
          </w:p>
        </w:tc>
        <w:tc>
          <w:tcPr>
            <w:tcW w:w="2015"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在前后端分离架构调整后，重新设计并开发手机申报端，上架浙里办app、浙里办微信小程序。</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原系统移动端前后不分离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5</w:t>
            </w:r>
          </w:p>
        </w:tc>
        <w:tc>
          <w:tcPr>
            <w:tcW w:w="1752" w:type="pct"/>
            <w:gridSpan w:val="3"/>
            <w:tcBorders>
              <w:bottom w:val="single" w:color="auto" w:sz="4" w:space="0"/>
            </w:tcBorders>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国产化适配</w:t>
            </w:r>
          </w:p>
        </w:tc>
        <w:tc>
          <w:tcPr>
            <w:tcW w:w="2015" w:type="pc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国产化服务器操作系统</w:t>
            </w:r>
            <w:r>
              <w:rPr>
                <w:rFonts w:hint="eastAsia" w:ascii="宋体" w:hAnsi="宋体" w:eastAsia="宋体" w:cs="宋体"/>
                <w:bCs/>
                <w:color w:val="auto"/>
                <w:kern w:val="0"/>
                <w:sz w:val="22"/>
                <w:szCs w:val="22"/>
                <w:highlight w:val="none"/>
                <w:lang w:eastAsia="zh-CN"/>
              </w:rPr>
              <w:t>适配</w:t>
            </w:r>
            <w:r>
              <w:rPr>
                <w:rFonts w:hint="eastAsia" w:ascii="宋体" w:hAnsi="宋体" w:eastAsia="宋体" w:cs="宋体"/>
                <w:bCs/>
                <w:color w:val="auto"/>
                <w:kern w:val="0"/>
                <w:sz w:val="22"/>
                <w:szCs w:val="22"/>
                <w:highlight w:val="none"/>
              </w:rPr>
              <w:t>（不含国产产品的采购费用）</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原操作系统为Linux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tcBorders>
              <w:right w:val="single" w:color="auto" w:sz="4" w:space="0"/>
            </w:tcBorders>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6</w:t>
            </w:r>
          </w:p>
        </w:tc>
        <w:tc>
          <w:tcPr>
            <w:tcW w:w="1752" w:type="pct"/>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数据库迁移</w:t>
            </w:r>
          </w:p>
        </w:tc>
        <w:tc>
          <w:tcPr>
            <w:tcW w:w="2015" w:type="pct"/>
            <w:tcBorders>
              <w:left w:val="single" w:color="auto" w:sz="4" w:space="0"/>
            </w:tcBorders>
            <w:noWrap w:val="0"/>
            <w:vAlign w:val="top"/>
          </w:tcPr>
          <w:p>
            <w:pPr>
              <w:spacing w:line="240" w:lineRule="auto"/>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将原部署在政务外网的数据库迁移到财政专网内，保证数据平滑迁移和系统稳定。</w:t>
            </w:r>
          </w:p>
        </w:tc>
        <w:tc>
          <w:tcPr>
            <w:tcW w:w="821" w:type="pct"/>
            <w:noWrap w:val="0"/>
            <w:vAlign w:val="center"/>
          </w:tcPr>
          <w:p>
            <w:pPr>
              <w:widowControl/>
              <w:spacing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tcBorders>
              <w:right w:val="single" w:color="auto" w:sz="4" w:space="0"/>
            </w:tcBorders>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7</w:t>
            </w:r>
          </w:p>
        </w:tc>
        <w:tc>
          <w:tcPr>
            <w:tcW w:w="1752" w:type="pct"/>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第三方接口改造</w:t>
            </w:r>
          </w:p>
        </w:tc>
        <w:tc>
          <w:tcPr>
            <w:tcW w:w="2015" w:type="pct"/>
            <w:tcBorders>
              <w:left w:val="single" w:color="auto" w:sz="4" w:space="0"/>
            </w:tcBorders>
            <w:noWrap w:val="0"/>
            <w:vAlign w:val="top"/>
          </w:tcPr>
          <w:p>
            <w:pPr>
              <w:spacing w:line="24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由信用接口改为公共服务组件。</w:t>
            </w:r>
          </w:p>
          <w:p>
            <w:pPr>
              <w:spacing w:line="24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批量企业数据回收，改为企业基本信息接口（替换省国有）接口。</w:t>
            </w:r>
          </w:p>
          <w:p>
            <w:pPr>
              <w:spacing w:line="24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 xml:space="preserve">市税务接口改为省税务接口。 </w:t>
            </w:r>
          </w:p>
          <w:p>
            <w:pPr>
              <w:spacing w:line="24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市纳税归属地接口改为省纳税人基本信息接口。</w:t>
            </w:r>
          </w:p>
        </w:tc>
        <w:tc>
          <w:tcPr>
            <w:tcW w:w="821" w:type="pct"/>
            <w:noWrap w:val="0"/>
            <w:vAlign w:val="center"/>
          </w:tcPr>
          <w:p>
            <w:pPr>
              <w:widowControl/>
              <w:spacing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restart"/>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8</w:t>
            </w:r>
          </w:p>
        </w:tc>
        <w:tc>
          <w:tcPr>
            <w:tcW w:w="770" w:type="pct"/>
            <w:vMerge w:val="restart"/>
            <w:tcBorders>
              <w:top w:val="single" w:color="auto" w:sz="4" w:space="0"/>
            </w:tcBorders>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系统运营服务</w:t>
            </w:r>
          </w:p>
        </w:tc>
        <w:tc>
          <w:tcPr>
            <w:tcW w:w="982" w:type="pct"/>
            <w:gridSpan w:val="2"/>
            <w:tcBorders>
              <w:top w:val="single" w:color="auto" w:sz="4" w:space="0"/>
            </w:tcBorders>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奖补项目配置与定制开发</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(1)及时配合全地区、各部门开展奖补项目一年一清工作，包括奖补项目的梳理、配置（目前全地区总计4000余条，预计全年新配置项目1300、修改项目1200）；</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(2)提供部分奖补项目的接口开发、数据对接、数据清洗工作。</w:t>
            </w:r>
          </w:p>
        </w:tc>
        <w:tc>
          <w:tcPr>
            <w:tcW w:w="821" w:type="pct"/>
            <w:noWrap w:val="0"/>
            <w:vAlign w:val="center"/>
          </w:tcPr>
          <w:p>
            <w:pPr>
              <w:widowControl/>
              <w:spacing w:line="240" w:lineRule="auto"/>
              <w:jc w:val="center"/>
              <w:rPr>
                <w:rFonts w:hint="eastAsia" w:ascii="宋体" w:hAns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rPr>
                <w:rFonts w:hint="eastAsia" w:ascii="宋体" w:hAnsi="宋体" w:eastAsia="宋体" w:cs="宋体"/>
                <w:bCs/>
                <w:color w:val="auto"/>
                <w:kern w:val="0"/>
                <w:sz w:val="22"/>
                <w:szCs w:val="22"/>
                <w:highlight w:val="none"/>
              </w:rPr>
            </w:pPr>
          </w:p>
        </w:tc>
        <w:tc>
          <w:tcPr>
            <w:tcW w:w="770"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82" w:type="pct"/>
            <w:gridSpan w:val="2"/>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业务咨询服务</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及时响应全地区490多个部门、5000多位审批人员的业务及技术咨询，支持奖补项目的全年申报工作；为资金推送提供咨询，并辅助省预算一体化平台排查资金拨付中遇到的问题；为企业服务热线（96666）提供支撑。</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rPr>
                <w:rFonts w:hint="eastAsia" w:ascii="宋体" w:hAnsi="宋体" w:eastAsia="宋体" w:cs="宋体"/>
                <w:bCs/>
                <w:color w:val="auto"/>
                <w:kern w:val="0"/>
                <w:sz w:val="22"/>
                <w:szCs w:val="22"/>
                <w:highlight w:val="none"/>
              </w:rPr>
            </w:pPr>
          </w:p>
        </w:tc>
        <w:tc>
          <w:tcPr>
            <w:tcW w:w="770"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82" w:type="pct"/>
            <w:gridSpan w:val="2"/>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达梦数据库迁移服务</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将oracle生产及测试数据库迁移至达梦数据库（不含达梦数据库产品的采购费用）</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rPr>
                <w:rFonts w:hint="eastAsia" w:ascii="宋体" w:hAnsi="宋体" w:eastAsia="宋体" w:cs="宋体"/>
                <w:bCs/>
                <w:color w:val="auto"/>
                <w:kern w:val="0"/>
                <w:sz w:val="22"/>
                <w:szCs w:val="22"/>
                <w:highlight w:val="none"/>
              </w:rPr>
            </w:pPr>
          </w:p>
        </w:tc>
        <w:tc>
          <w:tcPr>
            <w:tcW w:w="770"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82" w:type="pct"/>
            <w:gridSpan w:val="2"/>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总量控制数据对接支撑</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及时更新总量控制所需的税务数据。</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(1)获取全量企业数据</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(2)锁定所有涉及到总量控制的项目，禁止开启批次</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(3)获取温州市企业清单，以及农林牧渔清单，查询成立三年以上的企业税收数据。</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(4)查询税务数据。先根据企业统一信用代码查询，再根据企业的纳税人识别号查询，最后据组织机构代码拼接各地编码查询。</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(5)根据查询出来的税务数据，税务部门提供的企业免抵退税额，以及企业所属行业，根据公式计算地方综合贡献度。</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(6)在数据到位后，解除项目锁定。</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rPr>
                <w:rFonts w:hint="eastAsia" w:ascii="宋体" w:hAnsi="宋体" w:eastAsia="宋体" w:cs="宋体"/>
                <w:bCs/>
                <w:color w:val="auto"/>
                <w:kern w:val="0"/>
                <w:sz w:val="22"/>
                <w:szCs w:val="22"/>
                <w:highlight w:val="none"/>
              </w:rPr>
            </w:pPr>
          </w:p>
        </w:tc>
        <w:tc>
          <w:tcPr>
            <w:tcW w:w="770"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82" w:type="pct"/>
            <w:gridSpan w:val="2"/>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亩均数据归集清洗服务</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清洗导入各地亩均数据。</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(1)检查统一信用代码是否都是大写并为18位。</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(2)企业名称，统一信用代码是否有空格，换行等特殊字符。</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(3)检查是否存在统一信用代码一致，企业名称不一致的情况。或企业名称一致，统一信用代码不一致的情况。</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(4)各地是否有重复评价的企业</w:t>
            </w:r>
            <w:r>
              <w:rPr>
                <w:rFonts w:hint="eastAsia" w:ascii="宋体" w:hAnsi="宋体" w:eastAsia="宋体" w:cs="宋体"/>
                <w:b w:val="0"/>
                <w:bCs/>
                <w:color w:val="auto"/>
                <w:sz w:val="22"/>
                <w:szCs w:val="22"/>
                <w:highlight w:val="none"/>
              </w:rPr>
              <w:br w:type="textWrapping"/>
            </w:r>
            <w:r>
              <w:rPr>
                <w:rFonts w:hint="eastAsia" w:ascii="宋体" w:hAnsi="宋体" w:eastAsia="宋体" w:cs="宋体"/>
                <w:b w:val="0"/>
                <w:bCs/>
                <w:color w:val="auto"/>
                <w:sz w:val="22"/>
                <w:szCs w:val="22"/>
                <w:highlight w:val="none"/>
              </w:rPr>
              <w:t>(5)根据发文时间排查是否有在发文时间到数据导入期间内通过公示的CD类企业。</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rPr>
                <w:rFonts w:hint="eastAsia" w:ascii="宋体" w:hAnsi="宋体" w:eastAsia="宋体" w:cs="宋体"/>
                <w:bCs/>
                <w:color w:val="auto"/>
                <w:kern w:val="0"/>
                <w:sz w:val="22"/>
                <w:szCs w:val="22"/>
                <w:highlight w:val="none"/>
              </w:rPr>
            </w:pPr>
          </w:p>
        </w:tc>
        <w:tc>
          <w:tcPr>
            <w:tcW w:w="770"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82" w:type="pct"/>
            <w:gridSpan w:val="2"/>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审计工作支撑</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支撑审计局对本系统的审计工作，按审计局要求梳理并推送40张标准表等。</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1" w:type="pct"/>
            <w:vMerge w:val="continue"/>
            <w:noWrap w:val="0"/>
            <w:vAlign w:val="center"/>
          </w:tcPr>
          <w:p>
            <w:pPr>
              <w:pStyle w:val="55"/>
              <w:spacing w:after="0" w:line="240" w:lineRule="auto"/>
              <w:ind w:firstLine="0" w:firstLineChars="0"/>
              <w:rPr>
                <w:rFonts w:hint="eastAsia" w:ascii="宋体" w:hAnsi="宋体" w:eastAsia="宋体" w:cs="宋体"/>
                <w:bCs/>
                <w:color w:val="auto"/>
                <w:kern w:val="0"/>
                <w:sz w:val="22"/>
                <w:szCs w:val="22"/>
                <w:highlight w:val="none"/>
              </w:rPr>
            </w:pPr>
          </w:p>
        </w:tc>
        <w:tc>
          <w:tcPr>
            <w:tcW w:w="770" w:type="pct"/>
            <w:vMerge w:val="continue"/>
            <w:noWrap w:val="0"/>
            <w:vAlign w:val="center"/>
          </w:tcPr>
          <w:p>
            <w:pPr>
              <w:pStyle w:val="55"/>
              <w:spacing w:after="0" w:line="240" w:lineRule="auto"/>
              <w:ind w:firstLine="0" w:firstLineChars="0"/>
              <w:jc w:val="center"/>
              <w:rPr>
                <w:rFonts w:hint="eastAsia" w:ascii="宋体" w:hAnsi="宋体" w:eastAsia="宋体" w:cs="宋体"/>
                <w:bCs/>
                <w:color w:val="auto"/>
                <w:kern w:val="0"/>
                <w:sz w:val="22"/>
                <w:szCs w:val="22"/>
                <w:highlight w:val="none"/>
              </w:rPr>
            </w:pPr>
          </w:p>
        </w:tc>
        <w:tc>
          <w:tcPr>
            <w:tcW w:w="982" w:type="pct"/>
            <w:gridSpan w:val="2"/>
            <w:noWrap w:val="0"/>
            <w:vAlign w:val="center"/>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政策绩效评估支撑</w:t>
            </w:r>
          </w:p>
        </w:tc>
        <w:tc>
          <w:tcPr>
            <w:tcW w:w="2015" w:type="pct"/>
            <w:noWrap w:val="0"/>
            <w:vAlign w:val="top"/>
          </w:tcPr>
          <w:p>
            <w:pPr>
              <w:spacing w:line="24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支撑市财政局，做好政策绩效评估工作，包括查询政策项目兑现情况，奖补项目好差评情况，问卷调查等数据支撑工作。</w:t>
            </w:r>
          </w:p>
        </w:tc>
        <w:tc>
          <w:tcPr>
            <w:tcW w:w="821" w:type="pct"/>
            <w:noWrap w:val="0"/>
            <w:vAlign w:val="center"/>
          </w:tcPr>
          <w:p>
            <w:pPr>
              <w:widowControl/>
              <w:spacing w:line="240" w:lineRule="auto"/>
              <w:jc w:val="center"/>
              <w:rPr>
                <w:rFonts w:hint="eastAsia" w:ascii="宋体" w:hAnsi="宋体" w:eastAsia="宋体" w:cs="宋体"/>
                <w:b w:val="0"/>
                <w:bCs/>
                <w:color w:val="auto"/>
                <w:sz w:val="22"/>
                <w:szCs w:val="22"/>
                <w:highlight w:val="none"/>
                <w:lang w:bidi="ar"/>
              </w:rPr>
            </w:pPr>
          </w:p>
        </w:tc>
      </w:tr>
    </w:tbl>
    <w:p>
      <w:pPr>
        <w:pStyle w:val="55"/>
        <w:keepNext w:val="0"/>
        <w:keepLines w:val="0"/>
        <w:pageBreakBefore w:val="0"/>
        <w:widowControl w:val="0"/>
        <w:numPr>
          <w:ilvl w:val="0"/>
          <w:numId w:val="0"/>
        </w:numPr>
        <w:kinsoku/>
        <w:wordWrap/>
        <w:overflowPunct/>
        <w:topLinePunct w:val="0"/>
        <w:bidi w:val="0"/>
        <w:spacing w:after="0" w:line="440" w:lineRule="exact"/>
        <w:ind w:firstLine="221"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（二）技术要求</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1.</w:t>
      </w:r>
      <w:r>
        <w:rPr>
          <w:rFonts w:hint="eastAsia" w:ascii="宋体" w:hAnsi="宋体" w:eastAsia="宋体" w:cs="宋体"/>
          <w:b w:val="0"/>
          <w:bCs/>
          <w:color w:val="auto"/>
          <w:sz w:val="22"/>
          <w:szCs w:val="22"/>
          <w:highlight w:val="none"/>
        </w:rPr>
        <w:t>新增功能开发</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政策匹配模块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构建包含企业标签体系、政策标签体系以及政策画像，支持对在用的奖补项目进行拆解，支持业务人员在进行政策拆解时可以向系统提出添加新标签的申请。通过对政策数据库和企业数据库进行智能匹配分析，以帮助企业找到适合自身发展的政策支持和优惠政策。可根据用户在界面选择自己感兴趣的行业、标签等信息，通过系统的匹配引擎来匹配相应的奖补项目。可按用户喜好订阅标签、取消订阅标签，系统根据用户订阅的标签进行政策推送服务，将标签体系进行可视化管理。</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资质认定测算模块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建设规则执行引擎，允许以接口的方式调用和解析规则，并通过接口入参输入规则的数据，得到规则的执行结果。规则允许同步和异步执行，输出规则结果到回调接口。</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资质认定规则管理模块包含规则组管理、规则事实管理、规则配置以及资质认定指南管理：</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资质认定测算定制开发包括表单、规则配置。包含专精特新中小企业、高新技术企业、科技型中小企业、规上工业企业等5个资质的测算。</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联络员助手模块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集成联络员所辖范围内奖补项目全生命周期各环节的信息查看、统计和预警等功能。展示业务协同情况，总量控制成效。并提供以下可以下钻至工单情况，导出明细的报表；集成部门所辖范围内奖补项目全生命周期各环节的信息查看、统计和预警等功能。</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账号审批模块</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提供部门审批人员账号新增、作废、奖补项目权限迁移等功能，审计人员、督察人员、资金处室人员等权限申请。由用户提交后，经过部门、运营二级审批后更新相应配置。</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亩均评价管理模块</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由经信局提供的证明文件，展示企业亩均基本信息，根据实际情况管理企业亩均评价，对其进行新增、编辑、作废操作，并对操作进行日志记录，提供历史变更查询。</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部门答疑模块</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新增部门答疑页面，普通审批用户可在该页面发起提问且支持上传附件，用户可选择其他用户是否可见，用户提交问题后，根据业务口径解释、资金管理办法解释口径等不同的问题类型，将流转至不同的答复用户，答复用户完成答复后，将提醒对应提问用户。</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奖补项目代办</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系统支持将奖补项目体外兑付的结果导入系统。奖补项目管理员，通过批量代办功能进行代办项目的奖补结果录入；导入的数据，需要经过二级审核，才会正式入库。</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跨年兑付管理模块</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跨年兑付备忘簿管理，记录上一年度总量控制使用情况。可通过政策地区，工单归属地区，项目名称等查询奖补情况，导出明细数据。在审批过程中根据备忘录记录，计算总量控制剩余额度。</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跨年兑付批次管理，开发跨年总量控制核查批次以及申请流程。需由主管部门提交申请，由地区联络员审批通过后方可开通。开通后，该批次内总量控制计算按照指定公式进行计算。</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9）</w:t>
      </w:r>
      <w:r>
        <w:rPr>
          <w:rFonts w:hint="eastAsia" w:ascii="宋体" w:hAnsi="宋体" w:eastAsia="宋体" w:cs="宋体"/>
          <w:b w:val="0"/>
          <w:bCs/>
          <w:color w:val="auto"/>
          <w:sz w:val="22"/>
          <w:szCs w:val="22"/>
          <w:highlight w:val="none"/>
        </w:rPr>
        <w:t>政策文件上线审批模块</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权限控制。政策文件编辑人员、地区联络员、系统管理员，可以看到不同范围的政策文件。只有政策文件编辑人员能对文件内容做修改。</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审批流转流程。政策文件编辑人员提交给地区联络员审核，审核通过后，才显示在政策文件列表中。</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修改留档。保存政策文件修改前后信息。</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认领奖补项目模块</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展示奖补项目名称，政策类别，适用对象，经办人，状态等字段。可按项目状态，认领状态筛选、按关键字查询记录。</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系统管理员，地区联络员和主管部门人员，可以看到权限范围下的奖补项目。</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认领操作。</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11）</w:t>
      </w:r>
      <w:r>
        <w:rPr>
          <w:rFonts w:hint="eastAsia" w:ascii="宋体" w:hAnsi="宋体" w:eastAsia="宋体" w:cs="宋体"/>
          <w:b w:val="0"/>
          <w:bCs/>
          <w:color w:val="auto"/>
          <w:sz w:val="22"/>
          <w:szCs w:val="22"/>
          <w:highlight w:val="none"/>
        </w:rPr>
        <w:t>我的奖补项目模块</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展示奖补项目名称，项目状态，审批状态，申请人等字段。可按项目状态，拆解状态筛选。按关键字查询记录。</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系统管理员，地区联络员和主管部门人员，可以看到权限范围下的奖补项目</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包括取消认领。发起查看指南，修改指南，终止项目，拆解项目操作。</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12）</w:t>
      </w:r>
      <w:r>
        <w:rPr>
          <w:rFonts w:hint="eastAsia" w:ascii="宋体" w:hAnsi="宋体" w:eastAsia="宋体" w:cs="宋体"/>
          <w:b w:val="0"/>
          <w:bCs/>
          <w:color w:val="auto"/>
          <w:sz w:val="22"/>
          <w:szCs w:val="22"/>
          <w:highlight w:val="none"/>
        </w:rPr>
        <w:t>基层智治平台对接</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利用企业地址数据，清洗全地区30w余家企业所属街道；提供街道分管经济的领导可以查询辖区内企业的奖补项目兑现情况的功能</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13）</w:t>
      </w:r>
      <w:r>
        <w:rPr>
          <w:rFonts w:hint="eastAsia" w:ascii="宋体" w:hAnsi="宋体" w:eastAsia="宋体" w:cs="宋体"/>
          <w:b w:val="0"/>
          <w:bCs/>
          <w:color w:val="auto"/>
          <w:sz w:val="22"/>
          <w:szCs w:val="22"/>
          <w:highlight w:val="none"/>
        </w:rPr>
        <w:t>市应用日志数据拦截</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应省大数据局发展规划处的要求，规范应用日志建设，改造系统日志采集功能。添加用户行为日志和应用指标日志。采集用户登录、离开、办事开始、办事结束、进入某功能模块的行为信息和关键业务指标信息。</w:t>
      </w:r>
    </w:p>
    <w:p>
      <w:pPr>
        <w:keepNext w:val="0"/>
        <w:keepLines w:val="0"/>
        <w:pageBreakBefore w:val="0"/>
        <w:widowControl w:val="0"/>
        <w:numPr>
          <w:ilvl w:val="0"/>
          <w:numId w:val="0"/>
        </w:numPr>
        <w:kinsoku/>
        <w:wordWrap/>
        <w:overflowPunct/>
        <w:topLinePunct w:val="0"/>
        <w:bidi w:val="0"/>
        <w:spacing w:line="440" w:lineRule="exact"/>
        <w:ind w:left="425" w:leftChars="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14）</w:t>
      </w:r>
      <w:r>
        <w:rPr>
          <w:rFonts w:hint="eastAsia" w:ascii="宋体" w:hAnsi="宋体" w:eastAsia="宋体" w:cs="宋体"/>
          <w:b w:val="0"/>
          <w:bCs/>
          <w:color w:val="auto"/>
          <w:sz w:val="22"/>
          <w:szCs w:val="22"/>
          <w:highlight w:val="none"/>
        </w:rPr>
        <w:t>总部项目拦截</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新增总部项目管理模块，支持总部项目企业清单导入、作废、企业项目一对一解锁。在用户申报、流转核查、公示核查、代办核查系统奖补生命周期内实时拦截。</w:t>
      </w:r>
    </w:p>
    <w:p>
      <w:pPr>
        <w:keepNext w:val="0"/>
        <w:keepLines w:val="0"/>
        <w:pageBreakBefore w:val="0"/>
        <w:widowControl w:val="0"/>
        <w:numPr>
          <w:ilvl w:val="0"/>
          <w:numId w:val="0"/>
        </w:numPr>
        <w:kinsoku/>
        <w:wordWrap/>
        <w:overflowPunct/>
        <w:topLinePunct w:val="0"/>
        <w:bidi w:val="0"/>
        <w:spacing w:line="440" w:lineRule="exact"/>
        <w:ind w:left="425" w:leftChars="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15）</w:t>
      </w:r>
      <w:r>
        <w:rPr>
          <w:rFonts w:hint="eastAsia" w:ascii="宋体" w:hAnsi="宋体" w:eastAsia="宋体" w:cs="宋体"/>
          <w:b w:val="0"/>
          <w:bCs/>
          <w:color w:val="auto"/>
          <w:sz w:val="22"/>
          <w:szCs w:val="22"/>
          <w:highlight w:val="none"/>
        </w:rPr>
        <w:t>预算管理模块</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联动预算一体化系统项目库及预算指标数据，将预算指标关联一或多个奖补项目，存在多对多情况。根据业务经办及财政管理人员需求开发，查询奖补项目预算执行情况报表，实现从政策项目预算到资金兑现的全生命周期管理。</w:t>
      </w:r>
    </w:p>
    <w:p>
      <w:pPr>
        <w:keepNext w:val="0"/>
        <w:keepLines w:val="0"/>
        <w:pageBreakBefore w:val="0"/>
        <w:widowControl w:val="0"/>
        <w:numPr>
          <w:ilvl w:val="0"/>
          <w:numId w:val="27"/>
        </w:numPr>
        <w:kinsoku/>
        <w:wordWrap/>
        <w:overflowPunct/>
        <w:topLinePunct w:val="0"/>
        <w:bidi w:val="0"/>
        <w:spacing w:line="440" w:lineRule="exact"/>
        <w:ind w:left="190" w:leftChars="0" w:firstLine="440" w:firstLineChars="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系统功能迭代升级</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迭代升级部门编制模块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color w:val="auto"/>
          <w:sz w:val="22"/>
          <w:szCs w:val="22"/>
          <w:highlight w:val="none"/>
        </w:rPr>
      </w:pPr>
      <w:r>
        <w:rPr>
          <w:rFonts w:hint="eastAsia" w:ascii="宋体" w:hAnsi="宋体" w:eastAsia="宋体" w:cs="宋体"/>
          <w:b w:val="0"/>
          <w:bCs/>
          <w:color w:val="auto"/>
          <w:sz w:val="22"/>
          <w:szCs w:val="22"/>
          <w:highlight w:val="none"/>
        </w:rPr>
        <w:t>现有基础：</w:t>
      </w:r>
      <w:r>
        <w:rPr>
          <w:rFonts w:hint="eastAsia" w:ascii="宋体" w:hAnsi="宋体" w:eastAsia="宋体" w:cs="宋体"/>
          <w:b w:val="0"/>
          <w:color w:val="auto"/>
          <w:sz w:val="22"/>
          <w:szCs w:val="22"/>
          <w:highlight w:val="none"/>
        </w:rPr>
        <w:t>主管部门编制项目后经由部门主管审批、财政指导审批、奖补项目特殊配置完成政策上线系统。</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需求：根据新的资金管理办法和实施操作细则迭代升级在线编制模块，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要求：</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①</w:t>
      </w:r>
      <w:r>
        <w:rPr>
          <w:rFonts w:hint="eastAsia" w:ascii="宋体" w:hAnsi="宋体" w:eastAsia="宋体" w:cs="宋体"/>
          <w:b w:val="0"/>
          <w:bCs/>
          <w:color w:val="auto"/>
          <w:sz w:val="22"/>
          <w:szCs w:val="22"/>
          <w:highlight w:val="none"/>
        </w:rPr>
        <w:t>限制每个节点的审批时长不得超过对应项目类型的限定时长。</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②</w:t>
      </w:r>
      <w:r>
        <w:rPr>
          <w:rFonts w:hint="eastAsia" w:ascii="宋体" w:hAnsi="宋体" w:eastAsia="宋体" w:cs="宋体"/>
          <w:b w:val="0"/>
          <w:bCs/>
          <w:color w:val="auto"/>
          <w:sz w:val="22"/>
          <w:szCs w:val="22"/>
          <w:highlight w:val="none"/>
        </w:rPr>
        <w:t>限制企业申领单笔奖补项目资金低于5000元的不予兑付 （按新项目新办法 由用户自行选择）。</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③</w:t>
      </w:r>
      <w:r>
        <w:rPr>
          <w:rFonts w:hint="eastAsia" w:ascii="宋体" w:hAnsi="宋体" w:eastAsia="宋体" w:cs="宋体"/>
          <w:b w:val="0"/>
          <w:bCs/>
          <w:color w:val="auto"/>
          <w:sz w:val="22"/>
          <w:szCs w:val="22"/>
          <w:highlight w:val="none"/>
        </w:rPr>
        <w:t>市本级项目需选择4大产业政策对应的条款。</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④</w:t>
      </w:r>
      <w:r>
        <w:rPr>
          <w:rFonts w:hint="eastAsia" w:ascii="宋体" w:hAnsi="宋体" w:eastAsia="宋体" w:cs="宋体"/>
          <w:b w:val="0"/>
          <w:bCs/>
          <w:color w:val="auto"/>
          <w:sz w:val="22"/>
          <w:szCs w:val="22"/>
          <w:highlight w:val="none"/>
        </w:rPr>
        <w:t>提供奖补项目标签修改功能。</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⑤</w:t>
      </w:r>
      <w:r>
        <w:rPr>
          <w:rFonts w:hint="eastAsia" w:ascii="宋体" w:hAnsi="宋体" w:eastAsia="宋体" w:cs="宋体"/>
          <w:b w:val="0"/>
          <w:bCs/>
          <w:color w:val="auto"/>
          <w:sz w:val="22"/>
          <w:szCs w:val="22"/>
          <w:highlight w:val="none"/>
        </w:rPr>
        <w:t>提供政策文件绑定奖补项目功能，录入奖补项目后选择对应政策文件，标注具体文本，并提供绑定预算指标。</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⑥</w:t>
      </w:r>
      <w:r>
        <w:rPr>
          <w:rFonts w:hint="eastAsia" w:ascii="宋体" w:hAnsi="宋体" w:eastAsia="宋体" w:cs="宋体"/>
          <w:b w:val="0"/>
          <w:bCs/>
          <w:color w:val="auto"/>
          <w:sz w:val="22"/>
          <w:szCs w:val="22"/>
          <w:highlight w:val="none"/>
        </w:rPr>
        <w:t>增加“三重一大”、“第三方审计”勾选，审批时间可多延长15天。</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⑦</w:t>
      </w:r>
      <w:r>
        <w:rPr>
          <w:rFonts w:hint="eastAsia" w:ascii="宋体" w:hAnsi="宋体" w:eastAsia="宋体" w:cs="宋体"/>
          <w:b w:val="0"/>
          <w:bCs/>
          <w:color w:val="auto"/>
          <w:sz w:val="22"/>
          <w:szCs w:val="22"/>
          <w:highlight w:val="none"/>
        </w:rPr>
        <w:t>增加附件上传功能，可供单位提交项目认定相关的管理办法文件。</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⑧</w:t>
      </w:r>
      <w:r>
        <w:rPr>
          <w:rFonts w:hint="eastAsia" w:ascii="宋体" w:hAnsi="宋体" w:eastAsia="宋体" w:cs="宋体"/>
          <w:b w:val="0"/>
          <w:bCs/>
          <w:color w:val="auto"/>
          <w:sz w:val="22"/>
          <w:szCs w:val="22"/>
          <w:highlight w:val="none"/>
        </w:rPr>
        <w:t>增加启用跨年兑付备忘录的开关。</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⑨</w:t>
      </w:r>
      <w:r>
        <w:rPr>
          <w:rFonts w:hint="eastAsia" w:ascii="宋体" w:hAnsi="宋体" w:eastAsia="宋体" w:cs="宋体"/>
          <w:b w:val="0"/>
          <w:bCs/>
          <w:color w:val="auto"/>
          <w:sz w:val="22"/>
          <w:szCs w:val="22"/>
          <w:highlight w:val="none"/>
        </w:rPr>
        <w:t>增加政策拆解入口。</w:t>
      </w:r>
    </w:p>
    <w:p>
      <w:pPr>
        <w:keepNext w:val="0"/>
        <w:keepLines w:val="0"/>
        <w:pageBreakBefore w:val="0"/>
        <w:widowControl w:val="0"/>
        <w:numPr>
          <w:ilvl w:val="0"/>
          <w:numId w:val="0"/>
        </w:numPr>
        <w:kinsoku/>
        <w:wordWrap/>
        <w:overflowPunct/>
        <w:topLinePunct w:val="0"/>
        <w:bidi w:val="0"/>
        <w:spacing w:line="440" w:lineRule="exact"/>
        <w:ind w:left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迭代免申即享模块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现有基础：惠企政策制定部门可根据奖补项目申报条件，直接确定资格定补项目企业清单，通过excel、接口推送等方式上传名单，自动生成申请工单，按奖补项目审批流程进行审批，并生成风险核查报告，审批完成后即实现申报主体无申报领取奖补资金。</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需求：进一步完善企业服务，提高企业使用体验，迭代免申即享模块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要求：</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①</w:t>
      </w:r>
      <w:r>
        <w:rPr>
          <w:rFonts w:hint="eastAsia" w:ascii="宋体" w:hAnsi="宋体" w:eastAsia="宋体" w:cs="宋体"/>
          <w:b w:val="0"/>
          <w:bCs/>
          <w:color w:val="auto"/>
          <w:sz w:val="22"/>
          <w:szCs w:val="22"/>
          <w:highlight w:val="none"/>
        </w:rPr>
        <w:t>在线编制增加是否企业确认配置，创建企业确认节点。</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②</w:t>
      </w:r>
      <w:r>
        <w:rPr>
          <w:rFonts w:hint="eastAsia" w:ascii="宋体" w:hAnsi="宋体" w:eastAsia="宋体" w:cs="宋体"/>
          <w:b w:val="0"/>
          <w:bCs/>
          <w:color w:val="auto"/>
          <w:sz w:val="22"/>
          <w:szCs w:val="22"/>
          <w:highlight w:val="none"/>
        </w:rPr>
        <w:t>服务端增加免申即享确认，展示未确认免申即享工单列表以及同公司已确认免申即享工单。</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③</w:t>
      </w:r>
      <w:r>
        <w:rPr>
          <w:rFonts w:hint="eastAsia" w:ascii="宋体" w:hAnsi="宋体" w:eastAsia="宋体" w:cs="宋体"/>
          <w:b w:val="0"/>
          <w:bCs/>
          <w:color w:val="auto"/>
          <w:sz w:val="22"/>
          <w:szCs w:val="22"/>
          <w:highlight w:val="none"/>
        </w:rPr>
        <w:t>提供企业银行信息确认和资金异议提交。</w:t>
      </w:r>
    </w:p>
    <w:p>
      <w:pPr>
        <w:keepNext w:val="0"/>
        <w:keepLines w:val="0"/>
        <w:pageBreakBefore w:val="0"/>
        <w:widowControl w:val="0"/>
        <w:numPr>
          <w:ilvl w:val="0"/>
          <w:numId w:val="0"/>
        </w:numPr>
        <w:kinsoku/>
        <w:wordWrap/>
        <w:overflowPunct/>
        <w:topLinePunct w:val="0"/>
        <w:bidi w:val="0"/>
        <w:spacing w:line="440" w:lineRule="exact"/>
        <w:ind w:left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迭代升级在线审批模块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现有基础：</w:t>
      </w:r>
      <w:r>
        <w:rPr>
          <w:rFonts w:hint="eastAsia" w:ascii="宋体" w:hAnsi="宋体" w:eastAsia="宋体" w:cs="宋体"/>
          <w:b w:val="0"/>
          <w:bCs/>
          <w:color w:val="auto"/>
          <w:sz w:val="22"/>
          <w:szCs w:val="22"/>
          <w:highlight w:val="none"/>
          <w:lang w:bidi="ar"/>
        </w:rPr>
        <w:t>实现奖励申报的权限管理、部门审批流转、奖励申报查重、表单管理、公告管理、申报指南管理、政策解读管理、申报批次管理、奖励申报概况查询、公示管理、回退管理、历史审批查询、公示结果导出、企业奖励申报查询、批次申报情况统计、与市税务部门和大数据共享平台的数据对接等功能，</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需求：根据新的资金管理办法和实施操作细则迭代升级在线审批模块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要求：</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①</w:t>
      </w:r>
      <w:r>
        <w:rPr>
          <w:rFonts w:hint="eastAsia" w:ascii="宋体" w:hAnsi="宋体" w:eastAsia="宋体" w:cs="宋体"/>
          <w:b w:val="0"/>
          <w:bCs/>
          <w:color w:val="auto"/>
          <w:sz w:val="22"/>
          <w:szCs w:val="22"/>
          <w:highlight w:val="none"/>
        </w:rPr>
        <w:t xml:space="preserve">全流程限时办结时间限制修改：审查遴选类改为60个工作日，数据核校类如需审批用户上传附件则时限由23个工作日的基础上多加25个工作日。 </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②</w:t>
      </w:r>
      <w:r>
        <w:rPr>
          <w:rFonts w:hint="eastAsia" w:ascii="宋体" w:hAnsi="宋体" w:eastAsia="宋体" w:cs="宋体"/>
          <w:b w:val="0"/>
          <w:bCs/>
          <w:color w:val="auto"/>
          <w:sz w:val="22"/>
          <w:szCs w:val="22"/>
          <w:highlight w:val="none"/>
        </w:rPr>
        <w:t>主管部门退回后申报单位须在5个工作日内提交（5日内多次提交），最多可补充申报材料3次。</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③</w:t>
      </w:r>
      <w:r>
        <w:rPr>
          <w:rFonts w:hint="eastAsia" w:ascii="宋体" w:hAnsi="宋体" w:eastAsia="宋体" w:cs="宋体"/>
          <w:b w:val="0"/>
          <w:bCs/>
          <w:color w:val="auto"/>
          <w:sz w:val="22"/>
          <w:szCs w:val="22"/>
          <w:highlight w:val="none"/>
        </w:rPr>
        <w:t>主管部门退回申报请求后，系统短信提示用户重新提交申报材料，4个工作日后仍未提交再次提醒申报单位，仍未提交按上述再次检查提醒，最多提醒2次。</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④</w:t>
      </w:r>
      <w:r>
        <w:rPr>
          <w:rFonts w:hint="eastAsia" w:ascii="宋体" w:hAnsi="宋体" w:eastAsia="宋体" w:cs="宋体"/>
          <w:b w:val="0"/>
          <w:bCs/>
          <w:color w:val="auto"/>
          <w:sz w:val="22"/>
          <w:szCs w:val="22"/>
          <w:highlight w:val="none"/>
        </w:rPr>
        <w:t>申报批次管理中增设允许业务部门修改批次名称和时间的功能。</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⑤</w:t>
      </w:r>
      <w:r>
        <w:rPr>
          <w:rFonts w:hint="eastAsia" w:ascii="宋体" w:hAnsi="宋体" w:eastAsia="宋体" w:cs="宋体"/>
          <w:b w:val="0"/>
          <w:bCs/>
          <w:color w:val="auto"/>
          <w:sz w:val="22"/>
          <w:szCs w:val="22"/>
          <w:highlight w:val="none"/>
        </w:rPr>
        <w:t>增设资金推送与资金拨付页面部门可操作回退的功能。</w:t>
      </w:r>
    </w:p>
    <w:p>
      <w:pPr>
        <w:keepNext w:val="0"/>
        <w:keepLines w:val="0"/>
        <w:pageBreakBefore w:val="0"/>
        <w:widowControl w:val="0"/>
        <w:numPr>
          <w:ilvl w:val="0"/>
          <w:numId w:val="0"/>
        </w:numPr>
        <w:kinsoku/>
        <w:wordWrap/>
        <w:overflowPunct/>
        <w:topLinePunct w:val="0"/>
        <w:bidi w:val="0"/>
        <w:spacing w:line="440" w:lineRule="exact"/>
        <w:ind w:left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迭代升级电子审批单</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现有基础：查询并导出相应电子审批单</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需求及要求：资金拨付前，经办部门在电子审批单模块选择需要的拨付工单，发起电子审批单在线审批，可根据实际拨付情况撤销已发起的审批单。分管领导可在审批页面对审批单进行审批。</w:t>
      </w:r>
    </w:p>
    <w:p>
      <w:pPr>
        <w:keepNext w:val="0"/>
        <w:keepLines w:val="0"/>
        <w:pageBreakBefore w:val="0"/>
        <w:widowControl w:val="0"/>
        <w:numPr>
          <w:ilvl w:val="0"/>
          <w:numId w:val="0"/>
        </w:numPr>
        <w:kinsoku/>
        <w:wordWrap/>
        <w:overflowPunct/>
        <w:topLinePunct w:val="0"/>
        <w:bidi w:val="0"/>
        <w:spacing w:line="440" w:lineRule="exact"/>
        <w:ind w:left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迭代支付推送（预算一体化对接）</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现有基础：系统与省财政预算管理一体化系统连通，实时推送已经审核完毕的奖补申请到预算管理一体化系统，护航资金安全直达。根据需要对支付情况进行查询，实现项目支付进度和奖补资金兑现情况实时可查可看可追溯。</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求及要求：项目资金拨付时根据实际情况，选择市区分成拨付资金，从指定预算指标拨付资金。增加资金拨付银行卡异常修改功能，惠企资金拨付环节时，若发现银行卡账号异常，系统提供银行卡异常修改功能。</w:t>
      </w:r>
    </w:p>
    <w:p>
      <w:pPr>
        <w:keepNext w:val="0"/>
        <w:keepLines w:val="0"/>
        <w:pageBreakBefore w:val="0"/>
        <w:widowControl w:val="0"/>
        <w:numPr>
          <w:ilvl w:val="0"/>
          <w:numId w:val="0"/>
        </w:numPr>
        <w:kinsoku/>
        <w:wordWrap/>
        <w:overflowPunct/>
        <w:topLinePunct w:val="0"/>
        <w:bidi w:val="0"/>
        <w:spacing w:line="440" w:lineRule="exact"/>
        <w:ind w:left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迭代运维管理工具</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rPr>
        <w:t>现有基础：根据部门实际使用中遇到的问题，建设系统运维工具，如“510”红名单管理,劳务派遣单位管理，地理信息数据等，提升工作效率，达到运维工作减负的效果。</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需求及要求：</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①</w:t>
      </w:r>
      <w:r>
        <w:rPr>
          <w:rFonts w:hint="eastAsia" w:ascii="宋体" w:hAnsi="宋体" w:eastAsia="宋体" w:cs="宋体"/>
          <w:b w:val="0"/>
          <w:bCs/>
          <w:color w:val="auto"/>
          <w:sz w:val="22"/>
          <w:szCs w:val="22"/>
          <w:highlight w:val="none"/>
        </w:rPr>
        <w:t>添加就业补贴月份核定回滚工具</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②</w:t>
      </w:r>
      <w:r>
        <w:rPr>
          <w:rFonts w:hint="eastAsia" w:ascii="宋体" w:hAnsi="宋体" w:eastAsia="宋体" w:cs="宋体"/>
          <w:b w:val="0"/>
          <w:bCs/>
          <w:color w:val="auto"/>
          <w:sz w:val="22"/>
          <w:szCs w:val="22"/>
          <w:highlight w:val="none"/>
        </w:rPr>
        <w:t>添加批次适用总量控制年度信息工具</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③</w:t>
      </w:r>
      <w:r>
        <w:rPr>
          <w:rFonts w:hint="eastAsia" w:ascii="宋体" w:hAnsi="宋体" w:eastAsia="宋体" w:cs="宋体"/>
          <w:b w:val="0"/>
          <w:bCs/>
          <w:color w:val="auto"/>
          <w:sz w:val="22"/>
          <w:szCs w:val="22"/>
          <w:highlight w:val="none"/>
        </w:rPr>
        <w:t>优化就业补贴生成工具，核验并提示就业补贴生成失败原因。</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④</w:t>
      </w:r>
      <w:r>
        <w:rPr>
          <w:rFonts w:hint="eastAsia" w:ascii="宋体" w:hAnsi="宋体" w:eastAsia="宋体" w:cs="宋体"/>
          <w:b w:val="0"/>
          <w:bCs/>
          <w:color w:val="auto"/>
          <w:sz w:val="22"/>
          <w:szCs w:val="22"/>
          <w:highlight w:val="none"/>
        </w:rPr>
        <w:t>添加社银重推工具。</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⑤</w:t>
      </w:r>
      <w:r>
        <w:rPr>
          <w:rFonts w:hint="eastAsia" w:ascii="宋体" w:hAnsi="宋体" w:eastAsia="宋体" w:cs="宋体"/>
          <w:b w:val="0"/>
          <w:bCs/>
          <w:color w:val="auto"/>
          <w:sz w:val="22"/>
          <w:szCs w:val="22"/>
          <w:highlight w:val="none"/>
        </w:rPr>
        <w:t>添加社银自动资金确认项目管理工具</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⑥</w:t>
      </w:r>
      <w:r>
        <w:rPr>
          <w:rFonts w:hint="eastAsia" w:ascii="宋体" w:hAnsi="宋体" w:eastAsia="宋体" w:cs="宋体"/>
          <w:b w:val="0"/>
          <w:bCs/>
          <w:color w:val="auto"/>
          <w:sz w:val="22"/>
          <w:szCs w:val="22"/>
          <w:highlight w:val="none"/>
        </w:rPr>
        <w:t>添加单个角色绑定指定部门项目的报表，批次角色的权限工具。</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⑦</w:t>
      </w:r>
      <w:r>
        <w:rPr>
          <w:rFonts w:hint="eastAsia" w:ascii="宋体" w:hAnsi="宋体" w:eastAsia="宋体" w:cs="宋体"/>
          <w:b w:val="0"/>
          <w:bCs/>
          <w:color w:val="auto"/>
          <w:sz w:val="22"/>
          <w:szCs w:val="22"/>
          <w:highlight w:val="none"/>
        </w:rPr>
        <w:t>添加实时查询资金推送工具</w:t>
      </w:r>
    </w:p>
    <w:p>
      <w:pPr>
        <w:keepNext w:val="0"/>
        <w:keepLines w:val="0"/>
        <w:pageBreakBefore w:val="0"/>
        <w:widowControl w:val="0"/>
        <w:numPr>
          <w:ilvl w:val="0"/>
          <w:numId w:val="0"/>
        </w:numPr>
        <w:kinsoku/>
        <w:wordWrap/>
        <w:overflowPunct/>
        <w:topLinePunct w:val="0"/>
        <w:bidi w:val="0"/>
        <w:spacing w:line="440" w:lineRule="exact"/>
        <w:ind w:left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多因子认证改造</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需求及要求：申请并接入认证组件，将系统的主管部门与浙政钉组织架构关联。用户在浙政钉扫码登陆后，通过消息通知模块向用户发送验证码。用户正确输入验证码后，通过认证。</w:t>
      </w:r>
    </w:p>
    <w:p>
      <w:pPr>
        <w:keepNext w:val="0"/>
        <w:keepLines w:val="0"/>
        <w:pageBreakBefore w:val="0"/>
        <w:widowControl w:val="0"/>
        <w:numPr>
          <w:ilvl w:val="0"/>
          <w:numId w:val="0"/>
        </w:numPr>
        <w:kinsoku/>
        <w:wordWrap/>
        <w:overflowPunct/>
        <w:topLinePunct w:val="0"/>
        <w:bidi w:val="0"/>
        <w:spacing w:line="440" w:lineRule="exact"/>
        <w:ind w:left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迭代绩效采集</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现有基础：提供固定绩效模板填报指标数据</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需求及要求：根据绩效表格，修改页面显示，开发添加自定义字段功能，支持填报个性化指标</w:t>
      </w:r>
    </w:p>
    <w:p>
      <w:pPr>
        <w:keepNext w:val="0"/>
        <w:keepLines w:val="0"/>
        <w:pageBreakBefore w:val="0"/>
        <w:widowControl w:val="0"/>
        <w:numPr>
          <w:ilvl w:val="0"/>
          <w:numId w:val="27"/>
        </w:numPr>
        <w:kinsoku/>
        <w:wordWrap/>
        <w:overflowPunct/>
        <w:topLinePunct w:val="0"/>
        <w:bidi w:val="0"/>
        <w:spacing w:line="440" w:lineRule="exact"/>
        <w:ind w:left="190" w:leftChars="0" w:firstLine="440" w:firstLineChars="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前后端分离改造</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原系统前后端不分离，本次页面改造需要改造110个页面，包含公众端服务端奖补公示栏,猜你喜欢栏,奖补办理进度栏,我的公示栏,申报大厅栏,奖补申报页面,办理进度页面,奖补公示页面,申报指南页面,申报通知页面,政策文件页面,降费减税页面,信息完善页面,问卷调查页面,我的异议页面,在线咨询页面；以及部门审批端项目审批管理、项目在线编制、奖补资金代办、在线审计、绩效管理、在线互动、工作流管理、日志管理、查询统计、系统管理等模块。</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原接口不适配前后端分离架构，本次接口改造需要改造400余个接口。</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原表单前后端不分离，本次表单改造需要改造1800余个表单（总共4800多个表单，去重后1800余）；其中400多个表单涉及数据共享、复杂业务逻辑判断。</w:t>
      </w:r>
    </w:p>
    <w:p>
      <w:pPr>
        <w:keepNext w:val="0"/>
        <w:keepLines w:val="0"/>
        <w:pageBreakBefore w:val="0"/>
        <w:widowControl w:val="0"/>
        <w:numPr>
          <w:ilvl w:val="0"/>
          <w:numId w:val="27"/>
        </w:numPr>
        <w:kinsoku/>
        <w:wordWrap/>
        <w:overflowPunct/>
        <w:topLinePunct w:val="0"/>
        <w:bidi w:val="0"/>
        <w:spacing w:line="440" w:lineRule="exact"/>
        <w:ind w:left="190" w:leftChars="0" w:firstLine="440" w:firstLineChars="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移动端重构</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原系统移动端前后不分离，本次在前后端分离架构调整后，重新设计并开发手机申报端，上架浙里办app、浙里办微信小程序。</w:t>
      </w:r>
    </w:p>
    <w:p>
      <w:pPr>
        <w:keepNext w:val="0"/>
        <w:keepLines w:val="0"/>
        <w:pageBreakBefore w:val="0"/>
        <w:widowControl w:val="0"/>
        <w:numPr>
          <w:ilvl w:val="0"/>
          <w:numId w:val="27"/>
        </w:numPr>
        <w:kinsoku/>
        <w:wordWrap/>
        <w:overflowPunct/>
        <w:topLinePunct w:val="0"/>
        <w:bidi w:val="0"/>
        <w:spacing w:line="440" w:lineRule="exact"/>
        <w:ind w:left="190" w:leftChars="0" w:firstLine="440" w:firstLineChars="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国产化适配</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原操作系统为Linux，</w:t>
      </w:r>
      <w:r>
        <w:rPr>
          <w:rFonts w:hint="eastAsia" w:ascii="宋体" w:hAnsi="宋体" w:eastAsia="宋体" w:cs="宋体"/>
          <w:b w:val="0"/>
          <w:bCs/>
          <w:color w:val="auto"/>
          <w:sz w:val="22"/>
          <w:szCs w:val="22"/>
          <w:highlight w:val="none"/>
          <w:lang w:val="en-US" w:eastAsia="zh-CN"/>
        </w:rPr>
        <w:t>原数据库为oracle，</w:t>
      </w:r>
      <w:r>
        <w:rPr>
          <w:rFonts w:hint="eastAsia" w:ascii="宋体" w:hAnsi="宋体" w:eastAsia="宋体" w:cs="宋体"/>
          <w:b w:val="0"/>
          <w:bCs/>
          <w:color w:val="auto"/>
          <w:sz w:val="22"/>
          <w:szCs w:val="22"/>
          <w:highlight w:val="none"/>
        </w:rPr>
        <w:t>本次国产化适配梳理惠企政策“直通车”当前使用到的技术栈，结合《温州市信创云对于应用系统改造软硬件的说明》，评估并适配国产服务器操作系统</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rPr>
        <w:t>对惠企政策“直通车”的各个模块的后端代码进行改造，主要包括与操作系统</w:t>
      </w:r>
      <w:r>
        <w:rPr>
          <w:rFonts w:hint="eastAsia" w:ascii="宋体" w:hAnsi="宋体" w:eastAsia="宋体" w:cs="宋体"/>
          <w:b w:val="0"/>
          <w:bCs/>
          <w:color w:val="auto"/>
          <w:sz w:val="22"/>
          <w:szCs w:val="22"/>
          <w:highlight w:val="none"/>
          <w:lang w:val="en-US" w:eastAsia="zh-CN"/>
        </w:rPr>
        <w:t>和数据库</w:t>
      </w:r>
      <w:r>
        <w:rPr>
          <w:rFonts w:hint="eastAsia" w:ascii="宋体" w:hAnsi="宋体" w:eastAsia="宋体" w:cs="宋体"/>
          <w:b w:val="0"/>
          <w:bCs/>
          <w:color w:val="auto"/>
          <w:sz w:val="22"/>
          <w:szCs w:val="22"/>
          <w:highlight w:val="none"/>
        </w:rPr>
        <w:t>等相关后端代码进行适配改造。</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性能优化改造。信创适配改造完成后，对系统平台功能做性能验证。对性能不达标的功能模块需要做性能优化改造。</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数据库迁移</w:t>
      </w:r>
      <w:r>
        <w:rPr>
          <w:rFonts w:hint="eastAsia" w:ascii="宋体" w:hAnsi="宋体" w:eastAsia="宋体" w:cs="宋体"/>
          <w:b w:val="0"/>
          <w:bCs/>
          <w:color w:val="auto"/>
          <w:sz w:val="22"/>
          <w:szCs w:val="22"/>
          <w:highlight w:val="none"/>
        </w:rPr>
        <w:tab/>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将原部署在政务外网的数据库迁移到财政专网内，保证数据平滑迁移和系统稳定。</w:t>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 w:val="0"/>
          <w:bCs/>
          <w:color w:val="auto"/>
          <w:sz w:val="22"/>
          <w:szCs w:val="22"/>
          <w:highlight w:val="none"/>
        </w:rPr>
        <w:t>第三方接口改造</w:t>
      </w:r>
      <w:r>
        <w:rPr>
          <w:rFonts w:hint="eastAsia" w:ascii="宋体" w:hAnsi="宋体" w:eastAsia="宋体" w:cs="宋体"/>
          <w:b w:val="0"/>
          <w:bCs/>
          <w:color w:val="auto"/>
          <w:sz w:val="22"/>
          <w:szCs w:val="22"/>
          <w:highlight w:val="none"/>
        </w:rPr>
        <w:tab/>
      </w:r>
    </w:p>
    <w:p>
      <w:pPr>
        <w:keepNext w:val="0"/>
        <w:keepLines w:val="0"/>
        <w:pageBreakBefore w:val="0"/>
        <w:widowControl w:val="0"/>
        <w:kinsoku/>
        <w:wordWrap/>
        <w:overflowPunct/>
        <w:topLinePunct w:val="0"/>
        <w:bidi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sz w:val="22"/>
          <w:szCs w:val="22"/>
          <w:highlight w:val="none"/>
        </w:rPr>
        <w:t>信用接口由信用接口改为公共服务组件。批量企业数据回收，改为企业基本信息接口（替换省国有）接口。市税务接口改为省税务接口。 市纳税归属地接口改为省纳税人基本信息接口。</w:t>
      </w:r>
    </w:p>
    <w:p>
      <w:pPr>
        <w:keepNext w:val="0"/>
        <w:keepLines w:val="0"/>
        <w:pageBreakBefore w:val="0"/>
        <w:widowControl w:val="0"/>
        <w:numPr>
          <w:ilvl w:val="0"/>
          <w:numId w:val="0"/>
        </w:numPr>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rPr>
        <w:t>系统日常运营服务</w:t>
      </w:r>
    </w:p>
    <w:p>
      <w:pPr>
        <w:pStyle w:val="55"/>
        <w:keepNext w:val="0"/>
        <w:keepLines w:val="0"/>
        <w:pageBreakBefore w:val="0"/>
        <w:widowControl w:val="0"/>
        <w:kinsoku/>
        <w:wordWrap/>
        <w:overflowPunct/>
        <w:topLinePunct w:val="0"/>
        <w:bidi w:val="0"/>
        <w:spacing w:after="0" w:line="440" w:lineRule="exact"/>
        <w:ind w:firstLine="442" w:firstLineChars="200"/>
        <w:textAlignment w:val="auto"/>
        <w:rPr>
          <w:rFonts w:hint="eastAsia" w:ascii="宋体" w:hAnsi="宋体" w:eastAsia="宋体" w:cs="宋体"/>
          <w:bCs/>
          <w:color w:val="auto"/>
          <w:kern w:val="0"/>
          <w:sz w:val="22"/>
          <w:szCs w:val="22"/>
          <w:highlight w:val="none"/>
          <w:lang w:bidi="ar"/>
        </w:rPr>
      </w:pPr>
      <w:r>
        <w:rPr>
          <w:rFonts w:hint="eastAsia" w:ascii="宋体" w:hAnsi="宋体" w:eastAsia="宋体" w:cs="宋体"/>
          <w:bCs/>
          <w:color w:val="auto"/>
          <w:kern w:val="0"/>
          <w:sz w:val="22"/>
          <w:szCs w:val="22"/>
          <w:highlight w:val="none"/>
          <w:lang w:bidi="ar"/>
        </w:rPr>
        <w:t>需求及要求：</w:t>
      </w:r>
    </w:p>
    <w:p>
      <w:pPr>
        <w:keepNext w:val="0"/>
        <w:keepLines w:val="0"/>
        <w:pageBreakBefore w:val="0"/>
        <w:widowControl w:val="0"/>
        <w:numPr>
          <w:ilvl w:val="0"/>
          <w:numId w:val="28"/>
        </w:numPr>
        <w:kinsoku/>
        <w:wordWrap/>
        <w:overflowPunct/>
        <w:topLinePunct w:val="0"/>
        <w:bidi w:val="0"/>
        <w:spacing w:line="440" w:lineRule="exact"/>
        <w:ind w:left="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奖补项目配置与定制开发</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(1)及时配合全地区、各部门开展奖补项目一年一清工作，包括奖补项目的梳理、配置（目前全地区总计4000余条，预计全年新配置项目1300、修改项目1200）；</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(2)提供部分奖补项目的接口开发、数据对接、数据清洗工作，如普惠性奖补项目（复杂温州市区企业一次性留工补助、温州市企业外来员工返岗交通补贴（新）、 温州市本级大学生实习生活补贴、温州市本级大学生实习人员备案、温州市民营企业公积金补贴、瓯海区专业技术人才个人专项奖励、温州市重大科技创新攻关项目补助、温州市高新技术企业认定奖励、温州市科技型企业做大做强、温州浙南科技城企业租赁政府自持物业租金补助、温州市本级交通补贴、温州市本级大学生驿站住宿补贴等）的业务数据对接及比对清洗等。</w:t>
      </w:r>
    </w:p>
    <w:p>
      <w:pPr>
        <w:keepNext w:val="0"/>
        <w:keepLines w:val="0"/>
        <w:pageBreakBefore w:val="0"/>
        <w:widowControl w:val="0"/>
        <w:numPr>
          <w:ilvl w:val="0"/>
          <w:numId w:val="28"/>
        </w:numPr>
        <w:kinsoku/>
        <w:wordWrap/>
        <w:overflowPunct/>
        <w:topLinePunct w:val="0"/>
        <w:autoSpaceDE/>
        <w:autoSpaceDN/>
        <w:bidi w:val="0"/>
        <w:snapToGrid/>
        <w:spacing w:line="440" w:lineRule="exact"/>
        <w:ind w:left="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业务咨询服务</w:t>
      </w:r>
      <w:r>
        <w:rPr>
          <w:rFonts w:hint="eastAsia" w:ascii="宋体" w:hAnsi="宋体" w:eastAsia="宋体" w:cs="宋体"/>
          <w:b w:val="0"/>
          <w:bCs/>
          <w:color w:val="auto"/>
          <w:sz w:val="22"/>
          <w:szCs w:val="22"/>
          <w:highlight w:val="none"/>
        </w:rPr>
        <w:tab/>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及时响应全地区490多个部门、5000多位审批人员的业务及技术咨询，支持奖补项目的全年申报工作；为资金推送提供咨询，并辅助省预算一体化平台排查资金拨付中遇到的问题；为企业服务热线（96666）提供支撑。</w:t>
      </w:r>
    </w:p>
    <w:p>
      <w:pPr>
        <w:keepNext w:val="0"/>
        <w:keepLines w:val="0"/>
        <w:pageBreakBefore w:val="0"/>
        <w:widowControl w:val="0"/>
        <w:numPr>
          <w:ilvl w:val="0"/>
          <w:numId w:val="28"/>
        </w:numPr>
        <w:kinsoku/>
        <w:wordWrap/>
        <w:overflowPunct/>
        <w:topLinePunct w:val="0"/>
        <w:autoSpaceDE/>
        <w:autoSpaceDN/>
        <w:bidi w:val="0"/>
        <w:snapToGrid/>
        <w:spacing w:line="440" w:lineRule="exact"/>
        <w:ind w:left="0" w:firstLine="440" w:firstLineChars="200"/>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eastAsia="zh-CN"/>
        </w:rPr>
        <w:t>达梦数据库迁移服务</w:t>
      </w:r>
      <w:r>
        <w:rPr>
          <w:rFonts w:hint="eastAsia" w:ascii="宋体" w:hAnsi="宋体" w:eastAsia="宋体" w:cs="宋体"/>
          <w:b w:val="0"/>
          <w:bCs/>
          <w:color w:val="auto"/>
          <w:sz w:val="22"/>
          <w:szCs w:val="22"/>
          <w:highlight w:val="none"/>
        </w:rPr>
        <w:tab/>
      </w:r>
    </w:p>
    <w:p>
      <w:pPr>
        <w:pStyle w:val="2"/>
        <w:keepNext w:val="0"/>
        <w:keepLines w:val="0"/>
        <w:pageBreakBefore w:val="0"/>
        <w:widowControl w:val="0"/>
        <w:kinsoku/>
        <w:wordWrap/>
        <w:overflowPunct/>
        <w:topLinePunct w:val="0"/>
        <w:autoSpaceDE/>
        <w:autoSpaceDN/>
        <w:bidi w:val="0"/>
        <w:snapToGrid/>
        <w:spacing w:line="440" w:lineRule="exact"/>
        <w:rPr>
          <w:rFonts w:hint="eastAsia" w:eastAsia="宋体"/>
          <w:color w:val="auto"/>
          <w:highlight w:val="none"/>
          <w:lang w:eastAsia="zh-CN"/>
        </w:rPr>
      </w:pPr>
      <w:r>
        <w:rPr>
          <w:rFonts w:hint="eastAsia" w:ascii="宋体" w:hAnsi="宋体" w:eastAsia="宋体" w:cs="宋体"/>
          <w:b w:val="0"/>
          <w:bCs/>
          <w:color w:val="auto"/>
          <w:sz w:val="22"/>
          <w:szCs w:val="22"/>
          <w:highlight w:val="none"/>
        </w:rPr>
        <w:t>将oracle生产及测试数据库迁移至达梦数据库</w:t>
      </w:r>
      <w:r>
        <w:rPr>
          <w:rFonts w:hint="eastAsia" w:ascii="宋体" w:hAnsi="宋体" w:cs="宋体"/>
          <w:b w:val="0"/>
          <w:bCs/>
          <w:color w:val="auto"/>
          <w:sz w:val="22"/>
          <w:szCs w:val="22"/>
          <w:highlight w:val="none"/>
          <w:lang w:eastAsia="zh-CN"/>
        </w:rPr>
        <w:t>。</w:t>
      </w:r>
    </w:p>
    <w:p>
      <w:pPr>
        <w:keepNext w:val="0"/>
        <w:keepLines w:val="0"/>
        <w:pageBreakBefore w:val="0"/>
        <w:widowControl w:val="0"/>
        <w:numPr>
          <w:ilvl w:val="0"/>
          <w:numId w:val="28"/>
        </w:numPr>
        <w:kinsoku/>
        <w:wordWrap/>
        <w:overflowPunct/>
        <w:topLinePunct w:val="0"/>
        <w:autoSpaceDE/>
        <w:autoSpaceDN/>
        <w:bidi w:val="0"/>
        <w:snapToGrid/>
        <w:spacing w:line="440" w:lineRule="exact"/>
        <w:ind w:left="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总量控制数据对接支撑</w:t>
      </w:r>
      <w:r>
        <w:rPr>
          <w:rFonts w:hint="eastAsia" w:ascii="宋体" w:hAnsi="宋体" w:eastAsia="宋体" w:cs="宋体"/>
          <w:b w:val="0"/>
          <w:bCs/>
          <w:color w:val="auto"/>
          <w:sz w:val="22"/>
          <w:szCs w:val="22"/>
          <w:highlight w:val="none"/>
        </w:rPr>
        <w:tab/>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及时更新总量控制所需的税务数据。</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(1)获取全量企业数据</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(2)锁定所有涉及到总量控制的项目，禁止开启批次</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(3)获取温州市企业清单，以及农林牧渔清单，查询成立三年以上的企业税收数据。</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(4)查询税务数据。先根据企业统一信用代码查询，再根据企业的纳税人识别号查询，最后据组织机构代码拼接各地编码查询。</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(5)根据查询出来的税务数据，税务部门提供的企业免抵退税额，以及企业所属行业，根据公式计算地方综合贡献度。</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(6)在数据到位后，解除项目锁定。</w:t>
      </w:r>
    </w:p>
    <w:p>
      <w:pPr>
        <w:keepNext w:val="0"/>
        <w:keepLines w:val="0"/>
        <w:pageBreakBefore w:val="0"/>
        <w:widowControl w:val="0"/>
        <w:numPr>
          <w:ilvl w:val="0"/>
          <w:numId w:val="28"/>
        </w:numPr>
        <w:kinsoku/>
        <w:wordWrap/>
        <w:overflowPunct/>
        <w:topLinePunct w:val="0"/>
        <w:bidi w:val="0"/>
        <w:spacing w:line="440" w:lineRule="exact"/>
        <w:ind w:left="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亩均数据归集清洗服务</w:t>
      </w:r>
      <w:r>
        <w:rPr>
          <w:rFonts w:hint="eastAsia" w:ascii="宋体" w:hAnsi="宋体" w:eastAsia="宋体" w:cs="宋体"/>
          <w:b w:val="0"/>
          <w:bCs/>
          <w:color w:val="auto"/>
          <w:sz w:val="22"/>
          <w:szCs w:val="22"/>
          <w:highlight w:val="none"/>
        </w:rPr>
        <w:tab/>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清洗导入各地亩均数据。</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(1)检查统一信用代码是否都是大写并为18位。</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(2)企业名称，统一信用代码是否有空格，换行等特殊字符。</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(3)检查是否存在统一信用代码一致，企业名称不一致的情况。或企业名称一致，统一信用代码不一致的情况。</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(4)各地是否有重复评价的企业</w:t>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(5)根据发文时间排查是否有在发文时间到数据导入期间内通过公示的CD类企业。</w:t>
      </w:r>
    </w:p>
    <w:p>
      <w:pPr>
        <w:keepNext w:val="0"/>
        <w:keepLines w:val="0"/>
        <w:pageBreakBefore w:val="0"/>
        <w:widowControl w:val="0"/>
        <w:numPr>
          <w:ilvl w:val="0"/>
          <w:numId w:val="28"/>
        </w:numPr>
        <w:kinsoku/>
        <w:wordWrap/>
        <w:overflowPunct/>
        <w:topLinePunct w:val="0"/>
        <w:bidi w:val="0"/>
        <w:spacing w:line="440" w:lineRule="exact"/>
        <w:ind w:left="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审计工作支撑</w:t>
      </w:r>
      <w:r>
        <w:rPr>
          <w:rFonts w:hint="eastAsia" w:ascii="宋体" w:hAnsi="宋体" w:eastAsia="宋体" w:cs="宋体"/>
          <w:b w:val="0"/>
          <w:bCs/>
          <w:color w:val="auto"/>
          <w:sz w:val="22"/>
          <w:szCs w:val="22"/>
          <w:highlight w:val="none"/>
        </w:rPr>
        <w:tab/>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支撑审计局对本系统的审计工作，按审计局要求梳理并推送40张标准表等。</w:t>
      </w:r>
    </w:p>
    <w:p>
      <w:pPr>
        <w:keepNext w:val="0"/>
        <w:keepLines w:val="0"/>
        <w:pageBreakBefore w:val="0"/>
        <w:widowControl w:val="0"/>
        <w:numPr>
          <w:ilvl w:val="0"/>
          <w:numId w:val="28"/>
        </w:numPr>
        <w:kinsoku/>
        <w:wordWrap/>
        <w:overflowPunct/>
        <w:topLinePunct w:val="0"/>
        <w:bidi w:val="0"/>
        <w:spacing w:line="440" w:lineRule="exact"/>
        <w:ind w:left="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政策绩效评估支撑</w:t>
      </w:r>
      <w:r>
        <w:rPr>
          <w:rFonts w:hint="eastAsia" w:ascii="宋体" w:hAnsi="宋体" w:eastAsia="宋体" w:cs="宋体"/>
          <w:b w:val="0"/>
          <w:bCs/>
          <w:color w:val="auto"/>
          <w:sz w:val="22"/>
          <w:szCs w:val="22"/>
          <w:highlight w:val="none"/>
        </w:rPr>
        <w:tab/>
      </w:r>
    </w:p>
    <w:p>
      <w:pPr>
        <w:keepNext w:val="0"/>
        <w:keepLines w:val="0"/>
        <w:pageBreakBefore w:val="0"/>
        <w:widowControl w:val="0"/>
        <w:kinsoku/>
        <w:wordWrap/>
        <w:overflowPunct/>
        <w:topLinePunct w:val="0"/>
        <w:bidi w:val="0"/>
        <w:spacing w:line="440" w:lineRule="exact"/>
        <w:ind w:firstLine="48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支撑市财政局，做好政策绩效评估工作，包括查询政策项目兑现情况，奖补项目好差评情况，问卷调查等数据支撑工作。</w:t>
      </w:r>
    </w:p>
    <w:p>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Cs/>
          <w:color w:val="auto"/>
          <w:sz w:val="22"/>
          <w:szCs w:val="22"/>
          <w:highlight w:val="none"/>
        </w:rPr>
      </w:pPr>
      <w:bookmarkStart w:id="129" w:name="_Toc112088926"/>
    </w:p>
    <w:p>
      <w:pPr>
        <w:keepNext w:val="0"/>
        <w:keepLines w:val="0"/>
        <w:pageBreakBefore w:val="0"/>
        <w:widowControl w:val="0"/>
        <w:kinsoku/>
        <w:wordWrap/>
        <w:overflowPunct/>
        <w:topLinePunct w:val="0"/>
        <w:bidi w:val="0"/>
        <w:snapToGrid w:val="0"/>
        <w:spacing w:line="440" w:lineRule="exac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三、项目建设工期</w:t>
      </w:r>
      <w:bookmarkEnd w:id="129"/>
    </w:p>
    <w:p>
      <w:pPr>
        <w:keepNext w:val="0"/>
        <w:keepLines w:val="0"/>
        <w:pageBreakBefore w:val="0"/>
        <w:widowControl w:val="0"/>
        <w:numPr>
          <w:ilvl w:val="0"/>
          <w:numId w:val="0"/>
        </w:numPr>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建设周期：合同签订后2个月内，完成已明确的系统功能建设和定制开发后，业主方组织项目初验；初验通过后投入试运行，系统试运行三个月后，业主方组织项目终验。运营期间，及时配合各部门完成奖补项目定制开发需求、按照业主方要求完成运营分析等工作。</w:t>
      </w:r>
    </w:p>
    <w:p>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Cs/>
          <w:color w:val="auto"/>
          <w:sz w:val="22"/>
          <w:szCs w:val="22"/>
          <w:highlight w:val="none"/>
        </w:rPr>
      </w:pPr>
      <w:bookmarkStart w:id="130" w:name="_Toc525570701"/>
      <w:bookmarkStart w:id="131" w:name="_Toc18008815"/>
      <w:bookmarkStart w:id="132" w:name="_Toc520379517"/>
      <w:bookmarkStart w:id="133" w:name="_Toc112088927"/>
    </w:p>
    <w:p>
      <w:pPr>
        <w:keepNext w:val="0"/>
        <w:keepLines w:val="0"/>
        <w:pageBreakBefore w:val="0"/>
        <w:widowControl w:val="0"/>
        <w:kinsoku/>
        <w:wordWrap/>
        <w:overflowPunct/>
        <w:topLinePunct w:val="0"/>
        <w:bidi w:val="0"/>
        <w:snapToGrid w:val="0"/>
        <w:spacing w:line="440" w:lineRule="exact"/>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四、项目服务要求</w:t>
      </w:r>
      <w:bookmarkEnd w:id="130"/>
      <w:bookmarkEnd w:id="131"/>
      <w:bookmarkEnd w:id="132"/>
      <w:bookmarkEnd w:id="133"/>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验收在</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和中标人双方参加下进行，按照</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的建设要求，整理提供项目完备的文档资料，要求有关专家组成专家组进行验收。通过验收后，正式投入运行。</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bookmarkStart w:id="134" w:name="_Toc397335397"/>
      <w:r>
        <w:rPr>
          <w:rFonts w:hint="eastAsia" w:ascii="宋体" w:hAnsi="宋体" w:eastAsia="宋体" w:cs="宋体"/>
          <w:b w:val="0"/>
          <w:bCs/>
          <w:color w:val="auto"/>
          <w:sz w:val="22"/>
          <w:szCs w:val="22"/>
          <w:highlight w:val="none"/>
          <w:lang w:eastAsia="zh-CN"/>
        </w:rPr>
        <w:t>1.</w:t>
      </w:r>
      <w:r>
        <w:rPr>
          <w:rFonts w:hint="eastAsia" w:ascii="宋体" w:hAnsi="宋体" w:eastAsia="宋体" w:cs="宋体"/>
          <w:b w:val="0"/>
          <w:bCs/>
          <w:color w:val="auto"/>
          <w:sz w:val="22"/>
          <w:szCs w:val="22"/>
          <w:highlight w:val="none"/>
        </w:rPr>
        <w:t>项目实施要求</w:t>
      </w:r>
      <w:bookmarkEnd w:id="134"/>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（1）中标人应编制详细的实施方案，并提交</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认可。</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（2）实施过程应严格执行相关的规范，并保证安全。</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（3）质量管理要求</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供应商应承诺按ISO9001质量管理体系规范要求，针对本项目实施过程及交付结果进行质量规划、管理、控制，实施过程应严格执行相关的规范，并保证安全。</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2.</w:t>
      </w:r>
      <w:r>
        <w:rPr>
          <w:rFonts w:hint="eastAsia" w:ascii="宋体" w:hAnsi="宋体" w:eastAsia="宋体" w:cs="宋体"/>
          <w:b w:val="0"/>
          <w:bCs/>
          <w:color w:val="auto"/>
          <w:sz w:val="22"/>
          <w:szCs w:val="22"/>
          <w:highlight w:val="none"/>
        </w:rPr>
        <w:t>系统测试要求</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（1）要求具有完整的系统测试计划，包括根据用户需求编写的，遍及系统全部功能、性能的测试用例，合理的测试方案和测试方法。</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（2）系统的测试标准根据合同内容、系统业务需求文本、系统需求规格说明书等内容协商制定。</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（3）对软件的测试应贯穿于系统开发的始终，提供详细完整的测试计划、测试报告。</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3.</w:t>
      </w:r>
      <w:r>
        <w:rPr>
          <w:rFonts w:hint="eastAsia" w:ascii="宋体" w:hAnsi="宋体" w:eastAsia="宋体" w:cs="宋体"/>
          <w:b w:val="0"/>
          <w:bCs/>
          <w:color w:val="auto"/>
          <w:sz w:val="22"/>
          <w:szCs w:val="22"/>
          <w:highlight w:val="none"/>
        </w:rPr>
        <w:t>系统开发安全要求</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（1）供应商所设计开发系统的安全功能须满足国家法律要求、乙方所需要满足的安全监管要求及行业安全标准，相关要求包括不限于 《公安部等级保护要求》、 《中华人民共和国网络安全法》</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（2）代码测试要求：乙方应对系统的源代码进行系统上线前测试，应对源代码中可能存在的设计缺陷进行检查测试。</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4.</w:t>
      </w:r>
      <w:r>
        <w:rPr>
          <w:rFonts w:hint="eastAsia" w:ascii="宋体" w:hAnsi="宋体" w:eastAsia="宋体" w:cs="宋体"/>
          <w:b w:val="0"/>
          <w:bCs/>
          <w:color w:val="auto"/>
          <w:sz w:val="22"/>
          <w:szCs w:val="22"/>
          <w:highlight w:val="none"/>
        </w:rPr>
        <w:t>系统验收</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系统在达到了全部规定要求，正式成功稳定试运行3个月以上，</w:t>
      </w:r>
      <w:r>
        <w:rPr>
          <w:rFonts w:hint="eastAsia" w:ascii="宋体" w:hAnsi="宋体" w:eastAsia="宋体" w:cs="宋体"/>
          <w:b w:val="0"/>
          <w:bCs/>
          <w:color w:val="auto"/>
          <w:sz w:val="22"/>
          <w:szCs w:val="22"/>
          <w:highlight w:val="none"/>
          <w:lang w:val="en-US" w:eastAsia="zh-CN"/>
        </w:rPr>
        <w:t>并通过等保测试，</w:t>
      </w:r>
      <w:r>
        <w:rPr>
          <w:rFonts w:hint="eastAsia" w:ascii="宋体" w:hAnsi="宋体" w:eastAsia="宋体" w:cs="宋体"/>
          <w:b w:val="0"/>
          <w:bCs/>
          <w:color w:val="auto"/>
          <w:sz w:val="22"/>
          <w:szCs w:val="22"/>
          <w:highlight w:val="none"/>
        </w:rPr>
        <w:t>供应商在提交全部相关文档、报告等交付物的前提下，可以向</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提出系统验收的申请。用户组织验收小组按照验收标准进行验收。验收应在</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和中标人双方参加下进行，按照相关技术需求及</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的建设要求，整理提供项目完备的文档资料，邀请有关专家现场测试和验收。系统验收合格后，正式投入运行，并进入质量保证期。</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5.</w:t>
      </w:r>
      <w:r>
        <w:rPr>
          <w:rFonts w:hint="eastAsia" w:ascii="宋体" w:hAnsi="宋体" w:eastAsia="宋体" w:cs="宋体"/>
          <w:color w:val="auto"/>
          <w:sz w:val="22"/>
          <w:szCs w:val="22"/>
          <w:highlight w:val="none"/>
        </w:rPr>
        <w:t>质量维护期、服务期</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color w:val="auto"/>
          <w:sz w:val="22"/>
          <w:szCs w:val="22"/>
          <w:highlight w:val="none"/>
          <w:u w:val="single"/>
          <w:lang w:bidi="ar"/>
        </w:rPr>
      </w:pPr>
      <w:r>
        <w:rPr>
          <w:rFonts w:hint="eastAsia" w:ascii="宋体" w:hAnsi="宋体" w:eastAsia="宋体" w:cs="宋体"/>
          <w:b w:val="0"/>
          <w:color w:val="auto"/>
          <w:sz w:val="22"/>
          <w:szCs w:val="22"/>
          <w:highlight w:val="none"/>
          <w:u w:val="single"/>
          <w:lang w:bidi="ar"/>
        </w:rPr>
        <w:t>▲</w:t>
      </w:r>
      <w:r>
        <w:rPr>
          <w:rFonts w:hint="eastAsia" w:ascii="宋体" w:hAnsi="宋体" w:eastAsia="宋体" w:cs="宋体"/>
          <w:b w:val="0"/>
          <w:color w:val="auto"/>
          <w:sz w:val="22"/>
          <w:szCs w:val="22"/>
          <w:highlight w:val="none"/>
          <w:u w:val="single"/>
        </w:rPr>
        <w:t>（1）</w:t>
      </w:r>
      <w:r>
        <w:rPr>
          <w:rFonts w:hint="eastAsia" w:ascii="宋体" w:hAnsi="宋体" w:eastAsia="宋体" w:cs="宋体"/>
          <w:b w:val="0"/>
          <w:color w:val="auto"/>
          <w:sz w:val="22"/>
          <w:szCs w:val="22"/>
          <w:highlight w:val="none"/>
          <w:u w:val="single"/>
          <w:lang w:bidi="ar"/>
        </w:rPr>
        <w:t>项目建设终验合格后，提供3年免费质保服务；运营服务的服务期一年。</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质量免费维护期间，供应商对</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提出的在合同范围内具体需求进行调研、调整和完善，并提供免费升级、维护、质保等服务。</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 在系统开始实施和免修期间，供应商应为本项目成立专门的维护服务和技术支持小组，提供现场免费维护和技术支持，包括以下服务内容：</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运行过程中发现的技术缺陷必须第一时间修改；提供7×24小时响应服务；半小时内做出明确响应和安排，4小时内做出故障诊断报告。如需现场服务的，具有解决故障能力的工程师应在1小时内到达现场；在节假日，提供7×24小时不间断值班服务。</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bookmarkStart w:id="135" w:name="_Toc397335400"/>
      <w:r>
        <w:rPr>
          <w:rFonts w:hint="eastAsia" w:ascii="宋体" w:hAnsi="宋体" w:eastAsia="宋体" w:cs="宋体"/>
          <w:b w:val="0"/>
          <w:bCs/>
          <w:color w:val="auto"/>
          <w:sz w:val="22"/>
          <w:szCs w:val="22"/>
          <w:highlight w:val="none"/>
          <w:lang w:eastAsia="zh-CN"/>
        </w:rPr>
        <w:t>6.</w:t>
      </w:r>
      <w:r>
        <w:rPr>
          <w:rFonts w:hint="eastAsia" w:ascii="宋体" w:hAnsi="宋体" w:eastAsia="宋体" w:cs="宋体"/>
          <w:b w:val="0"/>
          <w:bCs/>
          <w:color w:val="auto"/>
          <w:sz w:val="22"/>
          <w:szCs w:val="22"/>
          <w:highlight w:val="none"/>
        </w:rPr>
        <w:t>文档要求</w:t>
      </w:r>
      <w:bookmarkEnd w:id="135"/>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按本项目要求，供应商应无条件配合提供所有相关项目文档：系统的体系架构及描述；提供的其它技术手册，包括：《测试报告》、《试运行报告》、《操作手册》、《系统功能说明书》等。</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7.</w:t>
      </w:r>
      <w:r>
        <w:rPr>
          <w:rFonts w:hint="eastAsia" w:ascii="宋体" w:hAnsi="宋体" w:eastAsia="宋体" w:cs="宋体"/>
          <w:b w:val="0"/>
          <w:bCs/>
          <w:color w:val="auto"/>
          <w:sz w:val="22"/>
          <w:szCs w:val="22"/>
          <w:highlight w:val="none"/>
        </w:rPr>
        <w:t xml:space="preserve"> 培训要求</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系统试运行前为系统使用人员提供现场培训，培训次数不少于1次，培训前需提供用户操作手册等培训资料；</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培训方式为现场培训，通过现场操作对实际使用人员培训，使他们对产品的设计理念有充分的认识，做到思想上统一，并熟练掌握操作。</w:t>
      </w:r>
    </w:p>
    <w:p>
      <w:pPr>
        <w:keepNext w:val="0"/>
        <w:keepLines w:val="0"/>
        <w:pageBreakBefore w:val="0"/>
        <w:widowControl w:val="0"/>
        <w:tabs>
          <w:tab w:val="left" w:pos="360"/>
        </w:tabs>
        <w:kinsoku/>
        <w:wordWrap/>
        <w:overflowPunct/>
        <w:topLinePunct w:val="0"/>
        <w:bidi w:val="0"/>
        <w:spacing w:line="440" w:lineRule="exact"/>
        <w:ind w:firstLine="550" w:firstLineChars="250"/>
        <w:textAlignment w:val="auto"/>
        <w:rPr>
          <w:rFonts w:hint="eastAsia" w:ascii="宋体" w:hAnsi="宋体" w:eastAsia="宋体" w:cs="宋体"/>
          <w:b w:val="0"/>
          <w:bCs/>
          <w:color w:val="auto"/>
          <w:sz w:val="22"/>
          <w:szCs w:val="22"/>
          <w:highlight w:val="none"/>
        </w:rPr>
      </w:pPr>
      <w:bookmarkStart w:id="136" w:name="_Toc156723311"/>
      <w:bookmarkStart w:id="137" w:name="_Toc421215527"/>
      <w:r>
        <w:rPr>
          <w:rFonts w:hint="eastAsia" w:ascii="宋体" w:hAnsi="宋体" w:eastAsia="宋体" w:cs="宋体"/>
          <w:b w:val="0"/>
          <w:bCs/>
          <w:color w:val="auto"/>
          <w:sz w:val="22"/>
          <w:szCs w:val="22"/>
          <w:highlight w:val="none"/>
          <w:lang w:eastAsia="zh-CN"/>
        </w:rPr>
        <w:t>8.</w:t>
      </w:r>
      <w:r>
        <w:rPr>
          <w:rFonts w:hint="eastAsia" w:ascii="宋体" w:hAnsi="宋体" w:eastAsia="宋体" w:cs="宋体"/>
          <w:b w:val="0"/>
          <w:bCs/>
          <w:color w:val="auto"/>
          <w:sz w:val="22"/>
          <w:szCs w:val="22"/>
          <w:highlight w:val="none"/>
        </w:rPr>
        <w:t>保密</w:t>
      </w:r>
      <w:bookmarkEnd w:id="136"/>
      <w:r>
        <w:rPr>
          <w:rFonts w:hint="eastAsia" w:ascii="宋体" w:hAnsi="宋体" w:eastAsia="宋体" w:cs="宋体"/>
          <w:b w:val="0"/>
          <w:bCs/>
          <w:color w:val="auto"/>
          <w:sz w:val="22"/>
          <w:szCs w:val="22"/>
          <w:highlight w:val="none"/>
        </w:rPr>
        <w:t>要求</w:t>
      </w:r>
      <w:bookmarkEnd w:id="137"/>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（1）在项目开发过程和系统运行过程中，供应商对所获得的、有关</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或属于</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的秘密信息，未经</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同意，不得泄露给任何第三方。</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（2）任何一方为本项目需要，向任何人透露有关资料或信息且认为是其秘密信息，应事先予以注明。</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（3）上述秘密信息，供应商只能将该信息用于服务于本项目，而且只能由相应的工程技术人员使用。</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（4）供应商应遵循</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各项安全保密制度和规章，所有信息数据在迁移、处理等过程中严禁私自复制、传输，完成建设任务后，档案信息数据必须物理清除。</w:t>
      </w:r>
    </w:p>
    <w:p>
      <w:pPr>
        <w:keepNext w:val="0"/>
        <w:keepLines w:val="0"/>
        <w:pageBreakBefore w:val="0"/>
        <w:widowControl w:val="0"/>
        <w:kinsoku/>
        <w:wordWrap/>
        <w:overflowPunct/>
        <w:topLinePunct w:val="0"/>
        <w:bidi w:val="0"/>
        <w:snapToGrid w:val="0"/>
        <w:spacing w:line="440" w:lineRule="exact"/>
        <w:ind w:firstLine="440" w:firstLineChars="200"/>
        <w:textAlignment w:val="auto"/>
        <w:outlineLvl w:val="1"/>
        <w:rPr>
          <w:rFonts w:hint="eastAsia" w:ascii="宋体" w:hAnsi="宋体" w:eastAsia="宋体" w:cs="宋体"/>
          <w:bCs/>
          <w:color w:val="auto"/>
          <w:sz w:val="22"/>
          <w:szCs w:val="22"/>
          <w:highlight w:val="none"/>
        </w:rPr>
      </w:pPr>
      <w:bookmarkStart w:id="138" w:name="_Toc112088928"/>
      <w:r>
        <w:rPr>
          <w:rFonts w:hint="eastAsia" w:ascii="宋体" w:hAnsi="宋体" w:eastAsia="宋体" w:cs="宋体"/>
          <w:bCs/>
          <w:color w:val="auto"/>
          <w:sz w:val="22"/>
          <w:szCs w:val="22"/>
          <w:highlight w:val="none"/>
        </w:rPr>
        <w:t>五、其他要求</w:t>
      </w:r>
      <w:bookmarkEnd w:id="138"/>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1.</w:t>
      </w:r>
      <w:r>
        <w:rPr>
          <w:rFonts w:hint="eastAsia" w:ascii="宋体" w:hAnsi="宋体" w:eastAsia="宋体" w:cs="宋体"/>
          <w:b w:val="0"/>
          <w:bCs/>
          <w:color w:val="auto"/>
          <w:sz w:val="22"/>
          <w:szCs w:val="22"/>
          <w:highlight w:val="none"/>
        </w:rPr>
        <w:t>供应商所投系统软件的技术性能、功能、免费维护期等应在投标文件中明确，对招标文件的技术条款及要求应予以实质性响应，如有偏离应在偏离表中注明。</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2.</w:t>
      </w:r>
      <w:r>
        <w:rPr>
          <w:rFonts w:hint="eastAsia" w:ascii="宋体" w:hAnsi="宋体" w:eastAsia="宋体" w:cs="宋体"/>
          <w:b w:val="0"/>
          <w:bCs/>
          <w:color w:val="auto"/>
          <w:sz w:val="22"/>
          <w:szCs w:val="22"/>
          <w:highlight w:val="none"/>
        </w:rPr>
        <w:t>本项目建设过程中，供应商应充分考虑所提供解决方案的可行性和合理性，并保证项目落地实施，供应商负责承担实现功能所需的全部费用。</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3.</w:t>
      </w:r>
      <w:r>
        <w:rPr>
          <w:rFonts w:hint="eastAsia" w:ascii="宋体" w:hAnsi="宋体" w:eastAsia="宋体" w:cs="宋体"/>
          <w:b w:val="0"/>
          <w:bCs/>
          <w:color w:val="auto"/>
          <w:sz w:val="22"/>
          <w:szCs w:val="22"/>
          <w:highlight w:val="none"/>
        </w:rPr>
        <w:t>供应商应本着认真负责的态度做好投标的整体技术方案并提出开发、维护、服务以及今后技术支持的措施计划和承诺。</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4.</w:t>
      </w:r>
      <w:r>
        <w:rPr>
          <w:rFonts w:hint="eastAsia" w:ascii="宋体" w:hAnsi="宋体" w:eastAsia="宋体" w:cs="宋体"/>
          <w:b w:val="0"/>
          <w:bCs/>
          <w:color w:val="auto"/>
          <w:sz w:val="22"/>
          <w:szCs w:val="22"/>
          <w:highlight w:val="none"/>
        </w:rPr>
        <w:t>供应商在中标通知书发出之日起5个工作日内和</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进行功能需求、技术规格和项目进度的确认并签订合同事项。</w:t>
      </w:r>
    </w:p>
    <w:p>
      <w:pPr>
        <w:keepNext w:val="0"/>
        <w:keepLines w:val="0"/>
        <w:pageBreakBefore w:val="0"/>
        <w:widowControl w:val="0"/>
        <w:tabs>
          <w:tab w:val="left" w:pos="360"/>
        </w:tabs>
        <w:kinsoku/>
        <w:wordWrap/>
        <w:overflowPunct/>
        <w:topLinePunct w:val="0"/>
        <w:bidi w:val="0"/>
        <w:spacing w:line="440" w:lineRule="exact"/>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5.</w:t>
      </w:r>
      <w:r>
        <w:rPr>
          <w:rFonts w:hint="eastAsia" w:ascii="宋体" w:hAnsi="宋体" w:eastAsia="宋体" w:cs="宋体"/>
          <w:b w:val="0"/>
          <w:bCs/>
          <w:color w:val="auto"/>
          <w:sz w:val="22"/>
          <w:szCs w:val="22"/>
          <w:highlight w:val="none"/>
        </w:rPr>
        <w:t>供应商应允许</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的工作人员参与系统的安装、测试、诊断及解决问题等各项工作。</w:t>
      </w:r>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color w:val="auto"/>
          <w:sz w:val="22"/>
          <w:szCs w:val="22"/>
          <w:highlight w:val="none"/>
          <w:lang w:eastAsia="zh-CN"/>
        </w:rPr>
        <w:t>6.</w:t>
      </w:r>
      <w:r>
        <w:rPr>
          <w:rFonts w:hint="eastAsia" w:ascii="宋体" w:hAnsi="宋体" w:eastAsia="宋体" w:cs="宋体"/>
          <w:b w:val="0"/>
          <w:bCs/>
          <w:color w:val="auto"/>
          <w:sz w:val="22"/>
          <w:szCs w:val="22"/>
          <w:highlight w:val="none"/>
        </w:rPr>
        <w:t>在项目开发过程和系统运行过程中，供应商对所获得的、有关</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或属于</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的被认为是秘密的信息，未经</w:t>
      </w:r>
      <w:r>
        <w:rPr>
          <w:rFonts w:hint="eastAsia" w:ascii="宋体" w:hAnsi="宋体" w:cs="宋体"/>
          <w:b w:val="0"/>
          <w:bCs/>
          <w:color w:val="auto"/>
          <w:sz w:val="22"/>
          <w:szCs w:val="22"/>
          <w:highlight w:val="none"/>
          <w:lang w:eastAsia="zh-CN"/>
        </w:rPr>
        <w:t>采购人</w:t>
      </w:r>
      <w:r>
        <w:rPr>
          <w:rFonts w:hint="eastAsia" w:ascii="宋体" w:hAnsi="宋体" w:eastAsia="宋体" w:cs="宋体"/>
          <w:b w:val="0"/>
          <w:bCs/>
          <w:color w:val="auto"/>
          <w:sz w:val="22"/>
          <w:szCs w:val="22"/>
          <w:highlight w:val="none"/>
        </w:rPr>
        <w:t>同意，不得泄露给任何第三方</w:t>
      </w:r>
      <w:r>
        <w:rPr>
          <w:rFonts w:hint="eastAsia" w:ascii="宋体" w:hAnsi="宋体" w:eastAsia="宋体" w:cs="宋体"/>
          <w:b w:val="0"/>
          <w:bCs w:val="0"/>
          <w:color w:val="auto"/>
          <w:kern w:val="2"/>
          <w:sz w:val="22"/>
          <w:szCs w:val="22"/>
          <w:highlight w:val="none"/>
          <w:u w:val="none"/>
          <w:lang w:val="en-US" w:eastAsia="zh-CN" w:bidi="ar-SA"/>
        </w:rPr>
        <w:t>。</w:t>
      </w:r>
    </w:p>
    <w:p>
      <w:pPr>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kern w:val="2"/>
          <w:sz w:val="22"/>
          <w:szCs w:val="22"/>
          <w:highlight w:val="none"/>
          <w:u w:val="none"/>
          <w:lang w:val="en-US" w:eastAsia="zh-CN" w:bidi="ar-SA"/>
        </w:rPr>
      </w:pPr>
    </w:p>
    <w:p>
      <w:pPr>
        <w:bidi w:val="0"/>
        <w:rPr>
          <w:rFonts w:hint="eastAsia" w:ascii="宋体" w:hAnsi="宋体" w:eastAsia="宋体" w:cs="宋体"/>
          <w:color w:val="auto"/>
          <w:sz w:val="36"/>
          <w:szCs w:val="36"/>
          <w:highlight w:val="none"/>
        </w:rPr>
      </w:pPr>
    </w:p>
    <w:p>
      <w:pPr>
        <w:bidi w:val="0"/>
        <w:rPr>
          <w:rFonts w:hint="eastAsia" w:ascii="宋体" w:hAnsi="宋体" w:eastAsia="宋体" w:cs="宋体"/>
          <w:color w:val="auto"/>
          <w:sz w:val="36"/>
          <w:szCs w:val="36"/>
          <w:highlight w:val="none"/>
        </w:rPr>
      </w:pPr>
    </w:p>
    <w:p>
      <w:pPr>
        <w:bidi w:val="0"/>
        <w:jc w:val="center"/>
        <w:rPr>
          <w:rFonts w:hint="eastAsia" w:ascii="宋体" w:hAnsi="宋体" w:eastAsia="宋体" w:cs="宋体"/>
          <w:color w:val="auto"/>
          <w:sz w:val="36"/>
          <w:szCs w:val="36"/>
          <w:highlight w:val="none"/>
        </w:rPr>
      </w:pPr>
      <w:bookmarkStart w:id="139" w:name="_Toc58406694"/>
    </w:p>
    <w:p>
      <w:pPr>
        <w:bidi w:val="0"/>
        <w:jc w:val="center"/>
        <w:rPr>
          <w:rFonts w:hint="eastAsia" w:ascii="宋体" w:hAnsi="宋体" w:eastAsia="宋体" w:cs="宋体"/>
          <w:color w:val="auto"/>
          <w:sz w:val="36"/>
          <w:szCs w:val="36"/>
          <w:highlight w:val="none"/>
        </w:rPr>
      </w:pPr>
    </w:p>
    <w:p>
      <w:pPr>
        <w:bidi w:val="0"/>
        <w:jc w:val="cente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br w:type="page"/>
      </w:r>
      <w:r>
        <w:rPr>
          <w:rFonts w:hint="eastAsia" w:ascii="宋体" w:hAnsi="宋体" w:eastAsia="宋体" w:cs="宋体"/>
          <w:b/>
          <w:bCs/>
          <w:color w:val="auto"/>
          <w:kern w:val="2"/>
          <w:sz w:val="36"/>
          <w:szCs w:val="36"/>
          <w:highlight w:val="none"/>
          <w:lang w:val="en-US" w:eastAsia="zh-CN" w:bidi="ar-SA"/>
        </w:rPr>
        <w:t>第六部分</w:t>
      </w:r>
      <w:bookmarkEnd w:id="122"/>
      <w:bookmarkEnd w:id="123"/>
      <w:bookmarkEnd w:id="124"/>
      <w:bookmarkEnd w:id="125"/>
      <w:bookmarkEnd w:id="126"/>
      <w:r>
        <w:rPr>
          <w:rFonts w:hint="eastAsia" w:ascii="宋体" w:hAnsi="宋体" w:eastAsia="宋体" w:cs="宋体"/>
          <w:b/>
          <w:bCs/>
          <w:color w:val="auto"/>
          <w:kern w:val="2"/>
          <w:sz w:val="36"/>
          <w:szCs w:val="36"/>
          <w:highlight w:val="none"/>
          <w:lang w:val="en-US" w:eastAsia="zh-CN" w:bidi="ar-SA"/>
        </w:rPr>
        <w:t xml:space="preserve">   评标原则及方法</w:t>
      </w:r>
      <w:bookmarkEnd w:id="127"/>
      <w:bookmarkEnd w:id="139"/>
    </w:p>
    <w:p>
      <w:pPr>
        <w:pStyle w:val="22"/>
        <w:overflowPunct w:val="0"/>
        <w:spacing w:after="0" w:line="440" w:lineRule="exact"/>
        <w:rPr>
          <w:rFonts w:hint="eastAsia" w:ascii="宋体" w:hAnsi="宋体" w:cs="宋体"/>
          <w:b/>
          <w:color w:val="auto"/>
          <w:highlight w:val="none"/>
        </w:rPr>
      </w:pPr>
      <w:bookmarkStart w:id="140" w:name="_Toc221356961"/>
      <w:bookmarkStart w:id="141" w:name="_Toc221356898"/>
      <w:r>
        <w:rPr>
          <w:rFonts w:hint="eastAsia" w:ascii="宋体" w:hAnsi="宋体" w:cs="宋体"/>
          <w:b/>
          <w:color w:val="auto"/>
          <w:highlight w:val="none"/>
        </w:rPr>
        <w:t>一</w:t>
      </w:r>
      <w:r>
        <w:rPr>
          <w:rFonts w:hint="eastAsia" w:ascii="宋体" w:hAnsi="宋体" w:cs="宋体"/>
          <w:b/>
          <w:color w:val="auto"/>
          <w:highlight w:val="none"/>
          <w:lang w:eastAsia="zh-CN"/>
        </w:rPr>
        <w:t>、</w:t>
      </w:r>
      <w:r>
        <w:rPr>
          <w:rFonts w:hint="eastAsia" w:ascii="宋体" w:hAnsi="宋体" w:cs="宋体"/>
          <w:b/>
          <w:color w:val="auto"/>
          <w:highlight w:val="none"/>
        </w:rPr>
        <w:t>总  则</w:t>
      </w:r>
      <w:bookmarkEnd w:id="140"/>
      <w:bookmarkEnd w:id="141"/>
    </w:p>
    <w:p>
      <w:pPr>
        <w:overflowPunct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pStyle w:val="22"/>
        <w:overflowPunct w:val="0"/>
        <w:spacing w:after="0" w:line="440" w:lineRule="exact"/>
        <w:rPr>
          <w:rFonts w:hint="eastAsia" w:ascii="宋体" w:hAnsi="宋体" w:cs="宋体"/>
          <w:b/>
          <w:color w:val="auto"/>
          <w:highlight w:val="none"/>
        </w:rPr>
      </w:pPr>
      <w:bookmarkStart w:id="142" w:name="_Toc221356962"/>
      <w:bookmarkStart w:id="143" w:name="_Toc221356899"/>
      <w:r>
        <w:rPr>
          <w:rFonts w:hint="eastAsia" w:ascii="宋体" w:hAnsi="宋体" w:cs="宋体"/>
          <w:b/>
          <w:color w:val="auto"/>
          <w:highlight w:val="none"/>
        </w:rPr>
        <w:t>二、评标组织</w:t>
      </w:r>
      <w:bookmarkEnd w:id="142"/>
      <w:bookmarkEnd w:id="143"/>
    </w:p>
    <w:p>
      <w:pPr>
        <w:overflowPunct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评标工作由采购人依法组建的评标委员会负责，评标全过程由有关部门指导监督。</w:t>
      </w:r>
    </w:p>
    <w:p>
      <w:pPr>
        <w:autoSpaceDE w:val="0"/>
        <w:autoSpaceDN w:val="0"/>
        <w:adjustRightInd w:val="0"/>
        <w:spacing w:line="440" w:lineRule="exact"/>
        <w:rPr>
          <w:rFonts w:hint="eastAsia"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三、评标程序</w:t>
      </w:r>
    </w:p>
    <w:p>
      <w:pPr>
        <w:overflowPunct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pPr>
        <w:pStyle w:val="22"/>
        <w:adjustRightInd w:val="0"/>
        <w:snapToGrid w:val="0"/>
        <w:spacing w:after="0"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四、 评标办法</w:t>
      </w:r>
    </w:p>
    <w:p>
      <w:pPr>
        <w:pStyle w:val="23"/>
        <w:numPr>
          <w:ilvl w:val="0"/>
          <w:numId w:val="29"/>
        </w:numPr>
        <w:adjustRightInd/>
        <w:spacing w:line="440" w:lineRule="exact"/>
        <w:jc w:val="both"/>
        <w:rPr>
          <w:rFonts w:hint="eastAsia" w:cs="宋体"/>
          <w:b/>
          <w:color w:val="auto"/>
          <w:sz w:val="22"/>
          <w:szCs w:val="22"/>
          <w:highlight w:val="none"/>
          <w:u w:val="single"/>
        </w:rPr>
      </w:pPr>
      <w:r>
        <w:rPr>
          <w:rFonts w:hint="eastAsia" w:cs="宋体"/>
          <w:b/>
          <w:color w:val="auto"/>
          <w:sz w:val="22"/>
          <w:highlight w:val="none"/>
        </w:rPr>
        <w:t>本项目评标办法采取百分制综合评分法</w:t>
      </w:r>
      <w:r>
        <w:rPr>
          <w:rFonts w:hint="eastAsia" w:cs="宋体"/>
          <w:color w:val="auto"/>
          <w:sz w:val="22"/>
          <w:highlight w:val="none"/>
        </w:rPr>
        <w:t>，</w:t>
      </w:r>
      <w:r>
        <w:rPr>
          <w:rFonts w:hint="eastAsia" w:cs="宋体"/>
          <w:b/>
          <w:color w:val="auto"/>
          <w:sz w:val="22"/>
          <w:highlight w:val="none"/>
        </w:rPr>
        <w:t>其中</w:t>
      </w:r>
      <w:r>
        <w:rPr>
          <w:rFonts w:hint="eastAsia" w:cs="宋体"/>
          <w:b/>
          <w:bCs/>
          <w:color w:val="auto"/>
          <w:sz w:val="22"/>
          <w:highlight w:val="none"/>
        </w:rPr>
        <w:t>商务技术</w:t>
      </w:r>
      <w:r>
        <w:rPr>
          <w:rFonts w:hint="eastAsia" w:cs="宋体"/>
          <w:b/>
          <w:color w:val="auto"/>
          <w:sz w:val="22"/>
          <w:highlight w:val="none"/>
          <w:lang w:val="en-US" w:eastAsia="zh-CN"/>
        </w:rPr>
        <w:t>90</w:t>
      </w:r>
      <w:r>
        <w:rPr>
          <w:rFonts w:hint="eastAsia" w:cs="宋体"/>
          <w:b/>
          <w:color w:val="auto"/>
          <w:sz w:val="22"/>
          <w:highlight w:val="none"/>
        </w:rPr>
        <w:t>分（技术权值为</w:t>
      </w:r>
      <w:r>
        <w:rPr>
          <w:rFonts w:hint="eastAsia" w:cs="宋体"/>
          <w:b/>
          <w:color w:val="auto"/>
          <w:sz w:val="22"/>
          <w:highlight w:val="none"/>
          <w:lang w:val="en-US" w:eastAsia="zh-CN"/>
        </w:rPr>
        <w:t>90</w:t>
      </w:r>
      <w:r>
        <w:rPr>
          <w:rFonts w:hint="eastAsia" w:cs="宋体"/>
          <w:b/>
          <w:color w:val="auto"/>
          <w:sz w:val="22"/>
          <w:highlight w:val="none"/>
        </w:rPr>
        <w:t>%），投标报价</w:t>
      </w:r>
      <w:r>
        <w:rPr>
          <w:rFonts w:hint="eastAsia" w:cs="宋体"/>
          <w:b/>
          <w:color w:val="auto"/>
          <w:sz w:val="22"/>
          <w:highlight w:val="none"/>
          <w:lang w:val="en-US" w:eastAsia="zh-CN"/>
        </w:rPr>
        <w:t>10</w:t>
      </w:r>
      <w:r>
        <w:rPr>
          <w:rFonts w:hint="eastAsia" w:cs="宋体"/>
          <w:b/>
          <w:color w:val="auto"/>
          <w:sz w:val="22"/>
          <w:highlight w:val="none"/>
        </w:rPr>
        <w:t>分（价格权值为</w:t>
      </w:r>
      <w:r>
        <w:rPr>
          <w:rFonts w:hint="eastAsia" w:cs="宋体"/>
          <w:b/>
          <w:color w:val="auto"/>
          <w:sz w:val="22"/>
          <w:highlight w:val="none"/>
          <w:lang w:val="en-US" w:eastAsia="zh-CN"/>
        </w:rPr>
        <w:t>10</w:t>
      </w:r>
      <w:r>
        <w:rPr>
          <w:rFonts w:hint="eastAsia" w:cs="宋体"/>
          <w:b/>
          <w:color w:val="auto"/>
          <w:sz w:val="22"/>
          <w:highlight w:val="none"/>
        </w:rPr>
        <w:t>%）。</w:t>
      </w:r>
      <w:r>
        <w:rPr>
          <w:rFonts w:hint="eastAsia" w:cs="宋体"/>
          <w:color w:val="auto"/>
          <w:sz w:val="22"/>
          <w:szCs w:val="22"/>
          <w:highlight w:val="none"/>
        </w:rPr>
        <w:t>即最大限度地满足采购文件实质性要求前提下，按照采购文件中规定的各项评分内容进行综合评审。以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highlight w:val="none"/>
        </w:rPr>
        <w:t>评标过程中遇到特殊情况，由评标委员会遵循公平、公正原则，采取记名投票方式按照少数服从多数原则决定。</w:t>
      </w:r>
    </w:p>
    <w:p>
      <w:pPr>
        <w:pStyle w:val="22"/>
        <w:spacing w:after="0"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五、评分细则</w:t>
      </w:r>
    </w:p>
    <w:p>
      <w:pPr>
        <w:numPr>
          <w:ilvl w:val="0"/>
          <w:numId w:val="30"/>
        </w:numPr>
        <w:spacing w:line="440" w:lineRule="exact"/>
        <w:ind w:firstLine="0"/>
        <w:rPr>
          <w:rFonts w:hint="eastAsia" w:ascii="宋体" w:hAnsi="宋体" w:cs="宋体"/>
          <w:b/>
          <w:color w:val="auto"/>
          <w:sz w:val="22"/>
          <w:szCs w:val="22"/>
          <w:highlight w:val="none"/>
        </w:rPr>
      </w:pPr>
      <w:r>
        <w:rPr>
          <w:rFonts w:hint="eastAsia" w:ascii="宋体" w:hAnsi="宋体" w:cs="宋体"/>
          <w:b/>
          <w:color w:val="auto"/>
          <w:sz w:val="22"/>
          <w:szCs w:val="22"/>
          <w:highlight w:val="none"/>
        </w:rPr>
        <w:t>商务技术文件的评定（</w:t>
      </w:r>
      <w:r>
        <w:rPr>
          <w:rFonts w:hint="eastAsia" w:ascii="宋体" w:hAnsi="宋体" w:cs="宋体"/>
          <w:b/>
          <w:color w:val="auto"/>
          <w:sz w:val="22"/>
          <w:szCs w:val="22"/>
          <w:highlight w:val="none"/>
          <w:lang w:val="en-US" w:eastAsia="zh-CN"/>
        </w:rPr>
        <w:t>90</w:t>
      </w:r>
      <w:r>
        <w:rPr>
          <w:rFonts w:hint="eastAsia" w:ascii="宋体" w:hAnsi="宋体" w:cs="宋体"/>
          <w:b/>
          <w:color w:val="auto"/>
          <w:sz w:val="22"/>
          <w:szCs w:val="22"/>
          <w:highlight w:val="none"/>
        </w:rPr>
        <w:t>分）</w:t>
      </w:r>
    </w:p>
    <w:p>
      <w:pPr>
        <w:spacing w:line="440" w:lineRule="exact"/>
        <w:ind w:firstLine="330" w:firstLineChars="150"/>
        <w:rPr>
          <w:rFonts w:hint="eastAsia"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w:t>
      </w:r>
      <w:r>
        <w:rPr>
          <w:rFonts w:hint="eastAsia" w:ascii="宋体" w:hAnsi="宋体" w:cs="宋体"/>
          <w:b/>
          <w:color w:val="auto"/>
          <w:sz w:val="22"/>
          <w:szCs w:val="22"/>
          <w:highlight w:val="none"/>
        </w:rPr>
        <w:t>如任何一张表的一项评分内容分值超过规定的范围，则该张表无效。</w:t>
      </w:r>
      <w:r>
        <w:rPr>
          <w:rFonts w:hint="eastAsia" w:ascii="宋体" w:hAnsi="宋体" w:cs="宋体"/>
          <w:color w:val="auto"/>
          <w:sz w:val="22"/>
          <w:szCs w:val="22"/>
          <w:highlight w:val="none"/>
        </w:rPr>
        <w:t>评标委员会成员对各投标人的各项评分内容评分合计值的算术平均值为该投标人商务技术文件的最终得分（四舍五入，保留小数点后二位）。</w:t>
      </w:r>
    </w:p>
    <w:tbl>
      <w:tblPr>
        <w:tblStyle w:val="57"/>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384"/>
        <w:gridCol w:w="1220"/>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35" w:type="pct"/>
            <w:noWrap w:val="0"/>
            <w:vAlign w:val="center"/>
          </w:tcPr>
          <w:p>
            <w:pPr>
              <w:widowControl/>
              <w:spacing w:line="240" w:lineRule="auto"/>
              <w:jc w:val="center"/>
              <w:textAlignment w:val="center"/>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bidi="ar"/>
              </w:rPr>
              <w:t>序号</w:t>
            </w:r>
          </w:p>
        </w:tc>
        <w:tc>
          <w:tcPr>
            <w:tcW w:w="705" w:type="pct"/>
            <w:noWrap w:val="0"/>
            <w:vAlign w:val="center"/>
          </w:tcPr>
          <w:p>
            <w:pPr>
              <w:widowControl/>
              <w:spacing w:line="240" w:lineRule="auto"/>
              <w:jc w:val="center"/>
              <w:textAlignment w:val="center"/>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bidi="ar"/>
              </w:rPr>
              <w:t>评分内容</w:t>
            </w:r>
          </w:p>
        </w:tc>
        <w:tc>
          <w:tcPr>
            <w:tcW w:w="621" w:type="pct"/>
            <w:noWrap w:val="0"/>
            <w:vAlign w:val="center"/>
          </w:tcPr>
          <w:p>
            <w:pPr>
              <w:widowControl/>
              <w:spacing w:line="240" w:lineRule="auto"/>
              <w:jc w:val="center"/>
              <w:textAlignment w:val="center"/>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bidi="ar"/>
              </w:rPr>
              <w:t>分值</w:t>
            </w:r>
          </w:p>
        </w:tc>
        <w:tc>
          <w:tcPr>
            <w:tcW w:w="3337" w:type="pct"/>
            <w:noWrap w:val="0"/>
            <w:vAlign w:val="center"/>
          </w:tcPr>
          <w:p>
            <w:pPr>
              <w:widowControl/>
              <w:spacing w:line="240" w:lineRule="auto"/>
              <w:jc w:val="center"/>
              <w:textAlignment w:val="center"/>
              <w:rPr>
                <w:rFonts w:hint="eastAsia" w:ascii="新宋体" w:hAnsi="新宋体" w:eastAsia="新宋体" w:cs="新宋体"/>
                <w:b/>
                <w:bCs/>
                <w:color w:val="auto"/>
                <w:sz w:val="21"/>
                <w:szCs w:val="21"/>
                <w:highlight w:val="none"/>
              </w:rPr>
            </w:pPr>
            <w:r>
              <w:rPr>
                <w:rFonts w:hint="eastAsia" w:ascii="新宋体" w:hAnsi="新宋体" w:eastAsia="新宋体" w:cs="新宋体"/>
                <w:b/>
                <w:bCs/>
                <w:color w:val="auto"/>
                <w:sz w:val="21"/>
                <w:szCs w:val="21"/>
                <w:highlight w:val="none"/>
                <w:lang w:bidi="ar"/>
              </w:rPr>
              <w:t>细则说明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5" w:type="pct"/>
            <w:vMerge w:val="restar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1</w:t>
            </w:r>
          </w:p>
        </w:tc>
        <w:tc>
          <w:tcPr>
            <w:tcW w:w="705" w:type="pct"/>
            <w:vMerge w:val="restar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投标人综合情况</w:t>
            </w: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0-2分</w:t>
            </w:r>
          </w:p>
        </w:tc>
        <w:tc>
          <w:tcPr>
            <w:tcW w:w="3337" w:type="pct"/>
            <w:noWrap w:val="0"/>
            <w:vAlign w:val="center"/>
          </w:tcPr>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根据投标人与本项目采购内容相关的软件自主开发能力进行量化。</w:t>
            </w:r>
          </w:p>
          <w:p>
            <w:pPr>
              <w:spacing w:line="240" w:lineRule="auto"/>
              <w:textAlignment w:val="center"/>
              <w:rPr>
                <w:rFonts w:hint="default" w:ascii="新宋体" w:hAnsi="新宋体" w:eastAsia="新宋体" w:cs="新宋体"/>
                <w:b w:val="0"/>
                <w:bCs/>
                <w:color w:val="auto"/>
                <w:sz w:val="21"/>
                <w:szCs w:val="21"/>
                <w:highlight w:val="none"/>
                <w:lang w:val="en-US" w:bidi="ar"/>
              </w:rPr>
            </w:pPr>
            <w:r>
              <w:rPr>
                <w:rFonts w:hint="eastAsia" w:ascii="新宋体" w:hAnsi="新宋体" w:eastAsia="新宋体" w:cs="新宋体"/>
                <w:b w:val="0"/>
                <w:bCs/>
                <w:color w:val="auto"/>
                <w:sz w:val="21"/>
                <w:szCs w:val="21"/>
                <w:highlight w:val="none"/>
                <w:lang w:val="en-US" w:eastAsia="zh-CN" w:bidi="ar"/>
              </w:rPr>
              <w:t>开发软件内容与本项目采购建设内容贴切且自主开发能力强的得2分；自主开发能力较强，但与本项目采购建设内容关联度不强的得1分；自主开发能力较弱且与本项目采购建设内容有较大偏差的得0.5分。投标人根据自身情况提供软件著作权证书、软件产品登记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spacing w:line="240" w:lineRule="auto"/>
              <w:jc w:val="center"/>
              <w:rPr>
                <w:rFonts w:hint="eastAsia" w:ascii="新宋体" w:hAnsi="新宋体" w:eastAsia="新宋体" w:cs="新宋体"/>
                <w:b w:val="0"/>
                <w:bCs/>
                <w:color w:val="auto"/>
                <w:sz w:val="21"/>
                <w:szCs w:val="21"/>
                <w:highlight w:val="none"/>
              </w:rPr>
            </w:pPr>
          </w:p>
        </w:tc>
        <w:tc>
          <w:tcPr>
            <w:tcW w:w="705" w:type="pct"/>
            <w:vMerge w:val="continue"/>
            <w:noWrap w:val="0"/>
            <w:vAlign w:val="center"/>
          </w:tcPr>
          <w:p>
            <w:pPr>
              <w:spacing w:line="240" w:lineRule="auto"/>
              <w:jc w:val="center"/>
              <w:rPr>
                <w:rFonts w:hint="eastAsia" w:ascii="新宋体" w:hAnsi="新宋体" w:eastAsia="新宋体" w:cs="新宋体"/>
                <w:b w:val="0"/>
                <w:bCs/>
                <w:color w:val="auto"/>
                <w:sz w:val="21"/>
                <w:szCs w:val="21"/>
                <w:highlight w:val="none"/>
              </w:rPr>
            </w:pPr>
          </w:p>
        </w:tc>
        <w:tc>
          <w:tcPr>
            <w:tcW w:w="621" w:type="pct"/>
            <w:noWrap w:val="0"/>
            <w:vAlign w:val="center"/>
          </w:tcPr>
          <w:p>
            <w:pPr>
              <w:spacing w:line="240" w:lineRule="auto"/>
              <w:jc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val="en-US" w:eastAsia="zh-CN" w:bidi="ar"/>
              </w:rPr>
              <w:t>0-1分</w:t>
            </w:r>
          </w:p>
        </w:tc>
        <w:tc>
          <w:tcPr>
            <w:tcW w:w="3337" w:type="pct"/>
            <w:noWrap w:val="0"/>
            <w:vAlign w:val="center"/>
          </w:tcPr>
          <w:p>
            <w:pPr>
              <w:widowControl/>
              <w:spacing w:line="240" w:lineRule="auto"/>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投标人拥有有效的DCMM数据管理能力成熟度证书，提供</w:t>
            </w:r>
            <w:r>
              <w:rPr>
                <w:rFonts w:hint="eastAsia" w:ascii="新宋体" w:hAnsi="新宋体" w:eastAsia="新宋体" w:cs="新宋体"/>
                <w:b w:val="0"/>
                <w:bCs/>
                <w:color w:val="auto"/>
                <w:sz w:val="21"/>
                <w:szCs w:val="21"/>
                <w:highlight w:val="none"/>
                <w:lang w:eastAsia="zh-CN" w:bidi="ar"/>
              </w:rPr>
              <w:t>有效</w:t>
            </w:r>
            <w:r>
              <w:rPr>
                <w:rFonts w:hint="eastAsia" w:ascii="新宋体" w:hAnsi="新宋体" w:eastAsia="新宋体" w:cs="新宋体"/>
                <w:b w:val="0"/>
                <w:bCs/>
                <w:color w:val="auto"/>
                <w:sz w:val="21"/>
                <w:szCs w:val="21"/>
                <w:highlight w:val="none"/>
                <w:lang w:bidi="ar"/>
              </w:rPr>
              <w:t>证书</w:t>
            </w:r>
            <w:r>
              <w:rPr>
                <w:rFonts w:hint="eastAsia" w:ascii="新宋体" w:hAnsi="新宋体" w:eastAsia="新宋体" w:cs="新宋体"/>
                <w:b w:val="0"/>
                <w:bCs/>
                <w:color w:val="auto"/>
                <w:sz w:val="21"/>
                <w:szCs w:val="21"/>
                <w:highlight w:val="none"/>
                <w:lang w:eastAsia="zh-CN" w:bidi="ar"/>
              </w:rPr>
              <w:t>的</w:t>
            </w:r>
            <w:r>
              <w:rPr>
                <w:rFonts w:hint="eastAsia" w:ascii="新宋体" w:hAnsi="新宋体" w:eastAsia="新宋体" w:cs="新宋体"/>
                <w:b w:val="0"/>
                <w:bCs/>
                <w:color w:val="auto"/>
                <w:sz w:val="21"/>
                <w:szCs w:val="21"/>
                <w:highlight w:val="none"/>
                <w:lang w:bidi="ar"/>
              </w:rPr>
              <w:t>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spacing w:line="240" w:lineRule="auto"/>
              <w:jc w:val="center"/>
              <w:rPr>
                <w:rFonts w:hint="eastAsia" w:ascii="新宋体" w:hAnsi="新宋体" w:eastAsia="新宋体" w:cs="新宋体"/>
                <w:b w:val="0"/>
                <w:bCs/>
                <w:color w:val="auto"/>
                <w:sz w:val="21"/>
                <w:szCs w:val="21"/>
                <w:highlight w:val="none"/>
              </w:rPr>
            </w:pPr>
          </w:p>
        </w:tc>
        <w:tc>
          <w:tcPr>
            <w:tcW w:w="705" w:type="pct"/>
            <w:vMerge w:val="continue"/>
            <w:noWrap w:val="0"/>
            <w:vAlign w:val="center"/>
          </w:tcPr>
          <w:p>
            <w:pPr>
              <w:spacing w:line="240" w:lineRule="auto"/>
              <w:jc w:val="center"/>
              <w:rPr>
                <w:rFonts w:hint="eastAsia" w:ascii="新宋体" w:hAnsi="新宋体" w:eastAsia="新宋体" w:cs="新宋体"/>
                <w:b w:val="0"/>
                <w:bCs/>
                <w:color w:val="auto"/>
                <w:sz w:val="21"/>
                <w:szCs w:val="21"/>
                <w:highlight w:val="none"/>
              </w:rPr>
            </w:pPr>
          </w:p>
        </w:tc>
        <w:tc>
          <w:tcPr>
            <w:tcW w:w="621" w:type="pct"/>
            <w:noWrap w:val="0"/>
            <w:vAlign w:val="center"/>
          </w:tcPr>
          <w:p>
            <w:pPr>
              <w:spacing w:line="240" w:lineRule="auto"/>
              <w:jc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val="en-US" w:eastAsia="zh-CN" w:bidi="ar"/>
              </w:rPr>
              <w:t>0-1分</w:t>
            </w:r>
          </w:p>
        </w:tc>
        <w:tc>
          <w:tcPr>
            <w:tcW w:w="3337" w:type="pct"/>
            <w:noWrap w:val="0"/>
            <w:vAlign w:val="center"/>
          </w:tcPr>
          <w:p>
            <w:pPr>
              <w:widowControl/>
              <w:spacing w:line="240" w:lineRule="auto"/>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投标人拥有</w:t>
            </w:r>
            <w:r>
              <w:rPr>
                <w:rFonts w:hint="eastAsia" w:ascii="新宋体" w:hAnsi="新宋体" w:eastAsia="新宋体" w:cs="新宋体"/>
                <w:b w:val="0"/>
                <w:color w:val="auto"/>
                <w:kern w:val="2"/>
                <w:sz w:val="21"/>
                <w:szCs w:val="21"/>
                <w:highlight w:val="none"/>
                <w:lang w:bidi="ar"/>
              </w:rPr>
              <w:t>有效的ITSS信息技术服务标准符合性证书</w:t>
            </w:r>
            <w:r>
              <w:rPr>
                <w:rFonts w:hint="eastAsia" w:ascii="新宋体" w:hAnsi="新宋体" w:eastAsia="新宋体" w:cs="新宋体"/>
                <w:b w:val="0"/>
                <w:bCs/>
                <w:color w:val="auto"/>
                <w:sz w:val="21"/>
                <w:szCs w:val="21"/>
                <w:highlight w:val="none"/>
                <w:lang w:bidi="ar"/>
              </w:rPr>
              <w:t>，提供</w:t>
            </w:r>
            <w:r>
              <w:rPr>
                <w:rFonts w:hint="eastAsia" w:ascii="新宋体" w:hAnsi="新宋体" w:eastAsia="新宋体" w:cs="新宋体"/>
                <w:b w:val="0"/>
                <w:bCs/>
                <w:color w:val="auto"/>
                <w:sz w:val="21"/>
                <w:szCs w:val="21"/>
                <w:highlight w:val="none"/>
                <w:lang w:eastAsia="zh-CN" w:bidi="ar"/>
              </w:rPr>
              <w:t>有效</w:t>
            </w:r>
            <w:r>
              <w:rPr>
                <w:rFonts w:hint="eastAsia" w:ascii="新宋体" w:hAnsi="新宋体" w:eastAsia="新宋体" w:cs="新宋体"/>
                <w:b w:val="0"/>
                <w:bCs/>
                <w:color w:val="auto"/>
                <w:sz w:val="21"/>
                <w:szCs w:val="21"/>
                <w:highlight w:val="none"/>
                <w:lang w:bidi="ar"/>
              </w:rPr>
              <w:t>证书</w:t>
            </w:r>
            <w:r>
              <w:rPr>
                <w:rFonts w:hint="eastAsia" w:ascii="新宋体" w:hAnsi="新宋体" w:eastAsia="新宋体" w:cs="新宋体"/>
                <w:b w:val="0"/>
                <w:bCs/>
                <w:color w:val="auto"/>
                <w:sz w:val="21"/>
                <w:szCs w:val="21"/>
                <w:highlight w:val="none"/>
                <w:lang w:eastAsia="zh-CN" w:bidi="ar"/>
              </w:rPr>
              <w:t>的</w:t>
            </w:r>
            <w:r>
              <w:rPr>
                <w:rFonts w:hint="eastAsia" w:ascii="新宋体" w:hAnsi="新宋体" w:eastAsia="新宋体" w:cs="新宋体"/>
                <w:b w:val="0"/>
                <w:bCs/>
                <w:color w:val="auto"/>
                <w:sz w:val="21"/>
                <w:szCs w:val="21"/>
                <w:highlight w:val="none"/>
                <w:lang w:bidi="ar"/>
              </w:rPr>
              <w:t>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335" w:type="pct"/>
            <w:vMerge w:val="restar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2</w:t>
            </w:r>
          </w:p>
        </w:tc>
        <w:tc>
          <w:tcPr>
            <w:tcW w:w="705" w:type="pct"/>
            <w:vMerge w:val="restar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技术方案</w:t>
            </w: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color w:val="auto"/>
                <w:sz w:val="21"/>
                <w:szCs w:val="21"/>
                <w:highlight w:val="none"/>
                <w:lang w:bidi="ar"/>
              </w:rPr>
              <w:t>0-</w:t>
            </w:r>
            <w:r>
              <w:rPr>
                <w:rFonts w:hint="eastAsia" w:ascii="新宋体" w:hAnsi="新宋体" w:eastAsia="新宋体" w:cs="新宋体"/>
                <w:b w:val="0"/>
                <w:color w:val="auto"/>
                <w:sz w:val="21"/>
                <w:szCs w:val="21"/>
                <w:highlight w:val="none"/>
                <w:lang w:val="en-US" w:eastAsia="zh-CN" w:bidi="ar"/>
              </w:rPr>
              <w:t>4</w:t>
            </w:r>
            <w:r>
              <w:rPr>
                <w:rFonts w:hint="eastAsia" w:ascii="新宋体" w:hAnsi="新宋体" w:eastAsia="新宋体" w:cs="新宋体"/>
                <w:b w:val="0"/>
                <w:color w:val="auto"/>
                <w:sz w:val="21"/>
                <w:szCs w:val="21"/>
                <w:highlight w:val="none"/>
                <w:lang w:bidi="ar"/>
              </w:rPr>
              <w:t>分</w:t>
            </w:r>
          </w:p>
        </w:tc>
        <w:tc>
          <w:tcPr>
            <w:tcW w:w="3337" w:type="pct"/>
            <w:noWrap w:val="0"/>
            <w:vAlign w:val="center"/>
          </w:tcPr>
          <w:p>
            <w:pPr>
              <w:numPr>
                <w:ilvl w:val="0"/>
                <w:numId w:val="0"/>
              </w:numPr>
              <w:spacing w:line="240" w:lineRule="auto"/>
              <w:jc w:val="left"/>
              <w:rPr>
                <w:rFonts w:hint="eastAsia" w:ascii="宋体" w:hAnsi="宋体" w:cs="宋体"/>
                <w:color w:val="auto"/>
                <w:kern w:val="0"/>
                <w:sz w:val="22"/>
                <w:szCs w:val="22"/>
                <w:highlight w:val="none"/>
                <w:lang w:val="en-US" w:eastAsia="zh-CN"/>
              </w:rPr>
            </w:pPr>
            <w:r>
              <w:rPr>
                <w:rFonts w:hint="default" w:ascii="新宋体" w:hAnsi="新宋体" w:eastAsia="新宋体" w:cs="新宋体"/>
                <w:color w:val="auto"/>
                <w:sz w:val="21"/>
                <w:szCs w:val="21"/>
                <w:highlight w:val="none"/>
                <w:lang w:val="en-US" w:eastAsia="zh-CN"/>
              </w:rPr>
              <w:t>投标人能充分理解采购需求的功能</w:t>
            </w:r>
            <w:r>
              <w:rPr>
                <w:rFonts w:hint="eastAsia" w:ascii="新宋体" w:hAnsi="新宋体" w:eastAsia="新宋体" w:cs="新宋体"/>
                <w:color w:val="auto"/>
                <w:sz w:val="21"/>
                <w:szCs w:val="21"/>
                <w:highlight w:val="none"/>
                <w:lang w:val="en-US" w:eastAsia="zh-CN"/>
              </w:rPr>
              <w:t>、</w:t>
            </w:r>
            <w:r>
              <w:rPr>
                <w:rFonts w:ascii="宋体" w:hAnsi="宋体" w:eastAsia="宋体" w:cs="宋体"/>
                <w:b w:val="0"/>
                <w:bCs/>
                <w:color w:val="auto"/>
                <w:sz w:val="22"/>
                <w:szCs w:val="22"/>
                <w:highlight w:val="none"/>
                <w:lang w:bidi="ar"/>
              </w:rPr>
              <w:t>现有系统总体架构和功能</w:t>
            </w:r>
            <w:r>
              <w:rPr>
                <w:rFonts w:hint="default" w:ascii="新宋体" w:hAnsi="新宋体" w:eastAsia="新宋体" w:cs="新宋体"/>
                <w:color w:val="auto"/>
                <w:sz w:val="21"/>
                <w:szCs w:val="21"/>
                <w:highlight w:val="none"/>
                <w:lang w:val="en-US" w:eastAsia="zh-CN"/>
              </w:rPr>
              <w:t>，提供完整清晰分析，条理明确</w:t>
            </w:r>
            <w:r>
              <w:rPr>
                <w:rFonts w:ascii="宋体" w:hAnsi="宋体" w:eastAsia="宋体" w:cs="宋体"/>
                <w:b w:val="0"/>
                <w:bCs/>
                <w:color w:val="auto"/>
                <w:sz w:val="22"/>
                <w:szCs w:val="22"/>
                <w:highlight w:val="none"/>
                <w:lang w:bidi="ar"/>
              </w:rPr>
              <w:t>的项目定制开发实施</w:t>
            </w:r>
            <w:r>
              <w:rPr>
                <w:rFonts w:hint="eastAsia" w:ascii="宋体" w:hAnsi="宋体" w:eastAsia="宋体" w:cs="宋体"/>
                <w:b w:val="0"/>
                <w:bCs/>
                <w:color w:val="auto"/>
                <w:sz w:val="22"/>
                <w:szCs w:val="22"/>
                <w:highlight w:val="none"/>
                <w:lang w:bidi="ar"/>
              </w:rPr>
              <w:t>方案</w:t>
            </w:r>
            <w:r>
              <w:rPr>
                <w:rFonts w:hint="default" w:ascii="新宋体" w:hAnsi="新宋体" w:eastAsia="新宋体" w:cs="新宋体"/>
                <w:color w:val="auto"/>
                <w:sz w:val="21"/>
                <w:szCs w:val="21"/>
                <w:highlight w:val="none"/>
                <w:lang w:val="en-US" w:eastAsia="zh-CN"/>
              </w:rPr>
              <w:t>；</w:t>
            </w:r>
            <w:r>
              <w:rPr>
                <w:rFonts w:hint="eastAsia" w:ascii="宋体" w:hAnsi="宋体" w:cs="宋体"/>
                <w:color w:val="auto"/>
                <w:kern w:val="0"/>
                <w:sz w:val="22"/>
                <w:szCs w:val="22"/>
                <w:highlight w:val="none"/>
                <w:lang w:val="en-US" w:eastAsia="zh-CN"/>
              </w:rPr>
              <w:t>理解贴合项目实际，思路清晰、架构完整得4分；</w:t>
            </w:r>
          </w:p>
          <w:p>
            <w:pPr>
              <w:numPr>
                <w:ilvl w:val="0"/>
                <w:numId w:val="0"/>
              </w:numPr>
              <w:spacing w:line="240" w:lineRule="auto"/>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理解切合项目实际，思路清晰、实施方案及架构不完整得2分，</w:t>
            </w:r>
          </w:p>
          <w:p>
            <w:pPr>
              <w:numPr>
                <w:ilvl w:val="0"/>
                <w:numId w:val="0"/>
              </w:numPr>
              <w:spacing w:line="240" w:lineRule="auto"/>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理解不足，思路条理欠缺、实施方案及架构欠缺得1分。</w:t>
            </w:r>
          </w:p>
          <w:p>
            <w:pPr>
              <w:pStyle w:val="2"/>
              <w:numPr>
                <w:ilvl w:val="0"/>
                <w:numId w:val="0"/>
              </w:numPr>
              <w:spacing w:line="240" w:lineRule="auto"/>
              <w:rPr>
                <w:rFonts w:hint="default" w:ascii="新宋体" w:hAnsi="新宋体" w:eastAsia="新宋体" w:cs="新宋体"/>
                <w:color w:val="auto"/>
                <w:sz w:val="21"/>
                <w:szCs w:val="21"/>
                <w:highlight w:val="none"/>
                <w:lang w:val="en-US" w:eastAsia="zh-CN"/>
              </w:rPr>
            </w:pPr>
            <w:r>
              <w:rPr>
                <w:rFonts w:hint="eastAsia" w:ascii="宋体" w:hAnsi="宋体" w:cs="宋体"/>
                <w:color w:val="auto"/>
                <w:kern w:val="0"/>
                <w:sz w:val="22"/>
                <w:szCs w:val="22"/>
                <w:highlight w:val="none"/>
                <w:lang w:val="en-US" w:eastAsia="zh-CN"/>
              </w:rPr>
              <w:t>未提供本项目内容的不得分。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default"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color w:val="auto"/>
                <w:sz w:val="21"/>
                <w:szCs w:val="21"/>
                <w:highlight w:val="none"/>
                <w:lang w:val="en-US" w:eastAsia="zh-CN" w:bidi="ar"/>
              </w:rPr>
              <w:t>0-18分</w:t>
            </w:r>
          </w:p>
        </w:tc>
        <w:tc>
          <w:tcPr>
            <w:tcW w:w="3337" w:type="pct"/>
            <w:noWrap w:val="0"/>
            <w:vAlign w:val="center"/>
          </w:tcPr>
          <w:p>
            <w:pPr>
              <w:spacing w:line="240" w:lineRule="auto"/>
              <w:rPr>
                <w:rFonts w:hint="eastAsia" w:ascii="宋体" w:hAnsi="宋体" w:eastAsia="宋体" w:cs="宋体"/>
                <w:b w:val="0"/>
                <w:bCs/>
                <w:color w:val="auto"/>
                <w:sz w:val="22"/>
                <w:szCs w:val="22"/>
                <w:highlight w:val="none"/>
                <w:lang w:bidi="ar"/>
              </w:rPr>
            </w:pPr>
            <w:r>
              <w:rPr>
                <w:rFonts w:hint="eastAsia" w:ascii="宋体" w:hAnsi="宋体" w:eastAsia="宋体" w:cs="宋体"/>
                <w:b w:val="0"/>
                <w:bCs/>
                <w:color w:val="auto"/>
                <w:sz w:val="22"/>
                <w:szCs w:val="22"/>
                <w:highlight w:val="none"/>
                <w:lang w:bidi="ar"/>
              </w:rPr>
              <w:t>方案包含</w:t>
            </w:r>
          </w:p>
          <w:p>
            <w:pPr>
              <w:spacing w:line="240" w:lineRule="auto"/>
              <w:rPr>
                <w:rFonts w:hint="eastAsia" w:ascii="新宋体" w:hAnsi="新宋体" w:eastAsia="新宋体" w:cs="新宋体"/>
                <w:b w:val="0"/>
                <w:color w:val="auto"/>
                <w:sz w:val="21"/>
                <w:szCs w:val="21"/>
                <w:highlight w:val="none"/>
                <w:lang w:val="en-US" w:eastAsia="zh-CN" w:bidi="ar"/>
              </w:rPr>
            </w:pPr>
            <w:r>
              <w:rPr>
                <w:rFonts w:hint="eastAsia" w:ascii="宋体" w:hAnsi="宋体" w:eastAsia="宋体" w:cs="宋体"/>
                <w:b/>
                <w:bCs w:val="0"/>
                <w:color w:val="auto"/>
                <w:sz w:val="22"/>
                <w:szCs w:val="22"/>
                <w:highlight w:val="none"/>
                <w:lang w:val="en-US" w:eastAsia="zh-CN" w:bidi="ar"/>
              </w:rPr>
              <w:t>①</w:t>
            </w:r>
            <w:r>
              <w:rPr>
                <w:rFonts w:hint="eastAsia" w:ascii="新宋体" w:hAnsi="新宋体" w:eastAsia="新宋体" w:cs="新宋体"/>
                <w:b/>
                <w:bCs w:val="0"/>
                <w:color w:val="auto"/>
                <w:sz w:val="21"/>
                <w:szCs w:val="21"/>
                <w:highlight w:val="none"/>
                <w:lang w:bidi="ar"/>
              </w:rPr>
              <w:t>系统新功能开发</w:t>
            </w:r>
            <w:r>
              <w:rPr>
                <w:rFonts w:hint="eastAsia" w:ascii="新宋体" w:hAnsi="新宋体" w:eastAsia="新宋体" w:cs="新宋体"/>
                <w:b/>
                <w:bCs w:val="0"/>
                <w:color w:val="auto"/>
                <w:sz w:val="21"/>
                <w:szCs w:val="21"/>
                <w:highlight w:val="none"/>
                <w:lang w:val="en-US" w:eastAsia="zh-CN" w:bidi="ar"/>
              </w:rPr>
              <w:t>方案：</w:t>
            </w:r>
            <w:r>
              <w:rPr>
                <w:rFonts w:hint="eastAsia" w:ascii="新宋体" w:hAnsi="新宋体" w:eastAsia="新宋体" w:cs="新宋体"/>
                <w:b w:val="0"/>
                <w:color w:val="auto"/>
                <w:sz w:val="21"/>
                <w:szCs w:val="21"/>
                <w:highlight w:val="none"/>
                <w:lang w:val="en-US" w:eastAsia="zh-CN" w:bidi="ar"/>
              </w:rPr>
              <w:t>开发设计方案完整详实，先进性及实现度高的得3分；开发设计方案基本符合采购需求实现目标的得2分；开发设计方案一般符合采购需求实现目标的得1分；方案内容缺失，不符合采购需求的不得分。</w:t>
            </w:r>
          </w:p>
          <w:p>
            <w:pPr>
              <w:spacing w:line="240" w:lineRule="auto"/>
              <w:rPr>
                <w:rFonts w:hint="eastAsia" w:ascii="新宋体" w:hAnsi="新宋体" w:eastAsia="新宋体" w:cs="新宋体"/>
                <w:b w:val="0"/>
                <w:color w:val="auto"/>
                <w:sz w:val="21"/>
                <w:szCs w:val="21"/>
                <w:highlight w:val="none"/>
                <w:lang w:val="en-US" w:eastAsia="zh-CN" w:bidi="ar"/>
              </w:rPr>
            </w:pPr>
            <w:r>
              <w:rPr>
                <w:rFonts w:hint="eastAsia" w:ascii="宋体" w:hAnsi="宋体" w:eastAsia="宋体" w:cs="宋体"/>
                <w:b/>
                <w:bCs w:val="0"/>
                <w:color w:val="auto"/>
                <w:sz w:val="22"/>
                <w:szCs w:val="22"/>
                <w:highlight w:val="none"/>
                <w:lang w:val="en-US" w:eastAsia="zh-CN" w:bidi="ar"/>
              </w:rPr>
              <w:t>②</w:t>
            </w:r>
            <w:r>
              <w:rPr>
                <w:rFonts w:hint="eastAsia" w:ascii="新宋体" w:hAnsi="新宋体" w:eastAsia="新宋体" w:cs="新宋体"/>
                <w:b/>
                <w:bCs w:val="0"/>
                <w:color w:val="auto"/>
                <w:sz w:val="21"/>
                <w:szCs w:val="21"/>
                <w:highlight w:val="none"/>
                <w:lang w:bidi="ar"/>
              </w:rPr>
              <w:t>系统功能迭代开发</w:t>
            </w:r>
            <w:r>
              <w:rPr>
                <w:rFonts w:hint="eastAsia" w:ascii="新宋体" w:hAnsi="新宋体" w:eastAsia="新宋体" w:cs="新宋体"/>
                <w:b/>
                <w:bCs w:val="0"/>
                <w:color w:val="auto"/>
                <w:sz w:val="21"/>
                <w:szCs w:val="21"/>
                <w:highlight w:val="none"/>
                <w:lang w:val="en-US" w:eastAsia="zh-CN" w:bidi="ar"/>
              </w:rPr>
              <w:t>方案：</w:t>
            </w:r>
            <w:r>
              <w:rPr>
                <w:rFonts w:hint="eastAsia" w:ascii="新宋体" w:hAnsi="新宋体" w:eastAsia="新宋体" w:cs="新宋体"/>
                <w:b w:val="0"/>
                <w:color w:val="auto"/>
                <w:sz w:val="21"/>
                <w:szCs w:val="21"/>
                <w:highlight w:val="none"/>
                <w:lang w:val="en-US" w:eastAsia="zh-CN" w:bidi="ar"/>
              </w:rPr>
              <w:t>开发设计方案完整详实，先进性及实现度高的得3分；开发设计方案基本符合采购需求实现目标的得2分；开发设计方案一般符合采购需求实现目标的得1分；方案内容缺失，不符合采购需求的不得分。</w:t>
            </w:r>
          </w:p>
          <w:p>
            <w:pPr>
              <w:spacing w:line="240" w:lineRule="auto"/>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bCs/>
                <w:color w:val="auto"/>
                <w:sz w:val="21"/>
                <w:szCs w:val="21"/>
                <w:highlight w:val="none"/>
                <w:lang w:val="en-US" w:eastAsia="zh-CN" w:bidi="ar"/>
              </w:rPr>
              <w:t>③</w:t>
            </w:r>
            <w:r>
              <w:rPr>
                <w:rFonts w:hint="eastAsia" w:ascii="新宋体" w:hAnsi="新宋体" w:eastAsia="新宋体" w:cs="新宋体"/>
                <w:b/>
                <w:bCs/>
                <w:color w:val="auto"/>
                <w:sz w:val="21"/>
                <w:szCs w:val="21"/>
                <w:highlight w:val="none"/>
                <w:lang w:bidi="ar"/>
              </w:rPr>
              <w:t>前后端分离改造</w:t>
            </w:r>
            <w:r>
              <w:rPr>
                <w:rFonts w:hint="eastAsia" w:ascii="新宋体" w:hAnsi="新宋体" w:eastAsia="新宋体" w:cs="新宋体"/>
                <w:b/>
                <w:bCs/>
                <w:color w:val="auto"/>
                <w:sz w:val="21"/>
                <w:szCs w:val="21"/>
                <w:highlight w:val="none"/>
                <w:lang w:val="en-US" w:eastAsia="zh-CN" w:bidi="ar"/>
              </w:rPr>
              <w:t>方案：</w:t>
            </w:r>
            <w:r>
              <w:rPr>
                <w:rFonts w:hint="eastAsia" w:ascii="新宋体" w:hAnsi="新宋体" w:eastAsia="新宋体" w:cs="新宋体"/>
                <w:b w:val="0"/>
                <w:color w:val="auto"/>
                <w:sz w:val="21"/>
                <w:szCs w:val="21"/>
                <w:highlight w:val="none"/>
                <w:lang w:val="en-US" w:eastAsia="zh-CN" w:bidi="ar"/>
              </w:rPr>
              <w:t>开发设计方案完整详实，先进性及实现度高的得3分；开发设计方案基本符合采购需求实现目标的得2分；开发设计方案一般符合采购需求实现目标的得1分；方案内容缺失，不符合采购需求的不得分。</w:t>
            </w:r>
          </w:p>
          <w:p>
            <w:pPr>
              <w:spacing w:line="240" w:lineRule="auto"/>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bCs/>
                <w:color w:val="auto"/>
                <w:sz w:val="21"/>
                <w:szCs w:val="21"/>
                <w:highlight w:val="none"/>
                <w:lang w:val="en-US" w:eastAsia="zh-CN" w:bidi="ar"/>
              </w:rPr>
              <w:t>④移动端改造方案：</w:t>
            </w:r>
            <w:r>
              <w:rPr>
                <w:rFonts w:hint="eastAsia" w:ascii="新宋体" w:hAnsi="新宋体" w:eastAsia="新宋体" w:cs="新宋体"/>
                <w:b w:val="0"/>
                <w:color w:val="auto"/>
                <w:sz w:val="21"/>
                <w:szCs w:val="21"/>
                <w:highlight w:val="none"/>
                <w:lang w:val="en-US" w:eastAsia="zh-CN" w:bidi="ar"/>
              </w:rPr>
              <w:t>开发设计方案完整详实，先进性及实现度高的得3分；开发设计方案基本符合采购需求实现目标的得2分；开发设计方案一般符合采购需求实现目标的得1分；方案内容缺失，不符合采购需求的不得分。</w:t>
            </w:r>
          </w:p>
          <w:p>
            <w:pPr>
              <w:spacing w:line="240" w:lineRule="auto"/>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bCs/>
                <w:color w:val="auto"/>
                <w:sz w:val="21"/>
                <w:szCs w:val="21"/>
                <w:highlight w:val="none"/>
                <w:lang w:val="en-US" w:eastAsia="zh-CN" w:bidi="ar"/>
              </w:rPr>
              <w:t>⑤国产化适配方案：</w:t>
            </w:r>
            <w:r>
              <w:rPr>
                <w:rFonts w:hint="eastAsia" w:ascii="新宋体" w:hAnsi="新宋体" w:eastAsia="新宋体" w:cs="新宋体"/>
                <w:b w:val="0"/>
                <w:color w:val="auto"/>
                <w:sz w:val="21"/>
                <w:szCs w:val="21"/>
                <w:highlight w:val="none"/>
                <w:lang w:val="en-US" w:eastAsia="zh-CN" w:bidi="ar"/>
              </w:rPr>
              <w:t>开发设计方案完整详实，先进性及实现度高的得3分；开发设计方案基本符合采购需求实现目标的得2分；开发设计方案一般符合采购需求实现目标的得1分；方案内容缺失，不符合采购需求的不得分。</w:t>
            </w:r>
          </w:p>
          <w:p>
            <w:pPr>
              <w:spacing w:line="240" w:lineRule="auto"/>
              <w:rPr>
                <w:rFonts w:hint="default" w:ascii="宋体" w:hAnsi="宋体" w:eastAsia="宋体" w:cs="宋体"/>
                <w:b w:val="0"/>
                <w:bCs/>
                <w:color w:val="auto"/>
                <w:sz w:val="22"/>
                <w:szCs w:val="22"/>
                <w:highlight w:val="none"/>
                <w:lang w:val="en-US" w:bidi="ar"/>
              </w:rPr>
            </w:pPr>
            <w:r>
              <w:rPr>
                <w:rFonts w:hint="eastAsia" w:ascii="新宋体" w:hAnsi="新宋体" w:eastAsia="新宋体" w:cs="新宋体"/>
                <w:b/>
                <w:bCs/>
                <w:color w:val="auto"/>
                <w:sz w:val="21"/>
                <w:szCs w:val="21"/>
                <w:highlight w:val="none"/>
                <w:lang w:val="en-US" w:eastAsia="zh-CN" w:bidi="ar"/>
              </w:rPr>
              <w:t>⑥</w:t>
            </w:r>
            <w:r>
              <w:rPr>
                <w:rFonts w:hint="eastAsia" w:ascii="新宋体" w:hAnsi="新宋体" w:eastAsia="新宋体" w:cs="新宋体"/>
                <w:b/>
                <w:bCs/>
                <w:color w:val="auto"/>
                <w:sz w:val="21"/>
                <w:szCs w:val="21"/>
                <w:highlight w:val="none"/>
                <w:lang w:bidi="ar"/>
              </w:rPr>
              <w:t>系统运营服务内容</w:t>
            </w:r>
            <w:r>
              <w:rPr>
                <w:rFonts w:hint="eastAsia" w:ascii="新宋体" w:hAnsi="新宋体" w:eastAsia="新宋体" w:cs="新宋体"/>
                <w:b/>
                <w:bCs/>
                <w:color w:val="auto"/>
                <w:sz w:val="21"/>
                <w:szCs w:val="21"/>
                <w:highlight w:val="none"/>
                <w:lang w:val="en-US" w:eastAsia="zh-CN" w:bidi="ar"/>
              </w:rPr>
              <w:t>方案：</w:t>
            </w:r>
            <w:r>
              <w:rPr>
                <w:rFonts w:hint="eastAsia" w:ascii="新宋体" w:hAnsi="新宋体" w:eastAsia="新宋体" w:cs="新宋体"/>
                <w:b w:val="0"/>
                <w:color w:val="auto"/>
                <w:sz w:val="21"/>
                <w:szCs w:val="21"/>
                <w:highlight w:val="none"/>
                <w:lang w:val="en-US" w:eastAsia="zh-CN" w:bidi="ar"/>
              </w:rPr>
              <w:t>开发设计方案完整详实，先进性及实现度高的得3分；开发设计方案基本符合采购需求实现目标的得2分；开发设计方案一般符合采购需求实现目标的得1分；方案内容缺失，不符合采购需求的不得分。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restar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3</w:t>
            </w:r>
          </w:p>
        </w:tc>
        <w:tc>
          <w:tcPr>
            <w:tcW w:w="705" w:type="pct"/>
            <w:vMerge w:val="restar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功能演示</w:t>
            </w: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5</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numPr>
                <w:ilvl w:val="0"/>
                <w:numId w:val="0"/>
              </w:numPr>
              <w:spacing w:line="240" w:lineRule="auto"/>
              <w:textAlignment w:val="center"/>
              <w:rPr>
                <w:rFonts w:hint="eastAsia" w:ascii="新宋体" w:hAnsi="新宋体" w:eastAsia="新宋体" w:cs="新宋体"/>
                <w:b/>
                <w:bCs w:val="0"/>
                <w:color w:val="auto"/>
                <w:sz w:val="21"/>
                <w:szCs w:val="21"/>
                <w:highlight w:val="none"/>
                <w:lang w:eastAsia="zh-CN" w:bidi="ar"/>
              </w:rPr>
            </w:pPr>
            <w:r>
              <w:rPr>
                <w:rFonts w:hint="eastAsia" w:ascii="新宋体" w:hAnsi="新宋体" w:eastAsia="新宋体" w:cs="新宋体"/>
                <w:b/>
                <w:bCs w:val="0"/>
                <w:color w:val="auto"/>
                <w:sz w:val="21"/>
                <w:szCs w:val="21"/>
                <w:highlight w:val="none"/>
                <w:lang w:bidi="ar"/>
              </w:rPr>
              <w:t>政策匹配功能</w:t>
            </w:r>
            <w:r>
              <w:rPr>
                <w:rFonts w:hint="eastAsia" w:ascii="新宋体" w:hAnsi="新宋体" w:eastAsia="新宋体" w:cs="新宋体"/>
                <w:b/>
                <w:bCs w:val="0"/>
                <w:color w:val="auto"/>
                <w:sz w:val="21"/>
                <w:szCs w:val="21"/>
                <w:highlight w:val="none"/>
                <w:lang w:eastAsia="zh-CN" w:bidi="ar"/>
              </w:rPr>
              <w:t>：</w:t>
            </w:r>
          </w:p>
          <w:p>
            <w:pPr>
              <w:widowControl/>
              <w:numPr>
                <w:ilvl w:val="0"/>
                <w:numId w:val="0"/>
              </w:num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5分；功能点演示较为完整、操作较为流畅、基本符合采购文件基本要求得3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p>
            <w:pPr>
              <w:widowControl/>
              <w:numPr>
                <w:ilvl w:val="0"/>
                <w:numId w:val="0"/>
              </w:numPr>
              <w:spacing w:line="240" w:lineRule="auto"/>
              <w:textAlignment w:val="center"/>
              <w:rPr>
                <w:rFonts w:hint="eastAsia" w:ascii="新宋体" w:hAnsi="新宋体" w:eastAsia="新宋体" w:cs="新宋体"/>
                <w:bCs/>
                <w:color w:val="auto"/>
                <w:sz w:val="21"/>
                <w:szCs w:val="21"/>
                <w:highlight w:val="none"/>
                <w:lang w:val="en-US" w:eastAsia="zh-CN" w:bidi="ar"/>
              </w:rPr>
            </w:pPr>
            <w:r>
              <w:rPr>
                <w:rFonts w:hint="eastAsia" w:ascii="新宋体" w:hAnsi="新宋体" w:eastAsia="新宋体" w:cs="新宋体"/>
                <w:b/>
                <w:bCs/>
                <w:color w:val="auto"/>
                <w:sz w:val="21"/>
                <w:szCs w:val="21"/>
                <w:highlight w:val="none"/>
                <w:lang w:val="en-US" w:eastAsia="zh-CN" w:bidi="ar"/>
              </w:rPr>
              <w:t>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5</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numPr>
                <w:ilvl w:val="0"/>
                <w:numId w:val="0"/>
              </w:numPr>
              <w:spacing w:line="240" w:lineRule="auto"/>
              <w:ind w:leftChars="0"/>
              <w:textAlignment w:val="center"/>
              <w:rPr>
                <w:rFonts w:hint="eastAsia" w:ascii="新宋体" w:hAnsi="新宋体" w:eastAsia="新宋体" w:cs="新宋体"/>
                <w:b/>
                <w:bCs w:val="0"/>
                <w:color w:val="auto"/>
                <w:sz w:val="21"/>
                <w:szCs w:val="21"/>
                <w:highlight w:val="none"/>
                <w:lang w:bidi="ar"/>
              </w:rPr>
            </w:pPr>
            <w:r>
              <w:rPr>
                <w:rFonts w:hint="eastAsia" w:ascii="新宋体" w:hAnsi="新宋体" w:eastAsia="新宋体" w:cs="新宋体"/>
                <w:b/>
                <w:bCs w:val="0"/>
                <w:color w:val="auto"/>
                <w:sz w:val="21"/>
                <w:szCs w:val="21"/>
                <w:highlight w:val="none"/>
                <w:lang w:bidi="ar"/>
              </w:rPr>
              <w:t>资质测算功能</w:t>
            </w:r>
          </w:p>
          <w:p>
            <w:pPr>
              <w:widowControl/>
              <w:numPr>
                <w:ilvl w:val="0"/>
                <w:numId w:val="0"/>
              </w:num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5分；功能点演示较为完整、操作较为流畅、基本符合采购文件基本要求得3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p>
            <w:pPr>
              <w:widowControl/>
              <w:numPr>
                <w:ilvl w:val="0"/>
                <w:numId w:val="0"/>
              </w:numPr>
              <w:spacing w:line="240" w:lineRule="auto"/>
              <w:ind w:leftChars="0"/>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bCs/>
                <w:color w:val="auto"/>
                <w:sz w:val="21"/>
                <w:szCs w:val="21"/>
                <w:highlight w:val="none"/>
                <w:lang w:val="en-US" w:eastAsia="zh-CN" w:bidi="ar"/>
              </w:rPr>
              <w:t>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5</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numPr>
                <w:ilvl w:val="0"/>
                <w:numId w:val="0"/>
              </w:numPr>
              <w:spacing w:line="240" w:lineRule="auto"/>
              <w:ind w:leftChars="0"/>
              <w:textAlignment w:val="center"/>
              <w:rPr>
                <w:rFonts w:hint="eastAsia" w:ascii="新宋体" w:hAnsi="新宋体" w:eastAsia="新宋体" w:cs="新宋体"/>
                <w:b/>
                <w:bCs w:val="0"/>
                <w:color w:val="auto"/>
                <w:sz w:val="21"/>
                <w:szCs w:val="21"/>
                <w:highlight w:val="none"/>
                <w:lang w:val="en-US" w:eastAsia="zh-CN" w:bidi="ar"/>
              </w:rPr>
            </w:pPr>
            <w:r>
              <w:rPr>
                <w:rFonts w:hint="eastAsia" w:ascii="新宋体" w:hAnsi="新宋体" w:eastAsia="新宋体" w:cs="新宋体"/>
                <w:b/>
                <w:bCs w:val="0"/>
                <w:color w:val="auto"/>
                <w:sz w:val="21"/>
                <w:szCs w:val="21"/>
                <w:highlight w:val="none"/>
                <w:lang w:bidi="ar"/>
              </w:rPr>
              <w:t>联络员看板功能</w:t>
            </w:r>
          </w:p>
          <w:p>
            <w:pPr>
              <w:widowControl/>
              <w:numPr>
                <w:ilvl w:val="0"/>
                <w:numId w:val="0"/>
              </w:num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5分；功能点演示较为完整、操作较为流畅、基本符合采购文件基本要求得3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p>
            <w:pPr>
              <w:widowControl/>
              <w:numPr>
                <w:ilvl w:val="0"/>
                <w:numId w:val="0"/>
              </w:numPr>
              <w:spacing w:line="240" w:lineRule="auto"/>
              <w:ind w:leftChars="0"/>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bCs/>
                <w:color w:val="auto"/>
                <w:sz w:val="21"/>
                <w:szCs w:val="21"/>
                <w:highlight w:val="none"/>
                <w:lang w:val="en-US" w:eastAsia="zh-CN" w:bidi="ar"/>
              </w:rPr>
              <w:t>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5</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numPr>
                <w:ilvl w:val="0"/>
                <w:numId w:val="0"/>
              </w:numPr>
              <w:spacing w:line="240" w:lineRule="auto"/>
              <w:ind w:leftChars="0"/>
              <w:textAlignment w:val="center"/>
              <w:rPr>
                <w:rFonts w:hint="eastAsia" w:ascii="新宋体" w:hAnsi="新宋体" w:eastAsia="新宋体" w:cs="新宋体"/>
                <w:b/>
                <w:bCs w:val="0"/>
                <w:color w:val="auto"/>
                <w:sz w:val="21"/>
                <w:szCs w:val="21"/>
                <w:highlight w:val="none"/>
                <w:lang w:eastAsia="zh-CN" w:bidi="ar"/>
              </w:rPr>
            </w:pPr>
            <w:r>
              <w:rPr>
                <w:rFonts w:hint="eastAsia" w:ascii="新宋体" w:hAnsi="新宋体" w:eastAsia="新宋体" w:cs="新宋体"/>
                <w:b/>
                <w:bCs w:val="0"/>
                <w:color w:val="auto"/>
                <w:sz w:val="21"/>
                <w:szCs w:val="21"/>
                <w:highlight w:val="none"/>
                <w:lang w:bidi="ar"/>
              </w:rPr>
              <w:t>演示部门答疑功能</w:t>
            </w:r>
            <w:r>
              <w:rPr>
                <w:rFonts w:hint="eastAsia" w:ascii="新宋体" w:hAnsi="新宋体" w:eastAsia="新宋体" w:cs="新宋体"/>
                <w:b/>
                <w:bCs w:val="0"/>
                <w:color w:val="auto"/>
                <w:sz w:val="21"/>
                <w:szCs w:val="21"/>
                <w:highlight w:val="none"/>
                <w:lang w:eastAsia="zh-CN" w:bidi="ar"/>
              </w:rPr>
              <w:t>：</w:t>
            </w:r>
          </w:p>
          <w:p>
            <w:pPr>
              <w:widowControl/>
              <w:numPr>
                <w:ilvl w:val="0"/>
                <w:numId w:val="0"/>
              </w:num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5分；功能点演示较为完整、操作较为流畅、基本符合采购文件基本要求得3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p>
            <w:pPr>
              <w:widowControl/>
              <w:numPr>
                <w:ilvl w:val="0"/>
                <w:numId w:val="0"/>
              </w:numPr>
              <w:spacing w:line="240" w:lineRule="auto"/>
              <w:ind w:leftChars="0"/>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bCs/>
                <w:color w:val="auto"/>
                <w:sz w:val="21"/>
                <w:szCs w:val="21"/>
                <w:highlight w:val="none"/>
                <w:lang w:val="en-US" w:eastAsia="zh-CN" w:bidi="ar"/>
              </w:rPr>
              <w:t>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5</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numPr>
                <w:ilvl w:val="0"/>
                <w:numId w:val="0"/>
              </w:numPr>
              <w:spacing w:line="240" w:lineRule="auto"/>
              <w:ind w:leftChars="0"/>
              <w:textAlignment w:val="center"/>
              <w:rPr>
                <w:rFonts w:hint="eastAsia" w:ascii="新宋体" w:hAnsi="新宋体" w:eastAsia="新宋体" w:cs="新宋体"/>
                <w:b/>
                <w:bCs w:val="0"/>
                <w:color w:val="auto"/>
                <w:sz w:val="21"/>
                <w:szCs w:val="21"/>
                <w:highlight w:val="none"/>
                <w:lang w:eastAsia="zh-CN" w:bidi="ar"/>
              </w:rPr>
            </w:pPr>
            <w:r>
              <w:rPr>
                <w:rFonts w:hint="eastAsia" w:ascii="新宋体" w:hAnsi="新宋体" w:eastAsia="新宋体" w:cs="新宋体"/>
                <w:b/>
                <w:bCs w:val="0"/>
                <w:color w:val="auto"/>
                <w:sz w:val="21"/>
                <w:szCs w:val="21"/>
                <w:highlight w:val="none"/>
                <w:lang w:bidi="ar"/>
              </w:rPr>
              <w:t>奖补项目代办功能</w:t>
            </w:r>
            <w:r>
              <w:rPr>
                <w:rFonts w:hint="eastAsia" w:ascii="新宋体" w:hAnsi="新宋体" w:eastAsia="新宋体" w:cs="新宋体"/>
                <w:b/>
                <w:bCs w:val="0"/>
                <w:color w:val="auto"/>
                <w:sz w:val="21"/>
                <w:szCs w:val="21"/>
                <w:highlight w:val="none"/>
                <w:lang w:eastAsia="zh-CN" w:bidi="ar"/>
              </w:rPr>
              <w:t>：</w:t>
            </w:r>
          </w:p>
          <w:p>
            <w:pPr>
              <w:widowControl/>
              <w:numPr>
                <w:ilvl w:val="0"/>
                <w:numId w:val="0"/>
              </w:num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5分；功能点演示较为完整、操作较为流畅、基本符合采购文件基本要求得3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p>
            <w:pPr>
              <w:widowControl/>
              <w:numPr>
                <w:ilvl w:val="0"/>
                <w:numId w:val="0"/>
              </w:numPr>
              <w:spacing w:line="240" w:lineRule="auto"/>
              <w:ind w:leftChars="0"/>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bCs/>
                <w:color w:val="auto"/>
                <w:sz w:val="21"/>
                <w:szCs w:val="21"/>
                <w:highlight w:val="none"/>
                <w:lang w:val="en-US" w:eastAsia="zh-CN" w:bidi="ar"/>
              </w:rPr>
              <w:t>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5</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numPr>
                <w:ilvl w:val="0"/>
                <w:numId w:val="0"/>
              </w:numPr>
              <w:spacing w:line="240" w:lineRule="auto"/>
              <w:textAlignment w:val="center"/>
              <w:rPr>
                <w:rFonts w:hint="eastAsia" w:ascii="新宋体" w:hAnsi="新宋体" w:eastAsia="新宋体" w:cs="新宋体"/>
                <w:b/>
                <w:bCs w:val="0"/>
                <w:color w:val="auto"/>
                <w:sz w:val="21"/>
                <w:szCs w:val="21"/>
                <w:highlight w:val="none"/>
                <w:lang w:eastAsia="zh-CN" w:bidi="ar"/>
              </w:rPr>
            </w:pPr>
            <w:r>
              <w:rPr>
                <w:rFonts w:hint="eastAsia" w:ascii="新宋体" w:hAnsi="新宋体" w:eastAsia="新宋体" w:cs="新宋体"/>
                <w:b/>
                <w:bCs w:val="0"/>
                <w:color w:val="auto"/>
                <w:sz w:val="21"/>
                <w:szCs w:val="21"/>
                <w:highlight w:val="none"/>
                <w:lang w:bidi="ar"/>
              </w:rPr>
              <w:t>政策文件上线审批功能，包括政策文件新增、编辑、提交、取回、审批</w:t>
            </w:r>
            <w:r>
              <w:rPr>
                <w:rFonts w:hint="eastAsia" w:ascii="新宋体" w:hAnsi="新宋体" w:eastAsia="新宋体" w:cs="新宋体"/>
                <w:b/>
                <w:bCs w:val="0"/>
                <w:color w:val="auto"/>
                <w:sz w:val="21"/>
                <w:szCs w:val="21"/>
                <w:highlight w:val="none"/>
                <w:lang w:eastAsia="zh-CN" w:bidi="ar"/>
              </w:rPr>
              <w:t>：</w:t>
            </w:r>
          </w:p>
          <w:p>
            <w:pPr>
              <w:widowControl/>
              <w:numPr>
                <w:ilvl w:val="0"/>
                <w:numId w:val="0"/>
              </w:numPr>
              <w:spacing w:line="240" w:lineRule="auto"/>
              <w:textAlignment w:val="center"/>
              <w:rPr>
                <w:rFonts w:hint="default"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5分；功能点演示较为完整、操作较为流畅、基本符合采购文件基本要求得3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4</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numPr>
                <w:ilvl w:val="0"/>
                <w:numId w:val="0"/>
              </w:numPr>
              <w:spacing w:line="240" w:lineRule="auto"/>
              <w:ind w:leftChars="0"/>
              <w:textAlignment w:val="center"/>
              <w:rPr>
                <w:rFonts w:hint="eastAsia" w:ascii="新宋体" w:hAnsi="新宋体" w:eastAsia="新宋体" w:cs="新宋体"/>
                <w:b/>
                <w:bCs w:val="0"/>
                <w:color w:val="auto"/>
                <w:sz w:val="21"/>
                <w:szCs w:val="21"/>
                <w:highlight w:val="none"/>
                <w:lang w:eastAsia="zh-CN" w:bidi="ar"/>
              </w:rPr>
            </w:pPr>
            <w:r>
              <w:rPr>
                <w:rFonts w:hint="eastAsia" w:ascii="新宋体" w:hAnsi="新宋体" w:eastAsia="新宋体" w:cs="新宋体"/>
                <w:b/>
                <w:bCs w:val="0"/>
                <w:color w:val="auto"/>
                <w:sz w:val="21"/>
                <w:szCs w:val="21"/>
                <w:highlight w:val="none"/>
                <w:lang w:bidi="ar"/>
              </w:rPr>
              <w:t>演示跨年兑付管理功能，包括跨年批次开设、跨年批次核查</w:t>
            </w:r>
            <w:r>
              <w:rPr>
                <w:rFonts w:hint="eastAsia" w:ascii="新宋体" w:hAnsi="新宋体" w:eastAsia="新宋体" w:cs="新宋体"/>
                <w:b/>
                <w:bCs w:val="0"/>
                <w:color w:val="auto"/>
                <w:sz w:val="21"/>
                <w:szCs w:val="21"/>
                <w:highlight w:val="none"/>
                <w:lang w:eastAsia="zh-CN" w:bidi="ar"/>
              </w:rPr>
              <w:t>：</w:t>
            </w:r>
          </w:p>
          <w:p>
            <w:pPr>
              <w:widowControl/>
              <w:numPr>
                <w:ilvl w:val="0"/>
                <w:numId w:val="0"/>
              </w:numPr>
              <w:spacing w:line="240" w:lineRule="auto"/>
              <w:ind w:leftChars="0"/>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4分；功能点演示较为完整、操作较为流畅、基本符合采购文件基本要求得2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4</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spacing w:line="240" w:lineRule="auto"/>
              <w:textAlignment w:val="center"/>
              <w:rPr>
                <w:rFonts w:hint="eastAsia" w:ascii="新宋体" w:hAnsi="新宋体" w:eastAsia="新宋体" w:cs="新宋体"/>
                <w:b/>
                <w:bCs w:val="0"/>
                <w:color w:val="auto"/>
                <w:sz w:val="21"/>
                <w:szCs w:val="21"/>
                <w:highlight w:val="none"/>
                <w:lang w:eastAsia="zh-CN" w:bidi="ar"/>
              </w:rPr>
            </w:pPr>
            <w:r>
              <w:rPr>
                <w:rFonts w:hint="eastAsia" w:ascii="新宋体" w:hAnsi="新宋体" w:eastAsia="新宋体" w:cs="新宋体"/>
                <w:b/>
                <w:bCs w:val="0"/>
                <w:color w:val="auto"/>
                <w:sz w:val="21"/>
                <w:szCs w:val="21"/>
                <w:highlight w:val="none"/>
                <w:lang w:bidi="ar"/>
              </w:rPr>
              <w:t>总部项目拦截功能，包括总部经济清单录入、一对一项目解锁</w:t>
            </w:r>
            <w:r>
              <w:rPr>
                <w:rFonts w:hint="eastAsia" w:ascii="新宋体" w:hAnsi="新宋体" w:eastAsia="新宋体" w:cs="新宋体"/>
                <w:b/>
                <w:bCs w:val="0"/>
                <w:color w:val="auto"/>
                <w:sz w:val="21"/>
                <w:szCs w:val="21"/>
                <w:highlight w:val="none"/>
                <w:lang w:eastAsia="zh-CN" w:bidi="ar"/>
              </w:rPr>
              <w:t>：</w:t>
            </w:r>
          </w:p>
          <w:p>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4分；功能点演示较为完整、操作较为流畅、基本符合采购文件基本要求得2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0-</w:t>
            </w:r>
            <w:r>
              <w:rPr>
                <w:rFonts w:hint="eastAsia" w:ascii="新宋体" w:hAnsi="新宋体" w:eastAsia="新宋体" w:cs="新宋体"/>
                <w:b w:val="0"/>
                <w:bCs/>
                <w:color w:val="auto"/>
                <w:sz w:val="21"/>
                <w:szCs w:val="21"/>
                <w:highlight w:val="none"/>
                <w:lang w:val="en-US" w:eastAsia="zh-CN" w:bidi="ar"/>
              </w:rPr>
              <w:t>4</w:t>
            </w:r>
            <w:r>
              <w:rPr>
                <w:rFonts w:hint="eastAsia" w:ascii="新宋体" w:hAnsi="新宋体" w:eastAsia="新宋体" w:cs="新宋体"/>
                <w:b w:val="0"/>
                <w:bCs/>
                <w:color w:val="auto"/>
                <w:sz w:val="21"/>
                <w:szCs w:val="21"/>
                <w:highlight w:val="none"/>
                <w:lang w:bidi="ar"/>
              </w:rPr>
              <w:t>分</w:t>
            </w:r>
          </w:p>
        </w:tc>
        <w:tc>
          <w:tcPr>
            <w:tcW w:w="3337" w:type="pct"/>
            <w:noWrap w:val="0"/>
            <w:vAlign w:val="center"/>
          </w:tcPr>
          <w:p>
            <w:pPr>
              <w:widowControl/>
              <w:numPr>
                <w:ilvl w:val="0"/>
                <w:numId w:val="0"/>
              </w:numPr>
              <w:spacing w:line="240" w:lineRule="auto"/>
              <w:ind w:leftChars="0"/>
              <w:textAlignment w:val="center"/>
              <w:rPr>
                <w:rFonts w:hint="eastAsia" w:ascii="新宋体" w:hAnsi="新宋体" w:eastAsia="新宋体" w:cs="新宋体"/>
                <w:b/>
                <w:bCs w:val="0"/>
                <w:color w:val="auto"/>
                <w:sz w:val="21"/>
                <w:szCs w:val="21"/>
                <w:highlight w:val="none"/>
                <w:lang w:bidi="ar"/>
              </w:rPr>
            </w:pPr>
            <w:r>
              <w:rPr>
                <w:rFonts w:hint="eastAsia" w:ascii="新宋体" w:hAnsi="新宋体" w:eastAsia="新宋体" w:cs="新宋体"/>
                <w:b/>
                <w:bCs w:val="0"/>
                <w:color w:val="auto"/>
                <w:sz w:val="21"/>
                <w:szCs w:val="21"/>
                <w:highlight w:val="none"/>
                <w:lang w:bidi="ar"/>
              </w:rPr>
              <w:t>免申即享企业信息确认功能，包括企业确认页面展示，企业银行卡信息更正、资金异议、信息确认；</w:t>
            </w:r>
          </w:p>
          <w:p>
            <w:pPr>
              <w:widowControl/>
              <w:numPr>
                <w:ilvl w:val="0"/>
                <w:numId w:val="0"/>
              </w:numPr>
              <w:spacing w:line="240" w:lineRule="auto"/>
              <w:ind w:leftChars="0"/>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功能点演示完整、操作流畅、清晰表达采购文件实现目标的得4分；功能点演示较为完整、操作较为流畅、基本符合采购文件基本要求得2分；功能点演示欠缺、与采购文件要求与采购文件要求偏差略大得1分；功能点缺失</w:t>
            </w:r>
            <w:r>
              <w:rPr>
                <w:rFonts w:hint="eastAsia" w:ascii="新宋体" w:hAnsi="新宋体" w:eastAsia="新宋体" w:cs="新宋体"/>
                <w:b w:val="0"/>
                <w:color w:val="auto"/>
                <w:sz w:val="21"/>
                <w:szCs w:val="21"/>
                <w:highlight w:val="none"/>
                <w:lang w:val="en-US" w:eastAsia="zh-CN" w:bidi="ar"/>
              </w:rPr>
              <w:t>不符合采购需求的不得分。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noWrap w:val="0"/>
            <w:vAlign w:val="center"/>
          </w:tcPr>
          <w:p>
            <w:pPr>
              <w:widowControl/>
              <w:numPr>
                <w:ilvl w:val="0"/>
                <w:numId w:val="0"/>
              </w:numPr>
              <w:spacing w:line="240" w:lineRule="auto"/>
              <w:ind w:leftChars="0"/>
              <w:textAlignment w:val="center"/>
              <w:rPr>
                <w:rFonts w:hint="default"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bCs/>
                <w:color w:val="auto"/>
                <w:sz w:val="21"/>
                <w:szCs w:val="21"/>
                <w:highlight w:val="none"/>
              </w:rPr>
              <w:t>注：演示时间在十五分钟以内</w:t>
            </w:r>
            <w:r>
              <w:rPr>
                <w:rFonts w:hint="eastAsia" w:ascii="新宋体" w:hAnsi="新宋体" w:eastAsia="新宋体" w:cs="新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auto" w:fill="auto"/>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4</w:t>
            </w:r>
          </w:p>
        </w:tc>
        <w:tc>
          <w:tcPr>
            <w:tcW w:w="705" w:type="pct"/>
            <w:shd w:val="clear" w:color="auto" w:fill="auto"/>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项目组织和实施能力</w:t>
            </w:r>
          </w:p>
        </w:tc>
        <w:tc>
          <w:tcPr>
            <w:tcW w:w="621" w:type="pct"/>
            <w:shd w:val="clear" w:color="auto" w:fill="FFFFFF"/>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eastAsia="zh-CN" w:bidi="ar"/>
              </w:rPr>
            </w:pPr>
            <w:r>
              <w:rPr>
                <w:rFonts w:hint="eastAsia" w:ascii="新宋体" w:hAnsi="新宋体" w:eastAsia="新宋体" w:cs="新宋体"/>
                <w:b w:val="0"/>
                <w:bCs/>
                <w:color w:val="auto"/>
                <w:sz w:val="21"/>
                <w:szCs w:val="21"/>
                <w:highlight w:val="none"/>
                <w:lang w:val="en-US" w:eastAsia="zh-CN" w:bidi="ar"/>
              </w:rPr>
              <w:t>0-4分</w:t>
            </w:r>
          </w:p>
        </w:tc>
        <w:tc>
          <w:tcPr>
            <w:tcW w:w="3337" w:type="pct"/>
            <w:shd w:val="clear" w:color="auto" w:fill="FFFFFF"/>
            <w:noWrap w:val="0"/>
            <w:vAlign w:val="center"/>
          </w:tcPr>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投标人组织实施方案科学合理、进度及质量保障措施得当的得4分；</w:t>
            </w:r>
          </w:p>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投标人组织实施方案较为合理、进度及质量保障措施较为完善的得3分；</w:t>
            </w:r>
          </w:p>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投标人组织实施方案、进度及质量保障措施基本满足采购需求的得2分；</w:t>
            </w:r>
          </w:p>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投标人组织实施方案、进度及质量保障措施提供不全的得1分；</w:t>
            </w:r>
          </w:p>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shd w:val="clear" w:color="auto" w:fill="auto"/>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5</w:t>
            </w:r>
          </w:p>
        </w:tc>
        <w:tc>
          <w:tcPr>
            <w:tcW w:w="705" w:type="pct"/>
            <w:shd w:val="clear" w:color="auto" w:fill="auto"/>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业绩</w:t>
            </w:r>
          </w:p>
        </w:tc>
        <w:tc>
          <w:tcPr>
            <w:tcW w:w="621" w:type="pct"/>
            <w:shd w:val="clear" w:color="auto" w:fill="FFFFFF"/>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0-1分</w:t>
            </w:r>
          </w:p>
        </w:tc>
        <w:tc>
          <w:tcPr>
            <w:tcW w:w="3337" w:type="pct"/>
            <w:shd w:val="clear" w:color="auto" w:fill="FFFFFF"/>
            <w:noWrap w:val="0"/>
            <w:vAlign w:val="center"/>
          </w:tcPr>
          <w:p>
            <w:pPr>
              <w:widowControl/>
              <w:spacing w:line="240" w:lineRule="auto"/>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20</w:t>
            </w:r>
            <w:r>
              <w:rPr>
                <w:rFonts w:hint="eastAsia" w:ascii="新宋体" w:hAnsi="新宋体" w:eastAsia="新宋体" w:cs="新宋体"/>
                <w:b w:val="0"/>
                <w:bCs/>
                <w:color w:val="auto"/>
                <w:sz w:val="21"/>
                <w:szCs w:val="21"/>
                <w:highlight w:val="none"/>
                <w:lang w:val="en-US" w:eastAsia="zh-CN" w:bidi="ar"/>
              </w:rPr>
              <w:t>21</w:t>
            </w:r>
            <w:r>
              <w:rPr>
                <w:rFonts w:hint="eastAsia" w:ascii="新宋体" w:hAnsi="新宋体" w:eastAsia="新宋体" w:cs="新宋体"/>
                <w:b w:val="0"/>
                <w:bCs/>
                <w:color w:val="auto"/>
                <w:sz w:val="21"/>
                <w:szCs w:val="21"/>
                <w:highlight w:val="none"/>
                <w:lang w:bidi="ar"/>
              </w:rPr>
              <w:t>年1月1日（以签订时间为准）至今</w:t>
            </w:r>
            <w:r>
              <w:rPr>
                <w:rFonts w:hint="eastAsia" w:ascii="新宋体" w:hAnsi="新宋体" w:eastAsia="新宋体" w:cs="新宋体"/>
                <w:b w:val="0"/>
                <w:bCs/>
                <w:color w:val="auto"/>
                <w:sz w:val="21"/>
                <w:szCs w:val="21"/>
                <w:highlight w:val="none"/>
                <w:lang w:val="en-US" w:eastAsia="zh-CN" w:bidi="ar"/>
              </w:rPr>
              <w:t>承担政府数字化改革相关项目</w:t>
            </w:r>
            <w:r>
              <w:rPr>
                <w:rFonts w:hint="eastAsia" w:ascii="新宋体" w:hAnsi="新宋体" w:eastAsia="新宋体" w:cs="新宋体"/>
                <w:b w:val="0"/>
                <w:bCs/>
                <w:color w:val="auto"/>
                <w:sz w:val="21"/>
                <w:szCs w:val="21"/>
                <w:highlight w:val="none"/>
                <w:lang w:bidi="ar"/>
              </w:rPr>
              <w:t>：每个合同得0.5分，</w:t>
            </w:r>
            <w:r>
              <w:rPr>
                <w:rFonts w:hint="eastAsia" w:ascii="新宋体" w:hAnsi="新宋体" w:eastAsia="新宋体" w:cs="新宋体"/>
                <w:b w:val="0"/>
                <w:bCs/>
                <w:color w:val="auto"/>
                <w:sz w:val="21"/>
                <w:szCs w:val="21"/>
                <w:highlight w:val="none"/>
                <w:lang w:val="en-US" w:eastAsia="zh-CN" w:bidi="ar"/>
              </w:rPr>
              <w:t>本项最多得1</w:t>
            </w:r>
            <w:r>
              <w:rPr>
                <w:rFonts w:hint="eastAsia" w:ascii="新宋体" w:hAnsi="新宋体" w:eastAsia="新宋体" w:cs="新宋体"/>
                <w:b w:val="0"/>
                <w:bCs/>
                <w:color w:val="auto"/>
                <w:sz w:val="21"/>
                <w:szCs w:val="21"/>
                <w:highlight w:val="none"/>
                <w:lang w:bidi="ar"/>
              </w:rPr>
              <w:t>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restar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rPr>
            </w:pPr>
            <w:r>
              <w:rPr>
                <w:rFonts w:hint="eastAsia" w:ascii="新宋体" w:hAnsi="新宋体" w:eastAsia="新宋体" w:cs="新宋体"/>
                <w:b w:val="0"/>
                <w:bCs/>
                <w:color w:val="auto"/>
                <w:sz w:val="21"/>
                <w:szCs w:val="21"/>
                <w:highlight w:val="none"/>
                <w:lang w:bidi="ar"/>
              </w:rPr>
              <w:t>6</w:t>
            </w:r>
          </w:p>
        </w:tc>
        <w:tc>
          <w:tcPr>
            <w:tcW w:w="705" w:type="pct"/>
            <w:vMerge w:val="restar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技术服务力量</w:t>
            </w: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kern w:val="2"/>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0-2分</w:t>
            </w:r>
          </w:p>
        </w:tc>
        <w:tc>
          <w:tcPr>
            <w:tcW w:w="3337" w:type="pct"/>
            <w:noWrap w:val="0"/>
            <w:vAlign w:val="center"/>
          </w:tcPr>
          <w:p>
            <w:pPr>
              <w:widowControl/>
              <w:spacing w:line="240" w:lineRule="auto"/>
              <w:textAlignment w:val="center"/>
              <w:rPr>
                <w:rFonts w:hint="eastAsia" w:ascii="新宋体" w:hAnsi="新宋体" w:eastAsia="新宋体" w:cs="新宋体"/>
                <w:b w:val="0"/>
                <w:bCs/>
                <w:color w:val="auto"/>
                <w:kern w:val="2"/>
                <w:sz w:val="21"/>
                <w:szCs w:val="21"/>
                <w:highlight w:val="none"/>
                <w:lang w:val="en-US" w:eastAsia="zh-CN" w:bidi="ar"/>
              </w:rPr>
            </w:pPr>
            <w:r>
              <w:rPr>
                <w:rFonts w:hint="eastAsia" w:ascii="宋体" w:hAnsi="宋体" w:eastAsia="宋体" w:cs="宋体"/>
                <w:b w:val="0"/>
                <w:bCs/>
                <w:color w:val="auto"/>
                <w:sz w:val="22"/>
                <w:szCs w:val="22"/>
                <w:highlight w:val="none"/>
                <w:lang w:bidi="ar"/>
              </w:rPr>
              <w:t>项目负责人（一名）：具有高级信息系统项目管理师（软考）证书</w:t>
            </w:r>
            <w:r>
              <w:rPr>
                <w:rFonts w:hint="eastAsia" w:ascii="宋体" w:hAnsi="宋体" w:cs="宋体"/>
                <w:b w:val="0"/>
                <w:bCs/>
                <w:color w:val="auto"/>
                <w:sz w:val="22"/>
                <w:szCs w:val="22"/>
                <w:highlight w:val="none"/>
                <w:lang w:val="en-US" w:eastAsia="zh-CN" w:bidi="ar"/>
              </w:rPr>
              <w:t>或</w:t>
            </w:r>
            <w:r>
              <w:rPr>
                <w:rFonts w:hint="eastAsia" w:ascii="宋体" w:hAnsi="宋体" w:eastAsia="宋体" w:cs="宋体"/>
                <w:b w:val="0"/>
                <w:bCs/>
                <w:color w:val="auto"/>
                <w:sz w:val="22"/>
                <w:szCs w:val="22"/>
                <w:highlight w:val="none"/>
                <w:lang w:bidi="ar"/>
              </w:rPr>
              <w:t>高级系统架构设计师证书</w:t>
            </w:r>
            <w:r>
              <w:rPr>
                <w:rFonts w:hint="eastAsia" w:ascii="宋体" w:hAnsi="宋体" w:cs="宋体"/>
                <w:b w:val="0"/>
                <w:bCs/>
                <w:color w:val="auto"/>
                <w:sz w:val="22"/>
                <w:szCs w:val="22"/>
                <w:highlight w:val="none"/>
                <w:lang w:val="en-US" w:eastAsia="zh-CN" w:bidi="ar"/>
              </w:rPr>
              <w:t>或</w:t>
            </w:r>
            <w:r>
              <w:rPr>
                <w:rFonts w:hint="eastAsia" w:ascii="宋体" w:hAnsi="宋体" w:eastAsia="宋体" w:cs="宋体"/>
                <w:b w:val="0"/>
                <w:bCs/>
                <w:color w:val="auto"/>
                <w:sz w:val="22"/>
                <w:szCs w:val="22"/>
                <w:highlight w:val="none"/>
                <w:lang w:bidi="ar"/>
              </w:rPr>
              <w:t>信息技术高级工程师证书</w:t>
            </w:r>
            <w:r>
              <w:rPr>
                <w:rFonts w:hint="eastAsia" w:ascii="宋体" w:hAnsi="宋体" w:cs="宋体"/>
                <w:b w:val="0"/>
                <w:bCs/>
                <w:color w:val="auto"/>
                <w:sz w:val="22"/>
                <w:szCs w:val="22"/>
                <w:highlight w:val="none"/>
                <w:lang w:val="en-US" w:eastAsia="zh-CN" w:bidi="ar"/>
              </w:rPr>
              <w:t>或</w:t>
            </w:r>
            <w:r>
              <w:rPr>
                <w:rFonts w:hint="eastAsia" w:ascii="宋体" w:hAnsi="宋体" w:eastAsia="宋体" w:cs="宋体"/>
                <w:b w:val="0"/>
                <w:bCs/>
                <w:color w:val="auto"/>
                <w:sz w:val="22"/>
                <w:szCs w:val="22"/>
                <w:highlight w:val="none"/>
                <w:lang w:bidi="ar"/>
              </w:rPr>
              <w:t>CCA spark开发人员证书</w:t>
            </w:r>
            <w:r>
              <w:rPr>
                <w:rFonts w:hint="eastAsia" w:ascii="宋体" w:hAnsi="宋体" w:cs="宋体"/>
                <w:b w:val="0"/>
                <w:bCs/>
                <w:color w:val="auto"/>
                <w:sz w:val="22"/>
                <w:szCs w:val="22"/>
                <w:highlight w:val="none"/>
                <w:lang w:eastAsia="zh-CN" w:bidi="ar"/>
              </w:rPr>
              <w:t>的</w:t>
            </w:r>
            <w:r>
              <w:rPr>
                <w:rFonts w:hint="eastAsia" w:ascii="宋体" w:hAnsi="宋体" w:eastAsia="宋体" w:cs="宋体"/>
                <w:b w:val="0"/>
                <w:bCs/>
                <w:color w:val="auto"/>
                <w:sz w:val="22"/>
                <w:szCs w:val="22"/>
                <w:highlight w:val="none"/>
                <w:lang w:bidi="ar"/>
              </w:rPr>
              <w:t>。</w:t>
            </w:r>
            <w:r>
              <w:rPr>
                <w:rFonts w:hint="eastAsia" w:ascii="宋体" w:hAnsi="宋体" w:cs="宋体"/>
                <w:b w:val="0"/>
                <w:bCs/>
                <w:color w:val="auto"/>
                <w:sz w:val="22"/>
                <w:szCs w:val="22"/>
                <w:highlight w:val="none"/>
                <w:lang w:val="en-US" w:eastAsia="zh-CN" w:bidi="ar"/>
              </w:rPr>
              <w:t>满足一项</w:t>
            </w:r>
            <w:r>
              <w:rPr>
                <w:rFonts w:hint="eastAsia" w:ascii="宋体" w:hAnsi="宋体" w:cs="宋体"/>
                <w:b w:val="0"/>
                <w:bCs/>
                <w:color w:val="auto"/>
                <w:sz w:val="22"/>
                <w:szCs w:val="22"/>
                <w:highlight w:val="none"/>
                <w:lang w:eastAsia="zh-CN" w:bidi="ar"/>
              </w:rPr>
              <w:t>证书的</w:t>
            </w:r>
            <w:r>
              <w:rPr>
                <w:rFonts w:hint="eastAsia" w:ascii="宋体" w:hAnsi="宋体" w:eastAsia="宋体" w:cs="宋体"/>
                <w:b w:val="0"/>
                <w:bCs/>
                <w:color w:val="auto"/>
                <w:sz w:val="22"/>
                <w:szCs w:val="22"/>
                <w:highlight w:val="none"/>
                <w:lang w:bidi="ar"/>
              </w:rPr>
              <w:t>得</w:t>
            </w:r>
            <w:r>
              <w:rPr>
                <w:rFonts w:hint="eastAsia" w:ascii="宋体" w:hAnsi="宋体" w:cs="宋体"/>
                <w:b w:val="0"/>
                <w:bCs/>
                <w:color w:val="auto"/>
                <w:sz w:val="22"/>
                <w:szCs w:val="22"/>
                <w:highlight w:val="none"/>
                <w:lang w:val="en-US" w:eastAsia="zh-CN" w:bidi="ar"/>
              </w:rPr>
              <w:t>2</w:t>
            </w:r>
            <w:r>
              <w:rPr>
                <w:rFonts w:hint="eastAsia" w:ascii="宋体" w:hAnsi="宋体" w:eastAsia="宋体" w:cs="宋体"/>
                <w:b w:val="0"/>
                <w:bCs/>
                <w:color w:val="auto"/>
                <w:sz w:val="22"/>
                <w:szCs w:val="22"/>
                <w:highlight w:val="none"/>
                <w:lang w:bidi="ar"/>
              </w:rPr>
              <w:t>分，</w:t>
            </w:r>
            <w:r>
              <w:rPr>
                <w:rFonts w:hint="eastAsia" w:ascii="宋体" w:hAnsi="宋体" w:cs="宋体"/>
                <w:b w:val="0"/>
                <w:bCs/>
                <w:color w:val="auto"/>
                <w:sz w:val="22"/>
                <w:szCs w:val="22"/>
                <w:highlight w:val="none"/>
                <w:lang w:val="en-US" w:eastAsia="zh-CN" w:bidi="ar"/>
              </w:rPr>
              <w:t>本项最多得2分</w:t>
            </w:r>
            <w:r>
              <w:rPr>
                <w:rFonts w:hint="eastAsia" w:ascii="新宋体" w:hAnsi="新宋体" w:eastAsia="新宋体" w:cs="新宋体"/>
                <w:b w:val="0"/>
                <w:bCs/>
                <w:color w:val="auto"/>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kern w:val="2"/>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0-4分</w:t>
            </w:r>
          </w:p>
        </w:tc>
        <w:tc>
          <w:tcPr>
            <w:tcW w:w="3337" w:type="pct"/>
            <w:noWrap w:val="0"/>
            <w:vAlign w:val="center"/>
          </w:tcPr>
          <w:p>
            <w:pPr>
              <w:widowControl/>
              <w:spacing w:line="240" w:lineRule="auto"/>
              <w:textAlignment w:val="center"/>
              <w:rPr>
                <w:rFonts w:hint="eastAsia" w:ascii="新宋体" w:hAnsi="新宋体" w:eastAsia="新宋体" w:cs="新宋体"/>
                <w:b w:val="0"/>
                <w:bCs/>
                <w:color w:val="auto"/>
                <w:sz w:val="21"/>
                <w:szCs w:val="21"/>
                <w:highlight w:val="none"/>
                <w:lang w:eastAsia="zh-CN" w:bidi="ar"/>
              </w:rPr>
            </w:pPr>
            <w:r>
              <w:rPr>
                <w:rFonts w:hint="eastAsia" w:ascii="新宋体" w:hAnsi="新宋体" w:eastAsia="新宋体" w:cs="新宋体"/>
                <w:b w:val="0"/>
                <w:bCs/>
                <w:color w:val="auto"/>
                <w:sz w:val="21"/>
                <w:szCs w:val="21"/>
                <w:highlight w:val="none"/>
                <w:lang w:bidi="ar"/>
              </w:rPr>
              <w:t>投标人具有的技术人员服务能力（包括学历、专业、项目经历等）综合评价</w:t>
            </w:r>
            <w:r>
              <w:rPr>
                <w:rFonts w:hint="eastAsia" w:ascii="新宋体" w:hAnsi="新宋体" w:eastAsia="新宋体" w:cs="新宋体"/>
                <w:b w:val="0"/>
                <w:bCs/>
                <w:color w:val="auto"/>
                <w:sz w:val="21"/>
                <w:szCs w:val="21"/>
                <w:highlight w:val="none"/>
                <w:lang w:eastAsia="zh-CN" w:bidi="ar"/>
              </w:rPr>
              <w:t>。</w:t>
            </w:r>
          </w:p>
          <w:p>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人员配置合理，能完全满足采购文件要求得4分；</w:t>
            </w:r>
          </w:p>
          <w:p>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人员配置较为合理，基本满足采购文件要求得3分；</w:t>
            </w:r>
          </w:p>
          <w:p>
            <w:pPr>
              <w:pStyle w:val="2"/>
              <w:spacing w:line="240" w:lineRule="auto"/>
              <w:ind w:left="0" w:leftChars="0" w:firstLine="0" w:firstLineChars="0"/>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人员配置基本合理、与采购文件要求偏差略大得2分；</w:t>
            </w:r>
          </w:p>
          <w:p>
            <w:pPr>
              <w:pStyle w:val="2"/>
              <w:spacing w:line="240" w:lineRule="auto"/>
              <w:ind w:left="0" w:leftChars="0" w:firstLine="0" w:firstLineChars="0"/>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人员配置不全、未能响应采购文件要求的得1分。</w:t>
            </w:r>
          </w:p>
          <w:p>
            <w:pPr>
              <w:pStyle w:val="2"/>
              <w:spacing w:line="240" w:lineRule="auto"/>
              <w:ind w:left="0" w:leftChars="0" w:firstLine="0" w:firstLineChars="0"/>
              <w:rPr>
                <w:rFonts w:hint="eastAsia" w:ascii="新宋体" w:hAnsi="新宋体" w:eastAsia="新宋体" w:cs="新宋体"/>
                <w:color w:val="auto"/>
                <w:kern w:val="0"/>
                <w:sz w:val="21"/>
                <w:szCs w:val="21"/>
                <w:highlight w:val="none"/>
                <w:lang w:val="en-US" w:eastAsia="zh-CN" w:bidi="ar-SA"/>
              </w:rPr>
            </w:pPr>
            <w:r>
              <w:rPr>
                <w:rFonts w:hint="eastAsia" w:ascii="新宋体" w:hAnsi="新宋体" w:eastAsia="新宋体" w:cs="新宋体"/>
                <w:b w:val="0"/>
                <w:bCs/>
                <w:color w:val="auto"/>
                <w:sz w:val="21"/>
                <w:szCs w:val="21"/>
                <w:highlight w:val="none"/>
                <w:lang w:val="en-US" w:eastAsia="zh-CN" w:bidi="ar"/>
              </w:rPr>
              <w:t>未提供本项内容不得分。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705" w:type="pct"/>
            <w:vMerge w:val="continue"/>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kern w:val="2"/>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0-3分</w:t>
            </w:r>
          </w:p>
        </w:tc>
        <w:tc>
          <w:tcPr>
            <w:tcW w:w="3337" w:type="pct"/>
            <w:noWrap w:val="0"/>
            <w:vAlign w:val="center"/>
          </w:tcPr>
          <w:p>
            <w:pPr>
              <w:widowControl/>
              <w:spacing w:line="240" w:lineRule="auto"/>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投标人技术服务能力的综合评价</w:t>
            </w:r>
          </w:p>
          <w:p>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bidi="ar"/>
              </w:rPr>
              <w:t>技术服务</w:t>
            </w:r>
            <w:r>
              <w:rPr>
                <w:rFonts w:hint="eastAsia" w:ascii="新宋体" w:hAnsi="新宋体" w:eastAsia="新宋体" w:cs="新宋体"/>
                <w:b w:val="0"/>
                <w:bCs/>
                <w:color w:val="auto"/>
                <w:sz w:val="21"/>
                <w:szCs w:val="21"/>
                <w:highlight w:val="none"/>
                <w:lang w:eastAsia="zh-CN" w:bidi="ar"/>
              </w:rPr>
              <w:t>方案响应时效</w:t>
            </w:r>
            <w:r>
              <w:rPr>
                <w:rFonts w:hint="eastAsia" w:ascii="新宋体" w:hAnsi="新宋体" w:eastAsia="新宋体" w:cs="新宋体"/>
                <w:b w:val="0"/>
                <w:bCs/>
                <w:color w:val="auto"/>
                <w:sz w:val="21"/>
                <w:szCs w:val="21"/>
                <w:highlight w:val="none"/>
                <w:lang w:val="en-US" w:eastAsia="zh-CN" w:bidi="ar"/>
              </w:rPr>
              <w:t>快、效率高</w:t>
            </w:r>
            <w:r>
              <w:rPr>
                <w:rFonts w:hint="eastAsia" w:ascii="新宋体" w:hAnsi="新宋体" w:eastAsia="新宋体" w:cs="新宋体"/>
                <w:b w:val="0"/>
                <w:bCs/>
                <w:color w:val="auto"/>
                <w:sz w:val="21"/>
                <w:szCs w:val="21"/>
                <w:highlight w:val="none"/>
                <w:lang w:eastAsia="zh-CN" w:bidi="ar"/>
              </w:rPr>
              <w:t>的</w:t>
            </w:r>
            <w:r>
              <w:rPr>
                <w:rFonts w:hint="eastAsia" w:ascii="新宋体" w:hAnsi="新宋体" w:eastAsia="新宋体" w:cs="新宋体"/>
                <w:b w:val="0"/>
                <w:bCs/>
                <w:color w:val="auto"/>
                <w:sz w:val="21"/>
                <w:szCs w:val="21"/>
                <w:highlight w:val="none"/>
                <w:lang w:val="en-US" w:eastAsia="zh-CN" w:bidi="ar"/>
              </w:rPr>
              <w:t>得3分；</w:t>
            </w:r>
          </w:p>
          <w:p>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bidi="ar"/>
              </w:rPr>
              <w:t>技术服务</w:t>
            </w:r>
            <w:r>
              <w:rPr>
                <w:rFonts w:hint="eastAsia" w:ascii="新宋体" w:hAnsi="新宋体" w:eastAsia="新宋体" w:cs="新宋体"/>
                <w:b w:val="0"/>
                <w:bCs/>
                <w:color w:val="auto"/>
                <w:sz w:val="21"/>
                <w:szCs w:val="21"/>
                <w:highlight w:val="none"/>
                <w:lang w:eastAsia="zh-CN" w:bidi="ar"/>
              </w:rPr>
              <w:t>方案</w:t>
            </w:r>
            <w:r>
              <w:rPr>
                <w:rFonts w:hint="eastAsia" w:ascii="新宋体" w:hAnsi="新宋体" w:eastAsia="新宋体" w:cs="新宋体"/>
                <w:b w:val="0"/>
                <w:bCs/>
                <w:color w:val="auto"/>
                <w:sz w:val="21"/>
                <w:szCs w:val="21"/>
                <w:highlight w:val="none"/>
                <w:lang w:val="en-US" w:eastAsia="zh-CN" w:bidi="ar"/>
              </w:rPr>
              <w:t>响应时效长的得2分；</w:t>
            </w:r>
          </w:p>
          <w:p>
            <w:pPr>
              <w:widowControl/>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bidi="ar"/>
              </w:rPr>
              <w:t>技术服务</w:t>
            </w:r>
            <w:r>
              <w:rPr>
                <w:rFonts w:hint="eastAsia" w:ascii="新宋体" w:hAnsi="新宋体" w:eastAsia="新宋体" w:cs="新宋体"/>
                <w:b w:val="0"/>
                <w:bCs/>
                <w:color w:val="auto"/>
                <w:sz w:val="21"/>
                <w:szCs w:val="21"/>
                <w:highlight w:val="none"/>
                <w:lang w:eastAsia="zh-CN" w:bidi="ar"/>
              </w:rPr>
              <w:t>方案及</w:t>
            </w:r>
            <w:r>
              <w:rPr>
                <w:rFonts w:hint="eastAsia" w:ascii="新宋体" w:hAnsi="新宋体" w:eastAsia="新宋体" w:cs="新宋体"/>
                <w:b w:val="0"/>
                <w:bCs/>
                <w:color w:val="auto"/>
                <w:sz w:val="21"/>
                <w:szCs w:val="21"/>
                <w:highlight w:val="none"/>
                <w:lang w:val="en-US" w:eastAsia="zh-CN" w:bidi="ar"/>
              </w:rPr>
              <w:t>响应时效不能及时的满足采购需求的得1分。</w:t>
            </w:r>
          </w:p>
          <w:p>
            <w:pPr>
              <w:widowControl/>
              <w:spacing w:line="240" w:lineRule="auto"/>
              <w:textAlignment w:val="center"/>
              <w:rPr>
                <w:rFonts w:hint="eastAsia" w:ascii="新宋体" w:hAnsi="新宋体" w:eastAsia="新宋体" w:cs="新宋体"/>
                <w:b w:val="0"/>
                <w:bCs/>
                <w:color w:val="auto"/>
                <w:kern w:val="2"/>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未提供本项目内容不得分。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7</w:t>
            </w:r>
          </w:p>
        </w:tc>
        <w:tc>
          <w:tcPr>
            <w:tcW w:w="705"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售后服务</w:t>
            </w: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0-4分</w:t>
            </w:r>
          </w:p>
        </w:tc>
        <w:tc>
          <w:tcPr>
            <w:tcW w:w="3337" w:type="pct"/>
            <w:noWrap w:val="0"/>
            <w:vAlign w:val="center"/>
          </w:tcPr>
          <w:p>
            <w:pPr>
              <w:spacing w:line="240" w:lineRule="auto"/>
              <w:textAlignment w:val="center"/>
              <w:rPr>
                <w:rFonts w:hint="eastAsia" w:ascii="新宋体" w:hAnsi="新宋体" w:eastAsia="新宋体" w:cs="新宋体"/>
                <w:b w:val="0"/>
                <w:color w:val="auto"/>
                <w:sz w:val="21"/>
                <w:szCs w:val="21"/>
                <w:highlight w:val="none"/>
                <w:lang w:bidi="ar"/>
              </w:rPr>
            </w:pPr>
            <w:r>
              <w:rPr>
                <w:rFonts w:hint="eastAsia" w:ascii="新宋体" w:hAnsi="新宋体" w:eastAsia="新宋体" w:cs="新宋体"/>
                <w:b w:val="0"/>
                <w:bCs/>
                <w:color w:val="auto"/>
                <w:sz w:val="21"/>
                <w:szCs w:val="21"/>
                <w:highlight w:val="none"/>
                <w:lang w:bidi="ar"/>
              </w:rPr>
              <w:t>投标人提供系统维护服务、日常运维服务方案、故障响应流程、故障修复时间、方式等综合评价</w:t>
            </w:r>
            <w:r>
              <w:rPr>
                <w:rFonts w:hint="eastAsia" w:ascii="新宋体" w:hAnsi="新宋体" w:eastAsia="新宋体" w:cs="新宋体"/>
                <w:b w:val="0"/>
                <w:color w:val="auto"/>
                <w:sz w:val="21"/>
                <w:szCs w:val="21"/>
                <w:highlight w:val="none"/>
                <w:lang w:bidi="ar"/>
              </w:rPr>
              <w:t>。</w:t>
            </w:r>
          </w:p>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投标人售后服务方案科学合理、</w:t>
            </w:r>
            <w:r>
              <w:rPr>
                <w:rFonts w:hint="eastAsia" w:ascii="新宋体" w:hAnsi="新宋体" w:eastAsia="新宋体" w:cs="新宋体"/>
                <w:b w:val="0"/>
                <w:color w:val="auto"/>
                <w:sz w:val="21"/>
                <w:szCs w:val="21"/>
                <w:highlight w:val="none"/>
                <w:lang w:val="en-US" w:eastAsia="zh-CN" w:bidi="ar"/>
              </w:rPr>
              <w:t>实现度高</w:t>
            </w:r>
            <w:r>
              <w:rPr>
                <w:rFonts w:hint="eastAsia" w:ascii="新宋体" w:hAnsi="新宋体" w:eastAsia="新宋体" w:cs="新宋体"/>
                <w:b w:val="0"/>
                <w:bCs/>
                <w:color w:val="auto"/>
                <w:sz w:val="21"/>
                <w:szCs w:val="21"/>
                <w:highlight w:val="none"/>
                <w:lang w:val="en-US" w:eastAsia="zh-CN" w:bidi="ar"/>
              </w:rPr>
              <w:t>的得4分；</w:t>
            </w:r>
          </w:p>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投标人售后服务方案较为科学合理、实现度较高的得3分；</w:t>
            </w:r>
          </w:p>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投标人售后服务方案基本满足采购需求的得2分；</w:t>
            </w:r>
          </w:p>
          <w:p>
            <w:pPr>
              <w:spacing w:line="240" w:lineRule="auto"/>
              <w:textAlignment w:val="center"/>
              <w:rPr>
                <w:rFonts w:hint="eastAsia" w:ascii="新宋体" w:hAnsi="新宋体" w:eastAsia="新宋体" w:cs="新宋体"/>
                <w:b w:val="0"/>
                <w:bCs/>
                <w:color w:val="auto"/>
                <w:sz w:val="21"/>
                <w:szCs w:val="21"/>
                <w:highlight w:val="none"/>
                <w:lang w:val="en-US" w:eastAsia="zh-CN" w:bidi="ar"/>
              </w:rPr>
            </w:pPr>
            <w:r>
              <w:rPr>
                <w:rFonts w:hint="eastAsia" w:ascii="新宋体" w:hAnsi="新宋体" w:eastAsia="新宋体" w:cs="新宋体"/>
                <w:b w:val="0"/>
                <w:bCs/>
                <w:color w:val="auto"/>
                <w:sz w:val="21"/>
                <w:szCs w:val="21"/>
                <w:highlight w:val="none"/>
                <w:lang w:val="en-US" w:eastAsia="zh-CN" w:bidi="ar"/>
              </w:rPr>
              <w:t>投标人售后服务方案提供不全的得1分；</w:t>
            </w:r>
          </w:p>
          <w:p>
            <w:pPr>
              <w:pStyle w:val="2"/>
              <w:spacing w:line="240" w:lineRule="auto"/>
              <w:ind w:left="0" w:leftChars="0" w:firstLine="0" w:firstLineChars="0"/>
              <w:rPr>
                <w:rFonts w:hint="eastAsia" w:ascii="新宋体" w:hAnsi="新宋体" w:eastAsia="新宋体" w:cs="新宋体"/>
                <w:color w:val="auto"/>
                <w:sz w:val="21"/>
                <w:szCs w:val="21"/>
                <w:highlight w:val="none"/>
                <w:lang w:val="en-US" w:eastAsia="zh-CN"/>
              </w:rPr>
            </w:pPr>
            <w:r>
              <w:rPr>
                <w:rFonts w:hint="eastAsia" w:ascii="新宋体" w:hAnsi="新宋体" w:eastAsia="新宋体" w:cs="新宋体"/>
                <w:b w:val="0"/>
                <w:bCs/>
                <w:color w:val="auto"/>
                <w:sz w:val="21"/>
                <w:szCs w:val="21"/>
                <w:highlight w:val="none"/>
                <w:lang w:val="en-US" w:eastAsia="zh-CN" w:bidi="ar"/>
              </w:rPr>
              <w:t>未提供本项内容的不得分。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5"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8</w:t>
            </w:r>
          </w:p>
        </w:tc>
        <w:tc>
          <w:tcPr>
            <w:tcW w:w="705"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bidi="ar"/>
              </w:rPr>
            </w:pPr>
            <w:r>
              <w:rPr>
                <w:rFonts w:hint="eastAsia" w:ascii="新宋体" w:hAnsi="新宋体" w:eastAsia="新宋体" w:cs="新宋体"/>
                <w:b w:val="0"/>
                <w:bCs/>
                <w:color w:val="auto"/>
                <w:sz w:val="21"/>
                <w:szCs w:val="21"/>
                <w:highlight w:val="none"/>
                <w:lang w:bidi="ar"/>
              </w:rPr>
              <w:t>培训方案</w:t>
            </w:r>
          </w:p>
        </w:tc>
        <w:tc>
          <w:tcPr>
            <w:tcW w:w="621" w:type="pct"/>
            <w:noWrap w:val="0"/>
            <w:vAlign w:val="center"/>
          </w:tcPr>
          <w:p>
            <w:pPr>
              <w:widowControl/>
              <w:spacing w:line="240" w:lineRule="auto"/>
              <w:jc w:val="center"/>
              <w:textAlignment w:val="center"/>
              <w:rPr>
                <w:rFonts w:hint="eastAsia" w:ascii="新宋体" w:hAnsi="新宋体" w:eastAsia="新宋体" w:cs="新宋体"/>
                <w:b w:val="0"/>
                <w:bCs/>
                <w:color w:val="auto"/>
                <w:sz w:val="21"/>
                <w:szCs w:val="21"/>
                <w:highlight w:val="none"/>
                <w:lang w:eastAsia="zh-CN" w:bidi="ar"/>
              </w:rPr>
            </w:pPr>
            <w:r>
              <w:rPr>
                <w:rFonts w:hint="eastAsia" w:ascii="新宋体" w:hAnsi="新宋体" w:eastAsia="新宋体" w:cs="新宋体"/>
                <w:b w:val="0"/>
                <w:bCs/>
                <w:color w:val="auto"/>
                <w:sz w:val="21"/>
                <w:szCs w:val="21"/>
                <w:highlight w:val="none"/>
                <w:lang w:val="en-US" w:eastAsia="zh-CN" w:bidi="ar"/>
              </w:rPr>
              <w:t>0-4分</w:t>
            </w:r>
          </w:p>
        </w:tc>
        <w:tc>
          <w:tcPr>
            <w:tcW w:w="3337" w:type="pct"/>
            <w:noWrap w:val="0"/>
            <w:vAlign w:val="center"/>
          </w:tcPr>
          <w:p>
            <w:pPr>
              <w:spacing w:line="240" w:lineRule="auto"/>
              <w:textAlignment w:val="center"/>
              <w:rPr>
                <w:rFonts w:hint="eastAsia" w:ascii="新宋体" w:hAnsi="新宋体" w:eastAsia="新宋体" w:cs="新宋体"/>
                <w:b w:val="0"/>
                <w:color w:val="auto"/>
                <w:sz w:val="21"/>
                <w:szCs w:val="21"/>
                <w:highlight w:val="none"/>
                <w:lang w:bidi="ar"/>
              </w:rPr>
            </w:pPr>
            <w:r>
              <w:rPr>
                <w:rFonts w:hint="eastAsia" w:ascii="新宋体" w:hAnsi="新宋体" w:eastAsia="新宋体" w:cs="新宋体"/>
                <w:b w:val="0"/>
                <w:color w:val="auto"/>
                <w:kern w:val="2"/>
                <w:sz w:val="21"/>
                <w:szCs w:val="21"/>
                <w:highlight w:val="none"/>
                <w:lang w:bidi="ar"/>
              </w:rPr>
              <w:t>根据供应商</w:t>
            </w:r>
            <w:r>
              <w:rPr>
                <w:rFonts w:hint="eastAsia" w:ascii="新宋体" w:hAnsi="新宋体" w:eastAsia="新宋体" w:cs="新宋体"/>
                <w:b w:val="0"/>
                <w:color w:val="auto"/>
                <w:sz w:val="21"/>
                <w:szCs w:val="21"/>
                <w:highlight w:val="none"/>
                <w:lang w:bidi="ar"/>
              </w:rPr>
              <w:t>提供的培训方案（至少包括培训计划、培训对象、培训内容）进行打分。</w:t>
            </w:r>
          </w:p>
          <w:p>
            <w:p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color w:val="auto"/>
                <w:sz w:val="21"/>
                <w:szCs w:val="21"/>
                <w:highlight w:val="none"/>
                <w:lang w:val="en-US" w:eastAsia="zh-CN" w:bidi="ar"/>
              </w:rPr>
              <w:t>培训方案完全满足采购文件对项目实施的要求，结构严谨，内容完整详实，能够针对采购项目内容要求而细化制定的得4分；</w:t>
            </w:r>
          </w:p>
          <w:p>
            <w:p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color w:val="auto"/>
                <w:sz w:val="21"/>
                <w:szCs w:val="21"/>
                <w:highlight w:val="none"/>
                <w:lang w:val="en-US" w:eastAsia="zh-CN" w:bidi="ar"/>
              </w:rPr>
              <w:t>培训方案能够满足采购文件对项目实施的要求，为本项目的实施要求而制定的措施较齐全，方案表述有一定偏差的得3分；</w:t>
            </w:r>
          </w:p>
          <w:p>
            <w:p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color w:val="auto"/>
                <w:sz w:val="21"/>
                <w:szCs w:val="21"/>
                <w:highlight w:val="none"/>
                <w:lang w:val="en-US" w:eastAsia="zh-CN" w:bidi="ar"/>
              </w:rPr>
              <w:t>培训方案能够基本满足采购文件对项目实施的要求，为本项目的实施要求而制定的措施基本齐全，方案表述较差的得2分；</w:t>
            </w:r>
          </w:p>
          <w:p>
            <w:pPr>
              <w:spacing w:line="240" w:lineRule="auto"/>
              <w:textAlignment w:val="center"/>
              <w:rPr>
                <w:rFonts w:hint="eastAsia" w:ascii="新宋体" w:hAnsi="新宋体" w:eastAsia="新宋体" w:cs="新宋体"/>
                <w:b w:val="0"/>
                <w:color w:val="auto"/>
                <w:sz w:val="21"/>
                <w:szCs w:val="21"/>
                <w:highlight w:val="none"/>
                <w:lang w:val="en-US" w:eastAsia="zh-CN" w:bidi="ar"/>
              </w:rPr>
            </w:pPr>
            <w:r>
              <w:rPr>
                <w:rFonts w:hint="eastAsia" w:ascii="新宋体" w:hAnsi="新宋体" w:eastAsia="新宋体" w:cs="新宋体"/>
                <w:b w:val="0"/>
                <w:color w:val="auto"/>
                <w:sz w:val="21"/>
                <w:szCs w:val="21"/>
                <w:highlight w:val="none"/>
                <w:lang w:val="en-US" w:eastAsia="zh-CN" w:bidi="ar"/>
              </w:rPr>
              <w:t>培训方案与采购文件要求有一定偏差，方案表述差的得1分；</w:t>
            </w:r>
          </w:p>
          <w:p>
            <w:pPr>
              <w:pStyle w:val="2"/>
              <w:spacing w:line="240" w:lineRule="auto"/>
              <w:ind w:left="0" w:leftChars="0" w:firstLine="0" w:firstLineChars="0"/>
              <w:rPr>
                <w:rFonts w:hint="eastAsia" w:ascii="新宋体" w:hAnsi="新宋体" w:eastAsia="新宋体" w:cs="新宋体"/>
                <w:color w:val="auto"/>
                <w:sz w:val="21"/>
                <w:szCs w:val="21"/>
                <w:highlight w:val="none"/>
                <w:lang w:val="en-US"/>
              </w:rPr>
            </w:pPr>
            <w:r>
              <w:rPr>
                <w:rFonts w:hint="eastAsia" w:ascii="新宋体" w:hAnsi="新宋体" w:eastAsia="新宋体" w:cs="新宋体"/>
                <w:b w:val="0"/>
                <w:color w:val="auto"/>
                <w:sz w:val="21"/>
                <w:szCs w:val="21"/>
                <w:highlight w:val="none"/>
                <w:lang w:val="en-US" w:eastAsia="zh-CN" w:bidi="ar"/>
              </w:rPr>
              <w:t>未提供本项内容的不得分。</w:t>
            </w:r>
          </w:p>
        </w:tc>
      </w:tr>
    </w:tbl>
    <w:p>
      <w:pPr>
        <w:pStyle w:val="2"/>
        <w:rPr>
          <w:rFonts w:hint="eastAsia" w:ascii="宋体" w:hAnsi="宋体" w:cs="宋体"/>
          <w:color w:val="auto"/>
          <w:sz w:val="22"/>
          <w:szCs w:val="22"/>
          <w:highlight w:val="none"/>
        </w:rPr>
      </w:pPr>
    </w:p>
    <w:p>
      <w:pPr>
        <w:rPr>
          <w:rFonts w:hint="eastAsia"/>
          <w:color w:val="auto"/>
          <w:highlight w:val="none"/>
        </w:rPr>
      </w:pPr>
    </w:p>
    <w:p>
      <w:pPr>
        <w:keepNext w:val="0"/>
        <w:keepLines w:val="0"/>
        <w:pageBreakBefore w:val="0"/>
        <w:widowControl w:val="0"/>
        <w:numPr>
          <w:ilvl w:val="0"/>
          <w:numId w:val="30"/>
        </w:numPr>
        <w:kinsoku/>
        <w:wordWrap/>
        <w:overflowPunct/>
        <w:autoSpaceDE/>
        <w:autoSpaceDN/>
        <w:bidi w:val="0"/>
        <w:adjustRightInd/>
        <w:snapToGrid/>
        <w:spacing w:line="440" w:lineRule="exact"/>
        <w:ind w:firstLine="0"/>
        <w:textAlignment w:val="auto"/>
        <w:rPr>
          <w:rFonts w:hint="eastAsia" w:ascii="宋体" w:hAnsi="宋体" w:cs="宋体"/>
          <w:b/>
          <w:bCs/>
          <w:color w:val="auto"/>
          <w:sz w:val="22"/>
          <w:szCs w:val="22"/>
          <w:highlight w:val="none"/>
        </w:rPr>
      </w:pPr>
      <w:r>
        <w:rPr>
          <w:rFonts w:hint="eastAsia" w:ascii="宋体" w:hAnsi="宋体" w:cs="宋体"/>
          <w:b/>
          <w:color w:val="auto"/>
          <w:sz w:val="22"/>
          <w:szCs w:val="22"/>
          <w:highlight w:val="none"/>
        </w:rPr>
        <w:t>投标报价评分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10</w:t>
      </w:r>
      <w:r>
        <w:rPr>
          <w:rFonts w:hint="eastAsia" w:ascii="宋体" w:hAnsi="宋体" w:cs="宋体"/>
          <w:b/>
          <w:bCs/>
          <w:color w:val="auto"/>
          <w:sz w:val="22"/>
          <w:szCs w:val="22"/>
          <w:highlight w:val="none"/>
        </w:rPr>
        <w:t>分）：</w:t>
      </w:r>
    </w:p>
    <w:p>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2.1满足采购文件要求且投标价格最低的投标报价为评标基准价；</w:t>
      </w:r>
    </w:p>
    <w:p>
      <w:pPr>
        <w:keepNext w:val="0"/>
        <w:keepLines w:val="0"/>
        <w:pageBreakBefore w:val="0"/>
        <w:widowControl w:val="0"/>
        <w:kinsoku/>
        <w:wordWrap/>
        <w:overflowPunct/>
        <w:autoSpaceDE/>
        <w:autoSpaceDN/>
        <w:bidi w:val="0"/>
        <w:adjustRightInd/>
        <w:snapToGrid/>
        <w:spacing w:line="440" w:lineRule="exact"/>
        <w:ind w:left="33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1）有效投标人的投标价等于评标基准价时，其投标报价评分值为满分；</w:t>
      </w:r>
    </w:p>
    <w:p>
      <w:pPr>
        <w:keepNext w:val="0"/>
        <w:keepLines w:val="0"/>
        <w:pageBreakBefore w:val="0"/>
        <w:widowControl w:val="0"/>
        <w:kinsoku/>
        <w:wordWrap/>
        <w:overflowPunct/>
        <w:autoSpaceDE/>
        <w:autoSpaceDN/>
        <w:bidi w:val="0"/>
        <w:adjustRightInd/>
        <w:snapToGrid/>
        <w:spacing w:line="440" w:lineRule="exact"/>
        <w:ind w:left="33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报价得分</w:t>
      </w:r>
      <w:r>
        <w:rPr>
          <w:rFonts w:hint="eastAsia" w:ascii="宋体" w:hAnsi="宋体" w:cs="宋体"/>
          <w:color w:val="auto"/>
          <w:kern w:val="0"/>
          <w:sz w:val="22"/>
          <w:szCs w:val="22"/>
          <w:highlight w:val="none"/>
        </w:rPr>
        <w:t>=（评标基准价/投标人投标报价）×</w:t>
      </w:r>
      <w:r>
        <w:rPr>
          <w:rFonts w:hint="eastAsia" w:ascii="宋体" w:hAnsi="宋体" w:cs="宋体"/>
          <w:color w:val="auto"/>
          <w:kern w:val="0"/>
          <w:sz w:val="22"/>
          <w:szCs w:val="22"/>
          <w:highlight w:val="none"/>
          <w:lang w:val="en-US" w:eastAsia="zh-CN"/>
        </w:rPr>
        <w:t>10</w:t>
      </w:r>
      <w:r>
        <w:rPr>
          <w:rFonts w:hint="eastAsia" w:ascii="宋体" w:hAnsi="宋体" w:cs="宋体"/>
          <w:color w:val="auto"/>
          <w:sz w:val="22"/>
          <w:szCs w:val="22"/>
          <w:highlight w:val="none"/>
        </w:rPr>
        <w:t>（四舍五入，保留小数点后2位）</w:t>
      </w:r>
    </w:p>
    <w:p>
      <w:pPr>
        <w:keepNext w:val="0"/>
        <w:keepLines w:val="0"/>
        <w:pageBreakBefore w:val="0"/>
        <w:widowControl w:val="0"/>
        <w:kinsoku/>
        <w:wordWrap/>
        <w:overflowPunct/>
        <w:autoSpaceDE/>
        <w:autoSpaceDN/>
        <w:bidi w:val="0"/>
        <w:adjustRightInd/>
        <w:snapToGrid/>
        <w:spacing w:line="440" w:lineRule="exact"/>
        <w:ind w:left="330"/>
        <w:textAlignment w:val="auto"/>
        <w:rPr>
          <w:rFonts w:hint="eastAsia" w:ascii="宋体" w:hAnsi="宋体" w:cs="宋体"/>
          <w:color w:val="auto"/>
          <w:kern w:val="0"/>
          <w:sz w:val="22"/>
          <w:szCs w:val="22"/>
          <w:highlight w:val="none"/>
        </w:rPr>
      </w:pP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w:t>
      </w:r>
      <w:r>
        <w:rPr>
          <w:rFonts w:hint="eastAsia" w:ascii="宋体" w:hAnsi="宋体" w:cs="宋体"/>
          <w:b/>
          <w:bCs/>
          <w:color w:val="auto"/>
          <w:kern w:val="0"/>
          <w:sz w:val="22"/>
          <w:szCs w:val="22"/>
          <w:highlight w:val="none"/>
          <w:u w:val="single"/>
        </w:rPr>
        <w:t>本项目采购预算为人民币</w:t>
      </w:r>
      <w:r>
        <w:rPr>
          <w:rFonts w:hint="eastAsia" w:ascii="宋体" w:hAnsi="宋体" w:cs="宋体"/>
          <w:b/>
          <w:bCs/>
          <w:color w:val="auto"/>
          <w:kern w:val="0"/>
          <w:sz w:val="22"/>
          <w:szCs w:val="22"/>
          <w:highlight w:val="none"/>
          <w:u w:val="single"/>
          <w:lang w:val="en-US" w:eastAsia="zh-CN"/>
        </w:rPr>
        <w:t>165</w:t>
      </w:r>
      <w:r>
        <w:rPr>
          <w:rFonts w:hint="eastAsia" w:ascii="宋体" w:hAnsi="宋体" w:cs="宋体"/>
          <w:b/>
          <w:bCs/>
          <w:color w:val="auto"/>
          <w:kern w:val="0"/>
          <w:sz w:val="22"/>
          <w:szCs w:val="22"/>
          <w:highlight w:val="none"/>
          <w:u w:val="single"/>
        </w:rPr>
        <w:t>万元整，如投标人报价超过采购预算，其投标文件作无效标处理</w:t>
      </w:r>
      <w:r>
        <w:rPr>
          <w:rFonts w:hint="eastAsia" w:ascii="宋体" w:hAnsi="宋体" w:cs="宋体"/>
          <w:color w:val="auto"/>
          <w:kern w:val="0"/>
          <w:sz w:val="22"/>
          <w:szCs w:val="22"/>
          <w:highlight w:val="none"/>
        </w:rPr>
        <w:t>。</w:t>
      </w:r>
    </w:p>
    <w:p>
      <w:pPr>
        <w:keepNext w:val="0"/>
        <w:keepLines w:val="0"/>
        <w:pageBreakBefore w:val="0"/>
        <w:widowControl w:val="0"/>
        <w:kinsoku/>
        <w:wordWrap/>
        <w:overflowPunct/>
        <w:autoSpaceDE/>
        <w:autoSpaceDN/>
        <w:bidi w:val="0"/>
        <w:adjustRightInd/>
        <w:snapToGrid/>
        <w:spacing w:line="440" w:lineRule="exact"/>
        <w:ind w:left="330"/>
        <w:textAlignment w:val="auto"/>
        <w:rPr>
          <w:rFonts w:hint="eastAsia" w:ascii="宋体" w:hAnsi="宋体" w:cs="宋体"/>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）所有投标人商务报价均超采购预算，重新组织招标。</w:t>
      </w:r>
    </w:p>
    <w:p>
      <w:pPr>
        <w:keepNext w:val="0"/>
        <w:keepLines w:val="0"/>
        <w:pageBreakBefore w:val="0"/>
        <w:widowControl w:val="0"/>
        <w:kinsoku/>
        <w:wordWrap/>
        <w:overflowPunct/>
        <w:autoSpaceDE/>
        <w:autoSpaceDN/>
        <w:bidi w:val="0"/>
        <w:adjustRightInd/>
        <w:snapToGrid/>
        <w:spacing w:line="440" w:lineRule="exact"/>
        <w:textAlignment w:val="auto"/>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pPr>
        <w:keepNext w:val="0"/>
        <w:keepLines w:val="0"/>
        <w:pageBreakBefore w:val="0"/>
        <w:widowControl w:val="0"/>
        <w:kinsoku/>
        <w:wordWrap/>
        <w:overflowPunct/>
        <w:topLinePunct/>
        <w:autoSpaceDE/>
        <w:autoSpaceDN/>
        <w:bidi w:val="0"/>
        <w:adjustRightInd/>
        <w:snapToGrid/>
        <w:spacing w:line="44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宋体"/>
          <w:bCs/>
          <w:color w:val="auto"/>
          <w:sz w:val="22"/>
          <w:highlight w:val="none"/>
        </w:rPr>
        <w:t>①</w:t>
      </w:r>
      <w:r>
        <w:rPr>
          <w:rFonts w:hint="eastAsia" w:ascii="新宋体" w:hAnsi="新宋体" w:eastAsia="新宋体" w:cs="新宋体"/>
          <w:b/>
          <w:color w:val="auto"/>
          <w:sz w:val="22"/>
          <w:szCs w:val="22"/>
          <w:highlight w:val="none"/>
          <w:u w:val="single"/>
        </w:rPr>
        <w:t>本项目为</w:t>
      </w:r>
      <w:r>
        <w:rPr>
          <w:rFonts w:hint="eastAsia" w:ascii="宋体" w:hAnsi="宋体" w:cs="新宋体"/>
          <w:b/>
          <w:bCs/>
          <w:color w:val="auto"/>
          <w:sz w:val="22"/>
          <w:szCs w:val="22"/>
          <w:highlight w:val="none"/>
          <w:u w:val="single"/>
        </w:rPr>
        <w:t>专门面向中小企业/小微企业采购的项目，不再执行价格评审优惠的扶持政策</w:t>
      </w:r>
      <w:r>
        <w:rPr>
          <w:rFonts w:hint="eastAsia" w:ascii="宋体" w:hAnsi="宋体" w:cs="新宋体"/>
          <w:b/>
          <w:bCs/>
          <w:color w:val="auto"/>
          <w:sz w:val="22"/>
          <w:szCs w:val="22"/>
          <w:highlight w:val="none"/>
        </w:rPr>
        <w:t>。</w:t>
      </w:r>
    </w:p>
    <w:p>
      <w:pPr>
        <w:keepNext w:val="0"/>
        <w:keepLines w:val="0"/>
        <w:pageBreakBefore w:val="0"/>
        <w:widowControl w:val="0"/>
        <w:kinsoku/>
        <w:wordWrap/>
        <w:overflowPunct/>
        <w:autoSpaceDE/>
        <w:autoSpaceDN/>
        <w:bidi w:val="0"/>
        <w:adjustRightInd/>
        <w:snapToGrid/>
        <w:spacing w:line="440" w:lineRule="exact"/>
        <w:ind w:firstLine="440" w:firstLineChars="200"/>
        <w:textAlignment w:val="auto"/>
        <w:rPr>
          <w:color w:val="auto"/>
          <w:highlight w:val="none"/>
        </w:rPr>
      </w:pPr>
      <w:r>
        <w:rPr>
          <w:rFonts w:hint="eastAsia" w:ascii="新宋体" w:hAnsi="新宋体" w:eastAsia="新宋体" w:cs="宋体"/>
          <w:bCs/>
          <w:color w:val="auto"/>
          <w:sz w:val="22"/>
          <w:highlight w:val="none"/>
        </w:rPr>
        <w:t>②投标如缺少须提供的一种功能或配置或服务，评标价将在其投标价的基础上加上其他供应商相应分项价格的最高价。如若中标，该缺漏项费用将由中标人自行承担</w:t>
      </w:r>
      <w:r>
        <w:rPr>
          <w:rFonts w:hint="eastAsia" w:ascii="宋体" w:hAnsi="宋体" w:cs="宋体"/>
          <w:bCs/>
          <w:color w:val="auto"/>
          <w:sz w:val="22"/>
          <w:highlight w:val="none"/>
        </w:rPr>
        <w:t>。</w:t>
      </w:r>
    </w:p>
    <w:p>
      <w:pPr>
        <w:keepNext w:val="0"/>
        <w:keepLines w:val="0"/>
        <w:pageBreakBefore w:val="0"/>
        <w:widowControl w:val="0"/>
        <w:numPr>
          <w:ilvl w:val="0"/>
          <w:numId w:val="30"/>
        </w:numPr>
        <w:kinsoku/>
        <w:wordWrap/>
        <w:overflowPunct/>
        <w:autoSpaceDE/>
        <w:autoSpaceDN/>
        <w:bidi w:val="0"/>
        <w:adjustRightInd/>
        <w:snapToGrid/>
        <w:spacing w:line="440" w:lineRule="exact"/>
        <w:ind w:firstLine="0"/>
        <w:textAlignment w:val="auto"/>
        <w:rPr>
          <w:rFonts w:ascii="新宋体" w:hAnsi="新宋体" w:eastAsia="新宋体" w:cs="宋体"/>
          <w:b/>
          <w:color w:val="auto"/>
          <w:sz w:val="22"/>
          <w:szCs w:val="22"/>
          <w:highlight w:val="none"/>
        </w:rPr>
      </w:pPr>
      <w:r>
        <w:rPr>
          <w:rFonts w:hint="eastAsia" w:ascii="新宋体" w:hAnsi="新宋体" w:eastAsia="新宋体" w:cs="宋体"/>
          <w:b/>
          <w:color w:val="auto"/>
          <w:sz w:val="22"/>
          <w:szCs w:val="22"/>
          <w:highlight w:val="none"/>
        </w:rPr>
        <w:t>有效投标人的综合得分为商务技术文件得分和投标报价得分的总和。</w:t>
      </w:r>
    </w:p>
    <w:p>
      <w:pPr>
        <w:rPr>
          <w:rFonts w:hint="eastAsia"/>
          <w:color w:val="auto"/>
          <w:highlight w:val="none"/>
        </w:rPr>
      </w:pPr>
    </w:p>
    <w:sectPr>
      <w:footerReference r:id="rId11" w:type="first"/>
      <w:headerReference r:id="rId9" w:type="default"/>
      <w:footerReference r:id="rId10" w:type="default"/>
      <w:type w:val="nextColumn"/>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iti SC Light">
    <w:altName w:val="黑体"/>
    <w:panose1 w:val="02000000000000000000"/>
    <w:charset w:val="00"/>
    <w:family w:val="auto"/>
    <w:pitch w:val="default"/>
    <w:sig w:usb0="00000000" w:usb1="00000000" w:usb2="00000010" w:usb3="00000000" w:csb0="003E0000" w:csb1="00000000"/>
  </w:font>
  <w:font w:name="Arial Unicode MS">
    <w:altName w:val="Arial"/>
    <w:panose1 w:val="020B0604020202020204"/>
    <w:charset w:val="00"/>
    <w:family w:val="swiss"/>
    <w:pitch w:val="default"/>
    <w:sig w:usb0="00000000" w:usb1="00000000" w:usb2="0000003F" w:usb3="00000000" w:csb0="003F01FF" w:csb1="0000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00"/>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Univers LT Std 47 Cn L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Univers LT Std 57 Cn">
    <w:altName w:val="Segoe Print"/>
    <w:panose1 w:val="00000000000000000000"/>
    <w:charset w:val="00"/>
    <w:family w:val="swiss"/>
    <w:pitch w:val="default"/>
    <w:sig w:usb0="00000000" w:usb1="00000000" w:usb2="0000000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410" w:firstLineChars="245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top w:val="single" w:color="auto" w:sz="4" w:space="1"/>
      </w:pBdr>
      <w:ind w:right="-82" w:rightChars="-39" w:firstLine="4410" w:firstLineChars="2450"/>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pPr>
                            <w:pStyle w:val="36"/>
                            <w:rPr>
                              <w:rStyle w:val="61"/>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52</w:t>
                          </w:r>
                          <w:r>
                            <w:rPr>
                              <w:rFonts w:hint="eastAsia" w:ascii="新宋体" w:hAnsi="新宋体" w:eastAsia="新宋体" w:cs="新宋体"/>
                              <w:b/>
                              <w:sz w:val="16"/>
                              <w:szCs w:val="16"/>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uTFWtQAAAADAQAADwAAAAAAAAABACAA&#10;AAAiAAAAZHJzL2Rvd25yZXYueG1sUEsBAhQAFAAAAAgAh07iQIndUY/YAQAApAMAAA4AAAAAAAAA&#10;AQAgAAAAIwEAAGRycy9lMm9Eb2MueG1sUEsFBgAAAAAGAAYAWQEAAG0FAAAAAA==&#10;">
              <v:fill on="f" focussize="0,0"/>
              <v:stroke on="f"/>
              <v:imagedata o:title=""/>
              <o:lock v:ext="edit" aspectratio="f"/>
              <v:textbox inset="0mm,0mm,0mm,0mm">
                <w:txbxContent>
                  <w:p>
                    <w:pPr>
                      <w:pStyle w:val="36"/>
                      <w:rPr>
                        <w:rStyle w:val="61"/>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52</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AfD9nK4wEAALsDAAAO&#10;AAAAAAAAAAEAIAAAAB8BAABkcnMvZTJvRG9jLnhtbFBLBQYAAAAABgAGAFkBAAB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left"/>
    </w:pPr>
    <w:r>
      <w:rPr>
        <w:rFonts w:hint="eastAsia"/>
      </w:rPr>
      <w:t xml:space="preserve">温州市政府采购采购文件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D3A6B713"/>
    <w:multiLevelType w:val="singleLevel"/>
    <w:tmpl w:val="D3A6B713"/>
    <w:lvl w:ilvl="0" w:tentative="0">
      <w:start w:val="1"/>
      <w:numFmt w:val="decimal"/>
      <w:lvlText w:val="%1)"/>
      <w:lvlJc w:val="left"/>
      <w:pPr>
        <w:ind w:left="425" w:hanging="425"/>
      </w:pPr>
      <w:rPr>
        <w:rFonts w:hint="default"/>
      </w:rPr>
    </w:lvl>
  </w:abstractNum>
  <w:abstractNum w:abstractNumId="4">
    <w:nsid w:val="00000005"/>
    <w:multiLevelType w:val="multilevel"/>
    <w:tmpl w:val="00000005"/>
    <w:lvl w:ilvl="0" w:tentative="0">
      <w:start w:val="1"/>
      <w:numFmt w:val="bullet"/>
      <w:pStyle w:val="27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5">
    <w:nsid w:val="00000006"/>
    <w:multiLevelType w:val="multilevel"/>
    <w:tmpl w:val="00000006"/>
    <w:lvl w:ilvl="0" w:tentative="0">
      <w:start w:val="1"/>
      <w:numFmt w:val="decimal"/>
      <w:pStyle w:val="17"/>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5"/>
      <w:numFmt w:val="decimal"/>
      <w:pStyle w:val="524"/>
      <w:lvlText w:val="%1."/>
      <w:lvlJc w:val="left"/>
      <w:pPr>
        <w:tabs>
          <w:tab w:val="left" w:pos="360"/>
        </w:tabs>
        <w:ind w:left="360" w:hanging="360"/>
      </w:pPr>
      <w:rPr>
        <w:rFonts w:hint="default"/>
      </w:rPr>
    </w:lvl>
    <w:lvl w:ilvl="1" w:tentative="0">
      <w:start w:val="0"/>
      <w:numFmt w:val="none"/>
      <w:pStyle w:val="493"/>
      <w:lvlText w:val=""/>
      <w:lvlJc w:val="left"/>
      <w:pPr>
        <w:tabs>
          <w:tab w:val="left" w:pos="360"/>
        </w:tabs>
      </w:pPr>
    </w:lvl>
    <w:lvl w:ilvl="2" w:tentative="0">
      <w:start w:val="0"/>
      <w:numFmt w:val="none"/>
      <w:pStyle w:val="471"/>
      <w:lvlText w:val=""/>
      <w:lvlJc w:val="left"/>
      <w:pPr>
        <w:tabs>
          <w:tab w:val="left" w:pos="360"/>
        </w:tabs>
      </w:pPr>
    </w:lvl>
    <w:lvl w:ilvl="3" w:tentative="0">
      <w:start w:val="0"/>
      <w:numFmt w:val="none"/>
      <w:pStyle w:val="470"/>
      <w:lvlText w:val=""/>
      <w:lvlJc w:val="left"/>
      <w:pPr>
        <w:tabs>
          <w:tab w:val="left" w:pos="360"/>
        </w:tabs>
      </w:pPr>
    </w:lvl>
    <w:lvl w:ilvl="4" w:tentative="0">
      <w:start w:val="0"/>
      <w:numFmt w:val="none"/>
      <w:pStyle w:val="501"/>
      <w:lvlText w:val=""/>
      <w:lvlJc w:val="left"/>
      <w:pPr>
        <w:tabs>
          <w:tab w:val="left" w:pos="360"/>
        </w:tabs>
      </w:pPr>
    </w:lvl>
    <w:lvl w:ilvl="5" w:tentative="0">
      <w:start w:val="0"/>
      <w:numFmt w:val="none"/>
      <w:pStyle w:val="627"/>
      <w:lvlText w:val=""/>
      <w:lvlJc w:val="left"/>
      <w:pPr>
        <w:tabs>
          <w:tab w:val="left" w:pos="360"/>
        </w:tabs>
      </w:pPr>
    </w:lvl>
    <w:lvl w:ilvl="6" w:tentative="0">
      <w:start w:val="0"/>
      <w:numFmt w:val="none"/>
      <w:pStyle w:val="626"/>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3"/>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CA93D76"/>
    <w:multiLevelType w:val="singleLevel"/>
    <w:tmpl w:val="0CA93D76"/>
    <w:lvl w:ilvl="0" w:tentative="0">
      <w:start w:val="2"/>
      <w:numFmt w:val="decimal"/>
      <w:suff w:val="nothing"/>
      <w:lvlText w:val="%1、"/>
      <w:lvlJc w:val="left"/>
      <w:pPr>
        <w:ind w:left="190"/>
      </w:pPr>
    </w:lvl>
  </w:abstractNum>
  <w:abstractNum w:abstractNumId="10">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2">
    <w:nsid w:val="2D723055"/>
    <w:multiLevelType w:val="multilevel"/>
    <w:tmpl w:val="2D723055"/>
    <w:lvl w:ilvl="0" w:tentative="0">
      <w:start w:val="1"/>
      <w:numFmt w:val="bullet"/>
      <w:pStyle w:val="598"/>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2DD62459"/>
    <w:multiLevelType w:val="singleLevel"/>
    <w:tmpl w:val="2DD62459"/>
    <w:lvl w:ilvl="0" w:tentative="0">
      <w:start w:val="1"/>
      <w:numFmt w:val="bullet"/>
      <w:pStyle w:val="659"/>
      <w:lvlText w:val=""/>
      <w:lvlJc w:val="left"/>
      <w:pPr>
        <w:tabs>
          <w:tab w:val="left" w:pos="425"/>
        </w:tabs>
        <w:ind w:left="425" w:hanging="425"/>
      </w:pPr>
      <w:rPr>
        <w:rFonts w:hint="default" w:ascii="Wingdings" w:hAnsi="Wingdings"/>
      </w:rPr>
    </w:lvl>
  </w:abstractNum>
  <w:abstractNum w:abstractNumId="14">
    <w:nsid w:val="335030C5"/>
    <w:multiLevelType w:val="multilevel"/>
    <w:tmpl w:val="335030C5"/>
    <w:lvl w:ilvl="0" w:tentative="0">
      <w:start w:val="1"/>
      <w:numFmt w:val="decimal"/>
      <w:pStyle w:val="519"/>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35B05358"/>
    <w:multiLevelType w:val="multilevel"/>
    <w:tmpl w:val="35B05358"/>
    <w:lvl w:ilvl="0" w:tentative="0">
      <w:start w:val="1"/>
      <w:numFmt w:val="bullet"/>
      <w:pStyle w:val="54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9622E4B"/>
    <w:multiLevelType w:val="multilevel"/>
    <w:tmpl w:val="39622E4B"/>
    <w:lvl w:ilvl="0" w:tentative="0">
      <w:start w:val="1"/>
      <w:numFmt w:val="decimal"/>
      <w:pStyle w:val="352"/>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7">
    <w:nsid w:val="496D15BE"/>
    <w:multiLevelType w:val="multilevel"/>
    <w:tmpl w:val="496D15BE"/>
    <w:lvl w:ilvl="0" w:tentative="0">
      <w:start w:val="1"/>
      <w:numFmt w:val="decimal"/>
      <w:pStyle w:val="292"/>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4CA75A52"/>
    <w:multiLevelType w:val="multilevel"/>
    <w:tmpl w:val="4CA75A52"/>
    <w:lvl w:ilvl="0" w:tentative="0">
      <w:start w:val="1"/>
      <w:numFmt w:val="decimal"/>
      <w:pStyle w:val="568"/>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9">
    <w:nsid w:val="54F403B5"/>
    <w:multiLevelType w:val="singleLevel"/>
    <w:tmpl w:val="54F403B5"/>
    <w:lvl w:ilvl="0" w:tentative="0">
      <w:start w:val="1"/>
      <w:numFmt w:val="chineseCounting"/>
      <w:suff w:val="nothing"/>
      <w:lvlText w:val="%1、"/>
      <w:lvlJc w:val="left"/>
      <w:pPr>
        <w:ind w:left="0" w:firstLine="0"/>
      </w:pPr>
    </w:lvl>
  </w:abstractNum>
  <w:abstractNum w:abstractNumId="20">
    <w:nsid w:val="550F68AE"/>
    <w:multiLevelType w:val="multilevel"/>
    <w:tmpl w:val="550F68AE"/>
    <w:lvl w:ilvl="0" w:tentative="0">
      <w:start w:val="1"/>
      <w:numFmt w:val="decimal"/>
      <w:pStyle w:val="600"/>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7FD3DA"/>
    <w:multiLevelType w:val="singleLevel"/>
    <w:tmpl w:val="557FD3DA"/>
    <w:lvl w:ilvl="0" w:tentative="0">
      <w:start w:val="3"/>
      <w:numFmt w:val="chineseCounting"/>
      <w:suff w:val="nothing"/>
      <w:lvlText w:val="%1、"/>
      <w:lvlJc w:val="left"/>
      <w:pPr>
        <w:ind w:left="0" w:firstLine="0"/>
      </w:pPr>
    </w:lvl>
  </w:abstractNum>
  <w:abstractNum w:abstractNumId="22">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61F27CA"/>
    <w:multiLevelType w:val="singleLevel"/>
    <w:tmpl w:val="661F27CA"/>
    <w:lvl w:ilvl="0" w:tentative="0">
      <w:start w:val="1"/>
      <w:numFmt w:val="decimal"/>
      <w:suff w:val="nothing"/>
      <w:lvlText w:val="（%1）"/>
      <w:lvlJc w:val="left"/>
    </w:lvl>
  </w:abstractNum>
  <w:abstractNum w:abstractNumId="24">
    <w:nsid w:val="6B864C8B"/>
    <w:multiLevelType w:val="multilevel"/>
    <w:tmpl w:val="6B864C8B"/>
    <w:lvl w:ilvl="0" w:tentative="0">
      <w:start w:val="1"/>
      <w:numFmt w:val="decimal"/>
      <w:pStyle w:val="534"/>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2"/>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5">
    <w:nsid w:val="70391D9F"/>
    <w:multiLevelType w:val="multilevel"/>
    <w:tmpl w:val="70391D9F"/>
    <w:lvl w:ilvl="0" w:tentative="0">
      <w:start w:val="1"/>
      <w:numFmt w:val="bullet"/>
      <w:pStyle w:val="419"/>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6">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27">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5"/>
      <w:lvlText w:val=""/>
      <w:lvlJc w:val="left"/>
      <w:pPr>
        <w:ind w:left="840" w:hanging="420"/>
      </w:pPr>
      <w:rPr>
        <w:rFonts w:hint="default" w:ascii="Wingdings" w:hAnsi="Wingdings"/>
      </w:rPr>
    </w:lvl>
    <w:lvl w:ilvl="2" w:tentative="0">
      <w:start w:val="1"/>
      <w:numFmt w:val="bullet"/>
      <w:pStyle w:val="645"/>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9213472"/>
    <w:multiLevelType w:val="multilevel"/>
    <w:tmpl w:val="79213472"/>
    <w:lvl w:ilvl="0" w:tentative="0">
      <w:start w:val="1"/>
      <w:numFmt w:val="decimal"/>
      <w:pStyle w:val="263"/>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29">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24"/>
  </w:num>
  <w:num w:numId="3">
    <w:abstractNumId w:val="28"/>
  </w:num>
  <w:num w:numId="4">
    <w:abstractNumId w:val="4"/>
  </w:num>
  <w:num w:numId="5">
    <w:abstractNumId w:val="17"/>
  </w:num>
  <w:num w:numId="6">
    <w:abstractNumId w:val="16"/>
  </w:num>
  <w:num w:numId="7">
    <w:abstractNumId w:val="25"/>
  </w:num>
  <w:num w:numId="8">
    <w:abstractNumId w:val="27"/>
  </w:num>
  <w:num w:numId="9">
    <w:abstractNumId w:val="6"/>
  </w:num>
  <w:num w:numId="10">
    <w:abstractNumId w:val="14"/>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lvlOverride w:ilvl="0">
      <w:startOverride w:val="1"/>
    </w:lvlOverride>
  </w:num>
  <w:num w:numId="15">
    <w:abstractNumId w:val="13"/>
  </w:num>
  <w:num w:numId="16">
    <w:abstractNumId w:val="7"/>
  </w:num>
  <w:num w:numId="17">
    <w:abstractNumId w:val="23"/>
  </w:num>
  <w:num w:numId="18">
    <w:abstractNumId w:val="29"/>
  </w:num>
  <w:num w:numId="19">
    <w:abstractNumId w:val="2"/>
  </w:num>
  <w:num w:numId="20">
    <w:abstractNumId w:val="8"/>
  </w:num>
  <w:num w:numId="21">
    <w:abstractNumId w:val="10"/>
  </w:num>
  <w:num w:numId="22">
    <w:abstractNumId w:val="19"/>
    <w:lvlOverride w:ilvl="0">
      <w:startOverride w:val="1"/>
    </w:lvlOverride>
  </w:num>
  <w:num w:numId="23">
    <w:abstractNumId w:val="21"/>
    <w:lvlOverride w:ilvl="0">
      <w:startOverride w:val="3"/>
    </w:lvlOverride>
  </w:num>
  <w:num w:numId="24">
    <w:abstractNumId w:val="22"/>
  </w:num>
  <w:num w:numId="25">
    <w:abstractNumId w:val="1"/>
  </w:num>
  <w:num w:numId="26">
    <w:abstractNumId w:val="0"/>
  </w:num>
  <w:num w:numId="27">
    <w:abstractNumId w:val="9"/>
  </w:num>
  <w:num w:numId="28">
    <w:abstractNumId w:val="3"/>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20D1"/>
    <w:rsid w:val="0001503C"/>
    <w:rsid w:val="0001521F"/>
    <w:rsid w:val="00016CCB"/>
    <w:rsid w:val="00017492"/>
    <w:rsid w:val="000174C3"/>
    <w:rsid w:val="0002135E"/>
    <w:rsid w:val="00023A68"/>
    <w:rsid w:val="0002424F"/>
    <w:rsid w:val="00025364"/>
    <w:rsid w:val="00034534"/>
    <w:rsid w:val="0003480C"/>
    <w:rsid w:val="00034C4D"/>
    <w:rsid w:val="0003586B"/>
    <w:rsid w:val="000404E1"/>
    <w:rsid w:val="00041F17"/>
    <w:rsid w:val="000423D5"/>
    <w:rsid w:val="00051759"/>
    <w:rsid w:val="000526A1"/>
    <w:rsid w:val="000528C6"/>
    <w:rsid w:val="000546C0"/>
    <w:rsid w:val="000609AA"/>
    <w:rsid w:val="00063852"/>
    <w:rsid w:val="00071105"/>
    <w:rsid w:val="00072217"/>
    <w:rsid w:val="00072D0A"/>
    <w:rsid w:val="00074270"/>
    <w:rsid w:val="00074BEF"/>
    <w:rsid w:val="0007567B"/>
    <w:rsid w:val="00075CA7"/>
    <w:rsid w:val="000765F2"/>
    <w:rsid w:val="000766F3"/>
    <w:rsid w:val="000772F6"/>
    <w:rsid w:val="0009250A"/>
    <w:rsid w:val="00096156"/>
    <w:rsid w:val="00096BB9"/>
    <w:rsid w:val="000A0F1B"/>
    <w:rsid w:val="000A10A2"/>
    <w:rsid w:val="000A134A"/>
    <w:rsid w:val="000A1A6B"/>
    <w:rsid w:val="000A2103"/>
    <w:rsid w:val="000A481C"/>
    <w:rsid w:val="000A4837"/>
    <w:rsid w:val="000A5391"/>
    <w:rsid w:val="000A5C27"/>
    <w:rsid w:val="000A5CE7"/>
    <w:rsid w:val="000B4764"/>
    <w:rsid w:val="000B4E1F"/>
    <w:rsid w:val="000B6A9E"/>
    <w:rsid w:val="000B7348"/>
    <w:rsid w:val="000B75CB"/>
    <w:rsid w:val="000B7D87"/>
    <w:rsid w:val="000C034C"/>
    <w:rsid w:val="000C0DAD"/>
    <w:rsid w:val="000C1E25"/>
    <w:rsid w:val="000C1FCD"/>
    <w:rsid w:val="000C2444"/>
    <w:rsid w:val="000C33CF"/>
    <w:rsid w:val="000C36B8"/>
    <w:rsid w:val="000C58F2"/>
    <w:rsid w:val="000C76E1"/>
    <w:rsid w:val="000D0679"/>
    <w:rsid w:val="000D3765"/>
    <w:rsid w:val="000D3B14"/>
    <w:rsid w:val="000D4ACC"/>
    <w:rsid w:val="000D548C"/>
    <w:rsid w:val="000E0F78"/>
    <w:rsid w:val="000E1986"/>
    <w:rsid w:val="000E37E0"/>
    <w:rsid w:val="000E3DDC"/>
    <w:rsid w:val="000E44B1"/>
    <w:rsid w:val="000E56A0"/>
    <w:rsid w:val="000E74F4"/>
    <w:rsid w:val="000E77C2"/>
    <w:rsid w:val="000E7F08"/>
    <w:rsid w:val="000F31F1"/>
    <w:rsid w:val="000F65DE"/>
    <w:rsid w:val="00100804"/>
    <w:rsid w:val="00102504"/>
    <w:rsid w:val="00102794"/>
    <w:rsid w:val="00105AFE"/>
    <w:rsid w:val="0010755B"/>
    <w:rsid w:val="00113898"/>
    <w:rsid w:val="001147D0"/>
    <w:rsid w:val="00115140"/>
    <w:rsid w:val="0011601B"/>
    <w:rsid w:val="001203C5"/>
    <w:rsid w:val="00120AE6"/>
    <w:rsid w:val="00120C4F"/>
    <w:rsid w:val="00125E3E"/>
    <w:rsid w:val="00132584"/>
    <w:rsid w:val="00134C12"/>
    <w:rsid w:val="001373E0"/>
    <w:rsid w:val="00137AC1"/>
    <w:rsid w:val="00146621"/>
    <w:rsid w:val="00147402"/>
    <w:rsid w:val="001504E5"/>
    <w:rsid w:val="00153389"/>
    <w:rsid w:val="00154344"/>
    <w:rsid w:val="00157A56"/>
    <w:rsid w:val="00157D81"/>
    <w:rsid w:val="00162E03"/>
    <w:rsid w:val="001648AA"/>
    <w:rsid w:val="00165AEE"/>
    <w:rsid w:val="00166956"/>
    <w:rsid w:val="00171C49"/>
    <w:rsid w:val="00172A27"/>
    <w:rsid w:val="00173998"/>
    <w:rsid w:val="001752CD"/>
    <w:rsid w:val="00177023"/>
    <w:rsid w:val="001818DB"/>
    <w:rsid w:val="00182E5C"/>
    <w:rsid w:val="0018413B"/>
    <w:rsid w:val="00184AAB"/>
    <w:rsid w:val="00187F28"/>
    <w:rsid w:val="001907CE"/>
    <w:rsid w:val="001917D3"/>
    <w:rsid w:val="001942DC"/>
    <w:rsid w:val="001952CC"/>
    <w:rsid w:val="00197D94"/>
    <w:rsid w:val="001A0025"/>
    <w:rsid w:val="001A06A2"/>
    <w:rsid w:val="001A0A65"/>
    <w:rsid w:val="001A25D3"/>
    <w:rsid w:val="001A57C3"/>
    <w:rsid w:val="001A5957"/>
    <w:rsid w:val="001B192B"/>
    <w:rsid w:val="001B281E"/>
    <w:rsid w:val="001B2834"/>
    <w:rsid w:val="001B5B5D"/>
    <w:rsid w:val="001B767A"/>
    <w:rsid w:val="001C18E4"/>
    <w:rsid w:val="001C1C0A"/>
    <w:rsid w:val="001C1CEE"/>
    <w:rsid w:val="001C3C94"/>
    <w:rsid w:val="001C6714"/>
    <w:rsid w:val="001C7ED9"/>
    <w:rsid w:val="001D000C"/>
    <w:rsid w:val="001D010E"/>
    <w:rsid w:val="001D1BF1"/>
    <w:rsid w:val="001D30A0"/>
    <w:rsid w:val="001D32C3"/>
    <w:rsid w:val="001D7349"/>
    <w:rsid w:val="001E3203"/>
    <w:rsid w:val="001E6123"/>
    <w:rsid w:val="001F04E0"/>
    <w:rsid w:val="001F10CC"/>
    <w:rsid w:val="001F13BC"/>
    <w:rsid w:val="001F3B5D"/>
    <w:rsid w:val="001F5185"/>
    <w:rsid w:val="001F55A7"/>
    <w:rsid w:val="001F55D4"/>
    <w:rsid w:val="001F597A"/>
    <w:rsid w:val="002000CE"/>
    <w:rsid w:val="002016D5"/>
    <w:rsid w:val="0020200F"/>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080E"/>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264D"/>
    <w:rsid w:val="00252D92"/>
    <w:rsid w:val="0025717C"/>
    <w:rsid w:val="002612C9"/>
    <w:rsid w:val="00261AE6"/>
    <w:rsid w:val="00261C54"/>
    <w:rsid w:val="00262836"/>
    <w:rsid w:val="00264C67"/>
    <w:rsid w:val="00275AE0"/>
    <w:rsid w:val="00277AE9"/>
    <w:rsid w:val="00280665"/>
    <w:rsid w:val="002808A3"/>
    <w:rsid w:val="0028097B"/>
    <w:rsid w:val="00281371"/>
    <w:rsid w:val="0028173C"/>
    <w:rsid w:val="00281DDD"/>
    <w:rsid w:val="00283764"/>
    <w:rsid w:val="002851A6"/>
    <w:rsid w:val="002857A5"/>
    <w:rsid w:val="0028639F"/>
    <w:rsid w:val="00287AD3"/>
    <w:rsid w:val="00290D89"/>
    <w:rsid w:val="00293952"/>
    <w:rsid w:val="002A2185"/>
    <w:rsid w:val="002A3701"/>
    <w:rsid w:val="002A425D"/>
    <w:rsid w:val="002A4CFC"/>
    <w:rsid w:val="002A4FBF"/>
    <w:rsid w:val="002B0EFA"/>
    <w:rsid w:val="002B1DDF"/>
    <w:rsid w:val="002B20CC"/>
    <w:rsid w:val="002B2B0D"/>
    <w:rsid w:val="002B5B79"/>
    <w:rsid w:val="002B60D6"/>
    <w:rsid w:val="002B7EA6"/>
    <w:rsid w:val="002C0713"/>
    <w:rsid w:val="002C07CB"/>
    <w:rsid w:val="002C133A"/>
    <w:rsid w:val="002C1B9D"/>
    <w:rsid w:val="002C1F7A"/>
    <w:rsid w:val="002C6213"/>
    <w:rsid w:val="002C68D8"/>
    <w:rsid w:val="002C7FDE"/>
    <w:rsid w:val="002D0B59"/>
    <w:rsid w:val="002D2049"/>
    <w:rsid w:val="002D36F0"/>
    <w:rsid w:val="002D3A02"/>
    <w:rsid w:val="002D79D3"/>
    <w:rsid w:val="002E072B"/>
    <w:rsid w:val="002E0FA1"/>
    <w:rsid w:val="002E3ED6"/>
    <w:rsid w:val="002E44AF"/>
    <w:rsid w:val="002E4E17"/>
    <w:rsid w:val="002E55A5"/>
    <w:rsid w:val="002F5652"/>
    <w:rsid w:val="002F5E0B"/>
    <w:rsid w:val="002F7683"/>
    <w:rsid w:val="00305B41"/>
    <w:rsid w:val="003065FB"/>
    <w:rsid w:val="003109E5"/>
    <w:rsid w:val="00310E51"/>
    <w:rsid w:val="0031653A"/>
    <w:rsid w:val="00317168"/>
    <w:rsid w:val="00317549"/>
    <w:rsid w:val="00320364"/>
    <w:rsid w:val="00321DA0"/>
    <w:rsid w:val="00322559"/>
    <w:rsid w:val="00324F57"/>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A8C"/>
    <w:rsid w:val="00370B04"/>
    <w:rsid w:val="00373FD6"/>
    <w:rsid w:val="00374BBC"/>
    <w:rsid w:val="003751D2"/>
    <w:rsid w:val="003762D2"/>
    <w:rsid w:val="003777B7"/>
    <w:rsid w:val="003802E6"/>
    <w:rsid w:val="00382609"/>
    <w:rsid w:val="00382FA1"/>
    <w:rsid w:val="00384072"/>
    <w:rsid w:val="003857DC"/>
    <w:rsid w:val="00386C09"/>
    <w:rsid w:val="00391DD0"/>
    <w:rsid w:val="00395D79"/>
    <w:rsid w:val="003A1A9C"/>
    <w:rsid w:val="003A23FC"/>
    <w:rsid w:val="003A38AD"/>
    <w:rsid w:val="003A51E4"/>
    <w:rsid w:val="003A5340"/>
    <w:rsid w:val="003B226B"/>
    <w:rsid w:val="003B31DD"/>
    <w:rsid w:val="003B4250"/>
    <w:rsid w:val="003B4C14"/>
    <w:rsid w:val="003B6D7D"/>
    <w:rsid w:val="003C00A0"/>
    <w:rsid w:val="003C38C6"/>
    <w:rsid w:val="003C415B"/>
    <w:rsid w:val="003C4C5B"/>
    <w:rsid w:val="003C5F18"/>
    <w:rsid w:val="003C650A"/>
    <w:rsid w:val="003D0862"/>
    <w:rsid w:val="003D1274"/>
    <w:rsid w:val="003D28C5"/>
    <w:rsid w:val="003D43D9"/>
    <w:rsid w:val="003D5E4D"/>
    <w:rsid w:val="003D6656"/>
    <w:rsid w:val="003E1A9C"/>
    <w:rsid w:val="003E29FF"/>
    <w:rsid w:val="003F1255"/>
    <w:rsid w:val="003F3E8B"/>
    <w:rsid w:val="003F4B65"/>
    <w:rsid w:val="003F5510"/>
    <w:rsid w:val="003F5773"/>
    <w:rsid w:val="003F633D"/>
    <w:rsid w:val="003F6B05"/>
    <w:rsid w:val="003F6E3F"/>
    <w:rsid w:val="0040337C"/>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4B76"/>
    <w:rsid w:val="00436CD3"/>
    <w:rsid w:val="00437AC9"/>
    <w:rsid w:val="00440660"/>
    <w:rsid w:val="004412DE"/>
    <w:rsid w:val="004418B9"/>
    <w:rsid w:val="00442CCB"/>
    <w:rsid w:val="00444318"/>
    <w:rsid w:val="004463BF"/>
    <w:rsid w:val="00447401"/>
    <w:rsid w:val="0045083A"/>
    <w:rsid w:val="00450E4F"/>
    <w:rsid w:val="004551E9"/>
    <w:rsid w:val="004574C5"/>
    <w:rsid w:val="00463EF4"/>
    <w:rsid w:val="004643B6"/>
    <w:rsid w:val="004652A3"/>
    <w:rsid w:val="0047158F"/>
    <w:rsid w:val="00471C40"/>
    <w:rsid w:val="00471C4F"/>
    <w:rsid w:val="004755A8"/>
    <w:rsid w:val="0048110A"/>
    <w:rsid w:val="00481F74"/>
    <w:rsid w:val="004821A8"/>
    <w:rsid w:val="004842E1"/>
    <w:rsid w:val="00485DA9"/>
    <w:rsid w:val="00492571"/>
    <w:rsid w:val="004956DF"/>
    <w:rsid w:val="0049766C"/>
    <w:rsid w:val="004A0FEC"/>
    <w:rsid w:val="004A1225"/>
    <w:rsid w:val="004A3332"/>
    <w:rsid w:val="004A6DF9"/>
    <w:rsid w:val="004A7385"/>
    <w:rsid w:val="004A7A17"/>
    <w:rsid w:val="004B1399"/>
    <w:rsid w:val="004B3275"/>
    <w:rsid w:val="004B3428"/>
    <w:rsid w:val="004B617F"/>
    <w:rsid w:val="004B7F58"/>
    <w:rsid w:val="004C1B49"/>
    <w:rsid w:val="004C255B"/>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1B93"/>
    <w:rsid w:val="00514650"/>
    <w:rsid w:val="0052285A"/>
    <w:rsid w:val="00522E7A"/>
    <w:rsid w:val="00526521"/>
    <w:rsid w:val="00526F98"/>
    <w:rsid w:val="00543D9A"/>
    <w:rsid w:val="00543E8A"/>
    <w:rsid w:val="00543F07"/>
    <w:rsid w:val="00543FBA"/>
    <w:rsid w:val="00547714"/>
    <w:rsid w:val="00547B6D"/>
    <w:rsid w:val="005510CD"/>
    <w:rsid w:val="00551F4A"/>
    <w:rsid w:val="00556412"/>
    <w:rsid w:val="00560C80"/>
    <w:rsid w:val="00560F44"/>
    <w:rsid w:val="005620B3"/>
    <w:rsid w:val="00564B33"/>
    <w:rsid w:val="00564D29"/>
    <w:rsid w:val="005657AE"/>
    <w:rsid w:val="00567CB7"/>
    <w:rsid w:val="00572BE1"/>
    <w:rsid w:val="0057398E"/>
    <w:rsid w:val="00573CEF"/>
    <w:rsid w:val="0057515B"/>
    <w:rsid w:val="005754DB"/>
    <w:rsid w:val="005756AB"/>
    <w:rsid w:val="005830B3"/>
    <w:rsid w:val="00584716"/>
    <w:rsid w:val="00584782"/>
    <w:rsid w:val="00590BED"/>
    <w:rsid w:val="00590DE4"/>
    <w:rsid w:val="005A15E7"/>
    <w:rsid w:val="005A23D2"/>
    <w:rsid w:val="005A2468"/>
    <w:rsid w:val="005A43B4"/>
    <w:rsid w:val="005A4A96"/>
    <w:rsid w:val="005A6404"/>
    <w:rsid w:val="005A6500"/>
    <w:rsid w:val="005B28B6"/>
    <w:rsid w:val="005B5756"/>
    <w:rsid w:val="005B7403"/>
    <w:rsid w:val="005B7F32"/>
    <w:rsid w:val="005C139E"/>
    <w:rsid w:val="005C2F6F"/>
    <w:rsid w:val="005C39EB"/>
    <w:rsid w:val="005C4918"/>
    <w:rsid w:val="005D0C26"/>
    <w:rsid w:val="005D0F95"/>
    <w:rsid w:val="005D225B"/>
    <w:rsid w:val="005D5C43"/>
    <w:rsid w:val="005E1C05"/>
    <w:rsid w:val="005E46C6"/>
    <w:rsid w:val="005F178D"/>
    <w:rsid w:val="005F2119"/>
    <w:rsid w:val="005F255D"/>
    <w:rsid w:val="005F5EAF"/>
    <w:rsid w:val="005F71EE"/>
    <w:rsid w:val="006015D9"/>
    <w:rsid w:val="0060182B"/>
    <w:rsid w:val="00603FC8"/>
    <w:rsid w:val="0060488B"/>
    <w:rsid w:val="006069DE"/>
    <w:rsid w:val="0061145C"/>
    <w:rsid w:val="00611E6C"/>
    <w:rsid w:val="00617067"/>
    <w:rsid w:val="00621082"/>
    <w:rsid w:val="006255A7"/>
    <w:rsid w:val="00625E53"/>
    <w:rsid w:val="00627A30"/>
    <w:rsid w:val="0063428C"/>
    <w:rsid w:val="006347A2"/>
    <w:rsid w:val="00635361"/>
    <w:rsid w:val="00637353"/>
    <w:rsid w:val="00637756"/>
    <w:rsid w:val="006413C8"/>
    <w:rsid w:val="00642748"/>
    <w:rsid w:val="00642A86"/>
    <w:rsid w:val="00643947"/>
    <w:rsid w:val="00643D21"/>
    <w:rsid w:val="006459F0"/>
    <w:rsid w:val="006464D5"/>
    <w:rsid w:val="00646DE9"/>
    <w:rsid w:val="00651809"/>
    <w:rsid w:val="00653BB6"/>
    <w:rsid w:val="0065478D"/>
    <w:rsid w:val="00655A70"/>
    <w:rsid w:val="00655E4C"/>
    <w:rsid w:val="00660862"/>
    <w:rsid w:val="0066201B"/>
    <w:rsid w:val="00662A63"/>
    <w:rsid w:val="00663E83"/>
    <w:rsid w:val="00664DF9"/>
    <w:rsid w:val="00665183"/>
    <w:rsid w:val="00667386"/>
    <w:rsid w:val="006673DB"/>
    <w:rsid w:val="00667927"/>
    <w:rsid w:val="00667BC4"/>
    <w:rsid w:val="00667BEB"/>
    <w:rsid w:val="00670D62"/>
    <w:rsid w:val="00671CED"/>
    <w:rsid w:val="006750C4"/>
    <w:rsid w:val="0068035C"/>
    <w:rsid w:val="00680E92"/>
    <w:rsid w:val="00682CF5"/>
    <w:rsid w:val="0068353C"/>
    <w:rsid w:val="00683600"/>
    <w:rsid w:val="00690FC4"/>
    <w:rsid w:val="00692C33"/>
    <w:rsid w:val="00693969"/>
    <w:rsid w:val="0069593E"/>
    <w:rsid w:val="00696324"/>
    <w:rsid w:val="006A166D"/>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24F"/>
    <w:rsid w:val="006C7D81"/>
    <w:rsid w:val="006C7F73"/>
    <w:rsid w:val="006D16A6"/>
    <w:rsid w:val="006D356C"/>
    <w:rsid w:val="006D46D6"/>
    <w:rsid w:val="006D480D"/>
    <w:rsid w:val="006D4D7F"/>
    <w:rsid w:val="006D55EA"/>
    <w:rsid w:val="006D612A"/>
    <w:rsid w:val="006E5898"/>
    <w:rsid w:val="006F000D"/>
    <w:rsid w:val="006F2310"/>
    <w:rsid w:val="006F49BD"/>
    <w:rsid w:val="006F4AD3"/>
    <w:rsid w:val="006F526F"/>
    <w:rsid w:val="006F63E1"/>
    <w:rsid w:val="006F719F"/>
    <w:rsid w:val="007003CB"/>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159A"/>
    <w:rsid w:val="007435B9"/>
    <w:rsid w:val="00744010"/>
    <w:rsid w:val="00746502"/>
    <w:rsid w:val="00747DF4"/>
    <w:rsid w:val="00750FB7"/>
    <w:rsid w:val="007512D7"/>
    <w:rsid w:val="00752013"/>
    <w:rsid w:val="007526D6"/>
    <w:rsid w:val="007527BF"/>
    <w:rsid w:val="007531E2"/>
    <w:rsid w:val="00753717"/>
    <w:rsid w:val="00753F3F"/>
    <w:rsid w:val="0075741F"/>
    <w:rsid w:val="00760716"/>
    <w:rsid w:val="0076216B"/>
    <w:rsid w:val="00762454"/>
    <w:rsid w:val="00764DB2"/>
    <w:rsid w:val="007671C1"/>
    <w:rsid w:val="00770926"/>
    <w:rsid w:val="00771069"/>
    <w:rsid w:val="00774309"/>
    <w:rsid w:val="00774BAD"/>
    <w:rsid w:val="0077511C"/>
    <w:rsid w:val="0078020F"/>
    <w:rsid w:val="00782E66"/>
    <w:rsid w:val="00784419"/>
    <w:rsid w:val="00784FF3"/>
    <w:rsid w:val="00785AD4"/>
    <w:rsid w:val="00786F98"/>
    <w:rsid w:val="00787046"/>
    <w:rsid w:val="00787344"/>
    <w:rsid w:val="00787494"/>
    <w:rsid w:val="00790A06"/>
    <w:rsid w:val="007912C8"/>
    <w:rsid w:val="00791336"/>
    <w:rsid w:val="00792CDE"/>
    <w:rsid w:val="0079558D"/>
    <w:rsid w:val="007956CA"/>
    <w:rsid w:val="0079655D"/>
    <w:rsid w:val="007A214E"/>
    <w:rsid w:val="007A5A35"/>
    <w:rsid w:val="007B1683"/>
    <w:rsid w:val="007B3865"/>
    <w:rsid w:val="007B3B83"/>
    <w:rsid w:val="007B5423"/>
    <w:rsid w:val="007B7552"/>
    <w:rsid w:val="007C1AC7"/>
    <w:rsid w:val="007C2199"/>
    <w:rsid w:val="007C26F8"/>
    <w:rsid w:val="007C614D"/>
    <w:rsid w:val="007D0799"/>
    <w:rsid w:val="007D10AB"/>
    <w:rsid w:val="007D2B68"/>
    <w:rsid w:val="007D3DCD"/>
    <w:rsid w:val="007D4692"/>
    <w:rsid w:val="007D5D99"/>
    <w:rsid w:val="007D6026"/>
    <w:rsid w:val="007D7DC2"/>
    <w:rsid w:val="007E3587"/>
    <w:rsid w:val="007E7DEB"/>
    <w:rsid w:val="007F01B0"/>
    <w:rsid w:val="00803D04"/>
    <w:rsid w:val="008061FD"/>
    <w:rsid w:val="00806933"/>
    <w:rsid w:val="00807618"/>
    <w:rsid w:val="00807DB0"/>
    <w:rsid w:val="00811C8B"/>
    <w:rsid w:val="00814119"/>
    <w:rsid w:val="008145D9"/>
    <w:rsid w:val="00814AB4"/>
    <w:rsid w:val="00815C09"/>
    <w:rsid w:val="00817369"/>
    <w:rsid w:val="00820E50"/>
    <w:rsid w:val="00823CA8"/>
    <w:rsid w:val="0082536B"/>
    <w:rsid w:val="0083027F"/>
    <w:rsid w:val="00833C4E"/>
    <w:rsid w:val="00835804"/>
    <w:rsid w:val="008372CE"/>
    <w:rsid w:val="0084150C"/>
    <w:rsid w:val="00843CA7"/>
    <w:rsid w:val="008442F6"/>
    <w:rsid w:val="00851BB6"/>
    <w:rsid w:val="0085451A"/>
    <w:rsid w:val="00855D7A"/>
    <w:rsid w:val="00857B94"/>
    <w:rsid w:val="00864169"/>
    <w:rsid w:val="00864B02"/>
    <w:rsid w:val="008653D9"/>
    <w:rsid w:val="00870E49"/>
    <w:rsid w:val="008717EC"/>
    <w:rsid w:val="00872BA5"/>
    <w:rsid w:val="00873A39"/>
    <w:rsid w:val="008764B9"/>
    <w:rsid w:val="00876E97"/>
    <w:rsid w:val="00877E73"/>
    <w:rsid w:val="00880083"/>
    <w:rsid w:val="008822EF"/>
    <w:rsid w:val="008826BD"/>
    <w:rsid w:val="008837BD"/>
    <w:rsid w:val="0088633C"/>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4090"/>
    <w:rsid w:val="008F4CD0"/>
    <w:rsid w:val="0090021D"/>
    <w:rsid w:val="00900D62"/>
    <w:rsid w:val="009017C5"/>
    <w:rsid w:val="009031EA"/>
    <w:rsid w:val="00905CEF"/>
    <w:rsid w:val="00907C70"/>
    <w:rsid w:val="00911309"/>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00E"/>
    <w:rsid w:val="009415F2"/>
    <w:rsid w:val="00942007"/>
    <w:rsid w:val="0094329C"/>
    <w:rsid w:val="00944630"/>
    <w:rsid w:val="00944B94"/>
    <w:rsid w:val="0094534C"/>
    <w:rsid w:val="00946899"/>
    <w:rsid w:val="0094770C"/>
    <w:rsid w:val="00947995"/>
    <w:rsid w:val="00947ED2"/>
    <w:rsid w:val="00950009"/>
    <w:rsid w:val="00954060"/>
    <w:rsid w:val="00956846"/>
    <w:rsid w:val="00962BAA"/>
    <w:rsid w:val="0096437E"/>
    <w:rsid w:val="00964734"/>
    <w:rsid w:val="00964C6C"/>
    <w:rsid w:val="00967DE1"/>
    <w:rsid w:val="009719FF"/>
    <w:rsid w:val="00973512"/>
    <w:rsid w:val="009763BE"/>
    <w:rsid w:val="00977F88"/>
    <w:rsid w:val="00980498"/>
    <w:rsid w:val="00980701"/>
    <w:rsid w:val="00980B19"/>
    <w:rsid w:val="00983DB1"/>
    <w:rsid w:val="00984EF6"/>
    <w:rsid w:val="0098645F"/>
    <w:rsid w:val="0098782C"/>
    <w:rsid w:val="009913F0"/>
    <w:rsid w:val="009924CB"/>
    <w:rsid w:val="009934FC"/>
    <w:rsid w:val="009937D6"/>
    <w:rsid w:val="00993B92"/>
    <w:rsid w:val="00993DD0"/>
    <w:rsid w:val="00993EF3"/>
    <w:rsid w:val="00996A02"/>
    <w:rsid w:val="00997A79"/>
    <w:rsid w:val="00997FCD"/>
    <w:rsid w:val="009A0264"/>
    <w:rsid w:val="009A24AD"/>
    <w:rsid w:val="009A3813"/>
    <w:rsid w:val="009A45B9"/>
    <w:rsid w:val="009A5AD0"/>
    <w:rsid w:val="009A6441"/>
    <w:rsid w:val="009A6AB6"/>
    <w:rsid w:val="009A7D93"/>
    <w:rsid w:val="009B0C1A"/>
    <w:rsid w:val="009B22E7"/>
    <w:rsid w:val="009B45BE"/>
    <w:rsid w:val="009B6ABF"/>
    <w:rsid w:val="009B6F7A"/>
    <w:rsid w:val="009B7AC2"/>
    <w:rsid w:val="009C21CC"/>
    <w:rsid w:val="009C26D3"/>
    <w:rsid w:val="009C2DDA"/>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5557"/>
    <w:rsid w:val="00A15831"/>
    <w:rsid w:val="00A1733F"/>
    <w:rsid w:val="00A2301E"/>
    <w:rsid w:val="00A24BF8"/>
    <w:rsid w:val="00A27ECE"/>
    <w:rsid w:val="00A32C97"/>
    <w:rsid w:val="00A3490B"/>
    <w:rsid w:val="00A35069"/>
    <w:rsid w:val="00A40263"/>
    <w:rsid w:val="00A40E62"/>
    <w:rsid w:val="00A45B2C"/>
    <w:rsid w:val="00A46A66"/>
    <w:rsid w:val="00A46D37"/>
    <w:rsid w:val="00A470F3"/>
    <w:rsid w:val="00A50867"/>
    <w:rsid w:val="00A53F23"/>
    <w:rsid w:val="00A5465C"/>
    <w:rsid w:val="00A553DC"/>
    <w:rsid w:val="00A57B31"/>
    <w:rsid w:val="00A60B98"/>
    <w:rsid w:val="00A60D98"/>
    <w:rsid w:val="00A61F6C"/>
    <w:rsid w:val="00A62F4C"/>
    <w:rsid w:val="00A6444E"/>
    <w:rsid w:val="00A6485D"/>
    <w:rsid w:val="00A700B6"/>
    <w:rsid w:val="00A702D9"/>
    <w:rsid w:val="00A7049C"/>
    <w:rsid w:val="00A73305"/>
    <w:rsid w:val="00A758FC"/>
    <w:rsid w:val="00A75945"/>
    <w:rsid w:val="00A76BBB"/>
    <w:rsid w:val="00A821F0"/>
    <w:rsid w:val="00A84268"/>
    <w:rsid w:val="00A8595C"/>
    <w:rsid w:val="00A85E04"/>
    <w:rsid w:val="00A86EC5"/>
    <w:rsid w:val="00A90224"/>
    <w:rsid w:val="00A92608"/>
    <w:rsid w:val="00A92AFD"/>
    <w:rsid w:val="00A94C0F"/>
    <w:rsid w:val="00A957E3"/>
    <w:rsid w:val="00AA0A4B"/>
    <w:rsid w:val="00AA54A8"/>
    <w:rsid w:val="00AB0A9F"/>
    <w:rsid w:val="00AB2D72"/>
    <w:rsid w:val="00AB39EA"/>
    <w:rsid w:val="00AB5391"/>
    <w:rsid w:val="00AC0197"/>
    <w:rsid w:val="00AC242D"/>
    <w:rsid w:val="00AC368D"/>
    <w:rsid w:val="00AC3F3E"/>
    <w:rsid w:val="00AC4072"/>
    <w:rsid w:val="00AC5687"/>
    <w:rsid w:val="00AC608B"/>
    <w:rsid w:val="00AC7993"/>
    <w:rsid w:val="00AD3036"/>
    <w:rsid w:val="00AD3C2E"/>
    <w:rsid w:val="00AD5BB4"/>
    <w:rsid w:val="00AE2EDF"/>
    <w:rsid w:val="00AE395F"/>
    <w:rsid w:val="00AE4A56"/>
    <w:rsid w:val="00AE4B5A"/>
    <w:rsid w:val="00AF3B73"/>
    <w:rsid w:val="00AF50C7"/>
    <w:rsid w:val="00B0030C"/>
    <w:rsid w:val="00B003AF"/>
    <w:rsid w:val="00B009E3"/>
    <w:rsid w:val="00B035C0"/>
    <w:rsid w:val="00B04E09"/>
    <w:rsid w:val="00B04FA7"/>
    <w:rsid w:val="00B1331A"/>
    <w:rsid w:val="00B154FB"/>
    <w:rsid w:val="00B159A8"/>
    <w:rsid w:val="00B21D03"/>
    <w:rsid w:val="00B21EED"/>
    <w:rsid w:val="00B22E12"/>
    <w:rsid w:val="00B23A3B"/>
    <w:rsid w:val="00B258F6"/>
    <w:rsid w:val="00B2635D"/>
    <w:rsid w:val="00B278A4"/>
    <w:rsid w:val="00B27CA4"/>
    <w:rsid w:val="00B30887"/>
    <w:rsid w:val="00B30C48"/>
    <w:rsid w:val="00B33ED8"/>
    <w:rsid w:val="00B404BA"/>
    <w:rsid w:val="00B41F38"/>
    <w:rsid w:val="00B43FFB"/>
    <w:rsid w:val="00B45565"/>
    <w:rsid w:val="00B46BFD"/>
    <w:rsid w:val="00B46C49"/>
    <w:rsid w:val="00B50F60"/>
    <w:rsid w:val="00B5194A"/>
    <w:rsid w:val="00B540C9"/>
    <w:rsid w:val="00B5707A"/>
    <w:rsid w:val="00B5793D"/>
    <w:rsid w:val="00B61068"/>
    <w:rsid w:val="00B63701"/>
    <w:rsid w:val="00B657B0"/>
    <w:rsid w:val="00B65D90"/>
    <w:rsid w:val="00B67782"/>
    <w:rsid w:val="00B735BE"/>
    <w:rsid w:val="00B74664"/>
    <w:rsid w:val="00B801CB"/>
    <w:rsid w:val="00B838B6"/>
    <w:rsid w:val="00B84B79"/>
    <w:rsid w:val="00B863D2"/>
    <w:rsid w:val="00B86D05"/>
    <w:rsid w:val="00B90E78"/>
    <w:rsid w:val="00B90E88"/>
    <w:rsid w:val="00B92273"/>
    <w:rsid w:val="00B92A7D"/>
    <w:rsid w:val="00B94A1D"/>
    <w:rsid w:val="00B9507C"/>
    <w:rsid w:val="00B95ECF"/>
    <w:rsid w:val="00B9747D"/>
    <w:rsid w:val="00B97C3A"/>
    <w:rsid w:val="00BA16C6"/>
    <w:rsid w:val="00BA4F27"/>
    <w:rsid w:val="00BA52B0"/>
    <w:rsid w:val="00BA7061"/>
    <w:rsid w:val="00BB0CB2"/>
    <w:rsid w:val="00BB1A96"/>
    <w:rsid w:val="00BB3F57"/>
    <w:rsid w:val="00BB64C1"/>
    <w:rsid w:val="00BB73C4"/>
    <w:rsid w:val="00BC0D8B"/>
    <w:rsid w:val="00BC12BC"/>
    <w:rsid w:val="00BC2938"/>
    <w:rsid w:val="00BC543D"/>
    <w:rsid w:val="00BC65A3"/>
    <w:rsid w:val="00BC6892"/>
    <w:rsid w:val="00BC7008"/>
    <w:rsid w:val="00BD1A54"/>
    <w:rsid w:val="00BD21F7"/>
    <w:rsid w:val="00BD4342"/>
    <w:rsid w:val="00BD51C8"/>
    <w:rsid w:val="00BD5B6B"/>
    <w:rsid w:val="00BD6BA5"/>
    <w:rsid w:val="00BD6FC9"/>
    <w:rsid w:val="00BD755E"/>
    <w:rsid w:val="00BE1CFF"/>
    <w:rsid w:val="00BE32F3"/>
    <w:rsid w:val="00BE3849"/>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1A3A"/>
    <w:rsid w:val="00C12586"/>
    <w:rsid w:val="00C13916"/>
    <w:rsid w:val="00C14240"/>
    <w:rsid w:val="00C1467F"/>
    <w:rsid w:val="00C1508F"/>
    <w:rsid w:val="00C20A25"/>
    <w:rsid w:val="00C22710"/>
    <w:rsid w:val="00C24AA2"/>
    <w:rsid w:val="00C30881"/>
    <w:rsid w:val="00C309B0"/>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C18"/>
    <w:rsid w:val="00C66891"/>
    <w:rsid w:val="00C7207C"/>
    <w:rsid w:val="00C72D05"/>
    <w:rsid w:val="00C731D8"/>
    <w:rsid w:val="00C76593"/>
    <w:rsid w:val="00C81F62"/>
    <w:rsid w:val="00C850BE"/>
    <w:rsid w:val="00C85CAA"/>
    <w:rsid w:val="00C862F3"/>
    <w:rsid w:val="00C87300"/>
    <w:rsid w:val="00C90266"/>
    <w:rsid w:val="00C92631"/>
    <w:rsid w:val="00C936D8"/>
    <w:rsid w:val="00C965A5"/>
    <w:rsid w:val="00CA010E"/>
    <w:rsid w:val="00CA37F7"/>
    <w:rsid w:val="00CA4352"/>
    <w:rsid w:val="00CA6FD1"/>
    <w:rsid w:val="00CB2459"/>
    <w:rsid w:val="00CB27BD"/>
    <w:rsid w:val="00CB3536"/>
    <w:rsid w:val="00CB4265"/>
    <w:rsid w:val="00CB4312"/>
    <w:rsid w:val="00CB4992"/>
    <w:rsid w:val="00CB4A53"/>
    <w:rsid w:val="00CB5772"/>
    <w:rsid w:val="00CC1BC9"/>
    <w:rsid w:val="00CC2550"/>
    <w:rsid w:val="00CC5E14"/>
    <w:rsid w:val="00CC6C3D"/>
    <w:rsid w:val="00CC6D06"/>
    <w:rsid w:val="00CC7034"/>
    <w:rsid w:val="00CD15BF"/>
    <w:rsid w:val="00CD463C"/>
    <w:rsid w:val="00CD4742"/>
    <w:rsid w:val="00CD5B44"/>
    <w:rsid w:val="00CD68F8"/>
    <w:rsid w:val="00CE15EB"/>
    <w:rsid w:val="00CE1900"/>
    <w:rsid w:val="00CE2EE3"/>
    <w:rsid w:val="00CE3202"/>
    <w:rsid w:val="00CF060E"/>
    <w:rsid w:val="00CF375E"/>
    <w:rsid w:val="00CF463C"/>
    <w:rsid w:val="00CF786D"/>
    <w:rsid w:val="00D014C4"/>
    <w:rsid w:val="00D066E6"/>
    <w:rsid w:val="00D106DC"/>
    <w:rsid w:val="00D10E31"/>
    <w:rsid w:val="00D152F0"/>
    <w:rsid w:val="00D20055"/>
    <w:rsid w:val="00D20AE1"/>
    <w:rsid w:val="00D22819"/>
    <w:rsid w:val="00D23BC3"/>
    <w:rsid w:val="00D249CE"/>
    <w:rsid w:val="00D24F26"/>
    <w:rsid w:val="00D25873"/>
    <w:rsid w:val="00D25F58"/>
    <w:rsid w:val="00D30297"/>
    <w:rsid w:val="00D32B36"/>
    <w:rsid w:val="00D33026"/>
    <w:rsid w:val="00D34CE3"/>
    <w:rsid w:val="00D35CC6"/>
    <w:rsid w:val="00D35E50"/>
    <w:rsid w:val="00D378CD"/>
    <w:rsid w:val="00D41307"/>
    <w:rsid w:val="00D446AA"/>
    <w:rsid w:val="00D5206C"/>
    <w:rsid w:val="00D5448B"/>
    <w:rsid w:val="00D55822"/>
    <w:rsid w:val="00D56550"/>
    <w:rsid w:val="00D56A2E"/>
    <w:rsid w:val="00D615CA"/>
    <w:rsid w:val="00D6169B"/>
    <w:rsid w:val="00D6713E"/>
    <w:rsid w:val="00D671AC"/>
    <w:rsid w:val="00D70D21"/>
    <w:rsid w:val="00D7139C"/>
    <w:rsid w:val="00D73C21"/>
    <w:rsid w:val="00D74FA8"/>
    <w:rsid w:val="00D8570D"/>
    <w:rsid w:val="00D91FBD"/>
    <w:rsid w:val="00D93D88"/>
    <w:rsid w:val="00D9478C"/>
    <w:rsid w:val="00D96DE7"/>
    <w:rsid w:val="00D976FD"/>
    <w:rsid w:val="00DA06AE"/>
    <w:rsid w:val="00DA0DE9"/>
    <w:rsid w:val="00DA5C5B"/>
    <w:rsid w:val="00DA67DF"/>
    <w:rsid w:val="00DB09D1"/>
    <w:rsid w:val="00DB19F2"/>
    <w:rsid w:val="00DB1C0A"/>
    <w:rsid w:val="00DB4B89"/>
    <w:rsid w:val="00DB5ACB"/>
    <w:rsid w:val="00DB6AE3"/>
    <w:rsid w:val="00DC1211"/>
    <w:rsid w:val="00DC2FD7"/>
    <w:rsid w:val="00DC37CC"/>
    <w:rsid w:val="00DC3F6F"/>
    <w:rsid w:val="00DC644D"/>
    <w:rsid w:val="00DC76C5"/>
    <w:rsid w:val="00DD14D9"/>
    <w:rsid w:val="00DD1CE5"/>
    <w:rsid w:val="00DD5048"/>
    <w:rsid w:val="00DD7811"/>
    <w:rsid w:val="00DE0D73"/>
    <w:rsid w:val="00DE11D4"/>
    <w:rsid w:val="00DE2E56"/>
    <w:rsid w:val="00DE49D7"/>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1F7F"/>
    <w:rsid w:val="00E25CB9"/>
    <w:rsid w:val="00E2609F"/>
    <w:rsid w:val="00E26299"/>
    <w:rsid w:val="00E26DBA"/>
    <w:rsid w:val="00E33246"/>
    <w:rsid w:val="00E33E12"/>
    <w:rsid w:val="00E34CF2"/>
    <w:rsid w:val="00E34E3C"/>
    <w:rsid w:val="00E37F50"/>
    <w:rsid w:val="00E4108C"/>
    <w:rsid w:val="00E41227"/>
    <w:rsid w:val="00E4143B"/>
    <w:rsid w:val="00E414B4"/>
    <w:rsid w:val="00E42F32"/>
    <w:rsid w:val="00E45AFA"/>
    <w:rsid w:val="00E46540"/>
    <w:rsid w:val="00E46E63"/>
    <w:rsid w:val="00E46F65"/>
    <w:rsid w:val="00E47762"/>
    <w:rsid w:val="00E537BD"/>
    <w:rsid w:val="00E550A3"/>
    <w:rsid w:val="00E5527F"/>
    <w:rsid w:val="00E6394D"/>
    <w:rsid w:val="00E6517A"/>
    <w:rsid w:val="00E65234"/>
    <w:rsid w:val="00E66F77"/>
    <w:rsid w:val="00E7133D"/>
    <w:rsid w:val="00E720C9"/>
    <w:rsid w:val="00E74B2D"/>
    <w:rsid w:val="00E81561"/>
    <w:rsid w:val="00E81685"/>
    <w:rsid w:val="00E82810"/>
    <w:rsid w:val="00E8358F"/>
    <w:rsid w:val="00E842F5"/>
    <w:rsid w:val="00E87B9D"/>
    <w:rsid w:val="00E92E6A"/>
    <w:rsid w:val="00EA032B"/>
    <w:rsid w:val="00EA06C5"/>
    <w:rsid w:val="00EA3A08"/>
    <w:rsid w:val="00EA5BF2"/>
    <w:rsid w:val="00EB35A4"/>
    <w:rsid w:val="00EB689E"/>
    <w:rsid w:val="00EB746E"/>
    <w:rsid w:val="00EB7FC5"/>
    <w:rsid w:val="00EC1014"/>
    <w:rsid w:val="00EC41A1"/>
    <w:rsid w:val="00EC61A3"/>
    <w:rsid w:val="00EC6AA6"/>
    <w:rsid w:val="00EC70BA"/>
    <w:rsid w:val="00ED59D5"/>
    <w:rsid w:val="00EE0FD4"/>
    <w:rsid w:val="00EE17BE"/>
    <w:rsid w:val="00EE5E1C"/>
    <w:rsid w:val="00EE74AE"/>
    <w:rsid w:val="00EF4325"/>
    <w:rsid w:val="00EF4CE7"/>
    <w:rsid w:val="00EF5946"/>
    <w:rsid w:val="00EF594C"/>
    <w:rsid w:val="00EF78B8"/>
    <w:rsid w:val="00F01A97"/>
    <w:rsid w:val="00F032A0"/>
    <w:rsid w:val="00F054C4"/>
    <w:rsid w:val="00F06DE3"/>
    <w:rsid w:val="00F0786C"/>
    <w:rsid w:val="00F0791C"/>
    <w:rsid w:val="00F121B8"/>
    <w:rsid w:val="00F127F0"/>
    <w:rsid w:val="00F157A1"/>
    <w:rsid w:val="00F1680D"/>
    <w:rsid w:val="00F17807"/>
    <w:rsid w:val="00F17ECE"/>
    <w:rsid w:val="00F2202D"/>
    <w:rsid w:val="00F26035"/>
    <w:rsid w:val="00F27561"/>
    <w:rsid w:val="00F275DE"/>
    <w:rsid w:val="00F27AF4"/>
    <w:rsid w:val="00F329FB"/>
    <w:rsid w:val="00F32C9D"/>
    <w:rsid w:val="00F340DB"/>
    <w:rsid w:val="00F35F89"/>
    <w:rsid w:val="00F366DD"/>
    <w:rsid w:val="00F366E4"/>
    <w:rsid w:val="00F37F56"/>
    <w:rsid w:val="00F40DAE"/>
    <w:rsid w:val="00F433AF"/>
    <w:rsid w:val="00F44290"/>
    <w:rsid w:val="00F473A8"/>
    <w:rsid w:val="00F52C7D"/>
    <w:rsid w:val="00F564FB"/>
    <w:rsid w:val="00F576C1"/>
    <w:rsid w:val="00F57EE3"/>
    <w:rsid w:val="00F6057C"/>
    <w:rsid w:val="00F60644"/>
    <w:rsid w:val="00F63A4B"/>
    <w:rsid w:val="00F64356"/>
    <w:rsid w:val="00F66991"/>
    <w:rsid w:val="00F701AF"/>
    <w:rsid w:val="00F701ED"/>
    <w:rsid w:val="00F70657"/>
    <w:rsid w:val="00F726E3"/>
    <w:rsid w:val="00F72D91"/>
    <w:rsid w:val="00F7396B"/>
    <w:rsid w:val="00F75B38"/>
    <w:rsid w:val="00F76E40"/>
    <w:rsid w:val="00F77884"/>
    <w:rsid w:val="00F80DF3"/>
    <w:rsid w:val="00F815A1"/>
    <w:rsid w:val="00F81B12"/>
    <w:rsid w:val="00F824FE"/>
    <w:rsid w:val="00F84E83"/>
    <w:rsid w:val="00F85C36"/>
    <w:rsid w:val="00F9119F"/>
    <w:rsid w:val="00F930E3"/>
    <w:rsid w:val="00F94FBD"/>
    <w:rsid w:val="00F95033"/>
    <w:rsid w:val="00F9636E"/>
    <w:rsid w:val="00F9721A"/>
    <w:rsid w:val="00FA2EAD"/>
    <w:rsid w:val="00FA3E8E"/>
    <w:rsid w:val="00FA52BA"/>
    <w:rsid w:val="00FA74B5"/>
    <w:rsid w:val="00FA7FE1"/>
    <w:rsid w:val="00FB01E9"/>
    <w:rsid w:val="00FB0F30"/>
    <w:rsid w:val="00FB0FAB"/>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35C"/>
    <w:rsid w:val="00FD2AEE"/>
    <w:rsid w:val="00FD37D9"/>
    <w:rsid w:val="00FD4C7B"/>
    <w:rsid w:val="00FD5CCD"/>
    <w:rsid w:val="00FE0AF8"/>
    <w:rsid w:val="00FE19F6"/>
    <w:rsid w:val="00FE5343"/>
    <w:rsid w:val="00FE6290"/>
    <w:rsid w:val="00FE6593"/>
    <w:rsid w:val="00FF0768"/>
    <w:rsid w:val="00FF315D"/>
    <w:rsid w:val="00FF3311"/>
    <w:rsid w:val="0175527C"/>
    <w:rsid w:val="01832D38"/>
    <w:rsid w:val="01B47E04"/>
    <w:rsid w:val="01C24651"/>
    <w:rsid w:val="01C915FA"/>
    <w:rsid w:val="02012CC2"/>
    <w:rsid w:val="021E018C"/>
    <w:rsid w:val="023868B8"/>
    <w:rsid w:val="029C44C5"/>
    <w:rsid w:val="02B15D77"/>
    <w:rsid w:val="02F034FC"/>
    <w:rsid w:val="02F8501D"/>
    <w:rsid w:val="03096EC1"/>
    <w:rsid w:val="03417CB0"/>
    <w:rsid w:val="037B3BA0"/>
    <w:rsid w:val="037C6ACA"/>
    <w:rsid w:val="03D925A3"/>
    <w:rsid w:val="03FC095B"/>
    <w:rsid w:val="03FD6D49"/>
    <w:rsid w:val="04071455"/>
    <w:rsid w:val="042F5D1F"/>
    <w:rsid w:val="04637138"/>
    <w:rsid w:val="046E7887"/>
    <w:rsid w:val="049F3B72"/>
    <w:rsid w:val="04A24A7D"/>
    <w:rsid w:val="04B12457"/>
    <w:rsid w:val="04DF6A75"/>
    <w:rsid w:val="04EA21CE"/>
    <w:rsid w:val="04EB042F"/>
    <w:rsid w:val="0501077F"/>
    <w:rsid w:val="0514323F"/>
    <w:rsid w:val="05236321"/>
    <w:rsid w:val="054830BA"/>
    <w:rsid w:val="054F35A7"/>
    <w:rsid w:val="05530F98"/>
    <w:rsid w:val="05534A8E"/>
    <w:rsid w:val="05626F0B"/>
    <w:rsid w:val="056801AD"/>
    <w:rsid w:val="056A66A6"/>
    <w:rsid w:val="05AF5852"/>
    <w:rsid w:val="05CF5E57"/>
    <w:rsid w:val="05D35773"/>
    <w:rsid w:val="05ED6D79"/>
    <w:rsid w:val="05EE2C8F"/>
    <w:rsid w:val="05F80C2C"/>
    <w:rsid w:val="06072F00"/>
    <w:rsid w:val="060F03CA"/>
    <w:rsid w:val="060F080D"/>
    <w:rsid w:val="061D6AF3"/>
    <w:rsid w:val="061F7618"/>
    <w:rsid w:val="064331C6"/>
    <w:rsid w:val="06472967"/>
    <w:rsid w:val="06616FE7"/>
    <w:rsid w:val="06776655"/>
    <w:rsid w:val="06812940"/>
    <w:rsid w:val="06A2646F"/>
    <w:rsid w:val="06F85085"/>
    <w:rsid w:val="07100621"/>
    <w:rsid w:val="0727403C"/>
    <w:rsid w:val="0730481F"/>
    <w:rsid w:val="07442BE2"/>
    <w:rsid w:val="0764081E"/>
    <w:rsid w:val="080768F7"/>
    <w:rsid w:val="08820352"/>
    <w:rsid w:val="08C7561E"/>
    <w:rsid w:val="08F32743"/>
    <w:rsid w:val="090303BC"/>
    <w:rsid w:val="092F724F"/>
    <w:rsid w:val="09300F3B"/>
    <w:rsid w:val="094B32DC"/>
    <w:rsid w:val="094E0278"/>
    <w:rsid w:val="09714FD2"/>
    <w:rsid w:val="09736C45"/>
    <w:rsid w:val="09A60DC8"/>
    <w:rsid w:val="0A507644"/>
    <w:rsid w:val="0A8245A3"/>
    <w:rsid w:val="0A8C4462"/>
    <w:rsid w:val="0ACB49AA"/>
    <w:rsid w:val="0B106908"/>
    <w:rsid w:val="0B1E58F0"/>
    <w:rsid w:val="0B2E69D9"/>
    <w:rsid w:val="0B4E0497"/>
    <w:rsid w:val="0B5C0D9E"/>
    <w:rsid w:val="0B641FE7"/>
    <w:rsid w:val="0B71239E"/>
    <w:rsid w:val="0B9A2BAF"/>
    <w:rsid w:val="0B9F7869"/>
    <w:rsid w:val="0BA01101"/>
    <w:rsid w:val="0BBB1364"/>
    <w:rsid w:val="0BC9539F"/>
    <w:rsid w:val="0BCD6D9E"/>
    <w:rsid w:val="0BE12B86"/>
    <w:rsid w:val="0BE429B8"/>
    <w:rsid w:val="0BFD6957"/>
    <w:rsid w:val="0C3F0944"/>
    <w:rsid w:val="0C492CE9"/>
    <w:rsid w:val="0C6816CE"/>
    <w:rsid w:val="0C7E5F6D"/>
    <w:rsid w:val="0CA879D8"/>
    <w:rsid w:val="0D0B3FF1"/>
    <w:rsid w:val="0D1C41F6"/>
    <w:rsid w:val="0D1D6955"/>
    <w:rsid w:val="0D326E78"/>
    <w:rsid w:val="0D5A4DF7"/>
    <w:rsid w:val="0D915AFC"/>
    <w:rsid w:val="0D974242"/>
    <w:rsid w:val="0DB57E54"/>
    <w:rsid w:val="0DC6188C"/>
    <w:rsid w:val="0DE0138C"/>
    <w:rsid w:val="0DFFE16A"/>
    <w:rsid w:val="0E2A1C4C"/>
    <w:rsid w:val="0E3C2EFC"/>
    <w:rsid w:val="0E6A2F43"/>
    <w:rsid w:val="0E743E81"/>
    <w:rsid w:val="0ECC307F"/>
    <w:rsid w:val="0ECF145E"/>
    <w:rsid w:val="0EEB6487"/>
    <w:rsid w:val="0F874D5A"/>
    <w:rsid w:val="0F9D25A1"/>
    <w:rsid w:val="0FB41D99"/>
    <w:rsid w:val="0FB8448C"/>
    <w:rsid w:val="0FC45D5E"/>
    <w:rsid w:val="0FE47865"/>
    <w:rsid w:val="100B6747"/>
    <w:rsid w:val="102978DA"/>
    <w:rsid w:val="103313EA"/>
    <w:rsid w:val="10556DBB"/>
    <w:rsid w:val="107E588B"/>
    <w:rsid w:val="10811C7A"/>
    <w:rsid w:val="10886CF4"/>
    <w:rsid w:val="10BE4C49"/>
    <w:rsid w:val="10C20E5F"/>
    <w:rsid w:val="10CF355A"/>
    <w:rsid w:val="10DB1A50"/>
    <w:rsid w:val="10F638F3"/>
    <w:rsid w:val="116F3DB0"/>
    <w:rsid w:val="11754949"/>
    <w:rsid w:val="11CB1184"/>
    <w:rsid w:val="11DD5009"/>
    <w:rsid w:val="11F34D41"/>
    <w:rsid w:val="124F74EF"/>
    <w:rsid w:val="12742AC7"/>
    <w:rsid w:val="127F351C"/>
    <w:rsid w:val="1281025F"/>
    <w:rsid w:val="13077F85"/>
    <w:rsid w:val="130A757E"/>
    <w:rsid w:val="1331710B"/>
    <w:rsid w:val="138F6C27"/>
    <w:rsid w:val="139E45C8"/>
    <w:rsid w:val="13A26AA4"/>
    <w:rsid w:val="13C06743"/>
    <w:rsid w:val="13C702B9"/>
    <w:rsid w:val="13F981C5"/>
    <w:rsid w:val="146E1AE5"/>
    <w:rsid w:val="1473700D"/>
    <w:rsid w:val="14967CC8"/>
    <w:rsid w:val="14A6714A"/>
    <w:rsid w:val="14C33A7B"/>
    <w:rsid w:val="14F01823"/>
    <w:rsid w:val="14F81E38"/>
    <w:rsid w:val="150C6473"/>
    <w:rsid w:val="15877190"/>
    <w:rsid w:val="15A90DA7"/>
    <w:rsid w:val="160C42D6"/>
    <w:rsid w:val="16430E10"/>
    <w:rsid w:val="16651463"/>
    <w:rsid w:val="167F6DA8"/>
    <w:rsid w:val="16C93A4A"/>
    <w:rsid w:val="16E9298A"/>
    <w:rsid w:val="16F55FB8"/>
    <w:rsid w:val="16FB6B41"/>
    <w:rsid w:val="17281577"/>
    <w:rsid w:val="17372BA0"/>
    <w:rsid w:val="175E341E"/>
    <w:rsid w:val="179369B8"/>
    <w:rsid w:val="17B60B72"/>
    <w:rsid w:val="17C8687A"/>
    <w:rsid w:val="17F55D8B"/>
    <w:rsid w:val="180309BC"/>
    <w:rsid w:val="187D1ABE"/>
    <w:rsid w:val="1889564E"/>
    <w:rsid w:val="18950986"/>
    <w:rsid w:val="18B02EF0"/>
    <w:rsid w:val="18F56002"/>
    <w:rsid w:val="19004393"/>
    <w:rsid w:val="195B217F"/>
    <w:rsid w:val="199C538A"/>
    <w:rsid w:val="19DF0030"/>
    <w:rsid w:val="19E415C3"/>
    <w:rsid w:val="1A2E4D24"/>
    <w:rsid w:val="1A3D616C"/>
    <w:rsid w:val="1A41695D"/>
    <w:rsid w:val="1A686FD2"/>
    <w:rsid w:val="1AB36E09"/>
    <w:rsid w:val="1AB80937"/>
    <w:rsid w:val="1AE67A6E"/>
    <w:rsid w:val="1B0672C6"/>
    <w:rsid w:val="1B196BD3"/>
    <w:rsid w:val="1B4A53C0"/>
    <w:rsid w:val="1BB2199A"/>
    <w:rsid w:val="1BBA200E"/>
    <w:rsid w:val="1BED3F76"/>
    <w:rsid w:val="1BF81957"/>
    <w:rsid w:val="1BFEF202"/>
    <w:rsid w:val="1CE14D21"/>
    <w:rsid w:val="1CE33BE2"/>
    <w:rsid w:val="1CFB0475"/>
    <w:rsid w:val="1D0B01D8"/>
    <w:rsid w:val="1D272397"/>
    <w:rsid w:val="1D4B1E31"/>
    <w:rsid w:val="1D747847"/>
    <w:rsid w:val="1D8125BE"/>
    <w:rsid w:val="1E4A1158"/>
    <w:rsid w:val="1E556E6E"/>
    <w:rsid w:val="1E5F5CBE"/>
    <w:rsid w:val="1E8E2DB0"/>
    <w:rsid w:val="1E97426E"/>
    <w:rsid w:val="1E9F000F"/>
    <w:rsid w:val="1EA92E93"/>
    <w:rsid w:val="1EB525EF"/>
    <w:rsid w:val="1EB6109D"/>
    <w:rsid w:val="1ECA3722"/>
    <w:rsid w:val="1EF2736B"/>
    <w:rsid w:val="1F16470F"/>
    <w:rsid w:val="1F4F0922"/>
    <w:rsid w:val="1F6B0692"/>
    <w:rsid w:val="1F934CC0"/>
    <w:rsid w:val="1F963F2C"/>
    <w:rsid w:val="1FA376DC"/>
    <w:rsid w:val="1FAE03CA"/>
    <w:rsid w:val="1FD15D74"/>
    <w:rsid w:val="1FD9AC18"/>
    <w:rsid w:val="1FDD44EC"/>
    <w:rsid w:val="203A044D"/>
    <w:rsid w:val="2043511A"/>
    <w:rsid w:val="204B180E"/>
    <w:rsid w:val="20533588"/>
    <w:rsid w:val="2066258A"/>
    <w:rsid w:val="207B2B57"/>
    <w:rsid w:val="20821300"/>
    <w:rsid w:val="20AC6CCD"/>
    <w:rsid w:val="20B638A1"/>
    <w:rsid w:val="20B67DB3"/>
    <w:rsid w:val="20C0056A"/>
    <w:rsid w:val="20DC6201"/>
    <w:rsid w:val="20E05897"/>
    <w:rsid w:val="20E51B52"/>
    <w:rsid w:val="211975F1"/>
    <w:rsid w:val="21584AE0"/>
    <w:rsid w:val="215F06A9"/>
    <w:rsid w:val="219B1A67"/>
    <w:rsid w:val="219B2BCD"/>
    <w:rsid w:val="21E30861"/>
    <w:rsid w:val="22006625"/>
    <w:rsid w:val="22051F98"/>
    <w:rsid w:val="220726E7"/>
    <w:rsid w:val="220B200C"/>
    <w:rsid w:val="221D1F0E"/>
    <w:rsid w:val="22361439"/>
    <w:rsid w:val="22430565"/>
    <w:rsid w:val="22660C40"/>
    <w:rsid w:val="227E44E6"/>
    <w:rsid w:val="22C44C41"/>
    <w:rsid w:val="22CC619D"/>
    <w:rsid w:val="22DB181A"/>
    <w:rsid w:val="22F11B81"/>
    <w:rsid w:val="22FF04FB"/>
    <w:rsid w:val="233141F6"/>
    <w:rsid w:val="23427BF9"/>
    <w:rsid w:val="236A69D7"/>
    <w:rsid w:val="238133A8"/>
    <w:rsid w:val="239B4ABA"/>
    <w:rsid w:val="23AA48AE"/>
    <w:rsid w:val="23C17FCB"/>
    <w:rsid w:val="240B1774"/>
    <w:rsid w:val="24164A8F"/>
    <w:rsid w:val="247054DD"/>
    <w:rsid w:val="24776664"/>
    <w:rsid w:val="247E2C16"/>
    <w:rsid w:val="24E045FA"/>
    <w:rsid w:val="24E70DA1"/>
    <w:rsid w:val="250258C1"/>
    <w:rsid w:val="250C613C"/>
    <w:rsid w:val="25291F40"/>
    <w:rsid w:val="25394E23"/>
    <w:rsid w:val="253D2474"/>
    <w:rsid w:val="253E3DCE"/>
    <w:rsid w:val="25457FB6"/>
    <w:rsid w:val="25747A43"/>
    <w:rsid w:val="25870A1F"/>
    <w:rsid w:val="259E49F1"/>
    <w:rsid w:val="25AE615B"/>
    <w:rsid w:val="25B44F23"/>
    <w:rsid w:val="25EF7AF6"/>
    <w:rsid w:val="26181240"/>
    <w:rsid w:val="262F2132"/>
    <w:rsid w:val="26303FAF"/>
    <w:rsid w:val="264439EB"/>
    <w:rsid w:val="26550716"/>
    <w:rsid w:val="266B7A05"/>
    <w:rsid w:val="266D2F42"/>
    <w:rsid w:val="26843110"/>
    <w:rsid w:val="26954D40"/>
    <w:rsid w:val="26B36C9D"/>
    <w:rsid w:val="26C22C66"/>
    <w:rsid w:val="26CB0992"/>
    <w:rsid w:val="26D011FB"/>
    <w:rsid w:val="274F1635"/>
    <w:rsid w:val="27F55AF0"/>
    <w:rsid w:val="287D9A3E"/>
    <w:rsid w:val="288D56D4"/>
    <w:rsid w:val="28AA1A78"/>
    <w:rsid w:val="28CF54AB"/>
    <w:rsid w:val="28F01837"/>
    <w:rsid w:val="291C39BD"/>
    <w:rsid w:val="292C14BA"/>
    <w:rsid w:val="29500600"/>
    <w:rsid w:val="29512576"/>
    <w:rsid w:val="299452ED"/>
    <w:rsid w:val="29E24B7A"/>
    <w:rsid w:val="29F50F47"/>
    <w:rsid w:val="2A432F76"/>
    <w:rsid w:val="2A4944AA"/>
    <w:rsid w:val="2A5F7A43"/>
    <w:rsid w:val="2AB51687"/>
    <w:rsid w:val="2AC667BC"/>
    <w:rsid w:val="2ACB79F4"/>
    <w:rsid w:val="2ACE5A58"/>
    <w:rsid w:val="2AD21F0D"/>
    <w:rsid w:val="2AD406FB"/>
    <w:rsid w:val="2BA75114"/>
    <w:rsid w:val="2BD64CE6"/>
    <w:rsid w:val="2BDB3A0A"/>
    <w:rsid w:val="2C503A00"/>
    <w:rsid w:val="2C5E32CE"/>
    <w:rsid w:val="2C6879B6"/>
    <w:rsid w:val="2C7359A9"/>
    <w:rsid w:val="2C9A12E6"/>
    <w:rsid w:val="2CA90E20"/>
    <w:rsid w:val="2CCE079A"/>
    <w:rsid w:val="2D175CF0"/>
    <w:rsid w:val="2D2F1966"/>
    <w:rsid w:val="2D3C3DC5"/>
    <w:rsid w:val="2D5B05F2"/>
    <w:rsid w:val="2D6055AE"/>
    <w:rsid w:val="2D7527D3"/>
    <w:rsid w:val="2D81205D"/>
    <w:rsid w:val="2D9B60E4"/>
    <w:rsid w:val="2DA86846"/>
    <w:rsid w:val="2DCA355C"/>
    <w:rsid w:val="2DE02E2D"/>
    <w:rsid w:val="2DE15A2A"/>
    <w:rsid w:val="2DEE76C2"/>
    <w:rsid w:val="2DF41502"/>
    <w:rsid w:val="2E466CD2"/>
    <w:rsid w:val="2E662725"/>
    <w:rsid w:val="2E704C40"/>
    <w:rsid w:val="2E7D6578"/>
    <w:rsid w:val="2EAE2F99"/>
    <w:rsid w:val="2EB201EE"/>
    <w:rsid w:val="2EBDE3B6"/>
    <w:rsid w:val="2EFF34CE"/>
    <w:rsid w:val="2EFFF738"/>
    <w:rsid w:val="2F0517E9"/>
    <w:rsid w:val="2F482572"/>
    <w:rsid w:val="2F6516EE"/>
    <w:rsid w:val="2F750BAF"/>
    <w:rsid w:val="2F8C4B5A"/>
    <w:rsid w:val="2F9D27EF"/>
    <w:rsid w:val="2FBC7BBE"/>
    <w:rsid w:val="2FCA4464"/>
    <w:rsid w:val="2FEC276B"/>
    <w:rsid w:val="2FF124EE"/>
    <w:rsid w:val="30021413"/>
    <w:rsid w:val="30117E7F"/>
    <w:rsid w:val="303375CD"/>
    <w:rsid w:val="30417E57"/>
    <w:rsid w:val="304B1457"/>
    <w:rsid w:val="30517430"/>
    <w:rsid w:val="305631D2"/>
    <w:rsid w:val="30750065"/>
    <w:rsid w:val="307E183C"/>
    <w:rsid w:val="309C337C"/>
    <w:rsid w:val="30CB0233"/>
    <w:rsid w:val="30D36DA7"/>
    <w:rsid w:val="30D5114E"/>
    <w:rsid w:val="30F61ACF"/>
    <w:rsid w:val="3103135B"/>
    <w:rsid w:val="310E17FD"/>
    <w:rsid w:val="31361F63"/>
    <w:rsid w:val="31560621"/>
    <w:rsid w:val="31587608"/>
    <w:rsid w:val="31E94182"/>
    <w:rsid w:val="32096997"/>
    <w:rsid w:val="32462DCA"/>
    <w:rsid w:val="3252168B"/>
    <w:rsid w:val="32614B36"/>
    <w:rsid w:val="328874D7"/>
    <w:rsid w:val="329B4449"/>
    <w:rsid w:val="32B465D6"/>
    <w:rsid w:val="32ED1692"/>
    <w:rsid w:val="32F561B2"/>
    <w:rsid w:val="32F7454B"/>
    <w:rsid w:val="33293FE2"/>
    <w:rsid w:val="3338457A"/>
    <w:rsid w:val="33436A97"/>
    <w:rsid w:val="33461627"/>
    <w:rsid w:val="33841118"/>
    <w:rsid w:val="338A38E1"/>
    <w:rsid w:val="338E62A6"/>
    <w:rsid w:val="33994A92"/>
    <w:rsid w:val="33B15CD8"/>
    <w:rsid w:val="33B71E0E"/>
    <w:rsid w:val="33D33712"/>
    <w:rsid w:val="33D44DEE"/>
    <w:rsid w:val="33EE2BD0"/>
    <w:rsid w:val="34271C06"/>
    <w:rsid w:val="342A2EDE"/>
    <w:rsid w:val="346D06AE"/>
    <w:rsid w:val="34735E7F"/>
    <w:rsid w:val="34772642"/>
    <w:rsid w:val="347F2FC4"/>
    <w:rsid w:val="34B61205"/>
    <w:rsid w:val="34D874BA"/>
    <w:rsid w:val="35114DCF"/>
    <w:rsid w:val="35614F5E"/>
    <w:rsid w:val="35635188"/>
    <w:rsid w:val="357A29BD"/>
    <w:rsid w:val="357B628C"/>
    <w:rsid w:val="35825271"/>
    <w:rsid w:val="35935E58"/>
    <w:rsid w:val="359A6072"/>
    <w:rsid w:val="35E8116D"/>
    <w:rsid w:val="35EF017B"/>
    <w:rsid w:val="35F052C8"/>
    <w:rsid w:val="35F56C5B"/>
    <w:rsid w:val="361E7731"/>
    <w:rsid w:val="36292A8B"/>
    <w:rsid w:val="36650D65"/>
    <w:rsid w:val="366B11D8"/>
    <w:rsid w:val="36760A6F"/>
    <w:rsid w:val="36FD63F6"/>
    <w:rsid w:val="37424F12"/>
    <w:rsid w:val="375F35F1"/>
    <w:rsid w:val="37675342"/>
    <w:rsid w:val="376A078B"/>
    <w:rsid w:val="379D4CDE"/>
    <w:rsid w:val="37DE1540"/>
    <w:rsid w:val="37E142B1"/>
    <w:rsid w:val="37EC177B"/>
    <w:rsid w:val="37FFC82B"/>
    <w:rsid w:val="380E63D5"/>
    <w:rsid w:val="38461A94"/>
    <w:rsid w:val="38DC67E5"/>
    <w:rsid w:val="39B55902"/>
    <w:rsid w:val="39BB0378"/>
    <w:rsid w:val="39BF4893"/>
    <w:rsid w:val="39E64AA3"/>
    <w:rsid w:val="3A0A6183"/>
    <w:rsid w:val="3A5D47D6"/>
    <w:rsid w:val="3A5D6D2B"/>
    <w:rsid w:val="3A816F5E"/>
    <w:rsid w:val="3A910CD2"/>
    <w:rsid w:val="3AA2196D"/>
    <w:rsid w:val="3ACD436A"/>
    <w:rsid w:val="3AE6DB76"/>
    <w:rsid w:val="3B1139DC"/>
    <w:rsid w:val="3B3239E5"/>
    <w:rsid w:val="3B346891"/>
    <w:rsid w:val="3B3C3764"/>
    <w:rsid w:val="3B4E2A1B"/>
    <w:rsid w:val="3B693ABE"/>
    <w:rsid w:val="3B695CE9"/>
    <w:rsid w:val="3B930F30"/>
    <w:rsid w:val="3BA64AD4"/>
    <w:rsid w:val="3BAA3A8C"/>
    <w:rsid w:val="3BCC6D26"/>
    <w:rsid w:val="3BCD6DCC"/>
    <w:rsid w:val="3BD8694B"/>
    <w:rsid w:val="3BFF1AFF"/>
    <w:rsid w:val="3BFF30C1"/>
    <w:rsid w:val="3C05794C"/>
    <w:rsid w:val="3C757E27"/>
    <w:rsid w:val="3C8637E7"/>
    <w:rsid w:val="3C93694A"/>
    <w:rsid w:val="3C9C0EE0"/>
    <w:rsid w:val="3CAA50D7"/>
    <w:rsid w:val="3CC2304A"/>
    <w:rsid w:val="3CC23CE7"/>
    <w:rsid w:val="3CDB5A5D"/>
    <w:rsid w:val="3D2D10D1"/>
    <w:rsid w:val="3D685D41"/>
    <w:rsid w:val="3D6E0891"/>
    <w:rsid w:val="3D734BA5"/>
    <w:rsid w:val="3D7627E6"/>
    <w:rsid w:val="3DB330B3"/>
    <w:rsid w:val="3DBD2A80"/>
    <w:rsid w:val="3DD95F68"/>
    <w:rsid w:val="3DDD2815"/>
    <w:rsid w:val="3DEB73A9"/>
    <w:rsid w:val="3DF51398"/>
    <w:rsid w:val="3DFA0550"/>
    <w:rsid w:val="3E49637E"/>
    <w:rsid w:val="3E5762FA"/>
    <w:rsid w:val="3E9F0590"/>
    <w:rsid w:val="3EAC1F9C"/>
    <w:rsid w:val="3EBA7D64"/>
    <w:rsid w:val="3ED6116F"/>
    <w:rsid w:val="3EF7EE4E"/>
    <w:rsid w:val="3F15023A"/>
    <w:rsid w:val="3F357959"/>
    <w:rsid w:val="3F621BC8"/>
    <w:rsid w:val="3F7A1395"/>
    <w:rsid w:val="3F8C36E0"/>
    <w:rsid w:val="3F9A5F9A"/>
    <w:rsid w:val="3FB56969"/>
    <w:rsid w:val="3FBDB0EE"/>
    <w:rsid w:val="3FDB875D"/>
    <w:rsid w:val="3FEE6A4A"/>
    <w:rsid w:val="402C1320"/>
    <w:rsid w:val="4040304E"/>
    <w:rsid w:val="40420572"/>
    <w:rsid w:val="40585914"/>
    <w:rsid w:val="409A7B8F"/>
    <w:rsid w:val="40EF0D87"/>
    <w:rsid w:val="40EF2F2A"/>
    <w:rsid w:val="41230A69"/>
    <w:rsid w:val="412A6933"/>
    <w:rsid w:val="41796AD5"/>
    <w:rsid w:val="418408ED"/>
    <w:rsid w:val="41A22929"/>
    <w:rsid w:val="41A50A27"/>
    <w:rsid w:val="41D92FFB"/>
    <w:rsid w:val="41FB4403"/>
    <w:rsid w:val="42042555"/>
    <w:rsid w:val="420B3F64"/>
    <w:rsid w:val="421C22C0"/>
    <w:rsid w:val="422A509B"/>
    <w:rsid w:val="422B2257"/>
    <w:rsid w:val="42476297"/>
    <w:rsid w:val="424B3B49"/>
    <w:rsid w:val="42613D77"/>
    <w:rsid w:val="42756196"/>
    <w:rsid w:val="42931AF9"/>
    <w:rsid w:val="4296204B"/>
    <w:rsid w:val="429C5AC6"/>
    <w:rsid w:val="42ED3256"/>
    <w:rsid w:val="4300495F"/>
    <w:rsid w:val="437370B7"/>
    <w:rsid w:val="43897891"/>
    <w:rsid w:val="43A525B1"/>
    <w:rsid w:val="43B94602"/>
    <w:rsid w:val="4426495C"/>
    <w:rsid w:val="44296D06"/>
    <w:rsid w:val="4434765D"/>
    <w:rsid w:val="445B3043"/>
    <w:rsid w:val="44957B12"/>
    <w:rsid w:val="44DD3E91"/>
    <w:rsid w:val="44FE6A97"/>
    <w:rsid w:val="45280009"/>
    <w:rsid w:val="45936C0F"/>
    <w:rsid w:val="45D93CF8"/>
    <w:rsid w:val="46045CCA"/>
    <w:rsid w:val="46163B17"/>
    <w:rsid w:val="46284338"/>
    <w:rsid w:val="46386B5F"/>
    <w:rsid w:val="46830356"/>
    <w:rsid w:val="468B12A0"/>
    <w:rsid w:val="46945465"/>
    <w:rsid w:val="46946CC7"/>
    <w:rsid w:val="46C107B3"/>
    <w:rsid w:val="46DC57C7"/>
    <w:rsid w:val="46E416BF"/>
    <w:rsid w:val="46F91E7C"/>
    <w:rsid w:val="47601966"/>
    <w:rsid w:val="47A21B7E"/>
    <w:rsid w:val="47B85DA2"/>
    <w:rsid w:val="47FA7693"/>
    <w:rsid w:val="47FBBD8A"/>
    <w:rsid w:val="47FC1AAA"/>
    <w:rsid w:val="480E5EDB"/>
    <w:rsid w:val="482515E9"/>
    <w:rsid w:val="48312A56"/>
    <w:rsid w:val="4831507B"/>
    <w:rsid w:val="485C5AEA"/>
    <w:rsid w:val="48735DDA"/>
    <w:rsid w:val="488C4279"/>
    <w:rsid w:val="48975150"/>
    <w:rsid w:val="48DA0C7A"/>
    <w:rsid w:val="48F873C3"/>
    <w:rsid w:val="4908499A"/>
    <w:rsid w:val="491202EB"/>
    <w:rsid w:val="49625A84"/>
    <w:rsid w:val="49653F45"/>
    <w:rsid w:val="49BE34F2"/>
    <w:rsid w:val="49CD5922"/>
    <w:rsid w:val="49E07403"/>
    <w:rsid w:val="4A4C39AD"/>
    <w:rsid w:val="4A71427F"/>
    <w:rsid w:val="4A7D3C0E"/>
    <w:rsid w:val="4A807379"/>
    <w:rsid w:val="4A9E78BB"/>
    <w:rsid w:val="4AE22767"/>
    <w:rsid w:val="4B8507BD"/>
    <w:rsid w:val="4BB47AC2"/>
    <w:rsid w:val="4BC02BD8"/>
    <w:rsid w:val="4BD66AD1"/>
    <w:rsid w:val="4C5E0D5A"/>
    <w:rsid w:val="4C5E3796"/>
    <w:rsid w:val="4C63431C"/>
    <w:rsid w:val="4C796071"/>
    <w:rsid w:val="4C7C7209"/>
    <w:rsid w:val="4CA45331"/>
    <w:rsid w:val="4CBF4276"/>
    <w:rsid w:val="4CD541BE"/>
    <w:rsid w:val="4CE2382F"/>
    <w:rsid w:val="4D3E6D99"/>
    <w:rsid w:val="4D584B20"/>
    <w:rsid w:val="4DB72D0B"/>
    <w:rsid w:val="4DDE1A53"/>
    <w:rsid w:val="4E1622A9"/>
    <w:rsid w:val="4E1E138D"/>
    <w:rsid w:val="4E2E279D"/>
    <w:rsid w:val="4E47495A"/>
    <w:rsid w:val="4E693FAA"/>
    <w:rsid w:val="4ECF3B27"/>
    <w:rsid w:val="4EDC01C5"/>
    <w:rsid w:val="4F362D88"/>
    <w:rsid w:val="4F3B09F2"/>
    <w:rsid w:val="4F91296C"/>
    <w:rsid w:val="4F966B5B"/>
    <w:rsid w:val="4FAB421F"/>
    <w:rsid w:val="4FC60261"/>
    <w:rsid w:val="4FD64330"/>
    <w:rsid w:val="5028016B"/>
    <w:rsid w:val="502D0EC8"/>
    <w:rsid w:val="50873996"/>
    <w:rsid w:val="50C55F5A"/>
    <w:rsid w:val="50F2034F"/>
    <w:rsid w:val="512A3E35"/>
    <w:rsid w:val="51611A3C"/>
    <w:rsid w:val="51767DCA"/>
    <w:rsid w:val="51996F6F"/>
    <w:rsid w:val="51A66B21"/>
    <w:rsid w:val="51AE7DE7"/>
    <w:rsid w:val="51B122AB"/>
    <w:rsid w:val="51EC339B"/>
    <w:rsid w:val="52380824"/>
    <w:rsid w:val="52582329"/>
    <w:rsid w:val="52CD27D2"/>
    <w:rsid w:val="52D17244"/>
    <w:rsid w:val="52D32FAE"/>
    <w:rsid w:val="52F13372"/>
    <w:rsid w:val="53013A3B"/>
    <w:rsid w:val="534D60B9"/>
    <w:rsid w:val="535A067F"/>
    <w:rsid w:val="53696550"/>
    <w:rsid w:val="539C13A0"/>
    <w:rsid w:val="53B72340"/>
    <w:rsid w:val="54446CA9"/>
    <w:rsid w:val="54461AD3"/>
    <w:rsid w:val="54581E64"/>
    <w:rsid w:val="546D7A20"/>
    <w:rsid w:val="5497640C"/>
    <w:rsid w:val="54A343F4"/>
    <w:rsid w:val="54B51323"/>
    <w:rsid w:val="54B566C2"/>
    <w:rsid w:val="54B85F76"/>
    <w:rsid w:val="54FF2231"/>
    <w:rsid w:val="551206D7"/>
    <w:rsid w:val="5568105C"/>
    <w:rsid w:val="557C08CC"/>
    <w:rsid w:val="557C6727"/>
    <w:rsid w:val="55FC3817"/>
    <w:rsid w:val="55FF8671"/>
    <w:rsid w:val="5600618C"/>
    <w:rsid w:val="56102E1E"/>
    <w:rsid w:val="56172DB1"/>
    <w:rsid w:val="5633291A"/>
    <w:rsid w:val="565B3F47"/>
    <w:rsid w:val="567F71BD"/>
    <w:rsid w:val="56A21C1F"/>
    <w:rsid w:val="56C105B6"/>
    <w:rsid w:val="56D33A0E"/>
    <w:rsid w:val="56DFDDB7"/>
    <w:rsid w:val="57396B1E"/>
    <w:rsid w:val="57440089"/>
    <w:rsid w:val="57441AB1"/>
    <w:rsid w:val="57495993"/>
    <w:rsid w:val="576A0140"/>
    <w:rsid w:val="578D0B5C"/>
    <w:rsid w:val="57AC6ED4"/>
    <w:rsid w:val="57B06304"/>
    <w:rsid w:val="57CF0AFC"/>
    <w:rsid w:val="57FF75A1"/>
    <w:rsid w:val="58067904"/>
    <w:rsid w:val="5858380C"/>
    <w:rsid w:val="58613506"/>
    <w:rsid w:val="58845D9B"/>
    <w:rsid w:val="58884175"/>
    <w:rsid w:val="58892C4B"/>
    <w:rsid w:val="58ED7447"/>
    <w:rsid w:val="58EF76ED"/>
    <w:rsid w:val="591B58C0"/>
    <w:rsid w:val="59204F48"/>
    <w:rsid w:val="59234ECA"/>
    <w:rsid w:val="595D3DAB"/>
    <w:rsid w:val="59840B1E"/>
    <w:rsid w:val="59CB1D31"/>
    <w:rsid w:val="59ED2A83"/>
    <w:rsid w:val="5A1C6270"/>
    <w:rsid w:val="5A245A88"/>
    <w:rsid w:val="5A2B7908"/>
    <w:rsid w:val="5A3D793C"/>
    <w:rsid w:val="5A6D3BE8"/>
    <w:rsid w:val="5A822399"/>
    <w:rsid w:val="5A996324"/>
    <w:rsid w:val="5AB729DC"/>
    <w:rsid w:val="5AB77B5E"/>
    <w:rsid w:val="5AEA5EB0"/>
    <w:rsid w:val="5B3369D1"/>
    <w:rsid w:val="5B5501AE"/>
    <w:rsid w:val="5BE307B4"/>
    <w:rsid w:val="5C0A54A3"/>
    <w:rsid w:val="5C166E4F"/>
    <w:rsid w:val="5C276E7C"/>
    <w:rsid w:val="5C306DDF"/>
    <w:rsid w:val="5C49575C"/>
    <w:rsid w:val="5C9108EC"/>
    <w:rsid w:val="5C9E4255"/>
    <w:rsid w:val="5C9E4B22"/>
    <w:rsid w:val="5CD42E3E"/>
    <w:rsid w:val="5CF41B55"/>
    <w:rsid w:val="5D0F5894"/>
    <w:rsid w:val="5D215608"/>
    <w:rsid w:val="5D316B4B"/>
    <w:rsid w:val="5D7C032C"/>
    <w:rsid w:val="5D7E6CC5"/>
    <w:rsid w:val="5D8178C4"/>
    <w:rsid w:val="5D89316A"/>
    <w:rsid w:val="5DA628A5"/>
    <w:rsid w:val="5DAE0909"/>
    <w:rsid w:val="5DBF2FF3"/>
    <w:rsid w:val="5DC34B7F"/>
    <w:rsid w:val="5DC377A0"/>
    <w:rsid w:val="5DCE5468"/>
    <w:rsid w:val="5DD545BC"/>
    <w:rsid w:val="5DDF7384"/>
    <w:rsid w:val="5DE24E13"/>
    <w:rsid w:val="5DE93F98"/>
    <w:rsid w:val="5E132EFB"/>
    <w:rsid w:val="5E1C02C1"/>
    <w:rsid w:val="5E245A60"/>
    <w:rsid w:val="5E531B9F"/>
    <w:rsid w:val="5E5F1019"/>
    <w:rsid w:val="5E790599"/>
    <w:rsid w:val="5EA77881"/>
    <w:rsid w:val="5ED42E29"/>
    <w:rsid w:val="5ED87541"/>
    <w:rsid w:val="5EF62DCD"/>
    <w:rsid w:val="5EF97984"/>
    <w:rsid w:val="5F0D61FF"/>
    <w:rsid w:val="5F1B0F35"/>
    <w:rsid w:val="5F2E1BCB"/>
    <w:rsid w:val="5F4038B6"/>
    <w:rsid w:val="5F424F1B"/>
    <w:rsid w:val="5F4955F3"/>
    <w:rsid w:val="5F682CF2"/>
    <w:rsid w:val="5F723CF2"/>
    <w:rsid w:val="5F857143"/>
    <w:rsid w:val="5FA519A1"/>
    <w:rsid w:val="5FC61717"/>
    <w:rsid w:val="5FD11D7D"/>
    <w:rsid w:val="5FDB7D9D"/>
    <w:rsid w:val="5FFE4272"/>
    <w:rsid w:val="60101288"/>
    <w:rsid w:val="604218CA"/>
    <w:rsid w:val="60510E15"/>
    <w:rsid w:val="605C2ABC"/>
    <w:rsid w:val="607333ED"/>
    <w:rsid w:val="60A77BF0"/>
    <w:rsid w:val="60AB793D"/>
    <w:rsid w:val="60EB3387"/>
    <w:rsid w:val="60EF709F"/>
    <w:rsid w:val="6106379C"/>
    <w:rsid w:val="61354C2B"/>
    <w:rsid w:val="61472EAE"/>
    <w:rsid w:val="615006E0"/>
    <w:rsid w:val="6161292D"/>
    <w:rsid w:val="6167161A"/>
    <w:rsid w:val="616E2A35"/>
    <w:rsid w:val="61D54F1C"/>
    <w:rsid w:val="61DC6DB3"/>
    <w:rsid w:val="61E34130"/>
    <w:rsid w:val="620E5F4D"/>
    <w:rsid w:val="62532DD8"/>
    <w:rsid w:val="629F5C38"/>
    <w:rsid w:val="62D95D35"/>
    <w:rsid w:val="62E14DA4"/>
    <w:rsid w:val="62E55EDB"/>
    <w:rsid w:val="63614E88"/>
    <w:rsid w:val="63A23566"/>
    <w:rsid w:val="63AE7C71"/>
    <w:rsid w:val="63B17F1C"/>
    <w:rsid w:val="63E776F7"/>
    <w:rsid w:val="63FFBA28"/>
    <w:rsid w:val="6477079C"/>
    <w:rsid w:val="64884ABB"/>
    <w:rsid w:val="648D3962"/>
    <w:rsid w:val="64BF74D6"/>
    <w:rsid w:val="64CA25E2"/>
    <w:rsid w:val="64CC5C0C"/>
    <w:rsid w:val="64E13556"/>
    <w:rsid w:val="64E20D38"/>
    <w:rsid w:val="651D7774"/>
    <w:rsid w:val="6537227D"/>
    <w:rsid w:val="65687B32"/>
    <w:rsid w:val="65C32F83"/>
    <w:rsid w:val="65C588C4"/>
    <w:rsid w:val="65FD5241"/>
    <w:rsid w:val="66145AE8"/>
    <w:rsid w:val="66266612"/>
    <w:rsid w:val="668974B7"/>
    <w:rsid w:val="669120A2"/>
    <w:rsid w:val="66BD4D07"/>
    <w:rsid w:val="66DB1A39"/>
    <w:rsid w:val="67120167"/>
    <w:rsid w:val="676D5535"/>
    <w:rsid w:val="67764BCE"/>
    <w:rsid w:val="67771C7C"/>
    <w:rsid w:val="679A064C"/>
    <w:rsid w:val="67EE6E63"/>
    <w:rsid w:val="67FD7A63"/>
    <w:rsid w:val="681E541D"/>
    <w:rsid w:val="68546EEF"/>
    <w:rsid w:val="6876296E"/>
    <w:rsid w:val="687E0B9C"/>
    <w:rsid w:val="68906D27"/>
    <w:rsid w:val="689D1AB8"/>
    <w:rsid w:val="68A80483"/>
    <w:rsid w:val="6900157B"/>
    <w:rsid w:val="69320929"/>
    <w:rsid w:val="69660C8B"/>
    <w:rsid w:val="696F212F"/>
    <w:rsid w:val="69752D81"/>
    <w:rsid w:val="69791C0D"/>
    <w:rsid w:val="69A433E0"/>
    <w:rsid w:val="69A47673"/>
    <w:rsid w:val="69AB07D3"/>
    <w:rsid w:val="69DA2876"/>
    <w:rsid w:val="69DA766F"/>
    <w:rsid w:val="69E057C4"/>
    <w:rsid w:val="69E76C61"/>
    <w:rsid w:val="69EE5696"/>
    <w:rsid w:val="6A332318"/>
    <w:rsid w:val="6A3430A0"/>
    <w:rsid w:val="6A553D45"/>
    <w:rsid w:val="6AAB60E7"/>
    <w:rsid w:val="6ABC136F"/>
    <w:rsid w:val="6B171F35"/>
    <w:rsid w:val="6B705C09"/>
    <w:rsid w:val="6BAB6F14"/>
    <w:rsid w:val="6BAD1EE5"/>
    <w:rsid w:val="6BB9504A"/>
    <w:rsid w:val="6BBE353D"/>
    <w:rsid w:val="6BD76C69"/>
    <w:rsid w:val="6BEB4F4D"/>
    <w:rsid w:val="6C4E0B9C"/>
    <w:rsid w:val="6C8769E4"/>
    <w:rsid w:val="6D012796"/>
    <w:rsid w:val="6D2643FD"/>
    <w:rsid w:val="6D282CEC"/>
    <w:rsid w:val="6D3A3329"/>
    <w:rsid w:val="6D3B4F02"/>
    <w:rsid w:val="6D487EC9"/>
    <w:rsid w:val="6D5341EA"/>
    <w:rsid w:val="6D780DA9"/>
    <w:rsid w:val="6D9640F9"/>
    <w:rsid w:val="6D9E6246"/>
    <w:rsid w:val="6DD864C0"/>
    <w:rsid w:val="6DF3512C"/>
    <w:rsid w:val="6E710C21"/>
    <w:rsid w:val="6E9C74A7"/>
    <w:rsid w:val="6EAE7626"/>
    <w:rsid w:val="6EB16B19"/>
    <w:rsid w:val="6EB26CBB"/>
    <w:rsid w:val="6EC10BF5"/>
    <w:rsid w:val="6EC13C6B"/>
    <w:rsid w:val="6EC66036"/>
    <w:rsid w:val="6EC92841"/>
    <w:rsid w:val="6ED84BE7"/>
    <w:rsid w:val="6EF94000"/>
    <w:rsid w:val="6F013040"/>
    <w:rsid w:val="6F7B503A"/>
    <w:rsid w:val="6F7B5355"/>
    <w:rsid w:val="6F7C10CD"/>
    <w:rsid w:val="6F94255E"/>
    <w:rsid w:val="6FA86872"/>
    <w:rsid w:val="6FCFD1AF"/>
    <w:rsid w:val="6FE832B2"/>
    <w:rsid w:val="6FFE28A4"/>
    <w:rsid w:val="6FFF6BBF"/>
    <w:rsid w:val="700B1DBC"/>
    <w:rsid w:val="700B5E74"/>
    <w:rsid w:val="700D682A"/>
    <w:rsid w:val="700F5C96"/>
    <w:rsid w:val="70485252"/>
    <w:rsid w:val="704F2C5F"/>
    <w:rsid w:val="707E2B59"/>
    <w:rsid w:val="70A82C64"/>
    <w:rsid w:val="70C1148D"/>
    <w:rsid w:val="70D8212E"/>
    <w:rsid w:val="70D958D0"/>
    <w:rsid w:val="70DE752F"/>
    <w:rsid w:val="70DF68B2"/>
    <w:rsid w:val="70E4170B"/>
    <w:rsid w:val="7146408D"/>
    <w:rsid w:val="714D258D"/>
    <w:rsid w:val="716D33C3"/>
    <w:rsid w:val="71752277"/>
    <w:rsid w:val="71844742"/>
    <w:rsid w:val="719750D9"/>
    <w:rsid w:val="719B701F"/>
    <w:rsid w:val="71B21C56"/>
    <w:rsid w:val="71D927C2"/>
    <w:rsid w:val="7208531D"/>
    <w:rsid w:val="7219323C"/>
    <w:rsid w:val="727F3748"/>
    <w:rsid w:val="7290103C"/>
    <w:rsid w:val="72A66CA0"/>
    <w:rsid w:val="732228BC"/>
    <w:rsid w:val="733B028F"/>
    <w:rsid w:val="7352461E"/>
    <w:rsid w:val="73547CB3"/>
    <w:rsid w:val="73694025"/>
    <w:rsid w:val="7372081D"/>
    <w:rsid w:val="739A7DBC"/>
    <w:rsid w:val="73AC7712"/>
    <w:rsid w:val="73C37B3A"/>
    <w:rsid w:val="73D52935"/>
    <w:rsid w:val="73E5397F"/>
    <w:rsid w:val="73EA70F6"/>
    <w:rsid w:val="73F047A5"/>
    <w:rsid w:val="740021F6"/>
    <w:rsid w:val="740A4FCB"/>
    <w:rsid w:val="74330D56"/>
    <w:rsid w:val="74332397"/>
    <w:rsid w:val="74410973"/>
    <w:rsid w:val="74477C79"/>
    <w:rsid w:val="749F7D37"/>
    <w:rsid w:val="74D77365"/>
    <w:rsid w:val="751838B1"/>
    <w:rsid w:val="753A3F71"/>
    <w:rsid w:val="757229F9"/>
    <w:rsid w:val="75787FC9"/>
    <w:rsid w:val="757E4AF9"/>
    <w:rsid w:val="759304D8"/>
    <w:rsid w:val="75936516"/>
    <w:rsid w:val="75A17E72"/>
    <w:rsid w:val="75A27EB4"/>
    <w:rsid w:val="75D133D0"/>
    <w:rsid w:val="763E0C8B"/>
    <w:rsid w:val="76786F2E"/>
    <w:rsid w:val="772C33D8"/>
    <w:rsid w:val="77AA6AFB"/>
    <w:rsid w:val="77B06CF3"/>
    <w:rsid w:val="77B45926"/>
    <w:rsid w:val="77B5591A"/>
    <w:rsid w:val="77C6308A"/>
    <w:rsid w:val="77C94015"/>
    <w:rsid w:val="77DF3199"/>
    <w:rsid w:val="77FE5AC6"/>
    <w:rsid w:val="78546CA6"/>
    <w:rsid w:val="78AC58D5"/>
    <w:rsid w:val="78C7785D"/>
    <w:rsid w:val="78DC030E"/>
    <w:rsid w:val="78E818E5"/>
    <w:rsid w:val="797F60D5"/>
    <w:rsid w:val="79DC55F4"/>
    <w:rsid w:val="79FF16A0"/>
    <w:rsid w:val="7A28257D"/>
    <w:rsid w:val="7A2A1655"/>
    <w:rsid w:val="7A434E36"/>
    <w:rsid w:val="7A586F35"/>
    <w:rsid w:val="7A71383E"/>
    <w:rsid w:val="7A7747DA"/>
    <w:rsid w:val="7A7E03D6"/>
    <w:rsid w:val="7A877999"/>
    <w:rsid w:val="7AFF1313"/>
    <w:rsid w:val="7AFF2D6F"/>
    <w:rsid w:val="7B396895"/>
    <w:rsid w:val="7BBA621D"/>
    <w:rsid w:val="7BBF7C06"/>
    <w:rsid w:val="7BD24E35"/>
    <w:rsid w:val="7BE23A26"/>
    <w:rsid w:val="7BE93382"/>
    <w:rsid w:val="7C082B3B"/>
    <w:rsid w:val="7C190EA3"/>
    <w:rsid w:val="7C2677DD"/>
    <w:rsid w:val="7C2D09C7"/>
    <w:rsid w:val="7C4A7907"/>
    <w:rsid w:val="7C6169EF"/>
    <w:rsid w:val="7CA52ABC"/>
    <w:rsid w:val="7CCD740C"/>
    <w:rsid w:val="7CF0C753"/>
    <w:rsid w:val="7D0342BE"/>
    <w:rsid w:val="7D332259"/>
    <w:rsid w:val="7D3846C5"/>
    <w:rsid w:val="7D3AFC33"/>
    <w:rsid w:val="7D50212B"/>
    <w:rsid w:val="7D5928AF"/>
    <w:rsid w:val="7D6B16D3"/>
    <w:rsid w:val="7D784C4C"/>
    <w:rsid w:val="7D790677"/>
    <w:rsid w:val="7D9561F5"/>
    <w:rsid w:val="7DA93266"/>
    <w:rsid w:val="7DB859C6"/>
    <w:rsid w:val="7DBFC1EF"/>
    <w:rsid w:val="7DC04C9F"/>
    <w:rsid w:val="7DCF07E9"/>
    <w:rsid w:val="7DFFFDBC"/>
    <w:rsid w:val="7E053626"/>
    <w:rsid w:val="7E1772EE"/>
    <w:rsid w:val="7E18635A"/>
    <w:rsid w:val="7E247594"/>
    <w:rsid w:val="7E262414"/>
    <w:rsid w:val="7E265C51"/>
    <w:rsid w:val="7E375C98"/>
    <w:rsid w:val="7E7164B0"/>
    <w:rsid w:val="7E7437A1"/>
    <w:rsid w:val="7E843559"/>
    <w:rsid w:val="7E9711D8"/>
    <w:rsid w:val="7E99DCD8"/>
    <w:rsid w:val="7EB75C7D"/>
    <w:rsid w:val="7EC32874"/>
    <w:rsid w:val="7ECB0608"/>
    <w:rsid w:val="7EDE621E"/>
    <w:rsid w:val="7EE22AA9"/>
    <w:rsid w:val="7EEE4D91"/>
    <w:rsid w:val="7EEED038"/>
    <w:rsid w:val="7F7766E3"/>
    <w:rsid w:val="7F9D9931"/>
    <w:rsid w:val="7FC7FDA3"/>
    <w:rsid w:val="7FCFF568"/>
    <w:rsid w:val="7FDBA80E"/>
    <w:rsid w:val="7FEA5DAD"/>
    <w:rsid w:val="7FF0BE5C"/>
    <w:rsid w:val="7FF780F0"/>
    <w:rsid w:val="7FF7BA37"/>
    <w:rsid w:val="7FFE2770"/>
    <w:rsid w:val="7FFF2F8A"/>
    <w:rsid w:val="87F3E8E3"/>
    <w:rsid w:val="97AF3377"/>
    <w:rsid w:val="9D73AD72"/>
    <w:rsid w:val="AF3707A9"/>
    <w:rsid w:val="B0AF0D56"/>
    <w:rsid w:val="B7EDF9A8"/>
    <w:rsid w:val="BB78ECF4"/>
    <w:rsid w:val="BBF67016"/>
    <w:rsid w:val="BEEBE26C"/>
    <w:rsid w:val="BFC33635"/>
    <w:rsid w:val="CBB792ED"/>
    <w:rsid w:val="CBD7CDD4"/>
    <w:rsid w:val="CD4B673A"/>
    <w:rsid w:val="CD7FBFDB"/>
    <w:rsid w:val="CF7FE671"/>
    <w:rsid w:val="D73FD318"/>
    <w:rsid w:val="D7F70A6D"/>
    <w:rsid w:val="DAB7675A"/>
    <w:rsid w:val="DB7E39D0"/>
    <w:rsid w:val="DBED0009"/>
    <w:rsid w:val="DDCF31D6"/>
    <w:rsid w:val="DEFF14BE"/>
    <w:rsid w:val="DFE7220E"/>
    <w:rsid w:val="E6FF94ED"/>
    <w:rsid w:val="E77F60BE"/>
    <w:rsid w:val="E7F0D48A"/>
    <w:rsid w:val="E82F8F49"/>
    <w:rsid w:val="EA7AD9D2"/>
    <w:rsid w:val="EBD7AA02"/>
    <w:rsid w:val="EBE5C110"/>
    <w:rsid w:val="EFEF1427"/>
    <w:rsid w:val="EFEFD0BB"/>
    <w:rsid w:val="F5A7FE18"/>
    <w:rsid w:val="F5D9BC03"/>
    <w:rsid w:val="F5FFB7D9"/>
    <w:rsid w:val="F69B90A1"/>
    <w:rsid w:val="F6F32FA4"/>
    <w:rsid w:val="F77F54E9"/>
    <w:rsid w:val="F7BDEECE"/>
    <w:rsid w:val="F7FFF655"/>
    <w:rsid w:val="F9FD1B0F"/>
    <w:rsid w:val="FAFDD644"/>
    <w:rsid w:val="FBD52EEB"/>
    <w:rsid w:val="FBFEEB0E"/>
    <w:rsid w:val="FBFF13E3"/>
    <w:rsid w:val="FCAACB27"/>
    <w:rsid w:val="FCDE92D4"/>
    <w:rsid w:val="FCF703E5"/>
    <w:rsid w:val="FCFFBB34"/>
    <w:rsid w:val="FD7F20B2"/>
    <w:rsid w:val="FDFB6D9A"/>
    <w:rsid w:val="FDFF1152"/>
    <w:rsid w:val="FEED3556"/>
    <w:rsid w:val="FF4A63E1"/>
    <w:rsid w:val="FF7663B9"/>
    <w:rsid w:val="FFF3C259"/>
    <w:rsid w:val="FFF7B70A"/>
    <w:rsid w:val="FFF92C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
    <w:qFormat/>
    <w:uiPriority w:val="0"/>
    <w:pPr>
      <w:keepNext/>
      <w:jc w:val="center"/>
      <w:outlineLvl w:val="0"/>
    </w:pPr>
    <w:rPr>
      <w:rFonts w:ascii="楷体_GB2312" w:hAnsi="Tahoma" w:eastAsia="楷体_GB2312"/>
      <w:b/>
      <w:bCs/>
    </w:rPr>
  </w:style>
  <w:style w:type="paragraph" w:styleId="5">
    <w:name w:val="heading 2"/>
    <w:basedOn w:val="1"/>
    <w:next w:val="1"/>
    <w:link w:val="79"/>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2"/>
    <w:link w:val="80"/>
    <w:qFormat/>
    <w:uiPriority w:val="0"/>
    <w:pPr>
      <w:keepNext/>
      <w:keepLines/>
      <w:spacing w:before="260" w:after="260" w:line="415" w:lineRule="auto"/>
      <w:outlineLvl w:val="2"/>
    </w:pPr>
    <w:rPr>
      <w:b/>
      <w:bCs/>
      <w:sz w:val="32"/>
      <w:szCs w:val="32"/>
    </w:rPr>
  </w:style>
  <w:style w:type="paragraph" w:styleId="7">
    <w:name w:val="heading 4"/>
    <w:basedOn w:val="1"/>
    <w:next w:val="1"/>
    <w:link w:val="81"/>
    <w:qFormat/>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82"/>
    <w:qFormat/>
    <w:uiPriority w:val="0"/>
    <w:pPr>
      <w:keepNext/>
      <w:keepLines/>
      <w:spacing w:before="280" w:after="290" w:line="372" w:lineRule="auto"/>
      <w:outlineLvl w:val="4"/>
    </w:pPr>
    <w:rPr>
      <w:rFonts w:ascii="仿宋_GB2312" w:hAnsi="Tahoma"/>
      <w:b/>
      <w:bCs/>
      <w:sz w:val="28"/>
      <w:szCs w:val="28"/>
    </w:rPr>
  </w:style>
  <w:style w:type="paragraph" w:styleId="9">
    <w:name w:val="heading 6"/>
    <w:basedOn w:val="1"/>
    <w:next w:val="1"/>
    <w:link w:val="83"/>
    <w:qFormat/>
    <w:uiPriority w:val="0"/>
    <w:pPr>
      <w:keepNext/>
      <w:keepLines/>
      <w:spacing w:before="240" w:after="64" w:line="319" w:lineRule="auto"/>
      <w:outlineLvl w:val="5"/>
    </w:pPr>
    <w:rPr>
      <w:rFonts w:ascii="Arial" w:hAnsi="Arial" w:eastAsia="黑体"/>
      <w:b/>
      <w:bCs/>
      <w:sz w:val="24"/>
    </w:rPr>
  </w:style>
  <w:style w:type="paragraph" w:styleId="10">
    <w:name w:val="heading 7"/>
    <w:basedOn w:val="1"/>
    <w:next w:val="1"/>
    <w:link w:val="84"/>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1">
    <w:name w:val="heading 8"/>
    <w:basedOn w:val="1"/>
    <w:next w:val="1"/>
    <w:link w:val="85"/>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2">
    <w:name w:val="heading 9"/>
    <w:basedOn w:val="1"/>
    <w:next w:val="1"/>
    <w:link w:val="86"/>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link w:val="76"/>
    <w:qFormat/>
    <w:uiPriority w:val="0"/>
    <w:pPr>
      <w:adjustRightInd w:val="0"/>
      <w:spacing w:line="312" w:lineRule="atLeast"/>
      <w:ind w:firstLine="420"/>
      <w:textAlignment w:val="baseline"/>
    </w:pPr>
    <w:rPr>
      <w:kern w:val="0"/>
      <w:szCs w:val="20"/>
    </w:rPr>
  </w:style>
  <w:style w:type="paragraph" w:styleId="3">
    <w:name w:val="macro"/>
    <w:link w:val="7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toc 7"/>
    <w:basedOn w:val="1"/>
    <w:next w:val="1"/>
    <w:qFormat/>
    <w:uiPriority w:val="39"/>
    <w:pPr>
      <w:autoSpaceDE w:val="0"/>
      <w:autoSpaceDN w:val="0"/>
      <w:adjustRightInd w:val="0"/>
      <w:ind w:left="2520" w:leftChars="1200"/>
      <w:jc w:val="left"/>
    </w:pPr>
    <w:rPr>
      <w:kern w:val="0"/>
      <w:sz w:val="20"/>
      <w:szCs w:val="20"/>
    </w:rPr>
  </w:style>
  <w:style w:type="paragraph" w:styleId="14">
    <w:name w:val="Note Heading"/>
    <w:basedOn w:val="1"/>
    <w:next w:val="1"/>
    <w:link w:val="87"/>
    <w:qFormat/>
    <w:uiPriority w:val="0"/>
    <w:pPr>
      <w:jc w:val="left"/>
    </w:pPr>
    <w:rPr>
      <w:rFonts w:eastAsia="黑体"/>
      <w:sz w:val="28"/>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link w:val="88"/>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qFormat/>
    <w:uiPriority w:val="0"/>
    <w:pPr>
      <w:numPr>
        <w:ilvl w:val="0"/>
        <w:numId w:val="1"/>
      </w:numPr>
      <w:tabs>
        <w:tab w:val="left" w:pos="360"/>
        <w:tab w:val="clear" w:pos="1080"/>
      </w:tabs>
    </w:pPr>
    <w:rPr>
      <w:rFonts w:ascii="Calibri" w:hAnsi="Calibri"/>
      <w:szCs w:val="22"/>
    </w:rPr>
  </w:style>
  <w:style w:type="paragraph" w:styleId="18">
    <w:name w:val="Document Map"/>
    <w:basedOn w:val="1"/>
    <w:link w:val="89"/>
    <w:qFormat/>
    <w:uiPriority w:val="0"/>
    <w:pPr>
      <w:shd w:val="clear" w:color="auto" w:fill="000080"/>
    </w:pPr>
  </w:style>
  <w:style w:type="paragraph" w:styleId="19">
    <w:name w:val="annotation text"/>
    <w:basedOn w:val="1"/>
    <w:link w:val="90"/>
    <w:qFormat/>
    <w:uiPriority w:val="0"/>
    <w:pPr>
      <w:jc w:val="left"/>
    </w:pPr>
  </w:style>
  <w:style w:type="paragraph" w:styleId="20">
    <w:name w:val="Salutation"/>
    <w:basedOn w:val="1"/>
    <w:next w:val="1"/>
    <w:link w:val="91"/>
    <w:qFormat/>
    <w:uiPriority w:val="0"/>
    <w:pPr>
      <w:tabs>
        <w:tab w:val="left" w:pos="840"/>
      </w:tabs>
      <w:autoSpaceDE w:val="0"/>
      <w:autoSpaceDN w:val="0"/>
      <w:adjustRightInd w:val="0"/>
      <w:jc w:val="left"/>
    </w:pPr>
    <w:rPr>
      <w:kern w:val="0"/>
      <w:sz w:val="20"/>
      <w:szCs w:val="20"/>
    </w:rPr>
  </w:style>
  <w:style w:type="paragraph" w:styleId="21">
    <w:name w:val="Body Text 3"/>
    <w:basedOn w:val="1"/>
    <w:link w:val="92"/>
    <w:qFormat/>
    <w:uiPriority w:val="0"/>
    <w:pPr>
      <w:autoSpaceDE w:val="0"/>
      <w:autoSpaceDN w:val="0"/>
      <w:adjustRightInd w:val="0"/>
      <w:jc w:val="center"/>
    </w:pPr>
    <w:rPr>
      <w:kern w:val="0"/>
      <w:sz w:val="20"/>
      <w:szCs w:val="20"/>
    </w:rPr>
  </w:style>
  <w:style w:type="paragraph" w:styleId="22">
    <w:name w:val="Body Text"/>
    <w:basedOn w:val="1"/>
    <w:link w:val="93"/>
    <w:qFormat/>
    <w:uiPriority w:val="0"/>
    <w:pPr>
      <w:spacing w:after="120"/>
    </w:pPr>
    <w:rPr>
      <w:rFonts w:ascii="Tahoma" w:hAnsi="Tahoma"/>
    </w:rPr>
  </w:style>
  <w:style w:type="paragraph" w:styleId="23">
    <w:name w:val="Body Text Indent"/>
    <w:basedOn w:val="1"/>
    <w:link w:val="94"/>
    <w:qFormat/>
    <w:uiPriority w:val="0"/>
    <w:pPr>
      <w:adjustRightInd w:val="0"/>
      <w:spacing w:line="360" w:lineRule="auto"/>
      <w:ind w:firstLine="490"/>
      <w:jc w:val="left"/>
    </w:pPr>
    <w:rPr>
      <w:rFonts w:ascii="宋体" w:hAnsi="宋体"/>
      <w:sz w:val="24"/>
      <w:szCs w:val="20"/>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99"/>
    <w:pPr>
      <w:spacing w:after="120"/>
      <w:ind w:left="1440" w:leftChars="700" w:right="1440" w:rightChars="700"/>
    </w:pPr>
    <w:rPr>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39"/>
    <w:pPr>
      <w:autoSpaceDE w:val="0"/>
      <w:autoSpaceDN w:val="0"/>
      <w:adjustRightInd w:val="0"/>
      <w:ind w:left="1680" w:leftChars="800"/>
      <w:jc w:val="left"/>
    </w:pPr>
    <w:rPr>
      <w:kern w:val="0"/>
      <w:sz w:val="20"/>
      <w:szCs w:val="20"/>
    </w:rPr>
  </w:style>
  <w:style w:type="paragraph" w:styleId="28">
    <w:name w:val="toc 3"/>
    <w:basedOn w:val="1"/>
    <w:next w:val="1"/>
    <w:qFormat/>
    <w:uiPriority w:val="39"/>
    <w:pPr>
      <w:ind w:left="840" w:leftChars="400"/>
    </w:pPr>
  </w:style>
  <w:style w:type="paragraph" w:styleId="29">
    <w:name w:val="Plain Text"/>
    <w:basedOn w:val="1"/>
    <w:next w:val="1"/>
    <w:link w:val="95"/>
    <w:qFormat/>
    <w:uiPriority w:val="0"/>
    <w:rPr>
      <w:rFonts w:ascii="宋体" w:hAnsi="Courier New"/>
      <w:szCs w:val="20"/>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39"/>
    <w:pPr>
      <w:autoSpaceDE w:val="0"/>
      <w:autoSpaceDN w:val="0"/>
      <w:adjustRightInd w:val="0"/>
      <w:ind w:left="2940" w:leftChars="1400"/>
      <w:jc w:val="left"/>
    </w:pPr>
    <w:rPr>
      <w:kern w:val="0"/>
      <w:sz w:val="20"/>
      <w:szCs w:val="20"/>
    </w:rPr>
  </w:style>
  <w:style w:type="paragraph" w:styleId="32">
    <w:name w:val="Date"/>
    <w:basedOn w:val="1"/>
    <w:next w:val="1"/>
    <w:link w:val="96"/>
    <w:qFormat/>
    <w:uiPriority w:val="99"/>
    <w:pPr>
      <w:spacing w:line="440" w:lineRule="exact"/>
    </w:pPr>
    <w:rPr>
      <w:spacing w:val="12"/>
      <w:sz w:val="24"/>
      <w:szCs w:val="20"/>
    </w:rPr>
  </w:style>
  <w:style w:type="paragraph" w:styleId="33">
    <w:name w:val="Body Text Indent 2"/>
    <w:basedOn w:val="1"/>
    <w:link w:val="97"/>
    <w:qFormat/>
    <w:uiPriority w:val="0"/>
    <w:pPr>
      <w:spacing w:after="120" w:line="480" w:lineRule="auto"/>
      <w:ind w:left="420" w:leftChars="200"/>
    </w:pPr>
  </w:style>
  <w:style w:type="paragraph" w:styleId="34">
    <w:name w:val="endnote text"/>
    <w:basedOn w:val="1"/>
    <w:link w:val="98"/>
    <w:qFormat/>
    <w:uiPriority w:val="0"/>
    <w:pPr>
      <w:spacing w:line="360" w:lineRule="auto"/>
      <w:ind w:firstLine="720" w:firstLineChars="200"/>
    </w:pPr>
    <w:rPr>
      <w:sz w:val="24"/>
    </w:rPr>
  </w:style>
  <w:style w:type="paragraph" w:styleId="35">
    <w:name w:val="Balloon Text"/>
    <w:basedOn w:val="1"/>
    <w:link w:val="99"/>
    <w:qFormat/>
    <w:uiPriority w:val="99"/>
    <w:rPr>
      <w:sz w:val="18"/>
      <w:szCs w:val="18"/>
    </w:rPr>
  </w:style>
  <w:style w:type="paragraph" w:styleId="36">
    <w:name w:val="footer"/>
    <w:basedOn w:val="1"/>
    <w:link w:val="100"/>
    <w:qFormat/>
    <w:uiPriority w:val="0"/>
    <w:pPr>
      <w:tabs>
        <w:tab w:val="center" w:pos="4153"/>
        <w:tab w:val="right" w:pos="8306"/>
      </w:tabs>
      <w:snapToGrid w:val="0"/>
      <w:jc w:val="left"/>
    </w:pPr>
    <w:rPr>
      <w:sz w:val="18"/>
      <w:szCs w:val="18"/>
    </w:rPr>
  </w:style>
  <w:style w:type="paragraph" w:styleId="37">
    <w:name w:val="header"/>
    <w:basedOn w:val="1"/>
    <w:link w:val="101"/>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02"/>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qFormat/>
    <w:uiPriority w:val="39"/>
    <w:pPr>
      <w:spacing w:line="360" w:lineRule="exact"/>
      <w:ind w:left="718" w:hanging="718" w:hangingChars="342"/>
    </w:pPr>
    <w:rPr>
      <w:rFonts w:ascii="Arial" w:hAnsi="Arial" w:eastAsia="楷体_GB2312" w:cs="Arial"/>
    </w:rPr>
  </w:style>
  <w:style w:type="paragraph" w:styleId="40">
    <w:name w:val="toc 4"/>
    <w:basedOn w:val="1"/>
    <w:next w:val="1"/>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103"/>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sz w:val="28"/>
    </w:rPr>
  </w:style>
  <w:style w:type="paragraph" w:styleId="44">
    <w:name w:val="footnote text"/>
    <w:basedOn w:val="1"/>
    <w:link w:val="104"/>
    <w:unhideWhenUsed/>
    <w:qFormat/>
    <w:uiPriority w:val="99"/>
    <w:pPr>
      <w:snapToGrid w:val="0"/>
      <w:spacing w:line="360" w:lineRule="auto"/>
      <w:jc w:val="left"/>
    </w:pPr>
    <w:rPr>
      <w:sz w:val="18"/>
      <w:szCs w:val="18"/>
    </w:rPr>
  </w:style>
  <w:style w:type="paragraph" w:styleId="45">
    <w:name w:val="toc 6"/>
    <w:basedOn w:val="1"/>
    <w:next w:val="1"/>
    <w:qFormat/>
    <w:uiPriority w:val="39"/>
    <w:pPr>
      <w:autoSpaceDE w:val="0"/>
      <w:autoSpaceDN w:val="0"/>
      <w:adjustRightInd w:val="0"/>
      <w:ind w:left="2100" w:leftChars="1000"/>
      <w:jc w:val="left"/>
    </w:pPr>
    <w:rPr>
      <w:kern w:val="0"/>
      <w:sz w:val="20"/>
      <w:szCs w:val="20"/>
    </w:rPr>
  </w:style>
  <w:style w:type="paragraph" w:styleId="46">
    <w:name w:val="Body Text Indent 3"/>
    <w:basedOn w:val="1"/>
    <w:link w:val="105"/>
    <w:qFormat/>
    <w:uiPriority w:val="99"/>
    <w:pPr>
      <w:spacing w:after="120"/>
      <w:ind w:left="420" w:leftChars="200"/>
    </w:pPr>
    <w:rPr>
      <w:sz w:val="16"/>
      <w:szCs w:val="16"/>
    </w:rPr>
  </w:style>
  <w:style w:type="paragraph" w:styleId="47">
    <w:name w:val="toc 2"/>
    <w:basedOn w:val="1"/>
    <w:next w:val="1"/>
    <w:qFormat/>
    <w:uiPriority w:val="39"/>
    <w:pPr>
      <w:ind w:left="420" w:leftChars="200"/>
    </w:pPr>
  </w:style>
  <w:style w:type="paragraph" w:styleId="48">
    <w:name w:val="toc 9"/>
    <w:basedOn w:val="1"/>
    <w:next w:val="1"/>
    <w:qFormat/>
    <w:uiPriority w:val="39"/>
    <w:pPr>
      <w:autoSpaceDE w:val="0"/>
      <w:autoSpaceDN w:val="0"/>
      <w:adjustRightInd w:val="0"/>
      <w:ind w:left="3360" w:leftChars="1600"/>
      <w:jc w:val="left"/>
    </w:pPr>
    <w:rPr>
      <w:kern w:val="0"/>
      <w:sz w:val="20"/>
      <w:szCs w:val="20"/>
    </w:rPr>
  </w:style>
  <w:style w:type="paragraph" w:styleId="49">
    <w:name w:val="Body Text 2"/>
    <w:basedOn w:val="1"/>
    <w:link w:val="106"/>
    <w:qFormat/>
    <w:uiPriority w:val="0"/>
    <w:pPr>
      <w:autoSpaceDE w:val="0"/>
      <w:autoSpaceDN w:val="0"/>
      <w:adjustRightInd w:val="0"/>
      <w:spacing w:after="120" w:line="480" w:lineRule="auto"/>
      <w:jc w:val="left"/>
    </w:pPr>
    <w:rPr>
      <w:kern w:val="0"/>
      <w:sz w:val="20"/>
      <w:szCs w:val="20"/>
    </w:rPr>
  </w:style>
  <w:style w:type="paragraph" w:styleId="50">
    <w:name w:val="HTML Preformatted"/>
    <w:basedOn w:val="1"/>
    <w:link w:val="107"/>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1">
    <w:name w:val="Normal (Web)"/>
    <w:basedOn w:val="1"/>
    <w:link w:val="108"/>
    <w:qFormat/>
    <w:uiPriority w:val="99"/>
    <w:pPr>
      <w:widowControl/>
      <w:spacing w:before="100" w:beforeAutospacing="1" w:after="100" w:afterAutospacing="1"/>
      <w:jc w:val="left"/>
    </w:pPr>
    <w:rPr>
      <w:rFonts w:ascii="宋体" w:hAnsi="宋体"/>
      <w:color w:val="000000"/>
      <w:kern w:val="0"/>
      <w:sz w:val="24"/>
    </w:rPr>
  </w:style>
  <w:style w:type="paragraph" w:styleId="52">
    <w:name w:val="index 1"/>
    <w:basedOn w:val="1"/>
    <w:next w:val="1"/>
    <w:qFormat/>
    <w:uiPriority w:val="0"/>
    <w:pPr>
      <w:spacing w:line="220" w:lineRule="exact"/>
      <w:jc w:val="center"/>
    </w:pPr>
    <w:rPr>
      <w:rFonts w:ascii="仿宋_GB2312" w:eastAsia="仿宋_GB2312"/>
      <w:szCs w:val="21"/>
    </w:rPr>
  </w:style>
  <w:style w:type="paragraph" w:styleId="53">
    <w:name w:val="Title"/>
    <w:basedOn w:val="1"/>
    <w:link w:val="109"/>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4">
    <w:name w:val="annotation subject"/>
    <w:basedOn w:val="19"/>
    <w:next w:val="19"/>
    <w:link w:val="110"/>
    <w:qFormat/>
    <w:uiPriority w:val="0"/>
    <w:rPr>
      <w:b/>
      <w:bCs/>
    </w:rPr>
  </w:style>
  <w:style w:type="paragraph" w:styleId="55">
    <w:name w:val="Body Text First Indent"/>
    <w:basedOn w:val="22"/>
    <w:link w:val="111"/>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56">
    <w:name w:val="Body Text First Indent 2"/>
    <w:basedOn w:val="23"/>
    <w:link w:val="112"/>
    <w:unhideWhenUsed/>
    <w:qFormat/>
    <w:uiPriority w:val="0"/>
    <w:pPr>
      <w:adjustRightInd/>
      <w:spacing w:after="120"/>
      <w:ind w:left="420" w:leftChars="200" w:firstLine="420" w:firstLineChars="200"/>
      <w:jc w:val="both"/>
    </w:pPr>
    <w:rPr>
      <w:szCs w:val="24"/>
    </w:rPr>
  </w:style>
  <w:style w:type="table" w:styleId="58">
    <w:name w:val="Table Grid"/>
    <w:basedOn w:val="5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rFonts w:ascii="仿宋_GB2312" w:eastAsia="仿宋_GB2312"/>
      <w:bCs/>
      <w:sz w:val="32"/>
      <w:szCs w:val="32"/>
    </w:rPr>
  </w:style>
  <w:style w:type="character" w:styleId="61">
    <w:name w:val="page number"/>
    <w:qFormat/>
    <w:uiPriority w:val="0"/>
    <w:rPr>
      <w:szCs w:val="20"/>
    </w:rPr>
  </w:style>
  <w:style w:type="character" w:styleId="62">
    <w:name w:val="FollowedHyperlink"/>
    <w:qFormat/>
    <w:uiPriority w:val="99"/>
    <w:rPr>
      <w:rFonts w:ascii="仿宋_GB2312" w:eastAsia="仿宋_GB2312"/>
      <w:b/>
      <w:color w:val="800080"/>
      <w:sz w:val="32"/>
      <w:szCs w:val="32"/>
      <w:u w:val="single"/>
    </w:rPr>
  </w:style>
  <w:style w:type="character" w:styleId="63">
    <w:name w:val="Emphasis"/>
    <w:qFormat/>
    <w:uiPriority w:val="20"/>
    <w:rPr>
      <w:i/>
      <w:iCs/>
    </w:rPr>
  </w:style>
  <w:style w:type="character" w:styleId="64">
    <w:name w:val="line number"/>
    <w:qFormat/>
    <w:uiPriority w:val="0"/>
    <w:rPr>
      <w:rFonts w:ascii="仿宋_GB2312" w:hAnsi="Tahoma" w:eastAsia="仿宋_GB2312"/>
      <w:b/>
      <w:sz w:val="32"/>
      <w:szCs w:val="32"/>
    </w:rPr>
  </w:style>
  <w:style w:type="character" w:styleId="65">
    <w:name w:val="HTML Definition"/>
    <w:unhideWhenUsed/>
    <w:qFormat/>
    <w:uiPriority w:val="99"/>
    <w:rPr>
      <w:szCs w:val="20"/>
    </w:rPr>
  </w:style>
  <w:style w:type="character" w:styleId="66">
    <w:name w:val="HTML Typewriter"/>
    <w:qFormat/>
    <w:uiPriority w:val="0"/>
    <w:rPr>
      <w:rFonts w:ascii="宋体" w:hAnsi="宋体" w:eastAsia="宋体" w:cs="宋体"/>
      <w:sz w:val="24"/>
      <w:szCs w:val="24"/>
    </w:rPr>
  </w:style>
  <w:style w:type="character" w:styleId="67">
    <w:name w:val="HTML Acronym"/>
    <w:unhideWhenUsed/>
    <w:qFormat/>
    <w:uiPriority w:val="99"/>
    <w:rPr>
      <w:szCs w:val="20"/>
    </w:rPr>
  </w:style>
  <w:style w:type="character" w:styleId="68">
    <w:name w:val="HTML Variable"/>
    <w:unhideWhenUsed/>
    <w:qFormat/>
    <w:uiPriority w:val="99"/>
    <w:rPr>
      <w:szCs w:val="20"/>
    </w:rPr>
  </w:style>
  <w:style w:type="character" w:styleId="69">
    <w:name w:val="Hyperlink"/>
    <w:qFormat/>
    <w:uiPriority w:val="99"/>
    <w:rPr>
      <w:rFonts w:ascii="仿宋_GB2312" w:eastAsia="仿宋_GB2312"/>
      <w:color w:val="000000"/>
      <w:sz w:val="20"/>
      <w:szCs w:val="20"/>
      <w:u w:val="none"/>
    </w:rPr>
  </w:style>
  <w:style w:type="character" w:styleId="70">
    <w:name w:val="HTML Code"/>
    <w:unhideWhenUsed/>
    <w:qFormat/>
    <w:uiPriority w:val="99"/>
    <w:rPr>
      <w:rFonts w:hint="eastAsia" w:ascii="微软雅黑" w:hAnsi="微软雅黑" w:eastAsia="微软雅黑" w:cs="微软雅黑"/>
      <w:sz w:val="20"/>
      <w:szCs w:val="20"/>
    </w:rPr>
  </w:style>
  <w:style w:type="character" w:styleId="71">
    <w:name w:val="annotation reference"/>
    <w:qFormat/>
    <w:uiPriority w:val="0"/>
    <w:rPr>
      <w:sz w:val="21"/>
      <w:szCs w:val="21"/>
    </w:rPr>
  </w:style>
  <w:style w:type="character" w:styleId="72">
    <w:name w:val="HTML Cite"/>
    <w:qFormat/>
    <w:uiPriority w:val="0"/>
    <w:rPr>
      <w:color w:val="008000"/>
    </w:rPr>
  </w:style>
  <w:style w:type="character" w:styleId="73">
    <w:name w:val="footnote reference"/>
    <w:qFormat/>
    <w:uiPriority w:val="99"/>
    <w:rPr>
      <w:vertAlign w:val="superscript"/>
    </w:rPr>
  </w:style>
  <w:style w:type="character" w:styleId="74">
    <w:name w:val="HTML Keyboard"/>
    <w:unhideWhenUsed/>
    <w:qFormat/>
    <w:uiPriority w:val="99"/>
    <w:rPr>
      <w:rFonts w:hint="eastAsia" w:ascii="微软雅黑" w:hAnsi="微软雅黑" w:eastAsia="微软雅黑" w:cs="微软雅黑"/>
      <w:sz w:val="20"/>
      <w:szCs w:val="20"/>
    </w:rPr>
  </w:style>
  <w:style w:type="character" w:styleId="75">
    <w:name w:val="HTML Sample"/>
    <w:unhideWhenUsed/>
    <w:qFormat/>
    <w:uiPriority w:val="0"/>
    <w:rPr>
      <w:rFonts w:hint="eastAsia" w:ascii="微软雅黑" w:hAnsi="微软雅黑" w:eastAsia="微软雅黑" w:cs="微软雅黑"/>
      <w:szCs w:val="20"/>
    </w:rPr>
  </w:style>
  <w:style w:type="character" w:customStyle="1" w:styleId="76">
    <w:name w:val="正文缩进 Char3"/>
    <w:link w:val="2"/>
    <w:qFormat/>
    <w:uiPriority w:val="0"/>
    <w:rPr>
      <w:rFonts w:eastAsia="宋体"/>
      <w:sz w:val="21"/>
      <w:lang w:val="en-US" w:eastAsia="zh-CN" w:bidi="ar-SA"/>
    </w:rPr>
  </w:style>
  <w:style w:type="character" w:customStyle="1" w:styleId="77">
    <w:name w:val="宏文本 Char3"/>
    <w:link w:val="3"/>
    <w:qFormat/>
    <w:uiPriority w:val="0"/>
    <w:rPr>
      <w:rFonts w:ascii="Courier New" w:hAnsi="Courier New"/>
      <w:kern w:val="2"/>
      <w:sz w:val="24"/>
      <w:szCs w:val="24"/>
      <w:lang w:val="en-US" w:eastAsia="zh-CN" w:bidi="ar-SA"/>
    </w:rPr>
  </w:style>
  <w:style w:type="character" w:customStyle="1" w:styleId="78">
    <w:name w:val="标题 1 Char2"/>
    <w:link w:val="4"/>
    <w:qFormat/>
    <w:uiPriority w:val="0"/>
    <w:rPr>
      <w:rFonts w:ascii="楷体_GB2312" w:hAnsi="Tahoma" w:eastAsia="楷体_GB2312"/>
      <w:b/>
      <w:bCs/>
      <w:kern w:val="2"/>
      <w:sz w:val="21"/>
      <w:szCs w:val="24"/>
    </w:rPr>
  </w:style>
  <w:style w:type="character" w:customStyle="1" w:styleId="79">
    <w:name w:val="标题 2 Char2"/>
    <w:link w:val="5"/>
    <w:qFormat/>
    <w:uiPriority w:val="0"/>
    <w:rPr>
      <w:rFonts w:ascii="Arial" w:hAnsi="Arial" w:eastAsia="黑体"/>
      <w:b/>
      <w:bCs/>
      <w:kern w:val="2"/>
      <w:sz w:val="32"/>
      <w:szCs w:val="32"/>
    </w:rPr>
  </w:style>
  <w:style w:type="character" w:customStyle="1" w:styleId="80">
    <w:name w:val="标题 3 Char2"/>
    <w:link w:val="6"/>
    <w:qFormat/>
    <w:uiPriority w:val="0"/>
    <w:rPr>
      <w:b/>
      <w:bCs/>
      <w:kern w:val="2"/>
      <w:sz w:val="32"/>
      <w:szCs w:val="32"/>
    </w:rPr>
  </w:style>
  <w:style w:type="character" w:customStyle="1" w:styleId="81">
    <w:name w:val="标题 4 Char2"/>
    <w:link w:val="7"/>
    <w:qFormat/>
    <w:uiPriority w:val="0"/>
    <w:rPr>
      <w:rFonts w:ascii="Cambria" w:hAnsi="Cambria"/>
      <w:b/>
      <w:bCs/>
      <w:kern w:val="2"/>
      <w:sz w:val="28"/>
      <w:szCs w:val="28"/>
    </w:rPr>
  </w:style>
  <w:style w:type="character" w:customStyle="1" w:styleId="82">
    <w:name w:val="标题 5 Char1"/>
    <w:link w:val="8"/>
    <w:qFormat/>
    <w:uiPriority w:val="0"/>
    <w:rPr>
      <w:rFonts w:ascii="仿宋_GB2312" w:hAnsi="Tahoma"/>
      <w:b/>
      <w:bCs/>
      <w:kern w:val="2"/>
      <w:sz w:val="28"/>
      <w:szCs w:val="28"/>
    </w:rPr>
  </w:style>
  <w:style w:type="character" w:customStyle="1" w:styleId="83">
    <w:name w:val="标题 6 Char1"/>
    <w:link w:val="9"/>
    <w:qFormat/>
    <w:uiPriority w:val="0"/>
    <w:rPr>
      <w:rFonts w:ascii="Arial" w:hAnsi="Arial" w:eastAsia="黑体"/>
      <w:b/>
      <w:bCs/>
      <w:kern w:val="2"/>
      <w:sz w:val="24"/>
      <w:szCs w:val="24"/>
    </w:rPr>
  </w:style>
  <w:style w:type="character" w:customStyle="1" w:styleId="84">
    <w:name w:val="标题 7 Char1"/>
    <w:link w:val="10"/>
    <w:qFormat/>
    <w:uiPriority w:val="0"/>
    <w:rPr>
      <w:rFonts w:ascii="Arial" w:hAnsi="Arial" w:eastAsia="黑体"/>
      <w:b/>
      <w:sz w:val="21"/>
      <w:szCs w:val="21"/>
    </w:rPr>
  </w:style>
  <w:style w:type="character" w:customStyle="1" w:styleId="85">
    <w:name w:val="标题 8 Char1"/>
    <w:link w:val="11"/>
    <w:qFormat/>
    <w:uiPriority w:val="0"/>
    <w:rPr>
      <w:rFonts w:ascii="Arial" w:hAnsi="Arial" w:eastAsia="黑体"/>
      <w:b/>
      <w:sz w:val="24"/>
      <w:szCs w:val="32"/>
    </w:rPr>
  </w:style>
  <w:style w:type="character" w:customStyle="1" w:styleId="86">
    <w:name w:val="标题 9 Char1"/>
    <w:link w:val="12"/>
    <w:qFormat/>
    <w:uiPriority w:val="0"/>
    <w:rPr>
      <w:rFonts w:ascii="Arial" w:hAnsi="Arial" w:eastAsia="黑体"/>
      <w:b/>
      <w:sz w:val="21"/>
      <w:szCs w:val="32"/>
    </w:rPr>
  </w:style>
  <w:style w:type="character" w:customStyle="1" w:styleId="87">
    <w:name w:val="注释标题 Char3"/>
    <w:link w:val="14"/>
    <w:qFormat/>
    <w:uiPriority w:val="0"/>
    <w:rPr>
      <w:rFonts w:eastAsia="黑体"/>
      <w:kern w:val="2"/>
      <w:sz w:val="28"/>
    </w:rPr>
  </w:style>
  <w:style w:type="character" w:customStyle="1" w:styleId="88">
    <w:name w:val="题注 Char2"/>
    <w:link w:val="16"/>
    <w:qFormat/>
    <w:uiPriority w:val="0"/>
    <w:rPr>
      <w:rFonts w:ascii="Arial" w:hAnsi="Arial" w:eastAsia="黑体" w:cs="Arial"/>
    </w:rPr>
  </w:style>
  <w:style w:type="character" w:customStyle="1" w:styleId="89">
    <w:name w:val="文档结构图 Char4"/>
    <w:link w:val="18"/>
    <w:qFormat/>
    <w:uiPriority w:val="0"/>
    <w:rPr>
      <w:kern w:val="2"/>
      <w:sz w:val="21"/>
      <w:szCs w:val="24"/>
      <w:shd w:val="clear" w:color="auto" w:fill="000080"/>
    </w:rPr>
  </w:style>
  <w:style w:type="character" w:customStyle="1" w:styleId="90">
    <w:name w:val="批注文字 Char3"/>
    <w:link w:val="19"/>
    <w:qFormat/>
    <w:uiPriority w:val="0"/>
    <w:rPr>
      <w:kern w:val="2"/>
      <w:sz w:val="21"/>
      <w:szCs w:val="24"/>
    </w:rPr>
  </w:style>
  <w:style w:type="character" w:customStyle="1" w:styleId="91">
    <w:name w:val="称呼 Char2"/>
    <w:link w:val="20"/>
    <w:qFormat/>
    <w:uiPriority w:val="0"/>
    <w:rPr>
      <w:szCs w:val="20"/>
    </w:rPr>
  </w:style>
  <w:style w:type="character" w:customStyle="1" w:styleId="92">
    <w:name w:val="正文文本 3 Char2"/>
    <w:link w:val="21"/>
    <w:qFormat/>
    <w:uiPriority w:val="0"/>
    <w:rPr>
      <w:szCs w:val="20"/>
    </w:rPr>
  </w:style>
  <w:style w:type="character" w:customStyle="1" w:styleId="93">
    <w:name w:val="正文文本 Char2"/>
    <w:link w:val="22"/>
    <w:qFormat/>
    <w:uiPriority w:val="0"/>
    <w:rPr>
      <w:rFonts w:ascii="Tahoma" w:hAnsi="Tahoma"/>
      <w:kern w:val="2"/>
      <w:sz w:val="21"/>
      <w:szCs w:val="24"/>
    </w:rPr>
  </w:style>
  <w:style w:type="character" w:customStyle="1" w:styleId="94">
    <w:name w:val="正文文本缩进 Char2"/>
    <w:link w:val="23"/>
    <w:qFormat/>
    <w:uiPriority w:val="0"/>
    <w:rPr>
      <w:rFonts w:ascii="宋体" w:hAnsi="宋体"/>
      <w:kern w:val="2"/>
      <w:sz w:val="24"/>
    </w:rPr>
  </w:style>
  <w:style w:type="character" w:customStyle="1" w:styleId="95">
    <w:name w:val="纯文本 Char3"/>
    <w:link w:val="29"/>
    <w:qFormat/>
    <w:uiPriority w:val="0"/>
    <w:rPr>
      <w:rFonts w:ascii="宋体" w:hAnsi="Courier New" w:eastAsia="宋体"/>
      <w:kern w:val="2"/>
      <w:sz w:val="21"/>
      <w:lang w:val="en-US" w:eastAsia="zh-CN" w:bidi="ar-SA"/>
    </w:rPr>
  </w:style>
  <w:style w:type="character" w:customStyle="1" w:styleId="96">
    <w:name w:val="日期 Char3"/>
    <w:link w:val="32"/>
    <w:qFormat/>
    <w:uiPriority w:val="99"/>
    <w:rPr>
      <w:spacing w:val="12"/>
      <w:kern w:val="2"/>
      <w:sz w:val="24"/>
    </w:rPr>
  </w:style>
  <w:style w:type="character" w:customStyle="1" w:styleId="97">
    <w:name w:val="正文文本缩进 2 Char3"/>
    <w:link w:val="33"/>
    <w:qFormat/>
    <w:uiPriority w:val="0"/>
    <w:rPr>
      <w:kern w:val="2"/>
      <w:sz w:val="21"/>
      <w:szCs w:val="24"/>
    </w:rPr>
  </w:style>
  <w:style w:type="character" w:customStyle="1" w:styleId="98">
    <w:name w:val="尾注文本 Char"/>
    <w:link w:val="34"/>
    <w:qFormat/>
    <w:uiPriority w:val="0"/>
    <w:rPr>
      <w:kern w:val="2"/>
      <w:sz w:val="24"/>
      <w:szCs w:val="24"/>
    </w:rPr>
  </w:style>
  <w:style w:type="character" w:customStyle="1" w:styleId="99">
    <w:name w:val="批注框文本 Char3"/>
    <w:link w:val="35"/>
    <w:qFormat/>
    <w:uiPriority w:val="99"/>
    <w:rPr>
      <w:kern w:val="2"/>
      <w:sz w:val="18"/>
      <w:szCs w:val="18"/>
    </w:rPr>
  </w:style>
  <w:style w:type="character" w:customStyle="1" w:styleId="100">
    <w:name w:val="页脚 Char3"/>
    <w:link w:val="36"/>
    <w:qFormat/>
    <w:uiPriority w:val="0"/>
    <w:rPr>
      <w:kern w:val="2"/>
      <w:sz w:val="18"/>
      <w:szCs w:val="18"/>
    </w:rPr>
  </w:style>
  <w:style w:type="character" w:customStyle="1" w:styleId="101">
    <w:name w:val="页眉 Char3"/>
    <w:link w:val="37"/>
    <w:qFormat/>
    <w:uiPriority w:val="0"/>
    <w:rPr>
      <w:kern w:val="2"/>
      <w:sz w:val="18"/>
      <w:szCs w:val="18"/>
    </w:rPr>
  </w:style>
  <w:style w:type="character" w:customStyle="1" w:styleId="102">
    <w:name w:val="签名 Char2"/>
    <w:link w:val="38"/>
    <w:qFormat/>
    <w:uiPriority w:val="0"/>
    <w:rPr>
      <w:rFonts w:ascii="Tahoma" w:hAnsi="Tahoma" w:eastAsia="仿宋_GB2312"/>
      <w:sz w:val="24"/>
      <w:szCs w:val="20"/>
    </w:rPr>
  </w:style>
  <w:style w:type="character" w:customStyle="1" w:styleId="103">
    <w:name w:val="副标题 Char3"/>
    <w:link w:val="41"/>
    <w:qFormat/>
    <w:uiPriority w:val="0"/>
    <w:rPr>
      <w:rFonts w:ascii="Cambria" w:hAnsi="Cambria"/>
      <w:b/>
      <w:bCs/>
      <w:kern w:val="28"/>
      <w:sz w:val="32"/>
      <w:szCs w:val="32"/>
    </w:rPr>
  </w:style>
  <w:style w:type="character" w:customStyle="1" w:styleId="104">
    <w:name w:val="脚注文本 Char2"/>
    <w:link w:val="44"/>
    <w:qFormat/>
    <w:uiPriority w:val="99"/>
    <w:rPr>
      <w:kern w:val="2"/>
      <w:sz w:val="18"/>
      <w:szCs w:val="18"/>
    </w:rPr>
  </w:style>
  <w:style w:type="character" w:customStyle="1" w:styleId="105">
    <w:name w:val="正文文本缩进 3 Char3"/>
    <w:link w:val="46"/>
    <w:qFormat/>
    <w:uiPriority w:val="99"/>
    <w:rPr>
      <w:kern w:val="2"/>
      <w:sz w:val="16"/>
      <w:szCs w:val="16"/>
    </w:rPr>
  </w:style>
  <w:style w:type="character" w:customStyle="1" w:styleId="106">
    <w:name w:val="正文文本 2 Char3"/>
    <w:link w:val="49"/>
    <w:qFormat/>
    <w:uiPriority w:val="0"/>
    <w:rPr>
      <w:szCs w:val="20"/>
    </w:rPr>
  </w:style>
  <w:style w:type="character" w:customStyle="1" w:styleId="107">
    <w:name w:val="HTML 预设格式 Char3"/>
    <w:link w:val="50"/>
    <w:qFormat/>
    <w:uiPriority w:val="0"/>
    <w:rPr>
      <w:rFonts w:ascii="微软雅黑" w:hAnsi="微软雅黑" w:eastAsia="微软雅黑"/>
      <w:sz w:val="24"/>
      <w:szCs w:val="24"/>
    </w:rPr>
  </w:style>
  <w:style w:type="character" w:customStyle="1" w:styleId="108">
    <w:name w:val="普通(网站) Char1"/>
    <w:link w:val="51"/>
    <w:qFormat/>
    <w:uiPriority w:val="99"/>
    <w:rPr>
      <w:rFonts w:ascii="宋体" w:hAnsi="宋体"/>
      <w:color w:val="000000"/>
      <w:sz w:val="24"/>
      <w:szCs w:val="24"/>
    </w:rPr>
  </w:style>
  <w:style w:type="character" w:customStyle="1" w:styleId="109">
    <w:name w:val="标题 Char3"/>
    <w:link w:val="53"/>
    <w:qFormat/>
    <w:uiPriority w:val="0"/>
    <w:rPr>
      <w:rFonts w:ascii="Cambria" w:hAnsi="Cambria"/>
      <w:b/>
      <w:bCs/>
      <w:sz w:val="32"/>
      <w:szCs w:val="32"/>
    </w:rPr>
  </w:style>
  <w:style w:type="character" w:customStyle="1" w:styleId="110">
    <w:name w:val="批注主题 Char3"/>
    <w:link w:val="54"/>
    <w:qFormat/>
    <w:uiPriority w:val="0"/>
    <w:rPr>
      <w:b/>
      <w:bCs/>
      <w:kern w:val="2"/>
      <w:sz w:val="21"/>
      <w:szCs w:val="24"/>
    </w:rPr>
  </w:style>
  <w:style w:type="character" w:customStyle="1" w:styleId="111">
    <w:name w:val="正文首行缩进 Char4"/>
    <w:link w:val="55"/>
    <w:qFormat/>
    <w:uiPriority w:val="0"/>
    <w:rPr>
      <w:rFonts w:ascii="仿宋_GB2312"/>
      <w:b/>
      <w:sz w:val="32"/>
      <w:szCs w:val="32"/>
    </w:rPr>
  </w:style>
  <w:style w:type="character" w:customStyle="1" w:styleId="112">
    <w:name w:val="正文首行缩进 2 Char4"/>
    <w:link w:val="56"/>
    <w:qFormat/>
    <w:uiPriority w:val="0"/>
    <w:rPr>
      <w:rFonts w:ascii="宋体" w:hAnsi="宋体"/>
      <w:kern w:val="2"/>
      <w:sz w:val="24"/>
      <w:szCs w:val="24"/>
    </w:rPr>
  </w:style>
  <w:style w:type="paragraph" w:customStyle="1" w:styleId="1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4">
    <w:name w:val="标题 Char"/>
    <w:qFormat/>
    <w:uiPriority w:val="0"/>
    <w:rPr>
      <w:rFonts w:ascii="宋体,Verdana,Arial" w:hAnsi="宋体,Verdana,Arial" w:eastAsia="Cambria"/>
      <w:b/>
      <w:bCs/>
      <w:sz w:val="32"/>
      <w:szCs w:val="32"/>
    </w:rPr>
  </w:style>
  <w:style w:type="character" w:customStyle="1" w:styleId="115">
    <w:name w:val="正文居中 Char Char"/>
    <w:qFormat/>
    <w:uiPriority w:val="0"/>
    <w:rPr>
      <w:kern w:val="2"/>
      <w:sz w:val="21"/>
      <w:szCs w:val="24"/>
    </w:rPr>
  </w:style>
  <w:style w:type="character" w:customStyle="1" w:styleId="116">
    <w:name w:val="样式1 Char"/>
    <w:link w:val="117"/>
    <w:qFormat/>
    <w:uiPriority w:val="0"/>
    <w:rPr>
      <w:rFonts w:ascii="宋体" w:hAnsi="宋体"/>
      <w:kern w:val="2"/>
      <w:sz w:val="21"/>
      <w:szCs w:val="21"/>
    </w:rPr>
  </w:style>
  <w:style w:type="paragraph" w:customStyle="1" w:styleId="117">
    <w:name w:val="样式1"/>
    <w:basedOn w:val="1"/>
    <w:next w:val="7"/>
    <w:link w:val="116"/>
    <w:qFormat/>
    <w:uiPriority w:val="0"/>
    <w:pPr>
      <w:spacing w:line="360" w:lineRule="auto"/>
      <w:ind w:firstLine="420" w:firstLineChars="200"/>
    </w:pPr>
    <w:rPr>
      <w:rFonts w:ascii="宋体" w:hAnsi="宋体"/>
      <w:szCs w:val="21"/>
    </w:rPr>
  </w:style>
  <w:style w:type="character" w:customStyle="1" w:styleId="118">
    <w:name w:val="font21"/>
    <w:qFormat/>
    <w:uiPriority w:val="0"/>
    <w:rPr>
      <w:rFonts w:hint="default" w:ascii="Times New Roman" w:hAnsi="Times New Roman" w:cs="Times New Roman"/>
      <w:color w:val="000000"/>
      <w:sz w:val="20"/>
      <w:szCs w:val="20"/>
      <w:u w:val="none"/>
    </w:rPr>
  </w:style>
  <w:style w:type="character" w:customStyle="1" w:styleId="119">
    <w:name w:val="正文首行缩进 2 Char3"/>
    <w:semiHidden/>
    <w:qFormat/>
    <w:uiPriority w:val="99"/>
  </w:style>
  <w:style w:type="character" w:customStyle="1" w:styleId="120">
    <w:name w:val="正文文本缩进 Char1"/>
    <w:semiHidden/>
    <w:qFormat/>
    <w:uiPriority w:val="99"/>
    <w:rPr>
      <w:kern w:val="2"/>
      <w:sz w:val="21"/>
      <w:szCs w:val="24"/>
    </w:rPr>
  </w:style>
  <w:style w:type="character" w:customStyle="1" w:styleId="121">
    <w:name w:val="正文缩进 字符"/>
    <w:qFormat/>
    <w:uiPriority w:val="0"/>
    <w:rPr>
      <w:rFonts w:eastAsia="宋体"/>
      <w:sz w:val="21"/>
      <w:lang w:val="en-US" w:eastAsia="zh-CN" w:bidi="ar-SA"/>
    </w:rPr>
  </w:style>
  <w:style w:type="character" w:customStyle="1" w:styleId="122">
    <w:name w:val="Char Char Char Char Char Char Char Char Char"/>
    <w:qFormat/>
    <w:uiPriority w:val="0"/>
    <w:rPr>
      <w:rFonts w:ascii="宋体" w:hAnsi="Courier New" w:eastAsia="宋体"/>
      <w:b/>
      <w:sz w:val="21"/>
      <w:szCs w:val="21"/>
      <w:lang w:val="en-US" w:eastAsia="zh-CN" w:bidi="ar-SA"/>
    </w:rPr>
  </w:style>
  <w:style w:type="character" w:customStyle="1" w:styleId="123">
    <w:name w:val="pages"/>
    <w:qFormat/>
    <w:uiPriority w:val="0"/>
    <w:rPr>
      <w:color w:val="999999"/>
      <w:szCs w:val="20"/>
    </w:rPr>
  </w:style>
  <w:style w:type="character" w:customStyle="1" w:styleId="124">
    <w:name w:val="update"/>
    <w:qFormat/>
    <w:uiPriority w:val="0"/>
    <w:rPr>
      <w:szCs w:val="20"/>
    </w:rPr>
  </w:style>
  <w:style w:type="character" w:customStyle="1" w:styleId="125">
    <w:name w:val="Char Char19"/>
    <w:qFormat/>
    <w:uiPriority w:val="0"/>
    <w:rPr>
      <w:rFonts w:ascii="Cambria" w:hAnsi="Cambria" w:eastAsia="仿宋_GB2312"/>
      <w:b/>
      <w:bCs/>
      <w:kern w:val="2"/>
      <w:sz w:val="32"/>
      <w:szCs w:val="32"/>
    </w:rPr>
  </w:style>
  <w:style w:type="character" w:customStyle="1" w:styleId="126">
    <w:name w:val="批注文字 字符"/>
    <w:qFormat/>
    <w:uiPriority w:val="0"/>
    <w:rPr>
      <w:rFonts w:eastAsia="宋体"/>
      <w:kern w:val="2"/>
      <w:sz w:val="36"/>
      <w:szCs w:val="24"/>
      <w:lang w:val="en-US" w:eastAsia="zh-CN" w:bidi="ar-SA"/>
    </w:rPr>
  </w:style>
  <w:style w:type="character" w:customStyle="1" w:styleId="127">
    <w:name w:val="Footer-Even Char"/>
    <w:qFormat/>
    <w:uiPriority w:val="0"/>
    <w:rPr>
      <w:rFonts w:ascii="仿宋_GB2312" w:eastAsia="仿宋_GB2312"/>
      <w:b/>
      <w:sz w:val="18"/>
      <w:szCs w:val="18"/>
    </w:rPr>
  </w:style>
  <w:style w:type="character" w:customStyle="1" w:styleId="128">
    <w:name w:val="fr"/>
    <w:qFormat/>
    <w:uiPriority w:val="0"/>
    <w:rPr>
      <w:szCs w:val="20"/>
    </w:rPr>
  </w:style>
  <w:style w:type="character" w:customStyle="1" w:styleId="129">
    <w:name w:val="style21"/>
    <w:qFormat/>
    <w:uiPriority w:val="0"/>
    <w:rPr>
      <w:rFonts w:ascii="仿宋_GB2312" w:eastAsia="仿宋_GB2312"/>
      <w:b/>
      <w:sz w:val="15"/>
      <w:szCs w:val="15"/>
    </w:rPr>
  </w:style>
  <w:style w:type="character" w:customStyle="1" w:styleId="130">
    <w:name w:val="正文2 Char"/>
    <w:link w:val="131"/>
    <w:qFormat/>
    <w:uiPriority w:val="0"/>
    <w:rPr>
      <w:sz w:val="24"/>
    </w:rPr>
  </w:style>
  <w:style w:type="paragraph" w:customStyle="1" w:styleId="131">
    <w:name w:val="正文2"/>
    <w:basedOn w:val="1"/>
    <w:link w:val="130"/>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2">
    <w:name w:val="doc1"/>
    <w:qFormat/>
    <w:uiPriority w:val="0"/>
    <w:rPr>
      <w:szCs w:val="20"/>
    </w:rPr>
  </w:style>
  <w:style w:type="character" w:customStyle="1" w:styleId="133">
    <w:name w:val="heading 5 Char2"/>
    <w:qFormat/>
    <w:uiPriority w:val="0"/>
    <w:rPr>
      <w:rFonts w:ascii="仿宋_GB2312" w:eastAsia="仿宋_GB2312"/>
      <w:b/>
      <w:bCs/>
      <w:kern w:val="2"/>
      <w:sz w:val="28"/>
      <w:szCs w:val="28"/>
    </w:rPr>
  </w:style>
  <w:style w:type="character" w:customStyle="1" w:styleId="134">
    <w:name w:val="标题 4 Char1"/>
    <w:qFormat/>
    <w:uiPriority w:val="0"/>
    <w:rPr>
      <w:rFonts w:ascii="Cambria" w:hAnsi="Cambria"/>
      <w:b/>
      <w:bCs/>
      <w:kern w:val="2"/>
      <w:sz w:val="28"/>
      <w:szCs w:val="28"/>
    </w:rPr>
  </w:style>
  <w:style w:type="character" w:customStyle="1" w:styleId="135">
    <w:name w:val="pt141"/>
    <w:qFormat/>
    <w:uiPriority w:val="0"/>
    <w:rPr>
      <w:rFonts w:ascii="仿宋_GB2312" w:eastAsia="仿宋_GB2312"/>
      <w:b/>
      <w:color w:val="330066"/>
      <w:spacing w:val="450"/>
      <w:sz w:val="22"/>
      <w:szCs w:val="22"/>
    </w:rPr>
  </w:style>
  <w:style w:type="character" w:customStyle="1" w:styleId="136">
    <w:name w:val="authcode"/>
    <w:qFormat/>
    <w:uiPriority w:val="0"/>
    <w:rPr>
      <w:szCs w:val="20"/>
    </w:rPr>
  </w:style>
  <w:style w:type="character" w:customStyle="1" w:styleId="137">
    <w:name w:val="样式2 Char"/>
    <w:qFormat/>
    <w:uiPriority w:val="0"/>
    <w:rPr>
      <w:rFonts w:ascii="Arial" w:hAnsi="Arial" w:eastAsia="黑体"/>
      <w:b/>
      <w:bCs/>
      <w:sz w:val="36"/>
      <w:szCs w:val="32"/>
    </w:rPr>
  </w:style>
  <w:style w:type="character" w:customStyle="1" w:styleId="138">
    <w:name w:val="题注 Char"/>
    <w:qFormat/>
    <w:uiPriority w:val="0"/>
    <w:rPr>
      <w:rFonts w:ascii="Arial" w:hAnsi="Arial" w:eastAsia="黑体" w:cs="Arial"/>
    </w:rPr>
  </w:style>
  <w:style w:type="character" w:customStyle="1" w:styleId="139">
    <w:name w:val="heading 4 Char1"/>
    <w:qFormat/>
    <w:uiPriority w:val="0"/>
    <w:rPr>
      <w:rFonts w:ascii="Cambria" w:hAnsi="Cambria" w:eastAsia="宋体"/>
      <w:b/>
      <w:bCs/>
      <w:kern w:val="2"/>
      <w:sz w:val="28"/>
      <w:szCs w:val="28"/>
      <w:lang w:val="en-US" w:eastAsia="zh-CN" w:bidi="ar-SA"/>
    </w:rPr>
  </w:style>
  <w:style w:type="character" w:customStyle="1" w:styleId="140">
    <w:name w:val="Heading 2 Hidden Char1 Char"/>
    <w:qFormat/>
    <w:uiPriority w:val="0"/>
    <w:rPr>
      <w:rFonts w:ascii="宋体" w:hAnsi="Times New Roman" w:eastAsia="宋体" w:cs="Times New Roman"/>
      <w:kern w:val="0"/>
      <w:sz w:val="24"/>
      <w:szCs w:val="24"/>
    </w:rPr>
  </w:style>
  <w:style w:type="character" w:customStyle="1" w:styleId="141">
    <w:name w:val="编号正文缩进 Char Char"/>
    <w:qFormat/>
    <w:uiPriority w:val="0"/>
    <w:rPr>
      <w:sz w:val="24"/>
    </w:rPr>
  </w:style>
  <w:style w:type="character" w:customStyle="1" w:styleId="142">
    <w:name w:val="heading 5 Char1"/>
    <w:qFormat/>
    <w:uiPriority w:val="0"/>
    <w:rPr>
      <w:rFonts w:ascii="仿宋_GB2312" w:eastAsia="宋体"/>
      <w:b/>
      <w:bCs/>
      <w:kern w:val="2"/>
      <w:sz w:val="28"/>
      <w:szCs w:val="28"/>
      <w:lang w:val="en-US" w:eastAsia="zh-CN" w:bidi="ar-SA"/>
    </w:rPr>
  </w:style>
  <w:style w:type="character" w:customStyle="1" w:styleId="143">
    <w:name w:val="正文文本 Char Char"/>
    <w:qFormat/>
    <w:uiPriority w:val="0"/>
    <w:rPr>
      <w:rFonts w:ascii="Times New Roman" w:hAnsi="Times New Roman"/>
      <w:kern w:val="2"/>
      <w:sz w:val="21"/>
      <w:szCs w:val="24"/>
    </w:rPr>
  </w:style>
  <w:style w:type="character" w:customStyle="1" w:styleId="144">
    <w:name w:val="Char Char20"/>
    <w:qFormat/>
    <w:uiPriority w:val="0"/>
    <w:rPr>
      <w:rFonts w:ascii="仿宋_GB2312" w:eastAsia="仿宋_GB2312"/>
      <w:b/>
      <w:bCs/>
      <w:kern w:val="44"/>
      <w:sz w:val="44"/>
      <w:szCs w:val="44"/>
    </w:rPr>
  </w:style>
  <w:style w:type="character" w:customStyle="1" w:styleId="145">
    <w:name w:val="段落 Char"/>
    <w:link w:val="146"/>
    <w:qFormat/>
    <w:uiPriority w:val="0"/>
    <w:rPr>
      <w:kern w:val="2"/>
    </w:rPr>
  </w:style>
  <w:style w:type="paragraph" w:customStyle="1" w:styleId="146">
    <w:name w:val="段落"/>
    <w:basedOn w:val="1"/>
    <w:link w:val="145"/>
    <w:qFormat/>
    <w:uiPriority w:val="0"/>
    <w:pPr>
      <w:spacing w:line="360" w:lineRule="auto"/>
      <w:ind w:firstLine="200" w:firstLineChars="200"/>
    </w:pPr>
    <w:rPr>
      <w:sz w:val="20"/>
      <w:szCs w:val="20"/>
    </w:rPr>
  </w:style>
  <w:style w:type="character" w:customStyle="1" w:styleId="147">
    <w:name w:val="批注主题 Char"/>
    <w:qFormat/>
    <w:uiPriority w:val="99"/>
    <w:rPr>
      <w:rFonts w:eastAsia="宋体"/>
      <w:b/>
      <w:bCs/>
      <w:kern w:val="2"/>
      <w:sz w:val="21"/>
      <w:szCs w:val="24"/>
      <w:lang w:val="en-US" w:eastAsia="zh-CN" w:bidi="ar-SA"/>
    </w:rPr>
  </w:style>
  <w:style w:type="character" w:customStyle="1" w:styleId="148">
    <w:name w:val="正文文本 3 Char"/>
    <w:qFormat/>
    <w:uiPriority w:val="0"/>
  </w:style>
  <w:style w:type="character" w:customStyle="1" w:styleId="149">
    <w:name w:val="样式 样式 正文首行缩进 + 首行缩进:  2 字符 + 首行缩进:  2 字符 Char"/>
    <w:link w:val="150"/>
    <w:qFormat/>
    <w:uiPriority w:val="0"/>
    <w:rPr>
      <w:rFonts w:cs="宋体"/>
      <w:kern w:val="2"/>
      <w:sz w:val="24"/>
    </w:rPr>
  </w:style>
  <w:style w:type="paragraph" w:customStyle="1" w:styleId="150">
    <w:name w:val="样式 样式 正文首行缩进 + 首行缩进:  2 字符 + 首行缩进:  2 字符"/>
    <w:basedOn w:val="1"/>
    <w:link w:val="149"/>
    <w:qFormat/>
    <w:uiPriority w:val="0"/>
    <w:pPr>
      <w:spacing w:line="440" w:lineRule="exact"/>
      <w:ind w:firstLine="200" w:firstLineChars="200"/>
    </w:pPr>
    <w:rPr>
      <w:sz w:val="24"/>
      <w:szCs w:val="20"/>
    </w:rPr>
  </w:style>
  <w:style w:type="character" w:customStyle="1" w:styleId="151">
    <w:name w:val="页脚 Char"/>
    <w:qFormat/>
    <w:uiPriority w:val="99"/>
    <w:rPr>
      <w:rFonts w:eastAsia="仿宋_GB2312"/>
      <w:kern w:val="2"/>
      <w:sz w:val="18"/>
      <w:szCs w:val="18"/>
      <w:lang w:val="en-US" w:eastAsia="zh-CN" w:bidi="ar-SA"/>
    </w:rPr>
  </w:style>
  <w:style w:type="character" w:customStyle="1" w:styleId="152">
    <w:name w:val="标题 Char1"/>
    <w:qFormat/>
    <w:uiPriority w:val="0"/>
    <w:rPr>
      <w:rFonts w:ascii="Cambria" w:hAnsi="Cambria" w:cs="Times New Roman"/>
      <w:b/>
      <w:bCs/>
      <w:kern w:val="2"/>
      <w:sz w:val="32"/>
      <w:szCs w:val="32"/>
    </w:rPr>
  </w:style>
  <w:style w:type="character" w:customStyle="1" w:styleId="153">
    <w:name w:val="Char Char18"/>
    <w:qFormat/>
    <w:uiPriority w:val="0"/>
    <w:rPr>
      <w:rFonts w:ascii="仿宋_GB2312" w:eastAsia="仿宋_GB2312"/>
      <w:b/>
      <w:bCs/>
      <w:kern w:val="2"/>
      <w:sz w:val="32"/>
      <w:szCs w:val="32"/>
    </w:rPr>
  </w:style>
  <w:style w:type="character" w:customStyle="1" w:styleId="154">
    <w:name w:val="表格 Char"/>
    <w:qFormat/>
    <w:uiPriority w:val="0"/>
    <w:rPr>
      <w:rFonts w:ascii="Calibri" w:hAnsi="Calibri" w:cs="黑体"/>
      <w:kern w:val="2"/>
      <w:sz w:val="21"/>
      <w:szCs w:val="21"/>
    </w:rPr>
  </w:style>
  <w:style w:type="character" w:customStyle="1" w:styleId="155">
    <w:name w:val="样式 宋体1"/>
    <w:qFormat/>
    <w:uiPriority w:val="0"/>
    <w:rPr>
      <w:rFonts w:ascii="宋体" w:hAnsi="宋体" w:eastAsia="宋体"/>
      <w:sz w:val="24"/>
    </w:rPr>
  </w:style>
  <w:style w:type="character" w:customStyle="1" w:styleId="156">
    <w:name w:val="引用 Char1"/>
    <w:qFormat/>
    <w:uiPriority w:val="99"/>
    <w:rPr>
      <w:rFonts w:ascii="Tahoma" w:hAnsi="Tahoma"/>
      <w:i/>
      <w:iCs/>
      <w:color w:val="000000"/>
      <w:kern w:val="2"/>
      <w:sz w:val="21"/>
      <w:szCs w:val="24"/>
    </w:rPr>
  </w:style>
  <w:style w:type="character" w:customStyle="1" w:styleId="157">
    <w:name w:val="正文缩进 Char1"/>
    <w:qFormat/>
    <w:uiPriority w:val="0"/>
    <w:rPr>
      <w:sz w:val="21"/>
    </w:rPr>
  </w:style>
  <w:style w:type="character" w:customStyle="1" w:styleId="158">
    <w:name w:val="普通(网站) Char"/>
    <w:qFormat/>
    <w:uiPriority w:val="99"/>
    <w:rPr>
      <w:rFonts w:ascii="宋体" w:hAnsi="宋体"/>
      <w:color w:val="000000"/>
      <w:sz w:val="24"/>
      <w:szCs w:val="24"/>
    </w:rPr>
  </w:style>
  <w:style w:type="character" w:customStyle="1" w:styleId="159">
    <w:name w:val="Char Char17"/>
    <w:qFormat/>
    <w:uiPriority w:val="0"/>
    <w:rPr>
      <w:rFonts w:ascii="Cambria" w:hAnsi="Cambria" w:eastAsia="仿宋_GB2312"/>
      <w:b/>
      <w:bCs/>
      <w:kern w:val="2"/>
      <w:sz w:val="28"/>
      <w:szCs w:val="28"/>
    </w:rPr>
  </w:style>
  <w:style w:type="character" w:customStyle="1" w:styleId="160">
    <w:name w:val="文档结构图 Char"/>
    <w:qFormat/>
    <w:uiPriority w:val="99"/>
    <w:rPr>
      <w:rFonts w:eastAsia="宋体"/>
      <w:kern w:val="2"/>
      <w:sz w:val="21"/>
      <w:szCs w:val="24"/>
      <w:lang w:val="en-US" w:eastAsia="zh-CN" w:bidi="ar-SA"/>
    </w:rPr>
  </w:style>
  <w:style w:type="character" w:customStyle="1" w:styleId="161">
    <w:name w:val="表格标题 Char Char"/>
    <w:qFormat/>
    <w:uiPriority w:val="0"/>
    <w:rPr>
      <w:rFonts w:ascii="黑体" w:hAnsi="黑体" w:eastAsia="黑体"/>
      <w:b/>
      <w:color w:val="FFFFFF"/>
      <w:kern w:val="2"/>
      <w:sz w:val="21"/>
      <w:szCs w:val="24"/>
    </w:rPr>
  </w:style>
  <w:style w:type="character" w:customStyle="1" w:styleId="162">
    <w:name w:val="heading 6 Char1"/>
    <w:qFormat/>
    <w:uiPriority w:val="0"/>
    <w:rPr>
      <w:rFonts w:ascii="Arial" w:hAnsi="Arial" w:eastAsia="黑体"/>
      <w:b/>
      <w:kern w:val="2"/>
      <w:sz w:val="24"/>
      <w:szCs w:val="24"/>
      <w:lang w:val="en-US" w:eastAsia="zh-CN" w:bidi="ar-SA"/>
    </w:rPr>
  </w:style>
  <w:style w:type="character" w:customStyle="1" w:styleId="163">
    <w:name w:val="样式2 Char Char"/>
    <w:link w:val="164"/>
    <w:qFormat/>
    <w:uiPriority w:val="0"/>
    <w:rPr>
      <w:rFonts w:ascii="宋体" w:hAnsi="宋体"/>
      <w:b/>
      <w:bCs/>
      <w:kern w:val="2"/>
      <w:sz w:val="28"/>
      <w:szCs w:val="28"/>
    </w:rPr>
  </w:style>
  <w:style w:type="paragraph" w:customStyle="1" w:styleId="164">
    <w:name w:val="样式2"/>
    <w:basedOn w:val="5"/>
    <w:link w:val="163"/>
    <w:qFormat/>
    <w:uiPriority w:val="0"/>
    <w:pPr>
      <w:snapToGrid w:val="0"/>
      <w:spacing w:after="156" w:afterLines="50" w:line="480" w:lineRule="exact"/>
      <w:ind w:firstLine="556"/>
    </w:pPr>
    <w:rPr>
      <w:rFonts w:ascii="宋体" w:hAnsi="宋体" w:eastAsia="宋体"/>
      <w:sz w:val="28"/>
      <w:szCs w:val="28"/>
    </w:rPr>
  </w:style>
  <w:style w:type="character" w:customStyle="1" w:styleId="165">
    <w:name w:val="3级 Char"/>
    <w:link w:val="166"/>
    <w:qFormat/>
    <w:uiPriority w:val="0"/>
    <w:rPr>
      <w:rFonts w:ascii="Calibri" w:hAnsi="Calibri"/>
      <w:b/>
      <w:bCs/>
      <w:sz w:val="28"/>
      <w:szCs w:val="32"/>
    </w:rPr>
  </w:style>
  <w:style w:type="paragraph" w:customStyle="1" w:styleId="166">
    <w:name w:val="3级"/>
    <w:basedOn w:val="6"/>
    <w:next w:val="55"/>
    <w:link w:val="165"/>
    <w:qFormat/>
    <w:uiPriority w:val="0"/>
    <w:pPr>
      <w:spacing w:line="416" w:lineRule="auto"/>
      <w:ind w:right="100" w:rightChars="100"/>
    </w:pPr>
    <w:rPr>
      <w:rFonts w:ascii="Calibri" w:hAnsi="Calibri"/>
      <w:kern w:val="0"/>
      <w:sz w:val="28"/>
    </w:rPr>
  </w:style>
  <w:style w:type="character" w:customStyle="1" w:styleId="167">
    <w:name w:val="正文文本缩进 3 Char"/>
    <w:qFormat/>
    <w:uiPriority w:val="99"/>
    <w:rPr>
      <w:kern w:val="2"/>
      <w:sz w:val="16"/>
      <w:szCs w:val="16"/>
    </w:rPr>
  </w:style>
  <w:style w:type="character" w:customStyle="1" w:styleId="168">
    <w:name w:val="标题 6 字符"/>
    <w:qFormat/>
    <w:uiPriority w:val="0"/>
    <w:rPr>
      <w:rFonts w:ascii="黑体" w:hAnsi="黑体" w:eastAsia="黑体" w:cs="黑体"/>
      <w:b/>
      <w:bCs/>
      <w:kern w:val="2"/>
      <w:sz w:val="24"/>
      <w:szCs w:val="28"/>
    </w:rPr>
  </w:style>
  <w:style w:type="character" w:customStyle="1" w:styleId="169">
    <w:name w:val="Plain Text Char"/>
    <w:qFormat/>
    <w:uiPriority w:val="0"/>
    <w:rPr>
      <w:rFonts w:ascii="宋体" w:hAnsi="Courier New" w:eastAsia="宋体" w:cs="Times New Roman"/>
      <w:sz w:val="21"/>
      <w:szCs w:val="21"/>
    </w:rPr>
  </w:style>
  <w:style w:type="character" w:customStyle="1" w:styleId="170">
    <w:name w:val="日期 Char2"/>
    <w:semiHidden/>
    <w:qFormat/>
    <w:uiPriority w:val="99"/>
    <w:rPr>
      <w:kern w:val="2"/>
      <w:sz w:val="21"/>
      <w:szCs w:val="24"/>
    </w:rPr>
  </w:style>
  <w:style w:type="character" w:customStyle="1" w:styleId="171">
    <w:name w:val="box-header-con"/>
    <w:qFormat/>
    <w:uiPriority w:val="0"/>
  </w:style>
  <w:style w:type="character" w:customStyle="1" w:styleId="172">
    <w:name w:val="批注文字 Char1"/>
    <w:qFormat/>
    <w:uiPriority w:val="0"/>
    <w:rPr>
      <w:kern w:val="2"/>
      <w:sz w:val="21"/>
      <w:szCs w:val="24"/>
    </w:rPr>
  </w:style>
  <w:style w:type="character" w:customStyle="1" w:styleId="173">
    <w:name w:val="Char Char6"/>
    <w:qFormat/>
    <w:uiPriority w:val="0"/>
    <w:rPr>
      <w:rFonts w:ascii="Times New Roman" w:hAnsi="Times New Roman" w:eastAsia="宋体" w:cs="Times New Roman"/>
      <w:szCs w:val="24"/>
    </w:rPr>
  </w:style>
  <w:style w:type="character" w:customStyle="1" w:styleId="174">
    <w:name w:val="样式 样式 四号 首行缩进:  0.74 厘米 行距: 1.5 倍行距 + 宋体 四号 行距: 1.5 倍行距 Char"/>
    <w:link w:val="175"/>
    <w:qFormat/>
    <w:uiPriority w:val="0"/>
    <w:rPr>
      <w:rFonts w:ascii="宋体" w:hAnsi="宋体" w:cs="宋体"/>
      <w:kern w:val="2"/>
      <w:sz w:val="28"/>
    </w:rPr>
  </w:style>
  <w:style w:type="paragraph" w:customStyle="1" w:styleId="175">
    <w:name w:val="样式 样式 四号 首行缩进:  0.74 厘米 行距: 1.5 倍行距 + 宋体 四号 行距: 1.5 倍行距"/>
    <w:basedOn w:val="1"/>
    <w:link w:val="174"/>
    <w:qFormat/>
    <w:uiPriority w:val="0"/>
    <w:pPr>
      <w:spacing w:line="360" w:lineRule="auto"/>
      <w:ind w:firstLine="560" w:firstLineChars="200"/>
    </w:pPr>
    <w:rPr>
      <w:rFonts w:ascii="宋体" w:hAnsi="宋体"/>
      <w:sz w:val="28"/>
      <w:szCs w:val="20"/>
    </w:rPr>
  </w:style>
  <w:style w:type="character" w:customStyle="1" w:styleId="176">
    <w:name w:val="日期 Char1"/>
    <w:qFormat/>
    <w:uiPriority w:val="0"/>
    <w:rPr>
      <w:rFonts w:ascii="Calibri" w:hAnsi="Calibri" w:cs="黑体"/>
      <w:kern w:val="2"/>
      <w:sz w:val="24"/>
      <w:szCs w:val="22"/>
    </w:rPr>
  </w:style>
  <w:style w:type="character" w:customStyle="1" w:styleId="177">
    <w:name w:val="dandyren_title1"/>
    <w:qFormat/>
    <w:uiPriority w:val="0"/>
    <w:rPr>
      <w:rFonts w:ascii="仿宋_GB2312" w:eastAsia="仿宋_GB2312"/>
      <w:b/>
      <w:bCs/>
      <w:color w:val="FF6633"/>
      <w:sz w:val="18"/>
      <w:szCs w:val="18"/>
    </w:rPr>
  </w:style>
  <w:style w:type="character" w:customStyle="1" w:styleId="178">
    <w:name w:val="普通文字1 Char"/>
    <w:qFormat/>
    <w:uiPriority w:val="0"/>
    <w:rPr>
      <w:rFonts w:ascii="宋体" w:hAnsi="Courier New" w:eastAsia="宋体" w:cs="Courier New"/>
      <w:kern w:val="2"/>
      <w:sz w:val="21"/>
      <w:szCs w:val="21"/>
      <w:lang w:val="en-US" w:eastAsia="zh-CN" w:bidi="ar-SA"/>
    </w:rPr>
  </w:style>
  <w:style w:type="character" w:customStyle="1" w:styleId="179">
    <w:name w:val="param_td1"/>
    <w:qFormat/>
    <w:uiPriority w:val="0"/>
    <w:rPr>
      <w:rFonts w:ascii="仿宋_GB2312" w:hAnsi="Tahoma" w:eastAsia="仿宋_GB2312"/>
      <w:b/>
      <w:sz w:val="32"/>
      <w:szCs w:val="32"/>
    </w:rPr>
  </w:style>
  <w:style w:type="character" w:customStyle="1" w:styleId="180">
    <w:name w:val="样式4 Char"/>
    <w:link w:val="181"/>
    <w:qFormat/>
    <w:uiPriority w:val="0"/>
    <w:rPr>
      <w:rFonts w:ascii="Arial" w:hAnsi="Arial" w:eastAsia="黑体"/>
      <w:b/>
      <w:bCs/>
      <w:kern w:val="2"/>
      <w:sz w:val="24"/>
      <w:szCs w:val="28"/>
    </w:rPr>
  </w:style>
  <w:style w:type="paragraph" w:customStyle="1" w:styleId="181">
    <w:name w:val="样式4"/>
    <w:basedOn w:val="182"/>
    <w:next w:val="1"/>
    <w:link w:val="180"/>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2">
    <w:name w:val="4级"/>
    <w:basedOn w:val="7"/>
    <w:next w:val="56"/>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3">
    <w:name w:val="heading 1 Char1"/>
    <w:qFormat/>
    <w:uiPriority w:val="0"/>
    <w:rPr>
      <w:rFonts w:ascii="仿宋_GB2312" w:eastAsia="宋体"/>
      <w:b/>
      <w:bCs/>
      <w:kern w:val="44"/>
      <w:sz w:val="44"/>
      <w:szCs w:val="44"/>
      <w:lang w:val="en-US" w:eastAsia="zh-CN" w:bidi="ar-SA"/>
    </w:rPr>
  </w:style>
  <w:style w:type="character" w:customStyle="1" w:styleId="184">
    <w:name w:val="正文文本缩进 3 Char1"/>
    <w:qFormat/>
    <w:uiPriority w:val="0"/>
    <w:rPr>
      <w:rFonts w:ascii="Calibri" w:hAnsi="Calibri" w:cs="黑体"/>
      <w:kern w:val="2"/>
      <w:sz w:val="16"/>
      <w:szCs w:val="16"/>
    </w:rPr>
  </w:style>
  <w:style w:type="character" w:customStyle="1" w:styleId="185">
    <w:name w:val="宏文本 Char"/>
    <w:qFormat/>
    <w:uiPriority w:val="0"/>
    <w:rPr>
      <w:rFonts w:ascii="Courier New" w:hAnsi="Courier New"/>
      <w:kern w:val="2"/>
      <w:sz w:val="24"/>
      <w:szCs w:val="24"/>
    </w:rPr>
  </w:style>
  <w:style w:type="character" w:customStyle="1" w:styleId="186">
    <w:name w:val="*正文 Char"/>
    <w:link w:val="187"/>
    <w:qFormat/>
    <w:uiPriority w:val="0"/>
    <w:rPr>
      <w:rFonts w:ascii="仿宋_GB2312" w:eastAsia="仿宋_GB2312"/>
      <w:kern w:val="2"/>
      <w:sz w:val="24"/>
      <w:szCs w:val="28"/>
      <w:lang w:val="zh-CN"/>
    </w:rPr>
  </w:style>
  <w:style w:type="paragraph" w:customStyle="1" w:styleId="187">
    <w:name w:val="*正文"/>
    <w:basedOn w:val="1"/>
    <w:link w:val="186"/>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88">
    <w:name w:val="栏目标题 Char Char"/>
    <w:qFormat/>
    <w:uiPriority w:val="0"/>
    <w:rPr>
      <w:rFonts w:ascii="黑体" w:hAnsi="黑体" w:eastAsia="黑体"/>
      <w:b/>
      <w:kern w:val="2"/>
      <w:sz w:val="21"/>
      <w:szCs w:val="24"/>
    </w:rPr>
  </w:style>
  <w:style w:type="character" w:customStyle="1" w:styleId="189">
    <w:name w:val="批注框文本 Char2"/>
    <w:semiHidden/>
    <w:qFormat/>
    <w:uiPriority w:val="99"/>
    <w:rPr>
      <w:kern w:val="2"/>
      <w:sz w:val="18"/>
      <w:szCs w:val="18"/>
    </w:rPr>
  </w:style>
  <w:style w:type="character" w:customStyle="1" w:styleId="190">
    <w:name w:val="heading 5 Char"/>
    <w:qFormat/>
    <w:uiPriority w:val="0"/>
    <w:rPr>
      <w:rFonts w:ascii="Arial" w:hAnsi="Arial" w:eastAsia="黑体"/>
      <w:b/>
      <w:sz w:val="21"/>
      <w:szCs w:val="21"/>
    </w:rPr>
  </w:style>
  <w:style w:type="character" w:customStyle="1" w:styleId="191">
    <w:name w:val="符号正文缩进 Char Char"/>
    <w:qFormat/>
    <w:uiPriority w:val="0"/>
    <w:rPr>
      <w:sz w:val="24"/>
    </w:rPr>
  </w:style>
  <w:style w:type="character" w:customStyle="1" w:styleId="192">
    <w:name w:val="引用 Char"/>
    <w:link w:val="193"/>
    <w:qFormat/>
    <w:uiPriority w:val="29"/>
    <w:rPr>
      <w:rFonts w:ascii="Calibri" w:hAnsi="Calibri"/>
      <w:b/>
      <w:i/>
      <w:iCs/>
      <w:color w:val="000000"/>
      <w:sz w:val="32"/>
      <w:szCs w:val="32"/>
    </w:rPr>
  </w:style>
  <w:style w:type="paragraph" w:customStyle="1" w:styleId="193">
    <w:name w:val="Quote"/>
    <w:basedOn w:val="1"/>
    <w:next w:val="1"/>
    <w:link w:val="192"/>
    <w:qFormat/>
    <w:uiPriority w:val="29"/>
    <w:rPr>
      <w:rFonts w:ascii="Calibri" w:hAnsi="Calibri"/>
      <w:b/>
      <w:i/>
      <w:iCs/>
      <w:color w:val="000000"/>
      <w:kern w:val="0"/>
      <w:sz w:val="32"/>
      <w:szCs w:val="32"/>
    </w:rPr>
  </w:style>
  <w:style w:type="character" w:customStyle="1" w:styleId="194">
    <w:name w:val="Char Char61"/>
    <w:qFormat/>
    <w:uiPriority w:val="0"/>
    <w:rPr>
      <w:rFonts w:ascii="Times New Roman" w:hAnsi="Times New Roman" w:eastAsia="宋体" w:cs="Times New Roman"/>
      <w:szCs w:val="24"/>
    </w:rPr>
  </w:style>
  <w:style w:type="character" w:customStyle="1" w:styleId="195">
    <w:name w:val="正文首行缩进 2 Char1"/>
    <w:qFormat/>
    <w:uiPriority w:val="0"/>
  </w:style>
  <w:style w:type="character" w:customStyle="1" w:styleId="196">
    <w:name w:val="font01"/>
    <w:qFormat/>
    <w:uiPriority w:val="0"/>
    <w:rPr>
      <w:rFonts w:hint="eastAsia" w:ascii="宋体" w:hAnsi="宋体" w:eastAsia="宋体" w:cs="宋体"/>
      <w:color w:val="000000"/>
      <w:sz w:val="22"/>
      <w:szCs w:val="22"/>
      <w:u w:val="none"/>
    </w:rPr>
  </w:style>
  <w:style w:type="character" w:customStyle="1" w:styleId="197">
    <w:name w:val="正文首行缩进 2 Char2"/>
    <w:qFormat/>
    <w:uiPriority w:val="0"/>
    <w:rPr>
      <w:rFonts w:ascii="Calibri" w:hAnsi="Calibri" w:cs="黑体"/>
      <w:kern w:val="2"/>
      <w:sz w:val="21"/>
      <w:szCs w:val="24"/>
    </w:rPr>
  </w:style>
  <w:style w:type="character" w:customStyle="1" w:styleId="198">
    <w:name w:val="样式 正文文本 Char Char Char"/>
    <w:qFormat/>
    <w:uiPriority w:val="0"/>
    <w:rPr>
      <w:rFonts w:ascii="Arial" w:hAnsi="Arial" w:eastAsia="宋体"/>
      <w:color w:val="000000"/>
      <w:kern w:val="2"/>
      <w:sz w:val="21"/>
      <w:lang w:val="en-US" w:eastAsia="zh-CN" w:bidi="ar-SA"/>
    </w:rPr>
  </w:style>
  <w:style w:type="character" w:customStyle="1" w:styleId="199">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0">
    <w:name w:val="HTML 预设格式 Char"/>
    <w:qFormat/>
    <w:uiPriority w:val="0"/>
    <w:rPr>
      <w:rFonts w:ascii="微软雅黑" w:hAnsi="微软雅黑" w:eastAsia="微软雅黑"/>
      <w:sz w:val="24"/>
      <w:szCs w:val="24"/>
    </w:rPr>
  </w:style>
  <w:style w:type="character" w:customStyle="1" w:styleId="201">
    <w:name w:val="投标正文 Char"/>
    <w:link w:val="202"/>
    <w:qFormat/>
    <w:uiPriority w:val="0"/>
    <w:rPr>
      <w:rFonts w:ascii="Calibri" w:hAnsi="Calibri"/>
      <w:sz w:val="24"/>
      <w:szCs w:val="24"/>
    </w:rPr>
  </w:style>
  <w:style w:type="paragraph" w:customStyle="1" w:styleId="202">
    <w:name w:val="投标正文"/>
    <w:basedOn w:val="1"/>
    <w:link w:val="201"/>
    <w:qFormat/>
    <w:uiPriority w:val="0"/>
    <w:pPr>
      <w:spacing w:line="360" w:lineRule="auto"/>
      <w:ind w:left="100" w:firstLine="480" w:firstLineChars="200"/>
    </w:pPr>
    <w:rPr>
      <w:rFonts w:ascii="Calibri" w:hAnsi="Calibri"/>
      <w:kern w:val="0"/>
      <w:sz w:val="24"/>
    </w:rPr>
  </w:style>
  <w:style w:type="character" w:customStyle="1" w:styleId="203">
    <w:name w:val="hover15"/>
    <w:qFormat/>
    <w:uiPriority w:val="0"/>
    <w:rPr>
      <w:szCs w:val="20"/>
      <w:u w:val="single"/>
    </w:rPr>
  </w:style>
  <w:style w:type="character" w:customStyle="1" w:styleId="204">
    <w:name w:val="正文文本 Char"/>
    <w:qFormat/>
    <w:uiPriority w:val="99"/>
    <w:rPr>
      <w:rFonts w:ascii="仿宋_GB2312" w:eastAsia="宋体"/>
      <w:b/>
      <w:kern w:val="2"/>
      <w:sz w:val="21"/>
      <w:szCs w:val="24"/>
      <w:lang w:val="en-US" w:eastAsia="zh-CN" w:bidi="ar-SA"/>
    </w:rPr>
  </w:style>
  <w:style w:type="character" w:customStyle="1" w:styleId="205">
    <w:name w:val="标题 1 Char1"/>
    <w:qFormat/>
    <w:uiPriority w:val="0"/>
    <w:rPr>
      <w:rFonts w:ascii="楷体_GB2312" w:hAnsi="Tahoma" w:eastAsia="楷体_GB2312"/>
      <w:b/>
      <w:bCs/>
      <w:kern w:val="2"/>
      <w:sz w:val="21"/>
      <w:szCs w:val="24"/>
    </w:rPr>
  </w:style>
  <w:style w:type="character" w:customStyle="1" w:styleId="206">
    <w:name w:val="批注文字 Char2"/>
    <w:semiHidden/>
    <w:qFormat/>
    <w:uiPriority w:val="99"/>
    <w:rPr>
      <w:kern w:val="2"/>
      <w:sz w:val="21"/>
      <w:szCs w:val="24"/>
    </w:rPr>
  </w:style>
  <w:style w:type="character" w:customStyle="1" w:styleId="207">
    <w:name w:val="font11"/>
    <w:qFormat/>
    <w:uiPriority w:val="0"/>
    <w:rPr>
      <w:rFonts w:hint="eastAsia" w:ascii="宋体" w:hAnsi="宋体" w:eastAsia="宋体" w:cs="宋体"/>
      <w:color w:val="000000"/>
      <w:sz w:val="20"/>
      <w:szCs w:val="20"/>
      <w:u w:val="none"/>
      <w:vertAlign w:val="superscript"/>
    </w:rPr>
  </w:style>
  <w:style w:type="character" w:customStyle="1" w:styleId="208">
    <w:name w:val="Style2"/>
    <w:qFormat/>
    <w:uiPriority w:val="0"/>
    <w:rPr>
      <w:rFonts w:ascii="Calibri" w:hAnsi="宋体" w:eastAsia="宋体" w:cs="Times New Roman"/>
      <w:sz w:val="22"/>
      <w:szCs w:val="22"/>
      <w:lang w:eastAsia="zh-CN"/>
    </w:rPr>
  </w:style>
  <w:style w:type="character" w:customStyle="1" w:styleId="209">
    <w:name w:val="正文1 Char Char"/>
    <w:link w:val="210"/>
    <w:qFormat/>
    <w:uiPriority w:val="0"/>
    <w:rPr>
      <w:rFonts w:ascii="宋体" w:hAnsi="宋体" w:cs="宋体"/>
      <w:b/>
      <w:sz w:val="21"/>
      <w:szCs w:val="32"/>
    </w:rPr>
  </w:style>
  <w:style w:type="paragraph" w:customStyle="1" w:styleId="210">
    <w:name w:val="正文1"/>
    <w:basedOn w:val="1"/>
    <w:link w:val="209"/>
    <w:qFormat/>
    <w:uiPriority w:val="0"/>
    <w:pPr>
      <w:widowControl/>
      <w:spacing w:line="360" w:lineRule="auto"/>
      <w:ind w:left="360" w:firstLine="420"/>
      <w:jc w:val="left"/>
    </w:pPr>
    <w:rPr>
      <w:rFonts w:ascii="宋体" w:hAnsi="宋体"/>
      <w:b/>
      <w:kern w:val="0"/>
      <w:szCs w:val="32"/>
    </w:rPr>
  </w:style>
  <w:style w:type="character" w:customStyle="1" w:styleId="211">
    <w:name w:val="Style4"/>
    <w:qFormat/>
    <w:uiPriority w:val="0"/>
    <w:rPr>
      <w:rFonts w:ascii="Calibri" w:hAnsi="宋体" w:eastAsia="宋体" w:cs="Times New Roman"/>
      <w:szCs w:val="22"/>
      <w:lang w:eastAsia="zh-CN"/>
    </w:rPr>
  </w:style>
  <w:style w:type="character" w:customStyle="1" w:styleId="212">
    <w:name w:val="正文文本缩进 3 Char2"/>
    <w:semiHidden/>
    <w:qFormat/>
    <w:uiPriority w:val="99"/>
    <w:rPr>
      <w:kern w:val="2"/>
      <w:sz w:val="16"/>
      <w:szCs w:val="16"/>
    </w:rPr>
  </w:style>
  <w:style w:type="character" w:customStyle="1" w:styleId="213">
    <w:name w:val="heading 4 Char"/>
    <w:qFormat/>
    <w:uiPriority w:val="0"/>
    <w:rPr>
      <w:rFonts w:ascii="Arial" w:hAnsi="Arial" w:eastAsia="黑体" w:cs="Times New Roman"/>
      <w:b/>
      <w:sz w:val="21"/>
      <w:szCs w:val="21"/>
    </w:rPr>
  </w:style>
  <w:style w:type="character" w:customStyle="1" w:styleId="214">
    <w:name w:val="heading 2 Char"/>
    <w:qFormat/>
    <w:uiPriority w:val="0"/>
    <w:rPr>
      <w:rFonts w:ascii="Arial" w:hAnsi="Arial" w:eastAsia="黑体" w:cs="Times New Roman"/>
      <w:b/>
      <w:sz w:val="30"/>
      <w:szCs w:val="24"/>
    </w:rPr>
  </w:style>
  <w:style w:type="character" w:customStyle="1" w:styleId="215">
    <w:name w:val="HTML 预设格式 Char2"/>
    <w:semiHidden/>
    <w:qFormat/>
    <w:uiPriority w:val="99"/>
    <w:rPr>
      <w:rFonts w:ascii="Courier New" w:hAnsi="Courier New" w:cs="Courier New"/>
      <w:kern w:val="2"/>
    </w:rPr>
  </w:style>
  <w:style w:type="character" w:customStyle="1" w:styleId="216">
    <w:name w:val="标题样式 Char"/>
    <w:link w:val="217"/>
    <w:qFormat/>
    <w:uiPriority w:val="0"/>
    <w:rPr>
      <w:b/>
    </w:rPr>
  </w:style>
  <w:style w:type="paragraph" w:customStyle="1" w:styleId="217">
    <w:name w:val="标题样式"/>
    <w:basedOn w:val="1"/>
    <w:link w:val="216"/>
    <w:qFormat/>
    <w:uiPriority w:val="0"/>
    <w:pPr>
      <w:spacing w:before="156" w:beforeLines="50" w:after="156" w:afterLines="50"/>
    </w:pPr>
    <w:rPr>
      <w:b/>
      <w:kern w:val="0"/>
      <w:sz w:val="20"/>
      <w:szCs w:val="20"/>
    </w:rPr>
  </w:style>
  <w:style w:type="character" w:customStyle="1" w:styleId="218">
    <w:name w:val="Ò³Ã¼ Char Char1"/>
    <w:qFormat/>
    <w:uiPriority w:val="0"/>
    <w:rPr>
      <w:rFonts w:ascii="仿宋_GB2312" w:eastAsia="宋体"/>
      <w:b/>
      <w:kern w:val="2"/>
      <w:sz w:val="18"/>
      <w:szCs w:val="18"/>
      <w:lang w:val="en-US" w:eastAsia="zh-CN" w:bidi="ar-SA"/>
    </w:rPr>
  </w:style>
  <w:style w:type="character" w:customStyle="1" w:styleId="219">
    <w:name w:val="apple-converted-space"/>
    <w:qFormat/>
    <w:uiPriority w:val="0"/>
  </w:style>
  <w:style w:type="character" w:customStyle="1" w:styleId="220">
    <w:name w:val="表格用 Char Char"/>
    <w:link w:val="221"/>
    <w:qFormat/>
    <w:locked/>
    <w:uiPriority w:val="0"/>
    <w:rPr>
      <w:sz w:val="21"/>
      <w:szCs w:val="24"/>
    </w:rPr>
  </w:style>
  <w:style w:type="paragraph" w:customStyle="1" w:styleId="221">
    <w:name w:val="表格用"/>
    <w:basedOn w:val="1"/>
    <w:link w:val="220"/>
    <w:qFormat/>
    <w:uiPriority w:val="0"/>
    <w:pPr>
      <w:ind w:firstLine="0" w:firstLineChars="0"/>
    </w:pPr>
    <w:rPr>
      <w:kern w:val="0"/>
    </w:rPr>
  </w:style>
  <w:style w:type="character" w:customStyle="1" w:styleId="222">
    <w:name w:val="标题 2 Char1"/>
    <w:qFormat/>
    <w:uiPriority w:val="0"/>
    <w:rPr>
      <w:rFonts w:ascii="Arial" w:hAnsi="Arial" w:eastAsia="黑体"/>
      <w:b/>
      <w:bCs/>
      <w:kern w:val="2"/>
      <w:sz w:val="32"/>
      <w:szCs w:val="32"/>
    </w:rPr>
  </w:style>
  <w:style w:type="character" w:customStyle="1" w:styleId="223">
    <w:name w:val="count"/>
    <w:qFormat/>
    <w:uiPriority w:val="0"/>
  </w:style>
  <w:style w:type="character" w:customStyle="1" w:styleId="224">
    <w:name w:val="标题1"/>
    <w:qFormat/>
    <w:uiPriority w:val="0"/>
  </w:style>
  <w:style w:type="character" w:customStyle="1" w:styleId="225">
    <w:name w:val="标题 6 Char"/>
    <w:qFormat/>
    <w:uiPriority w:val="0"/>
    <w:rPr>
      <w:rFonts w:ascii="Arial" w:hAnsi="Arial" w:eastAsia="黑体"/>
      <w:b/>
      <w:bCs/>
      <w:kern w:val="2"/>
      <w:sz w:val="24"/>
      <w:szCs w:val="24"/>
    </w:rPr>
  </w:style>
  <w:style w:type="character" w:customStyle="1" w:styleId="226">
    <w:name w:val="heading 1 Char"/>
    <w:qFormat/>
    <w:uiPriority w:val="0"/>
    <w:rPr>
      <w:rFonts w:ascii="Arial" w:hAnsi="Arial" w:eastAsia="黑体"/>
      <w:b/>
      <w:sz w:val="36"/>
      <w:szCs w:val="36"/>
    </w:rPr>
  </w:style>
  <w:style w:type="character" w:customStyle="1" w:styleId="227">
    <w:name w:val="style41"/>
    <w:qFormat/>
    <w:uiPriority w:val="0"/>
    <w:rPr>
      <w:rFonts w:ascii="仿宋_GB2312" w:eastAsia="仿宋_GB2312"/>
      <w:b/>
      <w:color w:val="auto"/>
      <w:sz w:val="32"/>
      <w:szCs w:val="32"/>
    </w:rPr>
  </w:style>
  <w:style w:type="character" w:customStyle="1" w:styleId="228">
    <w:name w:val="正文00 Char"/>
    <w:link w:val="229"/>
    <w:qFormat/>
    <w:uiPriority w:val="0"/>
    <w:rPr>
      <w:rFonts w:ascii="宋体" w:hAnsi="宋体"/>
      <w:kern w:val="2"/>
      <w:sz w:val="24"/>
      <w:szCs w:val="24"/>
    </w:rPr>
  </w:style>
  <w:style w:type="paragraph" w:customStyle="1" w:styleId="229">
    <w:name w:val="正文00"/>
    <w:basedOn w:val="1"/>
    <w:link w:val="228"/>
    <w:qFormat/>
    <w:uiPriority w:val="0"/>
    <w:pPr>
      <w:spacing w:line="360" w:lineRule="auto"/>
      <w:ind w:firstLine="480" w:firstLineChars="200"/>
    </w:pPr>
    <w:rPr>
      <w:rFonts w:ascii="宋体" w:hAnsi="宋体"/>
      <w:sz w:val="24"/>
    </w:rPr>
  </w:style>
  <w:style w:type="character" w:customStyle="1" w:styleId="230">
    <w:name w:val="_正文段落 Char"/>
    <w:link w:val="231"/>
    <w:qFormat/>
    <w:uiPriority w:val="0"/>
    <w:rPr>
      <w:kern w:val="2"/>
      <w:sz w:val="21"/>
      <w:szCs w:val="24"/>
    </w:rPr>
  </w:style>
  <w:style w:type="paragraph" w:customStyle="1" w:styleId="231">
    <w:name w:val="_正文段落"/>
    <w:basedOn w:val="1"/>
    <w:link w:val="230"/>
    <w:qFormat/>
    <w:uiPriority w:val="0"/>
    <w:pPr>
      <w:spacing w:before="15" w:beforeLines="15" w:after="15" w:afterLines="15" w:line="360" w:lineRule="auto"/>
      <w:ind w:firstLine="200" w:firstLineChars="200"/>
    </w:pPr>
  </w:style>
  <w:style w:type="character" w:customStyle="1" w:styleId="232">
    <w:name w:val="图片题注 Char"/>
    <w:link w:val="233"/>
    <w:qFormat/>
    <w:uiPriority w:val="0"/>
    <w:rPr>
      <w:rFonts w:ascii="Calibri Light" w:hAnsi="Calibri Light" w:eastAsia="黑体" w:cs="黑体"/>
      <w:bCs/>
      <w:kern w:val="2"/>
    </w:rPr>
  </w:style>
  <w:style w:type="paragraph" w:customStyle="1" w:styleId="233">
    <w:name w:val="图片题注"/>
    <w:basedOn w:val="16"/>
    <w:link w:val="232"/>
    <w:qFormat/>
    <w:uiPriority w:val="0"/>
    <w:pPr>
      <w:autoSpaceDE/>
      <w:autoSpaceDN/>
      <w:adjustRightInd/>
      <w:spacing w:line="360" w:lineRule="auto"/>
      <w:jc w:val="center"/>
    </w:pPr>
    <w:rPr>
      <w:rFonts w:ascii="Calibri Light" w:hAnsi="Calibri Light"/>
      <w:bCs/>
      <w:kern w:val="2"/>
    </w:rPr>
  </w:style>
  <w:style w:type="character" w:customStyle="1" w:styleId="234">
    <w:name w:val="heading 1 Char2"/>
    <w:qFormat/>
    <w:uiPriority w:val="0"/>
    <w:rPr>
      <w:rFonts w:ascii="仿宋_GB2312" w:eastAsia="仿宋_GB2312"/>
      <w:b/>
      <w:bCs/>
      <w:kern w:val="44"/>
      <w:sz w:val="44"/>
      <w:szCs w:val="44"/>
    </w:rPr>
  </w:style>
  <w:style w:type="character" w:customStyle="1" w:styleId="235">
    <w:name w:val="标题 4 Char"/>
    <w:qFormat/>
    <w:uiPriority w:val="9"/>
    <w:rPr>
      <w:rFonts w:ascii="Arial" w:hAnsi="Arial" w:eastAsia="黑体"/>
      <w:b/>
      <w:bCs/>
      <w:kern w:val="2"/>
      <w:sz w:val="28"/>
      <w:szCs w:val="28"/>
      <w:lang w:val="en-US" w:eastAsia="zh-CN" w:bidi="ar-SA"/>
    </w:rPr>
  </w:style>
  <w:style w:type="character" w:customStyle="1" w:styleId="236">
    <w:name w:val="Title1"/>
    <w:qFormat/>
    <w:uiPriority w:val="0"/>
  </w:style>
  <w:style w:type="character" w:customStyle="1" w:styleId="237">
    <w:name w:val="font31"/>
    <w:qFormat/>
    <w:uiPriority w:val="0"/>
    <w:rPr>
      <w:rFonts w:hint="eastAsia" w:ascii="宋体" w:hAnsi="宋体" w:eastAsia="宋体" w:cs="宋体"/>
      <w:color w:val="000000"/>
      <w:sz w:val="20"/>
      <w:szCs w:val="20"/>
      <w:u w:val="none"/>
    </w:rPr>
  </w:style>
  <w:style w:type="character" w:customStyle="1" w:styleId="238">
    <w:name w:val="正文靠右 Char Char"/>
    <w:qFormat/>
    <w:uiPriority w:val="0"/>
    <w:rPr>
      <w:kern w:val="2"/>
      <w:sz w:val="21"/>
      <w:szCs w:val="24"/>
    </w:rPr>
  </w:style>
  <w:style w:type="character" w:customStyle="1" w:styleId="239">
    <w:name w:val="Footer-Even Char2"/>
    <w:qFormat/>
    <w:uiPriority w:val="0"/>
    <w:rPr>
      <w:rFonts w:ascii="仿宋_GB2312" w:eastAsia="仿宋_GB2312"/>
      <w:b/>
      <w:kern w:val="2"/>
      <w:sz w:val="18"/>
      <w:szCs w:val="18"/>
    </w:rPr>
  </w:style>
  <w:style w:type="character" w:customStyle="1" w:styleId="240">
    <w:name w:val="upload"/>
    <w:qFormat/>
    <w:uiPriority w:val="0"/>
    <w:rPr>
      <w:szCs w:val="20"/>
    </w:rPr>
  </w:style>
  <w:style w:type="character" w:customStyle="1" w:styleId="241">
    <w:name w:val="注释正文"/>
    <w:qFormat/>
    <w:uiPriority w:val="0"/>
    <w:rPr>
      <w:rFonts w:eastAsia="宋体"/>
      <w:sz w:val="28"/>
      <w:u w:val="single"/>
    </w:rPr>
  </w:style>
  <w:style w:type="character" w:customStyle="1" w:styleId="242">
    <w:name w:val="不明显强调1"/>
    <w:qFormat/>
    <w:uiPriority w:val="0"/>
    <w:rPr>
      <w:i/>
      <w:iCs/>
      <w:color w:val="808080"/>
    </w:rPr>
  </w:style>
  <w:style w:type="character" w:customStyle="1" w:styleId="243">
    <w:name w:val="注释正文＋下划线 Char"/>
    <w:link w:val="244"/>
    <w:qFormat/>
    <w:uiPriority w:val="0"/>
    <w:rPr>
      <w:rFonts w:ascii="宋体" w:hAnsi="宋体"/>
      <w:kern w:val="2"/>
      <w:sz w:val="28"/>
      <w:szCs w:val="28"/>
      <w:u w:val="single"/>
    </w:rPr>
  </w:style>
  <w:style w:type="paragraph" w:customStyle="1" w:styleId="244">
    <w:name w:val="注释正文＋下划线"/>
    <w:basedOn w:val="1"/>
    <w:link w:val="243"/>
    <w:qFormat/>
    <w:uiPriority w:val="0"/>
    <w:rPr>
      <w:rFonts w:ascii="宋体" w:hAnsi="宋体"/>
      <w:sz w:val="28"/>
      <w:szCs w:val="28"/>
      <w:u w:val="single"/>
    </w:rPr>
  </w:style>
  <w:style w:type="character" w:customStyle="1" w:styleId="245">
    <w:name w:val="gray6"/>
    <w:qFormat/>
    <w:uiPriority w:val="0"/>
    <w:rPr>
      <w:rFonts w:ascii="仿宋_GB2312" w:hAnsi="Tahoma" w:eastAsia="仿宋_GB2312"/>
      <w:b/>
      <w:sz w:val="32"/>
      <w:szCs w:val="32"/>
    </w:rPr>
  </w:style>
  <w:style w:type="character" w:customStyle="1" w:styleId="246">
    <w:name w:val="font12"/>
    <w:qFormat/>
    <w:uiPriority w:val="0"/>
    <w:rPr>
      <w:rFonts w:hint="eastAsia" w:ascii="宋体" w:hAnsi="宋体" w:eastAsia="宋体" w:cs="宋体"/>
      <w:color w:val="000000"/>
      <w:sz w:val="20"/>
      <w:szCs w:val="20"/>
      <w:u w:val="none"/>
    </w:rPr>
  </w:style>
  <w:style w:type="character" w:customStyle="1" w:styleId="247">
    <w:name w:val="正文缩进 Char"/>
    <w:qFormat/>
    <w:uiPriority w:val="99"/>
    <w:rPr>
      <w:rFonts w:eastAsia="仿宋_GB2312"/>
      <w:sz w:val="21"/>
      <w:lang w:val="en-US" w:eastAsia="zh-CN" w:bidi="ar-SA"/>
    </w:rPr>
  </w:style>
  <w:style w:type="character" w:customStyle="1" w:styleId="248">
    <w:name w:val="ändrad Char"/>
    <w:qFormat/>
    <w:uiPriority w:val="0"/>
    <w:rPr>
      <w:rFonts w:ascii="仿宋_GB2312" w:eastAsia="宋体"/>
      <w:b/>
      <w:kern w:val="2"/>
      <w:sz w:val="21"/>
      <w:szCs w:val="24"/>
      <w:lang w:val="en-US" w:eastAsia="zh-CN" w:bidi="ar-SA"/>
    </w:rPr>
  </w:style>
  <w:style w:type="character" w:customStyle="1" w:styleId="249">
    <w:name w:val="列出段落 Char"/>
    <w:link w:val="250"/>
    <w:qFormat/>
    <w:uiPriority w:val="0"/>
    <w:rPr>
      <w:kern w:val="2"/>
      <w:sz w:val="21"/>
      <w:szCs w:val="24"/>
    </w:rPr>
  </w:style>
  <w:style w:type="paragraph" w:customStyle="1" w:styleId="250">
    <w:name w:val="List Paragraph2"/>
    <w:basedOn w:val="1"/>
    <w:link w:val="249"/>
    <w:qFormat/>
    <w:uiPriority w:val="0"/>
    <w:pPr>
      <w:ind w:firstLine="420" w:firstLineChars="200"/>
    </w:pPr>
  </w:style>
  <w:style w:type="character" w:customStyle="1" w:styleId="251">
    <w:name w:val="legend"/>
    <w:qFormat/>
    <w:uiPriority w:val="0"/>
    <w:rPr>
      <w:rFonts w:ascii="Arial" w:hAnsi="Arial" w:cs="Arial"/>
      <w:b/>
      <w:color w:val="73B304"/>
      <w:sz w:val="16"/>
      <w:szCs w:val="16"/>
      <w:shd w:val="clear" w:color="auto" w:fill="FFFFFF"/>
    </w:rPr>
  </w:style>
  <w:style w:type="character" w:customStyle="1" w:styleId="252">
    <w:name w:val="正文文本 Char1"/>
    <w:qFormat/>
    <w:uiPriority w:val="0"/>
    <w:rPr>
      <w:rFonts w:ascii="Tahoma" w:hAnsi="Tahoma"/>
      <w:kern w:val="2"/>
      <w:sz w:val="21"/>
      <w:szCs w:val="24"/>
    </w:rPr>
  </w:style>
  <w:style w:type="character" w:customStyle="1" w:styleId="253">
    <w:name w:val="标题 8 Char"/>
    <w:qFormat/>
    <w:uiPriority w:val="0"/>
    <w:rPr>
      <w:rFonts w:ascii="Arial" w:hAnsi="Arial" w:eastAsia="黑体"/>
      <w:b/>
      <w:sz w:val="24"/>
      <w:szCs w:val="32"/>
    </w:rPr>
  </w:style>
  <w:style w:type="character" w:customStyle="1" w:styleId="254">
    <w:name w:val="页眉 Char2"/>
    <w:semiHidden/>
    <w:qFormat/>
    <w:uiPriority w:val="99"/>
    <w:rPr>
      <w:kern w:val="2"/>
      <w:sz w:val="18"/>
      <w:szCs w:val="18"/>
    </w:rPr>
  </w:style>
  <w:style w:type="character" w:customStyle="1" w:styleId="255">
    <w:name w:val="签名 Char"/>
    <w:qFormat/>
    <w:uiPriority w:val="0"/>
    <w:rPr>
      <w:rFonts w:ascii="Tahoma" w:hAnsi="Tahoma" w:eastAsia="仿宋_GB2312"/>
      <w:sz w:val="24"/>
    </w:rPr>
  </w:style>
  <w:style w:type="character" w:customStyle="1" w:styleId="256">
    <w:name w:val="样式 正文文本 Char Char"/>
    <w:link w:val="257"/>
    <w:qFormat/>
    <w:uiPriority w:val="0"/>
    <w:rPr>
      <w:rFonts w:ascii="Arial" w:hAnsi="Arial" w:cs="宋体"/>
      <w:color w:val="000000"/>
      <w:kern w:val="2"/>
      <w:sz w:val="21"/>
    </w:rPr>
  </w:style>
  <w:style w:type="paragraph" w:customStyle="1" w:styleId="257">
    <w:name w:val="样式 正文文本"/>
    <w:basedOn w:val="1"/>
    <w:link w:val="256"/>
    <w:qFormat/>
    <w:uiPriority w:val="0"/>
    <w:pPr>
      <w:adjustRightInd w:val="0"/>
      <w:snapToGrid w:val="0"/>
      <w:spacing w:line="400" w:lineRule="exact"/>
      <w:ind w:firstLine="200" w:firstLineChars="200"/>
    </w:pPr>
    <w:rPr>
      <w:rFonts w:ascii="Arial" w:hAnsi="Arial"/>
      <w:color w:val="000000"/>
      <w:szCs w:val="20"/>
    </w:rPr>
  </w:style>
  <w:style w:type="character" w:customStyle="1" w:styleId="258">
    <w:name w:val="style111"/>
    <w:qFormat/>
    <w:uiPriority w:val="0"/>
    <w:rPr>
      <w:sz w:val="27"/>
      <w:szCs w:val="27"/>
    </w:rPr>
  </w:style>
  <w:style w:type="character" w:customStyle="1" w:styleId="259">
    <w:name w:val="明显强调1"/>
    <w:qFormat/>
    <w:uiPriority w:val="0"/>
    <w:rPr>
      <w:b/>
      <w:bCs/>
      <w:i/>
      <w:iCs/>
      <w:color w:val="4F81BD"/>
    </w:rPr>
  </w:style>
  <w:style w:type="character" w:customStyle="1" w:styleId="260">
    <w:name w:val="NormalCharacter"/>
    <w:qFormat/>
    <w:uiPriority w:val="0"/>
  </w:style>
  <w:style w:type="character" w:customStyle="1" w:styleId="261">
    <w:name w:val="页脚 Char2"/>
    <w:semiHidden/>
    <w:qFormat/>
    <w:uiPriority w:val="99"/>
    <w:rPr>
      <w:kern w:val="2"/>
      <w:sz w:val="18"/>
      <w:szCs w:val="18"/>
    </w:rPr>
  </w:style>
  <w:style w:type="character" w:customStyle="1" w:styleId="262">
    <w:name w:val="1.1.1.1.1 Char"/>
    <w:link w:val="263"/>
    <w:qFormat/>
    <w:uiPriority w:val="0"/>
    <w:rPr>
      <w:rFonts w:ascii="Arial" w:hAnsi="Arial" w:eastAsia="黑体"/>
      <w:b/>
      <w:bCs/>
      <w:kern w:val="2"/>
      <w:sz w:val="24"/>
      <w:szCs w:val="28"/>
    </w:rPr>
  </w:style>
  <w:style w:type="paragraph" w:customStyle="1" w:styleId="263">
    <w:name w:val="1.1.1.1.1"/>
    <w:basedOn w:val="264"/>
    <w:next w:val="2"/>
    <w:link w:val="262"/>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64">
    <w:name w:val="样式5"/>
    <w:basedOn w:val="2"/>
    <w:link w:val="265"/>
    <w:qFormat/>
    <w:uiPriority w:val="0"/>
    <w:pPr>
      <w:adjustRightInd/>
      <w:spacing w:line="360" w:lineRule="auto"/>
      <w:ind w:firstLine="200" w:firstLineChars="200"/>
      <w:textAlignment w:val="auto"/>
    </w:pPr>
    <w:rPr>
      <w:rFonts w:ascii="仿宋_GB2312"/>
      <w:b/>
      <w:kern w:val="2"/>
      <w:sz w:val="28"/>
      <w:szCs w:val="21"/>
    </w:rPr>
  </w:style>
  <w:style w:type="character" w:customStyle="1" w:styleId="265">
    <w:name w:val="样式5 Char"/>
    <w:link w:val="264"/>
    <w:qFormat/>
    <w:uiPriority w:val="0"/>
    <w:rPr>
      <w:rFonts w:ascii="仿宋_GB2312"/>
      <w:b/>
      <w:kern w:val="2"/>
      <w:sz w:val="28"/>
      <w:szCs w:val="21"/>
    </w:rPr>
  </w:style>
  <w:style w:type="character" w:customStyle="1" w:styleId="266">
    <w:name w:val="表格标题 Char"/>
    <w:link w:val="267"/>
    <w:qFormat/>
    <w:uiPriority w:val="0"/>
    <w:rPr>
      <w:rFonts w:ascii="黑体" w:hAnsi="黑体" w:eastAsia="黑体"/>
      <w:b/>
      <w:color w:val="FFFFFF"/>
      <w:kern w:val="2"/>
      <w:sz w:val="21"/>
      <w:szCs w:val="24"/>
    </w:rPr>
  </w:style>
  <w:style w:type="paragraph" w:customStyle="1" w:styleId="267">
    <w:name w:val="表格标题"/>
    <w:basedOn w:val="1"/>
    <w:link w:val="266"/>
    <w:qFormat/>
    <w:uiPriority w:val="0"/>
    <w:rPr>
      <w:rFonts w:ascii="黑体" w:hAnsi="黑体" w:eastAsia="黑体"/>
      <w:b/>
      <w:color w:val="FFFFFF"/>
    </w:rPr>
  </w:style>
  <w:style w:type="character" w:customStyle="1" w:styleId="268">
    <w:name w:val="标题 9 Char"/>
    <w:qFormat/>
    <w:uiPriority w:val="0"/>
    <w:rPr>
      <w:rFonts w:ascii="Arial" w:hAnsi="Arial" w:eastAsia="黑体"/>
      <w:b/>
      <w:sz w:val="21"/>
      <w:szCs w:val="32"/>
    </w:rPr>
  </w:style>
  <w:style w:type="character" w:customStyle="1" w:styleId="269">
    <w:name w:val="PI Char"/>
    <w:qFormat/>
    <w:uiPriority w:val="0"/>
    <w:rPr>
      <w:rFonts w:ascii="宋体" w:hAnsi="宋体" w:eastAsia="仿宋_GB2312"/>
      <w:b/>
      <w:sz w:val="24"/>
      <w:szCs w:val="32"/>
    </w:rPr>
  </w:style>
  <w:style w:type="character" w:customStyle="1" w:styleId="270">
    <w:name w:val="Char Char22"/>
    <w:qFormat/>
    <w:uiPriority w:val="0"/>
    <w:rPr>
      <w:rFonts w:ascii="Arial" w:hAnsi="Arial" w:eastAsia="黑体"/>
      <w:b/>
      <w:bCs/>
      <w:kern w:val="44"/>
      <w:sz w:val="30"/>
      <w:szCs w:val="44"/>
      <w:lang w:val="en-US" w:eastAsia="zh-CN" w:bidi="ar-SA"/>
    </w:rPr>
  </w:style>
  <w:style w:type="character" w:customStyle="1" w:styleId="271">
    <w:name w:val="heading 3 Char"/>
    <w:qFormat/>
    <w:uiPriority w:val="0"/>
    <w:rPr>
      <w:rFonts w:ascii="Arial" w:hAnsi="Arial" w:eastAsia="黑体"/>
      <w:b/>
      <w:sz w:val="28"/>
      <w:szCs w:val="24"/>
    </w:rPr>
  </w:style>
  <w:style w:type="character" w:customStyle="1" w:styleId="272">
    <w:name w:val="标题 Char2"/>
    <w:qFormat/>
    <w:uiPriority w:val="10"/>
    <w:rPr>
      <w:rFonts w:ascii="Cambria" w:hAnsi="Cambria" w:cs="Times New Roman"/>
      <w:b/>
      <w:bCs/>
      <w:kern w:val="2"/>
      <w:sz w:val="32"/>
      <w:szCs w:val="32"/>
    </w:rPr>
  </w:style>
  <w:style w:type="character" w:customStyle="1" w:styleId="273">
    <w:name w:val="文档结构图 Char1"/>
    <w:qFormat/>
    <w:uiPriority w:val="0"/>
    <w:rPr>
      <w:kern w:val="2"/>
      <w:sz w:val="21"/>
      <w:szCs w:val="24"/>
      <w:shd w:val="clear" w:color="auto" w:fill="000080"/>
    </w:rPr>
  </w:style>
  <w:style w:type="character" w:customStyle="1" w:styleId="274">
    <w:name w:val="heading 4 Char2"/>
    <w:qFormat/>
    <w:uiPriority w:val="0"/>
    <w:rPr>
      <w:rFonts w:ascii="Cambria" w:hAnsi="Cambria" w:eastAsia="仿宋_GB2312"/>
      <w:b/>
      <w:bCs/>
      <w:kern w:val="2"/>
      <w:sz w:val="28"/>
      <w:szCs w:val="28"/>
    </w:rPr>
  </w:style>
  <w:style w:type="character" w:customStyle="1" w:styleId="275">
    <w:name w:val="Char Char Char"/>
    <w:qFormat/>
    <w:uiPriority w:val="0"/>
    <w:rPr>
      <w:rFonts w:ascii="宋体" w:hAnsi="宋体" w:eastAsia="宋体"/>
      <w:kern w:val="2"/>
      <w:sz w:val="18"/>
      <w:szCs w:val="18"/>
      <w:lang w:val="en-US" w:eastAsia="zh-CN" w:bidi="ar-SA"/>
    </w:rPr>
  </w:style>
  <w:style w:type="character" w:customStyle="1" w:styleId="276">
    <w:name w:val="小标题 Char Char"/>
    <w:qFormat/>
    <w:uiPriority w:val="0"/>
    <w:rPr>
      <w:rFonts w:ascii="黑体" w:hAnsi="黑体" w:eastAsia="黑体"/>
      <w:b/>
      <w:bCs/>
      <w:kern w:val="2"/>
      <w:sz w:val="48"/>
      <w:szCs w:val="48"/>
    </w:rPr>
  </w:style>
  <w:style w:type="character" w:customStyle="1" w:styleId="277">
    <w:name w:val="正文4 Char Char"/>
    <w:link w:val="278"/>
    <w:qFormat/>
    <w:uiPriority w:val="0"/>
    <w:rPr>
      <w:kern w:val="2"/>
    </w:rPr>
  </w:style>
  <w:style w:type="paragraph" w:customStyle="1" w:styleId="278">
    <w:name w:val="正文4"/>
    <w:basedOn w:val="1"/>
    <w:link w:val="277"/>
    <w:qFormat/>
    <w:uiPriority w:val="0"/>
    <w:pPr>
      <w:numPr>
        <w:ilvl w:val="0"/>
        <w:numId w:val="4"/>
      </w:numPr>
      <w:spacing w:before="60" w:after="60" w:line="360" w:lineRule="auto"/>
      <w:ind w:firstLine="0"/>
    </w:pPr>
    <w:rPr>
      <w:sz w:val="20"/>
      <w:szCs w:val="20"/>
    </w:rPr>
  </w:style>
  <w:style w:type="character" w:customStyle="1" w:styleId="279">
    <w:name w:val="Char1"/>
    <w:qFormat/>
    <w:uiPriority w:val="0"/>
    <w:rPr>
      <w:rFonts w:ascii="宋体" w:hAnsi="宋体" w:eastAsia="宋体"/>
      <w:b/>
      <w:kern w:val="2"/>
      <w:sz w:val="24"/>
      <w:szCs w:val="24"/>
      <w:lang w:val="en-US" w:eastAsia="zh-CN" w:bidi="ar-SA"/>
    </w:rPr>
  </w:style>
  <w:style w:type="character" w:customStyle="1" w:styleId="280">
    <w:name w:val="Char Char2"/>
    <w:qFormat/>
    <w:uiPriority w:val="0"/>
    <w:rPr>
      <w:rFonts w:ascii="Arial" w:hAnsi="Arial" w:eastAsia="黑体"/>
      <w:b/>
      <w:bCs/>
      <w:kern w:val="44"/>
      <w:sz w:val="30"/>
      <w:szCs w:val="44"/>
      <w:lang w:val="en-US" w:eastAsia="zh-CN" w:bidi="ar-SA"/>
    </w:rPr>
  </w:style>
  <w:style w:type="character" w:customStyle="1" w:styleId="281">
    <w:name w:val="不明显参考1"/>
    <w:qFormat/>
    <w:uiPriority w:val="0"/>
    <w:rPr>
      <w:smallCaps/>
      <w:color w:val="C0504D"/>
      <w:u w:val="single"/>
    </w:rPr>
  </w:style>
  <w:style w:type="character" w:customStyle="1" w:styleId="282">
    <w:name w:val="password"/>
    <w:qFormat/>
    <w:uiPriority w:val="0"/>
    <w:rPr>
      <w:szCs w:val="20"/>
    </w:rPr>
  </w:style>
  <w:style w:type="character" w:customStyle="1" w:styleId="283">
    <w:name w:val="题注 Char1"/>
    <w:qFormat/>
    <w:uiPriority w:val="0"/>
    <w:rPr>
      <w:rFonts w:ascii="Arial" w:hAnsi="Arial" w:eastAsia="黑体" w:cs="Arial"/>
      <w:kern w:val="2"/>
    </w:rPr>
  </w:style>
  <w:style w:type="character" w:customStyle="1" w:styleId="284">
    <w:name w:val="标题 7 Char"/>
    <w:qFormat/>
    <w:uiPriority w:val="0"/>
    <w:rPr>
      <w:rFonts w:ascii="Arial" w:hAnsi="Arial" w:eastAsia="黑体"/>
      <w:b/>
      <w:sz w:val="21"/>
      <w:szCs w:val="21"/>
    </w:rPr>
  </w:style>
  <w:style w:type="character" w:customStyle="1" w:styleId="285">
    <w:name w:val="强调划线"/>
    <w:qFormat/>
    <w:uiPriority w:val="0"/>
    <w:rPr>
      <w:u w:val="single"/>
    </w:rPr>
  </w:style>
  <w:style w:type="character" w:customStyle="1" w:styleId="286">
    <w:name w:val="正文文本缩进 2 Char1"/>
    <w:qFormat/>
    <w:uiPriority w:val="0"/>
    <w:rPr>
      <w:kern w:val="2"/>
      <w:sz w:val="21"/>
      <w:szCs w:val="24"/>
    </w:rPr>
  </w:style>
  <w:style w:type="character" w:customStyle="1" w:styleId="287">
    <w:name w:val="HTML 预设格式 Char1"/>
    <w:qFormat/>
    <w:uiPriority w:val="99"/>
    <w:rPr>
      <w:rFonts w:ascii="Courier New" w:hAnsi="Courier New" w:cs="Courier New"/>
      <w:kern w:val="2"/>
    </w:rPr>
  </w:style>
  <w:style w:type="character" w:customStyle="1" w:styleId="288">
    <w:name w:val="red"/>
    <w:qFormat/>
    <w:uiPriority w:val="0"/>
    <w:rPr>
      <w:color w:val="FF0000"/>
      <w:szCs w:val="20"/>
    </w:rPr>
  </w:style>
  <w:style w:type="character" w:customStyle="1" w:styleId="289">
    <w:name w:val="签名 Char1"/>
    <w:semiHidden/>
    <w:qFormat/>
    <w:uiPriority w:val="99"/>
    <w:rPr>
      <w:kern w:val="2"/>
      <w:sz w:val="21"/>
      <w:szCs w:val="24"/>
    </w:rPr>
  </w:style>
  <w:style w:type="character" w:customStyle="1" w:styleId="290">
    <w:name w:val="文档结构图 Char2"/>
    <w:semiHidden/>
    <w:qFormat/>
    <w:uiPriority w:val="0"/>
    <w:rPr>
      <w:rFonts w:ascii="Microsoft YaHei UI" w:eastAsia="Microsoft YaHei UI"/>
      <w:sz w:val="18"/>
      <w:szCs w:val="18"/>
    </w:rPr>
  </w:style>
  <w:style w:type="character" w:customStyle="1" w:styleId="291">
    <w:name w:val="111 Char"/>
    <w:link w:val="292"/>
    <w:qFormat/>
    <w:uiPriority w:val="0"/>
    <w:rPr>
      <w:kern w:val="2"/>
    </w:rPr>
  </w:style>
  <w:style w:type="paragraph" w:customStyle="1" w:styleId="292">
    <w:name w:val="111"/>
    <w:basedOn w:val="146"/>
    <w:link w:val="291"/>
    <w:qFormat/>
    <w:uiPriority w:val="0"/>
    <w:pPr>
      <w:numPr>
        <w:ilvl w:val="0"/>
        <w:numId w:val="5"/>
      </w:numPr>
      <w:ind w:firstLine="0" w:firstLineChars="0"/>
    </w:pPr>
  </w:style>
  <w:style w:type="character" w:customStyle="1" w:styleId="293">
    <w:name w:val="页眉 Char1"/>
    <w:qFormat/>
    <w:uiPriority w:val="0"/>
    <w:rPr>
      <w:kern w:val="2"/>
      <w:sz w:val="18"/>
      <w:szCs w:val="18"/>
    </w:rPr>
  </w:style>
  <w:style w:type="character" w:customStyle="1" w:styleId="294">
    <w:name w:val="aaaaaaaaaaaaaa Char Char"/>
    <w:link w:val="295"/>
    <w:qFormat/>
    <w:uiPriority w:val="0"/>
    <w:rPr>
      <w:kern w:val="2"/>
    </w:rPr>
  </w:style>
  <w:style w:type="paragraph" w:customStyle="1" w:styleId="295">
    <w:name w:val="aaaaaaaaaaaaaa"/>
    <w:basedOn w:val="1"/>
    <w:link w:val="294"/>
    <w:qFormat/>
    <w:uiPriority w:val="0"/>
    <w:pPr>
      <w:spacing w:line="360" w:lineRule="auto"/>
      <w:ind w:firstLine="485" w:firstLineChars="202"/>
    </w:pPr>
    <w:rPr>
      <w:sz w:val="20"/>
      <w:szCs w:val="20"/>
    </w:rPr>
  </w:style>
  <w:style w:type="character" w:customStyle="1" w:styleId="296">
    <w:name w:val="页眉注释 Char Char"/>
    <w:qFormat/>
    <w:uiPriority w:val="0"/>
    <w:rPr>
      <w:rFonts w:ascii="华文细黑" w:hAnsi="华文细黑" w:eastAsia="华文细黑"/>
      <w:b/>
      <w:color w:val="FFFFFF"/>
      <w:kern w:val="2"/>
      <w:sz w:val="18"/>
      <w:szCs w:val="18"/>
    </w:rPr>
  </w:style>
  <w:style w:type="character" w:customStyle="1" w:styleId="297">
    <w:name w:val="大标题 Char"/>
    <w:link w:val="298"/>
    <w:qFormat/>
    <w:uiPriority w:val="0"/>
    <w:rPr>
      <w:rFonts w:ascii="黑体" w:hAnsi="黑体" w:eastAsia="黑体"/>
      <w:b/>
      <w:bCs/>
      <w:kern w:val="2"/>
      <w:sz w:val="72"/>
      <w:szCs w:val="72"/>
    </w:rPr>
  </w:style>
  <w:style w:type="paragraph" w:customStyle="1" w:styleId="298">
    <w:name w:val="大标题"/>
    <w:basedOn w:val="1"/>
    <w:link w:val="297"/>
    <w:qFormat/>
    <w:uiPriority w:val="0"/>
    <w:pPr>
      <w:spacing w:line="40" w:lineRule="atLeast"/>
    </w:pPr>
    <w:rPr>
      <w:rFonts w:ascii="黑体" w:hAnsi="黑体" w:eastAsia="黑体"/>
      <w:b/>
      <w:bCs/>
      <w:sz w:val="72"/>
      <w:szCs w:val="72"/>
    </w:rPr>
  </w:style>
  <w:style w:type="character" w:customStyle="1" w:styleId="299">
    <w:name w:val="正文文本 2 Char"/>
    <w:qFormat/>
    <w:uiPriority w:val="0"/>
  </w:style>
  <w:style w:type="character" w:customStyle="1" w:styleId="300">
    <w:name w:val="Ò³Ã¼ Char Char2"/>
    <w:qFormat/>
    <w:uiPriority w:val="0"/>
    <w:rPr>
      <w:rFonts w:ascii="仿宋_GB2312" w:eastAsia="仿宋_GB2312"/>
      <w:b/>
      <w:kern w:val="2"/>
      <w:sz w:val="18"/>
      <w:szCs w:val="18"/>
    </w:rPr>
  </w:style>
  <w:style w:type="character" w:customStyle="1" w:styleId="301">
    <w:name w:val="脚注文本 Char1"/>
    <w:semiHidden/>
    <w:qFormat/>
    <w:uiPriority w:val="99"/>
    <w:rPr>
      <w:kern w:val="2"/>
      <w:sz w:val="18"/>
      <w:szCs w:val="18"/>
    </w:rPr>
  </w:style>
  <w:style w:type="character" w:customStyle="1" w:styleId="302">
    <w:name w:val="标题 2 Char"/>
    <w:qFormat/>
    <w:uiPriority w:val="0"/>
    <w:rPr>
      <w:rFonts w:ascii="Arial" w:hAnsi="Arial" w:eastAsia="黑体"/>
      <w:b/>
      <w:bCs/>
      <w:kern w:val="2"/>
      <w:sz w:val="32"/>
      <w:szCs w:val="32"/>
      <w:lang w:val="en-US" w:eastAsia="zh-CN" w:bidi="ar-SA"/>
    </w:rPr>
  </w:style>
  <w:style w:type="character" w:customStyle="1" w:styleId="303">
    <w:name w:val="样式 标题 3 + 黑体 小四 Char Char"/>
    <w:link w:val="304"/>
    <w:qFormat/>
    <w:uiPriority w:val="0"/>
    <w:rPr>
      <w:rFonts w:ascii="黑体" w:hAnsi="Arial" w:eastAsia="黑体"/>
      <w:bCs/>
      <w:sz w:val="24"/>
      <w:szCs w:val="24"/>
    </w:rPr>
  </w:style>
  <w:style w:type="paragraph" w:customStyle="1" w:styleId="304">
    <w:name w:val="样式 标题 3 + 黑体 小四"/>
    <w:basedOn w:val="6"/>
    <w:link w:val="303"/>
    <w:qFormat/>
    <w:uiPriority w:val="0"/>
    <w:pPr>
      <w:spacing w:line="413" w:lineRule="auto"/>
    </w:pPr>
    <w:rPr>
      <w:rFonts w:ascii="黑体" w:hAnsi="Arial" w:eastAsia="黑体"/>
      <w:b w:val="0"/>
      <w:kern w:val="0"/>
      <w:sz w:val="24"/>
      <w:szCs w:val="24"/>
    </w:rPr>
  </w:style>
  <w:style w:type="character" w:customStyle="1" w:styleId="305">
    <w:name w:val="文档正文 Char"/>
    <w:link w:val="306"/>
    <w:qFormat/>
    <w:locked/>
    <w:uiPriority w:val="0"/>
    <w:rPr>
      <w:sz w:val="24"/>
    </w:rPr>
  </w:style>
  <w:style w:type="paragraph" w:customStyle="1" w:styleId="306">
    <w:name w:val="文档正文"/>
    <w:basedOn w:val="1"/>
    <w:link w:val="305"/>
    <w:qFormat/>
    <w:uiPriority w:val="0"/>
    <w:pPr>
      <w:adjustRightInd w:val="0"/>
      <w:spacing w:line="300" w:lineRule="auto"/>
      <w:ind w:firstLine="567"/>
      <w:textAlignment w:val="baseline"/>
    </w:pPr>
    <w:rPr>
      <w:kern w:val="0"/>
      <w:sz w:val="24"/>
      <w:szCs w:val="20"/>
    </w:rPr>
  </w:style>
  <w:style w:type="character" w:customStyle="1" w:styleId="307">
    <w:name w:val="批注框文本 Char1"/>
    <w:semiHidden/>
    <w:qFormat/>
    <w:locked/>
    <w:uiPriority w:val="99"/>
    <w:rPr>
      <w:rFonts w:hint="eastAsia" w:ascii="Heiti SC Light" w:hAnsi="宋体" w:eastAsia="Heiti SC Light" w:cs="Times New Roman"/>
      <w:sz w:val="18"/>
      <w:szCs w:val="18"/>
    </w:rPr>
  </w:style>
  <w:style w:type="character" w:customStyle="1" w:styleId="308">
    <w:name w:val="PI Char1"/>
    <w:qFormat/>
    <w:uiPriority w:val="0"/>
    <w:rPr>
      <w:rFonts w:ascii="仿宋_GB2312" w:eastAsia="宋体"/>
      <w:b/>
      <w:kern w:val="2"/>
      <w:sz w:val="24"/>
      <w:szCs w:val="24"/>
      <w:lang w:val="en-US" w:eastAsia="zh-CN" w:bidi="ar-SA"/>
    </w:rPr>
  </w:style>
  <w:style w:type="character" w:customStyle="1" w:styleId="309">
    <w:name w:val="正文居中 Char"/>
    <w:link w:val="310"/>
    <w:qFormat/>
    <w:uiPriority w:val="0"/>
    <w:rPr>
      <w:kern w:val="2"/>
      <w:sz w:val="21"/>
      <w:szCs w:val="24"/>
    </w:rPr>
  </w:style>
  <w:style w:type="paragraph" w:customStyle="1" w:styleId="310">
    <w:name w:val="正文居中"/>
    <w:basedOn w:val="1"/>
    <w:link w:val="309"/>
    <w:qFormat/>
    <w:uiPriority w:val="0"/>
    <w:pPr>
      <w:jc w:val="center"/>
    </w:pPr>
  </w:style>
  <w:style w:type="character" w:customStyle="1" w:styleId="311">
    <w:name w:val="Char Char"/>
    <w:qFormat/>
    <w:uiPriority w:val="0"/>
    <w:rPr>
      <w:rFonts w:ascii="宋体" w:hAnsi="Courier New" w:eastAsia="宋体"/>
      <w:kern w:val="2"/>
      <w:sz w:val="21"/>
      <w:lang w:val="en-US" w:eastAsia="zh-CN" w:bidi="ar-SA"/>
    </w:rPr>
  </w:style>
  <w:style w:type="character" w:customStyle="1" w:styleId="312">
    <w:name w:val="正文文本缩进 Char"/>
    <w:qFormat/>
    <w:uiPriority w:val="0"/>
    <w:rPr>
      <w:rFonts w:ascii="宋体" w:hAnsi="宋体"/>
      <w:kern w:val="2"/>
      <w:sz w:val="24"/>
    </w:rPr>
  </w:style>
  <w:style w:type="character" w:customStyle="1" w:styleId="313">
    <w:name w:val="Style1"/>
    <w:qFormat/>
    <w:uiPriority w:val="0"/>
    <w:rPr>
      <w:rFonts w:ascii="Calibri" w:hAnsi="宋体" w:eastAsia="宋体" w:cs="Times New Roman"/>
      <w:sz w:val="22"/>
      <w:szCs w:val="22"/>
      <w:lang w:eastAsia="zh-CN"/>
    </w:rPr>
  </w:style>
  <w:style w:type="character" w:customStyle="1" w:styleId="314">
    <w:name w:val="题注(图注) Char"/>
    <w:qFormat/>
    <w:uiPriority w:val="0"/>
    <w:rPr>
      <w:rFonts w:ascii="Arial Unicode MS" w:hAnsi="Arial Unicode MS" w:eastAsia="宋体" w:cs="宋体"/>
      <w:szCs w:val="20"/>
      <w:lang w:val="en-US" w:eastAsia="zh-CN"/>
    </w:rPr>
  </w:style>
  <w:style w:type="character" w:customStyle="1" w:styleId="315">
    <w:name w:val="注释题目"/>
    <w:qFormat/>
    <w:uiPriority w:val="0"/>
    <w:rPr>
      <w:rFonts w:eastAsia="黑体"/>
      <w:sz w:val="28"/>
      <w:u w:val="none"/>
    </w:rPr>
  </w:style>
  <w:style w:type="character" w:customStyle="1" w:styleId="316">
    <w:name w:val="宏文本 Char2"/>
    <w:semiHidden/>
    <w:qFormat/>
    <w:uiPriority w:val="99"/>
    <w:rPr>
      <w:rFonts w:ascii="Courier New" w:hAnsi="Courier New" w:cs="Courier New"/>
      <w:kern w:val="2"/>
      <w:sz w:val="24"/>
      <w:szCs w:val="24"/>
    </w:rPr>
  </w:style>
  <w:style w:type="character" w:customStyle="1" w:styleId="317">
    <w:name w:val="副标题 Char2"/>
    <w:qFormat/>
    <w:uiPriority w:val="11"/>
    <w:rPr>
      <w:rFonts w:ascii="Cambria" w:hAnsi="Cambria" w:cs="Times New Roman"/>
      <w:b/>
      <w:bCs/>
      <w:kern w:val="28"/>
      <w:sz w:val="32"/>
      <w:szCs w:val="32"/>
    </w:rPr>
  </w:style>
  <w:style w:type="character" w:customStyle="1" w:styleId="318">
    <w:name w:val="zbggmain style9"/>
    <w:qFormat/>
    <w:uiPriority w:val="0"/>
    <w:rPr>
      <w:szCs w:val="20"/>
    </w:rPr>
  </w:style>
  <w:style w:type="character" w:customStyle="1" w:styleId="319">
    <w:name w:val="正文首行缩进 2 Char"/>
    <w:qFormat/>
    <w:uiPriority w:val="0"/>
    <w:rPr>
      <w:rFonts w:ascii="宋体" w:hAnsi="宋体"/>
      <w:kern w:val="2"/>
      <w:sz w:val="24"/>
      <w:szCs w:val="24"/>
    </w:rPr>
  </w:style>
  <w:style w:type="character" w:customStyle="1" w:styleId="320">
    <w:name w:val="批注主题 Char2"/>
    <w:semiHidden/>
    <w:qFormat/>
    <w:uiPriority w:val="99"/>
    <w:rPr>
      <w:b/>
      <w:bCs/>
      <w:kern w:val="2"/>
      <w:sz w:val="21"/>
      <w:szCs w:val="24"/>
    </w:rPr>
  </w:style>
  <w:style w:type="character" w:customStyle="1" w:styleId="321">
    <w:name w:val="纯文本 Char"/>
    <w:qFormat/>
    <w:uiPriority w:val="0"/>
    <w:rPr>
      <w:rFonts w:ascii="仿宋_GB2312" w:hAnsi="Wingdings" w:eastAsia="仿宋_GB2312"/>
      <w:sz w:val="21"/>
      <w:szCs w:val="21"/>
      <w:lang w:val="en-US" w:eastAsia="zh-CN" w:bidi="ar-SA"/>
    </w:rPr>
  </w:style>
  <w:style w:type="character" w:customStyle="1" w:styleId="322">
    <w:name w:val="表正文 Char2"/>
    <w:qFormat/>
    <w:uiPriority w:val="0"/>
    <w:rPr>
      <w:rFonts w:ascii="Times New Roman" w:hAnsi="Times New Roman" w:eastAsia="宋体" w:cs="Times New Roman"/>
      <w:szCs w:val="24"/>
    </w:rPr>
  </w:style>
  <w:style w:type="character" w:customStyle="1" w:styleId="323">
    <w:name w:val="正文首行缩进 Char3"/>
    <w:semiHidden/>
    <w:qFormat/>
    <w:uiPriority w:val="99"/>
    <w:rPr>
      <w:lang w:val="en-US" w:eastAsia="zh-CN" w:bidi="ar-SA"/>
    </w:rPr>
  </w:style>
  <w:style w:type="character" w:customStyle="1" w:styleId="324">
    <w:name w:val="标题 1 Char"/>
    <w:qFormat/>
    <w:uiPriority w:val="0"/>
    <w:rPr>
      <w:rFonts w:eastAsia="宋体"/>
      <w:b/>
      <w:bCs/>
      <w:kern w:val="44"/>
      <w:sz w:val="44"/>
      <w:szCs w:val="44"/>
      <w:lang w:val="en-US" w:eastAsia="zh-CN" w:bidi="ar-SA"/>
    </w:rPr>
  </w:style>
  <w:style w:type="character" w:customStyle="1" w:styleId="325">
    <w:name w:val="纯文本 Char2"/>
    <w:semiHidden/>
    <w:qFormat/>
    <w:uiPriority w:val="99"/>
    <w:rPr>
      <w:rFonts w:ascii="宋体" w:hAnsi="Courier New" w:cs="Courier New"/>
      <w:kern w:val="2"/>
      <w:sz w:val="21"/>
      <w:szCs w:val="21"/>
    </w:rPr>
  </w:style>
  <w:style w:type="character" w:customStyle="1" w:styleId="326">
    <w:name w:val="文档结构图 Char3"/>
    <w:semiHidden/>
    <w:qFormat/>
    <w:uiPriority w:val="99"/>
    <w:rPr>
      <w:rFonts w:ascii="宋体"/>
      <w:kern w:val="2"/>
      <w:sz w:val="18"/>
      <w:szCs w:val="18"/>
    </w:rPr>
  </w:style>
  <w:style w:type="character" w:customStyle="1" w:styleId="327">
    <w:name w:val="日期 Char"/>
    <w:qFormat/>
    <w:uiPriority w:val="99"/>
    <w:rPr>
      <w:spacing w:val="12"/>
      <w:kern w:val="2"/>
      <w:sz w:val="24"/>
    </w:rPr>
  </w:style>
  <w:style w:type="character" w:customStyle="1" w:styleId="328">
    <w:name w:val="正文缩进 Char2"/>
    <w:qFormat/>
    <w:uiPriority w:val="0"/>
    <w:rPr>
      <w:rFonts w:ascii="Tahoma" w:hAnsi="Tahoma" w:eastAsia="宋体"/>
      <w:b/>
      <w:bCs/>
      <w:kern w:val="2"/>
      <w:sz w:val="24"/>
      <w:szCs w:val="24"/>
      <w:lang w:val="en-US" w:eastAsia="zh-CN" w:bidi="ar-SA"/>
    </w:rPr>
  </w:style>
  <w:style w:type="character" w:customStyle="1" w:styleId="329">
    <w:name w:val="副标题 Char"/>
    <w:qFormat/>
    <w:uiPriority w:val="0"/>
    <w:rPr>
      <w:rFonts w:ascii="Cambria" w:hAnsi="Cambria"/>
      <w:b/>
      <w:bCs/>
      <w:kern w:val="28"/>
      <w:sz w:val="32"/>
      <w:szCs w:val="32"/>
    </w:rPr>
  </w:style>
  <w:style w:type="character" w:customStyle="1" w:styleId="330">
    <w:name w:val="正文靠右 Char"/>
    <w:link w:val="331"/>
    <w:qFormat/>
    <w:uiPriority w:val="0"/>
    <w:rPr>
      <w:kern w:val="2"/>
      <w:sz w:val="21"/>
      <w:szCs w:val="24"/>
    </w:rPr>
  </w:style>
  <w:style w:type="paragraph" w:customStyle="1" w:styleId="331">
    <w:name w:val="正文靠右"/>
    <w:basedOn w:val="1"/>
    <w:link w:val="330"/>
    <w:qFormat/>
    <w:uiPriority w:val="0"/>
    <w:pPr>
      <w:jc w:val="right"/>
    </w:pPr>
  </w:style>
  <w:style w:type="character" w:customStyle="1" w:styleId="332">
    <w:name w:val="p91"/>
    <w:qFormat/>
    <w:uiPriority w:val="0"/>
    <w:rPr>
      <w:rFonts w:hint="eastAsia" w:ascii="宋体" w:hAnsi="宋体" w:eastAsia="宋体"/>
      <w:spacing w:val="360"/>
      <w:sz w:val="18"/>
      <w:szCs w:val="18"/>
    </w:rPr>
  </w:style>
  <w:style w:type="character" w:customStyle="1" w:styleId="333">
    <w:name w:val="size31"/>
    <w:qFormat/>
    <w:uiPriority w:val="0"/>
    <w:rPr>
      <w:rFonts w:hint="default" w:ascii="Arial" w:hAnsi="Arial" w:cs="Arial"/>
      <w:color w:val="2D2D2D"/>
      <w:spacing w:val="285"/>
      <w:sz w:val="18"/>
      <w:szCs w:val="18"/>
    </w:rPr>
  </w:style>
  <w:style w:type="character" w:customStyle="1" w:styleId="334">
    <w:name w:val="2级 Char"/>
    <w:link w:val="335"/>
    <w:qFormat/>
    <w:uiPriority w:val="0"/>
    <w:rPr>
      <w:rFonts w:ascii="Cambria" w:hAnsi="Cambria"/>
      <w:b/>
      <w:bCs/>
      <w:sz w:val="28"/>
      <w:szCs w:val="32"/>
    </w:rPr>
  </w:style>
  <w:style w:type="paragraph" w:customStyle="1" w:styleId="335">
    <w:name w:val="2级"/>
    <w:basedOn w:val="5"/>
    <w:next w:val="56"/>
    <w:link w:val="334"/>
    <w:qFormat/>
    <w:uiPriority w:val="0"/>
    <w:pPr>
      <w:spacing w:line="416" w:lineRule="auto"/>
    </w:pPr>
    <w:rPr>
      <w:rFonts w:ascii="Cambria" w:hAnsi="Cambria" w:eastAsia="宋体"/>
      <w:kern w:val="0"/>
      <w:sz w:val="28"/>
    </w:rPr>
  </w:style>
  <w:style w:type="character" w:customStyle="1" w:styleId="336">
    <w:name w:val="页眉注释 Char"/>
    <w:link w:val="337"/>
    <w:qFormat/>
    <w:uiPriority w:val="0"/>
    <w:rPr>
      <w:rFonts w:ascii="华文细黑" w:hAnsi="华文细黑" w:eastAsia="华文细黑"/>
      <w:b/>
      <w:color w:val="FFFFFF"/>
      <w:kern w:val="2"/>
      <w:sz w:val="18"/>
      <w:szCs w:val="18"/>
    </w:rPr>
  </w:style>
  <w:style w:type="paragraph" w:customStyle="1" w:styleId="337">
    <w:name w:val="页眉注释"/>
    <w:basedOn w:val="1"/>
    <w:link w:val="336"/>
    <w:qFormat/>
    <w:uiPriority w:val="0"/>
    <w:pPr>
      <w:spacing w:line="0" w:lineRule="atLeast"/>
      <w:jc w:val="center"/>
    </w:pPr>
    <w:rPr>
      <w:rFonts w:ascii="华文细黑" w:hAnsi="华文细黑" w:eastAsia="华文细黑"/>
      <w:b/>
      <w:color w:val="FFFFFF"/>
      <w:sz w:val="18"/>
      <w:szCs w:val="18"/>
    </w:rPr>
  </w:style>
  <w:style w:type="character" w:customStyle="1" w:styleId="338">
    <w:name w:val="正文（首行缩进2字符） Char"/>
    <w:link w:val="339"/>
    <w:qFormat/>
    <w:uiPriority w:val="0"/>
    <w:rPr>
      <w:kern w:val="2"/>
      <w:sz w:val="22"/>
      <w:szCs w:val="24"/>
    </w:rPr>
  </w:style>
  <w:style w:type="paragraph" w:customStyle="1" w:styleId="339">
    <w:name w:val="正文（首行缩进2字符）"/>
    <w:basedOn w:val="1"/>
    <w:link w:val="338"/>
    <w:qFormat/>
    <w:uiPriority w:val="0"/>
    <w:pPr>
      <w:jc w:val="center"/>
    </w:pPr>
    <w:rPr>
      <w:sz w:val="22"/>
    </w:rPr>
  </w:style>
  <w:style w:type="character" w:customStyle="1" w:styleId="340">
    <w:name w:val="正文文本 2 Char1"/>
    <w:qFormat/>
    <w:uiPriority w:val="0"/>
    <w:rPr>
      <w:rFonts w:ascii="Calibri" w:hAnsi="Calibri" w:cs="黑体"/>
      <w:kern w:val="2"/>
      <w:sz w:val="24"/>
      <w:szCs w:val="22"/>
    </w:rPr>
  </w:style>
  <w:style w:type="character" w:customStyle="1" w:styleId="341">
    <w:name w:val="脚注文本 Char"/>
    <w:qFormat/>
    <w:uiPriority w:val="99"/>
    <w:rPr>
      <w:kern w:val="2"/>
      <w:sz w:val="18"/>
      <w:szCs w:val="18"/>
    </w:rPr>
  </w:style>
  <w:style w:type="character" w:customStyle="1" w:styleId="342">
    <w:name w:val="宏文本 Char1"/>
    <w:semiHidden/>
    <w:qFormat/>
    <w:uiPriority w:val="99"/>
    <w:rPr>
      <w:rFonts w:ascii="Courier New" w:hAnsi="Courier New" w:cs="Courier New"/>
      <w:kern w:val="2"/>
      <w:sz w:val="24"/>
      <w:szCs w:val="24"/>
    </w:rPr>
  </w:style>
  <w:style w:type="character" w:customStyle="1" w:styleId="343">
    <w:name w:val="标书标题 3 Char Char Char"/>
    <w:link w:val="344"/>
    <w:qFormat/>
    <w:uiPriority w:val="0"/>
    <w:rPr>
      <w:rFonts w:ascii="Arial" w:hAnsi="Arial" w:eastAsia="仿宋_GB2312" w:cs="Times New Roman"/>
      <w:b/>
      <w:kern w:val="2"/>
      <w:sz w:val="24"/>
      <w:szCs w:val="32"/>
    </w:rPr>
  </w:style>
  <w:style w:type="paragraph" w:customStyle="1" w:styleId="344">
    <w:name w:val="标书标题 3 Char"/>
    <w:basedOn w:val="1"/>
    <w:link w:val="343"/>
    <w:qFormat/>
    <w:uiPriority w:val="0"/>
    <w:pPr>
      <w:tabs>
        <w:tab w:val="left" w:pos="720"/>
      </w:tabs>
      <w:spacing w:line="360" w:lineRule="auto"/>
      <w:outlineLvl w:val="2"/>
    </w:pPr>
    <w:rPr>
      <w:rFonts w:ascii="Arial" w:hAnsi="Arial" w:eastAsia="仿宋_GB2312"/>
      <w:b/>
      <w:sz w:val="24"/>
      <w:szCs w:val="32"/>
    </w:rPr>
  </w:style>
  <w:style w:type="character" w:customStyle="1" w:styleId="345">
    <w:name w:val="heading 2 Char2"/>
    <w:qFormat/>
    <w:uiPriority w:val="0"/>
    <w:rPr>
      <w:rFonts w:ascii="Cambria" w:hAnsi="Cambria" w:eastAsia="仿宋_GB2312"/>
      <w:b/>
      <w:bCs/>
      <w:kern w:val="2"/>
      <w:sz w:val="32"/>
      <w:szCs w:val="32"/>
    </w:rPr>
  </w:style>
  <w:style w:type="character" w:customStyle="1" w:styleId="346">
    <w:name w:val="me04"/>
    <w:qFormat/>
    <w:uiPriority w:val="0"/>
    <w:rPr>
      <w:rFonts w:ascii="仿宋_GB2312" w:hAnsi="Tahoma" w:eastAsia="仿宋_GB2312"/>
      <w:b/>
      <w:sz w:val="32"/>
      <w:szCs w:val="32"/>
    </w:rPr>
  </w:style>
  <w:style w:type="character" w:customStyle="1" w:styleId="347">
    <w:name w:val="注释标题 Char2"/>
    <w:semiHidden/>
    <w:qFormat/>
    <w:uiPriority w:val="99"/>
    <w:rPr>
      <w:kern w:val="2"/>
      <w:sz w:val="21"/>
      <w:szCs w:val="24"/>
    </w:rPr>
  </w:style>
  <w:style w:type="character" w:customStyle="1" w:styleId="348">
    <w:name w:val="正文文本缩进 2 Char"/>
    <w:qFormat/>
    <w:uiPriority w:val="0"/>
    <w:rPr>
      <w:kern w:val="2"/>
      <w:sz w:val="21"/>
      <w:szCs w:val="24"/>
    </w:rPr>
  </w:style>
  <w:style w:type="character" w:customStyle="1" w:styleId="349">
    <w:name w:val="font161"/>
    <w:qFormat/>
    <w:uiPriority w:val="0"/>
    <w:rPr>
      <w:b/>
      <w:bCs/>
      <w:sz w:val="32"/>
      <w:szCs w:val="32"/>
    </w:rPr>
  </w:style>
  <w:style w:type="character" w:customStyle="1" w:styleId="350">
    <w:name w:val="Char Char16"/>
    <w:qFormat/>
    <w:uiPriority w:val="0"/>
    <w:rPr>
      <w:rFonts w:ascii="仿宋_GB2312" w:eastAsia="仿宋_GB2312"/>
      <w:b/>
      <w:bCs/>
      <w:kern w:val="2"/>
      <w:sz w:val="28"/>
      <w:szCs w:val="28"/>
    </w:rPr>
  </w:style>
  <w:style w:type="character" w:customStyle="1" w:styleId="351">
    <w:name w:val="编号正文缩进 Char"/>
    <w:link w:val="352"/>
    <w:qFormat/>
    <w:uiPriority w:val="0"/>
    <w:rPr>
      <w:sz w:val="24"/>
    </w:rPr>
  </w:style>
  <w:style w:type="paragraph" w:customStyle="1" w:styleId="352">
    <w:name w:val="编号正文缩进"/>
    <w:basedOn w:val="2"/>
    <w:link w:val="351"/>
    <w:qFormat/>
    <w:uiPriority w:val="0"/>
    <w:pPr>
      <w:numPr>
        <w:ilvl w:val="0"/>
        <w:numId w:val="6"/>
      </w:numPr>
      <w:spacing w:line="400" w:lineRule="atLeast"/>
    </w:pPr>
    <w:rPr>
      <w:sz w:val="24"/>
    </w:rPr>
  </w:style>
  <w:style w:type="character" w:customStyle="1" w:styleId="353">
    <w:name w:val="smalltxt1"/>
    <w:qFormat/>
    <w:uiPriority w:val="0"/>
    <w:rPr>
      <w:rFonts w:hint="default" w:ascii="ˎ̥" w:hAnsi="ˎ̥" w:eastAsia="仿宋_GB2312"/>
      <w:b/>
      <w:sz w:val="24"/>
      <w:szCs w:val="24"/>
    </w:rPr>
  </w:style>
  <w:style w:type="character" w:customStyle="1" w:styleId="354">
    <w:name w:val="注释标题 Char"/>
    <w:qFormat/>
    <w:uiPriority w:val="0"/>
    <w:rPr>
      <w:rFonts w:eastAsia="黑体"/>
      <w:kern w:val="2"/>
      <w:sz w:val="28"/>
    </w:rPr>
  </w:style>
  <w:style w:type="character" w:customStyle="1" w:styleId="355">
    <w:name w:val="批注文字 Char"/>
    <w:qFormat/>
    <w:uiPriority w:val="0"/>
    <w:rPr>
      <w:rFonts w:eastAsia="宋体"/>
      <w:kern w:val="2"/>
      <w:sz w:val="21"/>
      <w:szCs w:val="24"/>
      <w:lang w:val="en-US" w:eastAsia="zh-CN" w:bidi="ar-SA"/>
    </w:rPr>
  </w:style>
  <w:style w:type="character" w:customStyle="1" w:styleId="356">
    <w:name w:val="正文文本 3 Char1"/>
    <w:semiHidden/>
    <w:qFormat/>
    <w:uiPriority w:val="99"/>
    <w:rPr>
      <w:kern w:val="2"/>
      <w:sz w:val="16"/>
      <w:szCs w:val="16"/>
    </w:rPr>
  </w:style>
  <w:style w:type="character" w:customStyle="1" w:styleId="357">
    <w:name w:val="headline-content"/>
    <w:qFormat/>
    <w:uiPriority w:val="0"/>
  </w:style>
  <w:style w:type="character" w:customStyle="1" w:styleId="358">
    <w:name w:val="op-map-singlepoint-info-right1"/>
    <w:qFormat/>
    <w:uiPriority w:val="0"/>
    <w:rPr>
      <w:szCs w:val="20"/>
    </w:rPr>
  </w:style>
  <w:style w:type="character" w:customStyle="1" w:styleId="359">
    <w:name w:val="正文首行缩进 Char1"/>
    <w:qFormat/>
    <w:uiPriority w:val="0"/>
    <w:rPr>
      <w:rFonts w:ascii="Tahoma" w:hAnsi="Tahoma"/>
      <w:kern w:val="2"/>
      <w:sz w:val="21"/>
      <w:szCs w:val="24"/>
    </w:rPr>
  </w:style>
  <w:style w:type="character" w:customStyle="1" w:styleId="360">
    <w:name w:val="med1"/>
    <w:qFormat/>
    <w:uiPriority w:val="0"/>
  </w:style>
  <w:style w:type="character" w:customStyle="1" w:styleId="361">
    <w:name w:val="样式 宋体"/>
    <w:qFormat/>
    <w:uiPriority w:val="0"/>
    <w:rPr>
      <w:rFonts w:ascii="宋体" w:hAnsi="宋体" w:eastAsia="宋体"/>
      <w:b/>
      <w:sz w:val="24"/>
      <w:szCs w:val="24"/>
    </w:rPr>
  </w:style>
  <w:style w:type="character" w:customStyle="1" w:styleId="362">
    <w:name w:val="目录标题 Char Char"/>
    <w:qFormat/>
    <w:uiPriority w:val="0"/>
    <w:rPr>
      <w:rFonts w:eastAsia="黑体"/>
      <w:b/>
      <w:bCs/>
      <w:kern w:val="2"/>
      <w:sz w:val="44"/>
      <w:szCs w:val="44"/>
    </w:rPr>
  </w:style>
  <w:style w:type="character" w:customStyle="1" w:styleId="363">
    <w:name w:val="标题 3 Char"/>
    <w:qFormat/>
    <w:uiPriority w:val="0"/>
    <w:rPr>
      <w:rFonts w:ascii="黑体" w:hAnsi="宋体" w:eastAsia="黑体"/>
      <w:bCs/>
      <w:kern w:val="2"/>
      <w:sz w:val="28"/>
      <w:szCs w:val="28"/>
      <w:lang w:val="en-US" w:eastAsia="zh-CN" w:bidi="ar-SA"/>
    </w:rPr>
  </w:style>
  <w:style w:type="character" w:customStyle="1" w:styleId="364">
    <w:name w:val="apple-style-span"/>
    <w:qFormat/>
    <w:uiPriority w:val="0"/>
  </w:style>
  <w:style w:type="character" w:styleId="365">
    <w:name w:val="Placeholder Text"/>
    <w:semiHidden/>
    <w:qFormat/>
    <w:uiPriority w:val="99"/>
    <w:rPr>
      <w:color w:val="808080"/>
    </w:rPr>
  </w:style>
  <w:style w:type="character" w:customStyle="1" w:styleId="366">
    <w:name w:val="Char Char201"/>
    <w:qFormat/>
    <w:uiPriority w:val="0"/>
    <w:rPr>
      <w:rFonts w:ascii="Cambria" w:hAnsi="Cambria" w:eastAsia="宋体" w:cs="Times New Roman"/>
      <w:b/>
      <w:bCs/>
      <w:sz w:val="32"/>
      <w:szCs w:val="32"/>
    </w:rPr>
  </w:style>
  <w:style w:type="character" w:customStyle="1" w:styleId="367">
    <w:name w:val="Char Char111"/>
    <w:qFormat/>
    <w:uiPriority w:val="0"/>
    <w:rPr>
      <w:rFonts w:ascii="Times New Roman" w:hAnsi="Times New Roman" w:eastAsia="宋体" w:cs="Times New Roman"/>
      <w:sz w:val="18"/>
      <w:szCs w:val="18"/>
    </w:rPr>
  </w:style>
  <w:style w:type="character" w:customStyle="1" w:styleId="368">
    <w:name w:val="称呼 Char1"/>
    <w:semiHidden/>
    <w:qFormat/>
    <w:uiPriority w:val="99"/>
    <w:rPr>
      <w:kern w:val="2"/>
      <w:sz w:val="21"/>
      <w:szCs w:val="24"/>
    </w:rPr>
  </w:style>
  <w:style w:type="character" w:customStyle="1" w:styleId="369">
    <w:name w:val="heading 3 Char1"/>
    <w:qFormat/>
    <w:uiPriority w:val="0"/>
    <w:rPr>
      <w:rFonts w:ascii="仿宋_GB2312" w:eastAsia="宋体"/>
      <w:b/>
      <w:bCs/>
      <w:kern w:val="2"/>
      <w:sz w:val="32"/>
      <w:szCs w:val="32"/>
      <w:lang w:val="en-US" w:eastAsia="zh-CN" w:bidi="ar-SA"/>
    </w:rPr>
  </w:style>
  <w:style w:type="character" w:customStyle="1" w:styleId="370">
    <w:name w:val="页脚 Char1"/>
    <w:qFormat/>
    <w:uiPriority w:val="0"/>
    <w:rPr>
      <w:kern w:val="2"/>
      <w:sz w:val="18"/>
      <w:szCs w:val="18"/>
    </w:rPr>
  </w:style>
  <w:style w:type="character" w:customStyle="1" w:styleId="371">
    <w:name w:val="PI Char2"/>
    <w:qFormat/>
    <w:uiPriority w:val="0"/>
    <w:rPr>
      <w:rFonts w:ascii="仿宋_GB2312" w:eastAsia="仿宋_GB2312"/>
      <w:b/>
      <w:kern w:val="2"/>
      <w:sz w:val="24"/>
      <w:szCs w:val="24"/>
    </w:rPr>
  </w:style>
  <w:style w:type="character" w:customStyle="1" w:styleId="372">
    <w:name w:val="heading 2 Char1"/>
    <w:qFormat/>
    <w:uiPriority w:val="0"/>
    <w:rPr>
      <w:rFonts w:ascii="Cambria" w:hAnsi="Cambria" w:eastAsia="宋体"/>
      <w:b/>
      <w:bCs/>
      <w:kern w:val="2"/>
      <w:sz w:val="32"/>
      <w:szCs w:val="32"/>
      <w:lang w:val="en-US" w:eastAsia="zh-CN" w:bidi="ar-SA"/>
    </w:rPr>
  </w:style>
  <w:style w:type="character" w:customStyle="1" w:styleId="373">
    <w:name w:val="标题 3 Char1"/>
    <w:qFormat/>
    <w:uiPriority w:val="0"/>
    <w:rPr>
      <w:b/>
      <w:bCs/>
      <w:kern w:val="2"/>
      <w:sz w:val="32"/>
      <w:szCs w:val="32"/>
    </w:rPr>
  </w:style>
  <w:style w:type="character" w:customStyle="1" w:styleId="374">
    <w:name w:val="heading 9 Char1"/>
    <w:qFormat/>
    <w:uiPriority w:val="0"/>
    <w:rPr>
      <w:rFonts w:ascii="Arial" w:hAnsi="Arial" w:eastAsia="黑体"/>
      <w:b/>
      <w:sz w:val="21"/>
      <w:szCs w:val="32"/>
      <w:lang w:val="en-US" w:eastAsia="zh-CN" w:bidi="ar-SA"/>
    </w:rPr>
  </w:style>
  <w:style w:type="character" w:customStyle="1" w:styleId="375">
    <w:name w:val="doc"/>
    <w:qFormat/>
    <w:uiPriority w:val="0"/>
    <w:rPr>
      <w:szCs w:val="20"/>
    </w:rPr>
  </w:style>
  <w:style w:type="character" w:customStyle="1" w:styleId="376">
    <w:name w:val="heading 7 Char1"/>
    <w:qFormat/>
    <w:uiPriority w:val="0"/>
    <w:rPr>
      <w:rFonts w:ascii="Arial" w:hAnsi="Arial" w:eastAsia="黑体"/>
      <w:b/>
      <w:sz w:val="21"/>
      <w:szCs w:val="21"/>
      <w:lang w:val="en-US" w:eastAsia="zh-CN" w:bidi="ar-SA"/>
    </w:rPr>
  </w:style>
  <w:style w:type="character" w:customStyle="1" w:styleId="377">
    <w:name w:val="批注主题 Char1"/>
    <w:qFormat/>
    <w:uiPriority w:val="0"/>
    <w:rPr>
      <w:b/>
      <w:bCs/>
      <w:kern w:val="2"/>
      <w:sz w:val="21"/>
      <w:szCs w:val="24"/>
    </w:rPr>
  </w:style>
  <w:style w:type="character" w:customStyle="1" w:styleId="378">
    <w:name w:val="明显引用 Char1"/>
    <w:qFormat/>
    <w:uiPriority w:val="99"/>
    <w:rPr>
      <w:rFonts w:ascii="Tahoma" w:hAnsi="Tahoma"/>
      <w:b/>
      <w:bCs/>
      <w:i/>
      <w:iCs/>
      <w:color w:val="4F81BD"/>
      <w:kern w:val="2"/>
      <w:sz w:val="21"/>
      <w:szCs w:val="24"/>
    </w:rPr>
  </w:style>
  <w:style w:type="character" w:customStyle="1" w:styleId="379">
    <w:name w:val="正文文本 字符"/>
    <w:qFormat/>
    <w:uiPriority w:val="0"/>
    <w:rPr>
      <w:rFonts w:eastAsia="Cambria"/>
      <w:kern w:val="2"/>
      <w:sz w:val="21"/>
      <w:szCs w:val="24"/>
      <w:lang w:val="en-US" w:eastAsia="zh-CN" w:bidi="ar-SA"/>
    </w:rPr>
  </w:style>
  <w:style w:type="character" w:customStyle="1" w:styleId="380">
    <w:name w:val="Char Char1"/>
    <w:qFormat/>
    <w:uiPriority w:val="0"/>
    <w:rPr>
      <w:rFonts w:ascii="宋体" w:hAnsi="Courier New" w:eastAsia="宋体"/>
      <w:kern w:val="2"/>
      <w:sz w:val="21"/>
      <w:lang w:val="en-US" w:eastAsia="zh-CN" w:bidi="ar-SA"/>
    </w:rPr>
  </w:style>
  <w:style w:type="character" w:customStyle="1" w:styleId="381">
    <w:name w:val="Char Char Char1"/>
    <w:qFormat/>
    <w:uiPriority w:val="0"/>
    <w:rPr>
      <w:rFonts w:ascii="宋体" w:hAnsi="Courier New" w:eastAsia="仿宋_GB2312"/>
      <w:b/>
      <w:sz w:val="21"/>
      <w:szCs w:val="21"/>
    </w:rPr>
  </w:style>
  <w:style w:type="character" w:customStyle="1" w:styleId="382">
    <w:name w:val="正文文本 2 Char2"/>
    <w:semiHidden/>
    <w:qFormat/>
    <w:uiPriority w:val="99"/>
    <w:rPr>
      <w:kern w:val="2"/>
      <w:sz w:val="21"/>
      <w:szCs w:val="24"/>
    </w:rPr>
  </w:style>
  <w:style w:type="character" w:customStyle="1" w:styleId="383">
    <w:name w:val="正文文本缩进 2 Char2"/>
    <w:semiHidden/>
    <w:qFormat/>
    <w:uiPriority w:val="99"/>
    <w:rPr>
      <w:kern w:val="2"/>
      <w:sz w:val="21"/>
      <w:szCs w:val="24"/>
    </w:rPr>
  </w:style>
  <w:style w:type="character" w:customStyle="1" w:styleId="384">
    <w:name w:val="Texte Char Char"/>
    <w:qFormat/>
    <w:uiPriority w:val="0"/>
    <w:rPr>
      <w:rFonts w:ascii="宋体" w:hAnsi="Courier New" w:eastAsia="宋体"/>
      <w:b/>
      <w:sz w:val="21"/>
      <w:szCs w:val="21"/>
      <w:lang w:val="en-US" w:eastAsia="zh-CN" w:bidi="ar-SA"/>
    </w:rPr>
  </w:style>
  <w:style w:type="character" w:customStyle="1" w:styleId="385">
    <w:name w:val="无间隔 Char"/>
    <w:link w:val="386"/>
    <w:qFormat/>
    <w:uiPriority w:val="0"/>
    <w:rPr>
      <w:sz w:val="22"/>
      <w:szCs w:val="22"/>
      <w:lang w:val="en-US" w:eastAsia="zh-CN" w:bidi="ar-SA"/>
    </w:rPr>
  </w:style>
  <w:style w:type="paragraph" w:customStyle="1" w:styleId="386">
    <w:name w:val="No Spacing"/>
    <w:link w:val="385"/>
    <w:qFormat/>
    <w:uiPriority w:val="0"/>
    <w:rPr>
      <w:rFonts w:ascii="Times New Roman" w:hAnsi="Times New Roman" w:eastAsia="宋体" w:cs="Times New Roman"/>
      <w:sz w:val="22"/>
      <w:szCs w:val="22"/>
      <w:lang w:val="en-US" w:eastAsia="zh-CN" w:bidi="ar-SA"/>
    </w:rPr>
  </w:style>
  <w:style w:type="character" w:customStyle="1" w:styleId="387">
    <w:name w:val="明显引用 Char"/>
    <w:link w:val="388"/>
    <w:qFormat/>
    <w:uiPriority w:val="0"/>
    <w:rPr>
      <w:rFonts w:ascii="Calibri" w:hAnsi="Calibri"/>
      <w:b/>
      <w:bCs/>
      <w:i/>
      <w:iCs/>
      <w:color w:val="4F81BD"/>
      <w:sz w:val="32"/>
      <w:szCs w:val="32"/>
    </w:rPr>
  </w:style>
  <w:style w:type="paragraph" w:customStyle="1" w:styleId="388">
    <w:name w:val="Intense Quote"/>
    <w:basedOn w:val="1"/>
    <w:next w:val="1"/>
    <w:link w:val="387"/>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89">
    <w:name w:val="小标题 Char"/>
    <w:link w:val="390"/>
    <w:qFormat/>
    <w:uiPriority w:val="0"/>
    <w:rPr>
      <w:rFonts w:eastAsia="黑体"/>
    </w:rPr>
  </w:style>
  <w:style w:type="paragraph" w:customStyle="1" w:styleId="390">
    <w:name w:val="小标题"/>
    <w:basedOn w:val="1"/>
    <w:link w:val="389"/>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1">
    <w:name w:val="Style5"/>
    <w:qFormat/>
    <w:uiPriority w:val="0"/>
    <w:rPr>
      <w:rFonts w:ascii="Calibri" w:hAnsi="宋体" w:eastAsia="宋体" w:cs="Times New Roman"/>
      <w:sz w:val="22"/>
      <w:szCs w:val="22"/>
      <w:lang w:eastAsia="zh-CN"/>
    </w:rPr>
  </w:style>
  <w:style w:type="character" w:customStyle="1" w:styleId="392">
    <w:name w:val="Style3"/>
    <w:qFormat/>
    <w:uiPriority w:val="0"/>
    <w:rPr>
      <w:rFonts w:ascii="Calibri" w:hAnsi="宋体" w:eastAsia="宋体" w:cs="Times New Roman"/>
      <w:szCs w:val="22"/>
      <w:lang w:eastAsia="zh-CN"/>
    </w:rPr>
  </w:style>
  <w:style w:type="character" w:customStyle="1" w:styleId="393">
    <w:name w:val="页眉 Char"/>
    <w:qFormat/>
    <w:uiPriority w:val="99"/>
    <w:rPr>
      <w:rFonts w:eastAsia="仿宋_GB2312"/>
      <w:kern w:val="2"/>
      <w:sz w:val="18"/>
      <w:szCs w:val="18"/>
      <w:lang w:val="en-US" w:eastAsia="zh-CN" w:bidi="ar-SA"/>
    </w:rPr>
  </w:style>
  <w:style w:type="character" w:customStyle="1" w:styleId="394">
    <w:name w:val="栏目标题 Char"/>
    <w:link w:val="395"/>
    <w:qFormat/>
    <w:uiPriority w:val="0"/>
    <w:rPr>
      <w:rFonts w:ascii="黑体" w:hAnsi="黑体" w:eastAsia="黑体"/>
      <w:b/>
      <w:kern w:val="2"/>
      <w:sz w:val="21"/>
      <w:szCs w:val="24"/>
    </w:rPr>
  </w:style>
  <w:style w:type="paragraph" w:customStyle="1" w:styleId="395">
    <w:name w:val="栏目标题"/>
    <w:basedOn w:val="1"/>
    <w:link w:val="394"/>
    <w:qFormat/>
    <w:uiPriority w:val="0"/>
    <w:pPr>
      <w:jc w:val="center"/>
    </w:pPr>
    <w:rPr>
      <w:rFonts w:ascii="黑体" w:hAnsi="黑体" w:eastAsia="黑体"/>
      <w:b/>
    </w:rPr>
  </w:style>
  <w:style w:type="character" w:customStyle="1" w:styleId="396">
    <w:name w:val="Ò³Ã¼ Char Char"/>
    <w:qFormat/>
    <w:uiPriority w:val="0"/>
    <w:rPr>
      <w:rFonts w:ascii="仿宋_GB2312" w:eastAsia="仿宋_GB2312"/>
      <w:b/>
      <w:sz w:val="18"/>
      <w:szCs w:val="18"/>
    </w:rPr>
  </w:style>
  <w:style w:type="character" w:customStyle="1" w:styleId="397">
    <w:name w:val="input"/>
    <w:qFormat/>
    <w:uiPriority w:val="0"/>
    <w:rPr>
      <w:szCs w:val="20"/>
    </w:rPr>
  </w:style>
  <w:style w:type="character" w:customStyle="1" w:styleId="398">
    <w:name w:val="red1"/>
    <w:qFormat/>
    <w:uiPriority w:val="0"/>
    <w:rPr>
      <w:color w:val="FF0000"/>
      <w:szCs w:val="20"/>
    </w:rPr>
  </w:style>
  <w:style w:type="character" w:customStyle="1" w:styleId="399">
    <w:name w:val="目录标题 Char"/>
    <w:link w:val="400"/>
    <w:qFormat/>
    <w:uiPriority w:val="0"/>
    <w:rPr>
      <w:rFonts w:eastAsia="黑体"/>
      <w:b/>
      <w:bCs/>
      <w:kern w:val="2"/>
      <w:sz w:val="44"/>
      <w:szCs w:val="44"/>
    </w:rPr>
  </w:style>
  <w:style w:type="paragraph" w:customStyle="1" w:styleId="400">
    <w:name w:val="目录标题1"/>
    <w:basedOn w:val="1"/>
    <w:link w:val="399"/>
    <w:qFormat/>
    <w:uiPriority w:val="0"/>
    <w:pPr>
      <w:jc w:val="center"/>
    </w:pPr>
    <w:rPr>
      <w:rFonts w:eastAsia="黑体"/>
      <w:b/>
      <w:bCs/>
      <w:sz w:val="44"/>
      <w:szCs w:val="44"/>
    </w:rPr>
  </w:style>
  <w:style w:type="character" w:customStyle="1" w:styleId="401">
    <w:name w:val="正文缩进 Char1 Char"/>
    <w:qFormat/>
    <w:uiPriority w:val="0"/>
    <w:rPr>
      <w:rFonts w:ascii="仿宋_GB2312" w:eastAsia="宋体"/>
      <w:b/>
      <w:sz w:val="21"/>
      <w:szCs w:val="32"/>
      <w:lang w:val="en-US" w:eastAsia="zh-CN" w:bidi="ar-SA"/>
    </w:rPr>
  </w:style>
  <w:style w:type="character" w:customStyle="1" w:styleId="402">
    <w:name w:val="内容文本 Char"/>
    <w:link w:val="403"/>
    <w:qFormat/>
    <w:uiPriority w:val="0"/>
    <w:rPr>
      <w:rFonts w:ascii="宋体" w:hAnsi="宋体"/>
      <w:sz w:val="24"/>
      <w:szCs w:val="24"/>
      <w:lang w:eastAsia="en-US" w:bidi="en-US"/>
    </w:rPr>
  </w:style>
  <w:style w:type="paragraph" w:customStyle="1" w:styleId="403">
    <w:name w:val="内容文本"/>
    <w:basedOn w:val="250"/>
    <w:link w:val="402"/>
    <w:qFormat/>
    <w:uiPriority w:val="0"/>
    <w:pPr>
      <w:spacing w:line="360" w:lineRule="auto"/>
      <w:ind w:firstLine="200"/>
      <w:contextualSpacing/>
      <w:jc w:val="left"/>
    </w:pPr>
    <w:rPr>
      <w:rFonts w:ascii="宋体" w:hAnsi="宋体"/>
      <w:kern w:val="0"/>
      <w:sz w:val="24"/>
      <w:lang w:eastAsia="en-US" w:bidi="en-US"/>
    </w:rPr>
  </w:style>
  <w:style w:type="character" w:customStyle="1" w:styleId="404">
    <w:name w:val="哈哈正文 Char"/>
    <w:link w:val="405"/>
    <w:qFormat/>
    <w:uiPriority w:val="0"/>
    <w:rPr>
      <w:rFonts w:ascii="宋体" w:hAnsi="宋体" w:cs="宋体"/>
      <w:kern w:val="2"/>
      <w:sz w:val="24"/>
    </w:rPr>
  </w:style>
  <w:style w:type="paragraph" w:customStyle="1" w:styleId="405">
    <w:name w:val="哈哈正文"/>
    <w:basedOn w:val="1"/>
    <w:link w:val="404"/>
    <w:qFormat/>
    <w:uiPriority w:val="0"/>
    <w:pPr>
      <w:spacing w:line="360" w:lineRule="auto"/>
      <w:ind w:firstLine="200" w:firstLineChars="200"/>
    </w:pPr>
    <w:rPr>
      <w:rFonts w:ascii="宋体" w:hAnsi="宋体"/>
      <w:sz w:val="24"/>
      <w:szCs w:val="20"/>
    </w:rPr>
  </w:style>
  <w:style w:type="character" w:customStyle="1" w:styleId="406">
    <w:name w:val="书籍标题1"/>
    <w:qFormat/>
    <w:uiPriority w:val="0"/>
    <w:rPr>
      <w:b/>
      <w:bCs/>
      <w:smallCaps/>
      <w:spacing w:val="5"/>
    </w:rPr>
  </w:style>
  <w:style w:type="character" w:customStyle="1" w:styleId="407">
    <w:name w:val="Char Char21"/>
    <w:qFormat/>
    <w:uiPriority w:val="0"/>
    <w:rPr>
      <w:rFonts w:ascii="Times New Roman" w:hAnsi="Times New Roman" w:eastAsia="宋体" w:cs="Times New Roman"/>
      <w:b/>
      <w:bCs/>
      <w:kern w:val="44"/>
      <w:sz w:val="44"/>
      <w:szCs w:val="44"/>
    </w:rPr>
  </w:style>
  <w:style w:type="character" w:customStyle="1" w:styleId="408">
    <w:name w:val="大标题 Char Char"/>
    <w:qFormat/>
    <w:uiPriority w:val="0"/>
    <w:rPr>
      <w:rFonts w:ascii="黑体" w:hAnsi="黑体" w:eastAsia="黑体"/>
      <w:b/>
      <w:bCs/>
      <w:kern w:val="2"/>
      <w:sz w:val="72"/>
      <w:szCs w:val="72"/>
    </w:rPr>
  </w:style>
  <w:style w:type="character" w:customStyle="1" w:styleId="409">
    <w:name w:val="正文首行缩进 Char2"/>
    <w:qFormat/>
    <w:uiPriority w:val="0"/>
    <w:rPr>
      <w:rFonts w:ascii="仿宋_GB2312"/>
      <w:b/>
      <w:sz w:val="32"/>
      <w:szCs w:val="32"/>
    </w:rPr>
  </w:style>
  <w:style w:type="character" w:customStyle="1" w:styleId="410">
    <w:name w:val="blue1"/>
    <w:qFormat/>
    <w:uiPriority w:val="0"/>
    <w:rPr>
      <w:rFonts w:ascii="仿宋_GB2312" w:hAnsi="Tahoma" w:eastAsia="仿宋_GB2312"/>
      <w:b/>
      <w:sz w:val="32"/>
      <w:szCs w:val="32"/>
    </w:rPr>
  </w:style>
  <w:style w:type="character" w:customStyle="1" w:styleId="411">
    <w:name w:val="注释正文＋下划线 Char Char"/>
    <w:qFormat/>
    <w:uiPriority w:val="0"/>
    <w:rPr>
      <w:rFonts w:ascii="宋体" w:hAnsi="宋体"/>
      <w:kern w:val="2"/>
      <w:sz w:val="28"/>
      <w:szCs w:val="28"/>
      <w:u w:val="single"/>
    </w:rPr>
  </w:style>
  <w:style w:type="character" w:customStyle="1" w:styleId="412">
    <w:name w:val="Footer-Even Char1"/>
    <w:qFormat/>
    <w:uiPriority w:val="0"/>
    <w:rPr>
      <w:rFonts w:ascii="仿宋_GB2312" w:eastAsia="宋体"/>
      <w:b/>
      <w:kern w:val="2"/>
      <w:sz w:val="18"/>
      <w:szCs w:val="18"/>
      <w:lang w:val="en-US" w:eastAsia="zh-CN" w:bidi="ar-SA"/>
    </w:rPr>
  </w:style>
  <w:style w:type="character" w:customStyle="1" w:styleId="413">
    <w:name w:val="Char Char15"/>
    <w:qFormat/>
    <w:uiPriority w:val="0"/>
    <w:rPr>
      <w:rFonts w:ascii="Arial" w:hAnsi="Arial" w:eastAsia="黑体"/>
      <w:b/>
      <w:sz w:val="24"/>
      <w:szCs w:val="24"/>
    </w:rPr>
  </w:style>
  <w:style w:type="character" w:customStyle="1" w:styleId="414">
    <w:name w:val="heading 3 Char2"/>
    <w:qFormat/>
    <w:uiPriority w:val="0"/>
    <w:rPr>
      <w:rFonts w:ascii="仿宋_GB2312" w:eastAsia="仿宋_GB2312"/>
      <w:b/>
      <w:bCs/>
      <w:kern w:val="2"/>
      <w:sz w:val="32"/>
      <w:szCs w:val="32"/>
    </w:rPr>
  </w:style>
  <w:style w:type="character" w:customStyle="1" w:styleId="415">
    <w:name w:val="hui"/>
    <w:qFormat/>
    <w:uiPriority w:val="0"/>
    <w:rPr>
      <w:rFonts w:ascii="仿宋_GB2312" w:hAnsi="Tahoma" w:eastAsia="仿宋_GB2312"/>
      <w:b/>
      <w:sz w:val="32"/>
      <w:szCs w:val="32"/>
    </w:rPr>
  </w:style>
  <w:style w:type="character" w:customStyle="1" w:styleId="416">
    <w:name w:val="A3"/>
    <w:qFormat/>
    <w:uiPriority w:val="0"/>
    <w:rPr>
      <w:rFonts w:ascii="ZapfDingbatsNr2EFOP-Regular" w:eastAsia="ZapfDingbatsNr2EFOP-Regular" w:cs="ZapfDingbatsNr2EFOP-Regular"/>
      <w:color w:val="211D1E"/>
      <w:sz w:val="14"/>
      <w:szCs w:val="14"/>
    </w:rPr>
  </w:style>
  <w:style w:type="character" w:customStyle="1" w:styleId="417">
    <w:name w:val="hover30"/>
    <w:qFormat/>
    <w:uiPriority w:val="0"/>
    <w:rPr>
      <w:szCs w:val="20"/>
    </w:rPr>
  </w:style>
  <w:style w:type="character" w:customStyle="1" w:styleId="418">
    <w:name w:val="符号正文缩进 Char"/>
    <w:link w:val="419"/>
    <w:qFormat/>
    <w:uiPriority w:val="0"/>
    <w:rPr>
      <w:sz w:val="24"/>
    </w:rPr>
  </w:style>
  <w:style w:type="paragraph" w:customStyle="1" w:styleId="419">
    <w:name w:val="符号正文缩进"/>
    <w:basedOn w:val="2"/>
    <w:link w:val="418"/>
    <w:qFormat/>
    <w:uiPriority w:val="0"/>
    <w:pPr>
      <w:numPr>
        <w:ilvl w:val="0"/>
        <w:numId w:val="7"/>
      </w:numPr>
      <w:spacing w:line="400" w:lineRule="atLeast"/>
    </w:pPr>
    <w:rPr>
      <w:sz w:val="24"/>
    </w:rPr>
  </w:style>
  <w:style w:type="character" w:customStyle="1" w:styleId="420">
    <w:name w:val="num"/>
    <w:qFormat/>
    <w:uiPriority w:val="0"/>
    <w:rPr>
      <w:b/>
      <w:color w:val="FF7800"/>
      <w:szCs w:val="20"/>
    </w:rPr>
  </w:style>
  <w:style w:type="character" w:customStyle="1" w:styleId="421">
    <w:name w:val="正文首行缩进 Char"/>
    <w:qFormat/>
    <w:uiPriority w:val="0"/>
    <w:rPr>
      <w:rFonts w:ascii="仿宋_GB2312" w:eastAsia="宋体"/>
      <w:b/>
      <w:kern w:val="2"/>
      <w:sz w:val="21"/>
      <w:szCs w:val="24"/>
      <w:lang w:val="en-US" w:eastAsia="zh-CN" w:bidi="ar-SA"/>
    </w:rPr>
  </w:style>
  <w:style w:type="character" w:customStyle="1" w:styleId="422">
    <w:name w:val="Table Text Char Char"/>
    <w:link w:val="423"/>
    <w:qFormat/>
    <w:uiPriority w:val="0"/>
    <w:rPr>
      <w:sz w:val="24"/>
    </w:rPr>
  </w:style>
  <w:style w:type="paragraph" w:customStyle="1" w:styleId="423">
    <w:name w:val="Table Text"/>
    <w:basedOn w:val="1"/>
    <w:link w:val="422"/>
    <w:qFormat/>
    <w:uiPriority w:val="0"/>
    <w:pPr>
      <w:widowControl/>
      <w:autoSpaceDE w:val="0"/>
      <w:autoSpaceDN w:val="0"/>
      <w:adjustRightInd w:val="0"/>
      <w:spacing w:before="60" w:after="60"/>
      <w:jc w:val="left"/>
    </w:pPr>
    <w:rPr>
      <w:kern w:val="0"/>
      <w:sz w:val="24"/>
      <w:szCs w:val="20"/>
    </w:rPr>
  </w:style>
  <w:style w:type="character" w:customStyle="1" w:styleId="424">
    <w:name w:val="Char Char211"/>
    <w:qFormat/>
    <w:uiPriority w:val="0"/>
    <w:rPr>
      <w:rFonts w:ascii="Times New Roman" w:hAnsi="Times New Roman" w:eastAsia="宋体" w:cs="Times New Roman"/>
      <w:b/>
      <w:bCs/>
      <w:kern w:val="44"/>
      <w:sz w:val="44"/>
      <w:szCs w:val="44"/>
    </w:rPr>
  </w:style>
  <w:style w:type="character" w:customStyle="1" w:styleId="425">
    <w:name w:val="Char Char11"/>
    <w:qFormat/>
    <w:uiPriority w:val="0"/>
    <w:rPr>
      <w:rFonts w:ascii="Times New Roman" w:hAnsi="Times New Roman" w:eastAsia="宋体" w:cs="Times New Roman"/>
      <w:sz w:val="18"/>
      <w:szCs w:val="18"/>
    </w:rPr>
  </w:style>
  <w:style w:type="character" w:customStyle="1" w:styleId="426">
    <w:name w:val="表格题注 Char"/>
    <w:link w:val="427"/>
    <w:qFormat/>
    <w:uiPriority w:val="0"/>
    <w:rPr>
      <w:rFonts w:ascii="Calibri Light" w:hAnsi="Calibri Light" w:eastAsia="黑体" w:cs="黑体"/>
      <w:bCs/>
      <w:kern w:val="2"/>
      <w:sz w:val="21"/>
      <w:szCs w:val="21"/>
    </w:rPr>
  </w:style>
  <w:style w:type="paragraph" w:customStyle="1" w:styleId="427">
    <w:name w:val="表格题注"/>
    <w:basedOn w:val="16"/>
    <w:link w:val="426"/>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28">
    <w:name w:val="明显参考1"/>
    <w:qFormat/>
    <w:uiPriority w:val="0"/>
    <w:rPr>
      <w:b/>
      <w:bCs/>
      <w:smallCaps/>
      <w:color w:val="C0504D"/>
      <w:spacing w:val="5"/>
      <w:u w:val="single"/>
    </w:rPr>
  </w:style>
  <w:style w:type="character" w:customStyle="1" w:styleId="429">
    <w:name w:val="副标题 Char1"/>
    <w:qFormat/>
    <w:uiPriority w:val="11"/>
    <w:rPr>
      <w:rFonts w:ascii="Cambria" w:hAnsi="Cambria" w:cs="Times New Roman"/>
      <w:b/>
      <w:bCs/>
      <w:kern w:val="28"/>
      <w:sz w:val="32"/>
      <w:szCs w:val="32"/>
    </w:rPr>
  </w:style>
  <w:style w:type="character" w:customStyle="1" w:styleId="430">
    <w:name w:val="称呼 Char"/>
    <w:qFormat/>
    <w:uiPriority w:val="0"/>
  </w:style>
  <w:style w:type="character" w:customStyle="1" w:styleId="431">
    <w:name w:val="heading 8 Char1"/>
    <w:qFormat/>
    <w:uiPriority w:val="0"/>
    <w:rPr>
      <w:rFonts w:ascii="Arial" w:hAnsi="Arial" w:eastAsia="黑体"/>
      <w:b/>
      <w:sz w:val="24"/>
      <w:szCs w:val="32"/>
      <w:lang w:val="en-US" w:eastAsia="zh-CN" w:bidi="ar-SA"/>
    </w:rPr>
  </w:style>
  <w:style w:type="character" w:customStyle="1" w:styleId="432">
    <w:name w:val="release-day"/>
    <w:qFormat/>
    <w:uiPriority w:val="0"/>
    <w:rPr>
      <w:szCs w:val="20"/>
      <w:bdr w:val="single" w:color="BDEBB0" w:sz="4" w:space="0"/>
      <w:shd w:val="clear" w:color="auto" w:fill="F5FFF1"/>
    </w:rPr>
  </w:style>
  <w:style w:type="character" w:customStyle="1" w:styleId="433">
    <w:name w:val="纯文本 Char1"/>
    <w:qFormat/>
    <w:uiPriority w:val="0"/>
    <w:rPr>
      <w:rFonts w:ascii="宋体" w:hAnsi="Courier New"/>
      <w:kern w:val="2"/>
      <w:sz w:val="21"/>
    </w:rPr>
  </w:style>
  <w:style w:type="character" w:customStyle="1" w:styleId="434">
    <w:name w:val="批注框文本 Char"/>
    <w:qFormat/>
    <w:uiPriority w:val="99"/>
    <w:rPr>
      <w:kern w:val="2"/>
      <w:sz w:val="18"/>
      <w:szCs w:val="18"/>
    </w:rPr>
  </w:style>
  <w:style w:type="character" w:customStyle="1" w:styleId="435">
    <w:name w:val="表格 Char Char"/>
    <w:link w:val="436"/>
    <w:qFormat/>
    <w:uiPriority w:val="0"/>
    <w:rPr>
      <w:rFonts w:ascii="宋体" w:hAnsi="宋体"/>
      <w:b/>
      <w:sz w:val="32"/>
      <w:szCs w:val="32"/>
    </w:rPr>
  </w:style>
  <w:style w:type="paragraph" w:customStyle="1" w:styleId="436">
    <w:name w:val="表格"/>
    <w:basedOn w:val="1"/>
    <w:link w:val="435"/>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37">
    <w:name w:val="列出段落 Char1"/>
    <w:qFormat/>
    <w:uiPriority w:val="0"/>
    <w:rPr>
      <w:kern w:val="2"/>
      <w:sz w:val="21"/>
    </w:rPr>
  </w:style>
  <w:style w:type="character" w:customStyle="1" w:styleId="438">
    <w:name w:val="标题 5 Char"/>
    <w:qFormat/>
    <w:uiPriority w:val="0"/>
    <w:rPr>
      <w:rFonts w:ascii="仿宋_GB2312" w:hAnsi="Tahoma"/>
      <w:b/>
      <w:bCs/>
      <w:kern w:val="2"/>
      <w:sz w:val="28"/>
      <w:szCs w:val="28"/>
    </w:rPr>
  </w:style>
  <w:style w:type="character" w:customStyle="1" w:styleId="439">
    <w:name w:val="A6"/>
    <w:qFormat/>
    <w:uiPriority w:val="0"/>
    <w:rPr>
      <w:rFonts w:cs="Helvetica Neue"/>
      <w:color w:val="3E667A"/>
      <w:sz w:val="14"/>
      <w:szCs w:val="14"/>
    </w:rPr>
  </w:style>
  <w:style w:type="character" w:customStyle="1" w:styleId="440">
    <w:name w:val="注释标题 Char1"/>
    <w:qFormat/>
    <w:uiPriority w:val="0"/>
    <w:rPr>
      <w:kern w:val="2"/>
      <w:sz w:val="21"/>
      <w:szCs w:val="24"/>
    </w:rPr>
  </w:style>
  <w:style w:type="paragraph" w:customStyle="1" w:styleId="441">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3">
    <w:name w:val="样式 标题 4正文四级标题 + 宋体 小五 行距: 固定值 12 磅1"/>
    <w:basedOn w:val="1"/>
    <w:qFormat/>
    <w:uiPriority w:val="0"/>
    <w:pPr>
      <w:tabs>
        <w:tab w:val="left" w:pos="2580"/>
      </w:tabs>
      <w:ind w:left="2580" w:hanging="420"/>
    </w:pPr>
    <w:rPr>
      <w:sz w:val="20"/>
    </w:rPr>
  </w:style>
  <w:style w:type="paragraph" w:customStyle="1" w:styleId="444">
    <w:name w:val="样式 标题 3 + (中文) 黑体 小四 非加粗 段前: 7.8 磅 段后: 0 磅 行距: 固定值 20 磅"/>
    <w:basedOn w:val="6"/>
    <w:qFormat/>
    <w:uiPriority w:val="0"/>
    <w:pPr>
      <w:spacing w:before="0" w:after="0" w:line="400" w:lineRule="exact"/>
    </w:pPr>
    <w:rPr>
      <w:rFonts w:ascii="仿宋_GB2312" w:eastAsia="黑体" w:cs="宋体"/>
      <w:b w:val="0"/>
      <w:bCs w:val="0"/>
      <w:sz w:val="24"/>
      <w:szCs w:val="20"/>
    </w:rPr>
  </w:style>
  <w:style w:type="paragraph" w:customStyle="1" w:styleId="44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6">
    <w:name w:val="Char12"/>
    <w:basedOn w:val="1"/>
    <w:qFormat/>
    <w:uiPriority w:val="0"/>
    <w:rPr>
      <w:rFonts w:ascii="Tahoma" w:hAnsi="Tahoma"/>
      <w:sz w:val="24"/>
      <w:szCs w:val="20"/>
    </w:rPr>
  </w:style>
  <w:style w:type="paragraph" w:customStyle="1" w:styleId="447">
    <w:name w:val="Revision1"/>
    <w:qFormat/>
    <w:uiPriority w:val="99"/>
    <w:rPr>
      <w:rFonts w:ascii="Times New Roman" w:hAnsi="Times New Roman" w:eastAsia="宋体" w:cs="Times New Roman"/>
      <w:kern w:val="2"/>
      <w:sz w:val="21"/>
      <w:szCs w:val="24"/>
      <w:lang w:val="en-US" w:eastAsia="zh-CN" w:bidi="ar-SA"/>
    </w:rPr>
  </w:style>
  <w:style w:type="paragraph" w:customStyle="1" w:styleId="44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49">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1">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2">
    <w:name w:val="Char Char Char2"/>
    <w:basedOn w:val="1"/>
    <w:next w:val="1"/>
    <w:qFormat/>
    <w:uiPriority w:val="0"/>
    <w:pPr>
      <w:shd w:val="clear" w:color="auto" w:fill="000080"/>
    </w:pPr>
    <w:rPr>
      <w:rFonts w:ascii="Tahoma" w:hAnsi="Tahoma"/>
      <w:sz w:val="24"/>
    </w:rPr>
  </w:style>
  <w:style w:type="paragraph" w:customStyle="1" w:styleId="453">
    <w:name w:val="表格正文"/>
    <w:basedOn w:val="2"/>
    <w:qFormat/>
    <w:uiPriority w:val="0"/>
    <w:pPr>
      <w:adjustRightInd/>
      <w:spacing w:before="30" w:beforeLines="30" w:after="20" w:afterLines="20" w:line="360" w:lineRule="auto"/>
      <w:ind w:firstLine="0"/>
      <w:textAlignment w:val="auto"/>
    </w:pPr>
    <w:rPr>
      <w:rFonts w:ascii="Arial" w:hAnsi="Arial"/>
      <w:kern w:val="2"/>
      <w:szCs w:val="21"/>
    </w:rPr>
  </w:style>
  <w:style w:type="paragraph" w:customStyle="1" w:styleId="454">
    <w:name w:val="Body text|25"/>
    <w:basedOn w:val="1"/>
    <w:qFormat/>
    <w:uiPriority w:val="0"/>
    <w:pPr>
      <w:widowControl w:val="0"/>
      <w:shd w:val="clear" w:color="auto" w:fill="FFFFFF"/>
      <w:spacing w:before="120" w:line="341" w:lineRule="exact"/>
      <w:ind w:hanging="100"/>
      <w:jc w:val="distribute"/>
    </w:pPr>
    <w:rPr>
      <w:rFonts w:ascii="PMingLiU" w:hAnsi="PMingLiU" w:eastAsia="PMingLiU" w:cs="PMingLiU"/>
      <w:sz w:val="20"/>
      <w:szCs w:val="20"/>
      <w:u w:val="none"/>
    </w:rPr>
  </w:style>
  <w:style w:type="paragraph" w:customStyle="1" w:styleId="45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6">
    <w:name w:val="标题 2P"/>
    <w:basedOn w:val="5"/>
    <w:next w:val="2"/>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7">
    <w:name w:val="样式_5"/>
    <w:basedOn w:val="8"/>
    <w:qFormat/>
    <w:uiPriority w:val="0"/>
    <w:pPr>
      <w:keepNext w:val="0"/>
      <w:adjustRightInd w:val="0"/>
      <w:spacing w:line="376" w:lineRule="auto"/>
      <w:textAlignment w:val="baseline"/>
    </w:pPr>
    <w:rPr>
      <w:rFonts w:ascii="宋体" w:hAnsi="宋体"/>
      <w:kern w:val="0"/>
      <w:sz w:val="18"/>
      <w:szCs w:val="18"/>
    </w:rPr>
  </w:style>
  <w:style w:type="paragraph" w:customStyle="1" w:styleId="458">
    <w:name w:val="正文（首行缩进）"/>
    <w:basedOn w:val="23"/>
    <w:qFormat/>
    <w:uiPriority w:val="0"/>
    <w:pPr>
      <w:widowControl/>
      <w:overflowPunct w:val="0"/>
      <w:autoSpaceDE w:val="0"/>
      <w:autoSpaceDN w:val="0"/>
      <w:spacing w:before="156"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59">
    <w:name w:val="Body text|22"/>
    <w:basedOn w:val="1"/>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paragraph" w:customStyle="1" w:styleId="46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1">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3">
    <w:name w:val="1"/>
    <w:basedOn w:val="1"/>
    <w:qFormat/>
    <w:uiPriority w:val="0"/>
  </w:style>
  <w:style w:type="paragraph" w:customStyle="1" w:styleId="464">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5">
    <w:name w:val="标题2"/>
    <w:basedOn w:val="5"/>
    <w:qFormat/>
    <w:uiPriority w:val="0"/>
    <w:pPr>
      <w:numPr>
        <w:ilvl w:val="1"/>
        <w:numId w:val="8"/>
      </w:numPr>
      <w:spacing w:before="240" w:after="240" w:line="360" w:lineRule="auto"/>
    </w:pPr>
    <w:rPr>
      <w:rFonts w:ascii="Times New Roman" w:hAnsi="Times New Roman"/>
      <w:sz w:val="36"/>
    </w:rPr>
  </w:style>
  <w:style w:type="paragraph" w:customStyle="1" w:styleId="466">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67">
    <w:name w:val="TOC 标题1"/>
    <w:basedOn w:val="4"/>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6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0">
    <w:name w:val="二级条标题"/>
    <w:basedOn w:val="471"/>
    <w:next w:val="1"/>
    <w:qFormat/>
    <w:uiPriority w:val="0"/>
    <w:pPr>
      <w:numPr>
        <w:ilvl w:val="3"/>
        <w:numId w:val="9"/>
      </w:numPr>
      <w:outlineLvl w:val="3"/>
    </w:pPr>
  </w:style>
  <w:style w:type="paragraph" w:customStyle="1" w:styleId="471">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2">
    <w:name w:val="subtitle 2"/>
    <w:basedOn w:val="1"/>
    <w:qFormat/>
    <w:uiPriority w:val="0"/>
    <w:pPr>
      <w:spacing w:before="240" w:after="240" w:line="312" w:lineRule="atLeast"/>
    </w:pPr>
    <w:rPr>
      <w:rFonts w:ascii="Times New Roman" w:hAnsi="Times New Roman" w:eastAsia="黑体"/>
      <w:snapToGrid w:val="0"/>
      <w:kern w:val="0"/>
      <w:sz w:val="24"/>
      <w:szCs w:val="20"/>
    </w:rPr>
  </w:style>
  <w:style w:type="paragraph" w:customStyle="1" w:styleId="473">
    <w:name w:val="Char Char1 Char"/>
    <w:basedOn w:val="1"/>
    <w:qFormat/>
    <w:uiPriority w:val="0"/>
    <w:pPr>
      <w:spacing w:line="360" w:lineRule="auto"/>
    </w:pPr>
    <w:rPr>
      <w:sz w:val="24"/>
    </w:rPr>
  </w:style>
  <w:style w:type="paragraph" w:customStyle="1" w:styleId="474">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5">
    <w:name w:val="Blockquote"/>
    <w:basedOn w:val="1"/>
    <w:qFormat/>
    <w:uiPriority w:val="0"/>
    <w:pPr>
      <w:autoSpaceDE w:val="0"/>
      <w:autoSpaceDN w:val="0"/>
      <w:spacing w:before="100" w:after="100"/>
      <w:ind w:left="360" w:right="360"/>
      <w:jc w:val="left"/>
    </w:pPr>
    <w:rPr>
      <w:szCs w:val="20"/>
    </w:rPr>
  </w:style>
  <w:style w:type="paragraph" w:customStyle="1" w:styleId="476">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77">
    <w:name w:val="Char Char Char Char Char Char Char Char Char Char Char Char Char"/>
    <w:basedOn w:val="1"/>
    <w:qFormat/>
    <w:uiPriority w:val="0"/>
  </w:style>
  <w:style w:type="paragraph" w:customStyle="1" w:styleId="478">
    <w:name w:val="列出段落3"/>
    <w:basedOn w:val="1"/>
    <w:qFormat/>
    <w:uiPriority w:val="0"/>
    <w:pPr>
      <w:spacing w:line="360" w:lineRule="auto"/>
      <w:ind w:firstLine="420" w:firstLineChars="200"/>
    </w:pPr>
    <w:rPr>
      <w:rFonts w:ascii="Calibri" w:hAnsi="Calibri"/>
      <w:sz w:val="24"/>
      <w:szCs w:val="22"/>
    </w:rPr>
  </w:style>
  <w:style w:type="paragraph" w:customStyle="1" w:styleId="479">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0">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1">
    <w:name w:val="表格文字"/>
    <w:basedOn w:val="1"/>
    <w:qFormat/>
    <w:uiPriority w:val="0"/>
    <w:pPr>
      <w:spacing w:line="420" w:lineRule="atLeast"/>
      <w:jc w:val="left"/>
    </w:pPr>
    <w:rPr>
      <w:szCs w:val="20"/>
    </w:rPr>
  </w:style>
  <w:style w:type="paragraph" w:customStyle="1" w:styleId="482">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4">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48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6">
    <w:name w:val="样式 标题 4正文四级标题 + 宋体 小五 行距: 固定值 12 磅"/>
    <w:basedOn w:val="7"/>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8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88">
    <w:name w:val="Char Char Char Char3"/>
    <w:basedOn w:val="18"/>
    <w:qFormat/>
    <w:uiPriority w:val="0"/>
    <w:rPr>
      <w:rFonts w:ascii="Cambria" w:hAnsi="Cambria" w:eastAsia="仿宋_GB2312" w:cs="新宋体"/>
      <w:sz w:val="24"/>
    </w:rPr>
  </w:style>
  <w:style w:type="paragraph" w:customStyle="1" w:styleId="489">
    <w:name w:val="默认段落字体 Para Char Char Char Char Char Char Char Char Char1 Char Char Char Char Char Char Char"/>
    <w:basedOn w:val="18"/>
    <w:qFormat/>
    <w:uiPriority w:val="0"/>
    <w:rPr>
      <w:rFonts w:ascii="Tahoma" w:hAnsi="Tahoma"/>
      <w:sz w:val="24"/>
    </w:rPr>
  </w:style>
  <w:style w:type="paragraph" w:customStyle="1" w:styleId="490">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491">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3">
    <w:name w:val="章标题"/>
    <w:next w:val="1"/>
    <w:qFormat/>
    <w:uiPriority w:val="0"/>
    <w:pPr>
      <w:numPr>
        <w:ilvl w:val="1"/>
        <w:numId w:val="9"/>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9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6">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97">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498">
    <w:name w:val="编号1"/>
    <w:basedOn w:val="1"/>
    <w:qFormat/>
    <w:uiPriority w:val="0"/>
    <w:pPr>
      <w:spacing w:line="360" w:lineRule="auto"/>
      <w:jc w:val="left"/>
    </w:pPr>
    <w:rPr>
      <w:sz w:val="24"/>
    </w:rPr>
  </w:style>
  <w:style w:type="paragraph" w:customStyle="1" w:styleId="499">
    <w:name w:val="列表段落1"/>
    <w:basedOn w:val="1"/>
    <w:qFormat/>
    <w:uiPriority w:val="99"/>
    <w:pPr>
      <w:spacing w:before="120" w:after="120"/>
      <w:ind w:firstLine="420"/>
    </w:pPr>
    <w:rPr>
      <w:rFonts w:ascii="宋体" w:hAnsi="宋体" w:eastAsia="仿宋" w:cs="Times New Roman"/>
      <w:sz w:val="24"/>
    </w:rPr>
  </w:style>
  <w:style w:type="paragraph" w:customStyle="1" w:styleId="500">
    <w:name w:val="Char Char Char Char11"/>
    <w:basedOn w:val="18"/>
    <w:qFormat/>
    <w:uiPriority w:val="0"/>
    <w:rPr>
      <w:rFonts w:ascii="Tahoma" w:hAnsi="Tahoma"/>
      <w:sz w:val="24"/>
    </w:rPr>
  </w:style>
  <w:style w:type="paragraph" w:customStyle="1" w:styleId="501">
    <w:name w:val="三级条标题"/>
    <w:basedOn w:val="470"/>
    <w:next w:val="1"/>
    <w:qFormat/>
    <w:uiPriority w:val="0"/>
    <w:pPr>
      <w:numPr>
        <w:ilvl w:val="4"/>
        <w:numId w:val="9"/>
      </w:numPr>
      <w:outlineLvl w:val="4"/>
    </w:pPr>
  </w:style>
  <w:style w:type="paragraph" w:customStyle="1" w:styleId="502">
    <w:name w:val="_Style 11"/>
    <w:basedOn w:val="1"/>
    <w:qFormat/>
    <w:uiPriority w:val="0"/>
    <w:pPr>
      <w:tabs>
        <w:tab w:val="left" w:pos="360"/>
      </w:tabs>
    </w:pPr>
    <w:rPr>
      <w:szCs w:val="22"/>
    </w:rPr>
  </w:style>
  <w:style w:type="paragraph" w:customStyle="1" w:styleId="50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4">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6">
    <w:name w:val="样式 首行缩进:  2 字符1"/>
    <w:basedOn w:val="1"/>
    <w:qFormat/>
    <w:uiPriority w:val="0"/>
    <w:pPr>
      <w:spacing w:line="360" w:lineRule="auto"/>
      <w:ind w:firstLine="540" w:firstLineChars="225"/>
    </w:pPr>
    <w:rPr>
      <w:sz w:val="24"/>
      <w:szCs w:val="20"/>
    </w:rPr>
  </w:style>
  <w:style w:type="paragraph" w:customStyle="1" w:styleId="507">
    <w:name w:val="样式 四号 行距: 1.5 倍行距"/>
    <w:basedOn w:val="1"/>
    <w:qFormat/>
    <w:uiPriority w:val="0"/>
    <w:pPr>
      <w:spacing w:line="312" w:lineRule="auto"/>
      <w:ind w:firstLine="202" w:firstLineChars="202"/>
    </w:pPr>
    <w:rPr>
      <w:rFonts w:cs="宋体"/>
      <w:sz w:val="24"/>
      <w:szCs w:val="20"/>
    </w:rPr>
  </w:style>
  <w:style w:type="paragraph" w:customStyle="1" w:styleId="508">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0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0">
    <w:name w:val="Char Char Char Char Char Char"/>
    <w:basedOn w:val="1"/>
    <w:qFormat/>
    <w:uiPriority w:val="0"/>
    <w:rPr>
      <w:rFonts w:ascii="Tahoma" w:hAnsi="Tahoma"/>
      <w:sz w:val="24"/>
      <w:szCs w:val="20"/>
    </w:rPr>
  </w:style>
  <w:style w:type="paragraph" w:customStyle="1" w:styleId="511">
    <w:name w:val="Normal Indent1"/>
    <w:basedOn w:val="1"/>
    <w:qFormat/>
    <w:uiPriority w:val="0"/>
    <w:pPr>
      <w:ind w:firstLine="420" w:firstLineChars="200"/>
    </w:pPr>
  </w:style>
  <w:style w:type="paragraph" w:customStyle="1" w:styleId="512">
    <w:name w:val="Char11"/>
    <w:basedOn w:val="1"/>
    <w:qFormat/>
    <w:uiPriority w:val="0"/>
    <w:rPr>
      <w:rFonts w:ascii="Tahoma" w:hAnsi="Tahoma"/>
      <w:sz w:val="24"/>
      <w:szCs w:val="20"/>
    </w:rPr>
  </w:style>
  <w:style w:type="paragraph" w:customStyle="1" w:styleId="513">
    <w:name w:val="Char"/>
    <w:basedOn w:val="1"/>
    <w:qFormat/>
    <w:uiPriority w:val="0"/>
    <w:pPr>
      <w:widowControl/>
      <w:spacing w:line="400" w:lineRule="exact"/>
      <w:jc w:val="center"/>
    </w:pPr>
    <w:rPr>
      <w:rFonts w:ascii="Verdana" w:hAnsi="Verdana"/>
      <w:kern w:val="0"/>
      <w:szCs w:val="20"/>
      <w:lang w:eastAsia="en-US"/>
    </w:rPr>
  </w:style>
  <w:style w:type="paragraph" w:customStyle="1" w:styleId="514">
    <w:name w:val="正文－恩普"/>
    <w:basedOn w:val="2"/>
    <w:qFormat/>
    <w:uiPriority w:val="0"/>
    <w:pPr>
      <w:adjustRightInd/>
      <w:spacing w:line="360" w:lineRule="auto"/>
      <w:ind w:firstLine="200" w:firstLineChars="200"/>
      <w:textAlignment w:val="auto"/>
    </w:pPr>
    <w:rPr>
      <w:rFonts w:ascii="仿宋_GB2312"/>
      <w:b/>
      <w:kern w:val="2"/>
      <w:sz w:val="24"/>
      <w:szCs w:val="24"/>
    </w:rPr>
  </w:style>
  <w:style w:type="paragraph" w:customStyle="1" w:styleId="515">
    <w:name w:val="正文 首行缩进:  2 字符 Char"/>
    <w:basedOn w:val="1"/>
    <w:qFormat/>
    <w:uiPriority w:val="0"/>
    <w:pPr>
      <w:spacing w:line="360" w:lineRule="auto"/>
      <w:ind w:firstLine="480"/>
    </w:pPr>
    <w:rPr>
      <w:rFonts w:cs="宋体"/>
      <w:sz w:val="24"/>
      <w:szCs w:val="20"/>
    </w:rPr>
  </w:style>
  <w:style w:type="paragraph" w:customStyle="1" w:styleId="51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17">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18">
    <w:name w:val="纯文本1"/>
    <w:basedOn w:val="1"/>
    <w:qFormat/>
    <w:uiPriority w:val="0"/>
    <w:pPr>
      <w:adjustRightInd w:val="0"/>
      <w:textAlignment w:val="baseline"/>
    </w:pPr>
    <w:rPr>
      <w:rFonts w:ascii="宋体" w:hAnsi="Courier New" w:eastAsia="楷体_GB2312"/>
      <w:sz w:val="26"/>
      <w:szCs w:val="20"/>
    </w:rPr>
  </w:style>
  <w:style w:type="paragraph" w:customStyle="1" w:styleId="519">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0">
    <w:name w:val="Char Char Char Char1"/>
    <w:basedOn w:val="1"/>
    <w:qFormat/>
    <w:uiPriority w:val="0"/>
    <w:rPr>
      <w:szCs w:val="20"/>
    </w:rPr>
  </w:style>
  <w:style w:type="paragraph" w:customStyle="1" w:styleId="521">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3">
    <w:name w:val="Pa5"/>
    <w:basedOn w:val="113"/>
    <w:next w:val="113"/>
    <w:qFormat/>
    <w:uiPriority w:val="0"/>
    <w:pPr>
      <w:spacing w:after="60" w:line="161" w:lineRule="atLeast"/>
    </w:pPr>
    <w:rPr>
      <w:rFonts w:ascii="Univers LT Std 57 Cn" w:hAnsi="Univers LT Std 57 Cn" w:cs="Times New Roman"/>
      <w:color w:val="auto"/>
    </w:rPr>
  </w:style>
  <w:style w:type="paragraph" w:customStyle="1" w:styleId="524">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5">
    <w:name w:val="正文字缩2字"/>
    <w:basedOn w:val="1"/>
    <w:qFormat/>
    <w:uiPriority w:val="0"/>
    <w:pPr>
      <w:spacing w:before="60" w:after="60" w:line="360" w:lineRule="auto"/>
      <w:ind w:left="200" w:leftChars="200" w:firstLine="200" w:firstLineChars="200"/>
    </w:pPr>
    <w:rPr>
      <w:sz w:val="24"/>
    </w:rPr>
  </w:style>
  <w:style w:type="paragraph" w:customStyle="1" w:styleId="52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27">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29">
    <w:name w:val="图表脚注"/>
    <w:next w:val="530"/>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1">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532">
    <w:name w:val="样式 标题 2 + 居中"/>
    <w:basedOn w:val="5"/>
    <w:qFormat/>
    <w:uiPriority w:val="0"/>
    <w:pPr>
      <w:spacing w:before="100" w:beforeLines="50" w:beforeAutospacing="1" w:after="100" w:afterLines="50" w:afterAutospacing="1" w:line="360" w:lineRule="auto"/>
      <w:jc w:val="center"/>
    </w:pPr>
    <w:rPr>
      <w:rFonts w:cs="宋体"/>
      <w:szCs w:val="20"/>
    </w:rPr>
  </w:style>
  <w:style w:type="paragraph" w:customStyle="1" w:styleId="533">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534">
    <w:name w:val="1级"/>
    <w:basedOn w:val="4"/>
    <w:next w:val="56"/>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5">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6">
    <w:name w:val="H 4"/>
    <w:basedOn w:val="7"/>
    <w:next w:val="1"/>
    <w:qFormat/>
    <w:uiPriority w:val="0"/>
    <w:pPr>
      <w:spacing w:before="120" w:after="120" w:line="240" w:lineRule="auto"/>
      <w:jc w:val="both"/>
    </w:pPr>
    <w:rPr>
      <w:rFonts w:ascii="宋体" w:hAnsi="宋体" w:cs="Times New Roman"/>
      <w:szCs w:val="24"/>
      <w:lang w:val="zh-CN"/>
    </w:rPr>
  </w:style>
  <w:style w:type="paragraph" w:customStyle="1" w:styleId="537">
    <w:name w:val="列出段落5"/>
    <w:basedOn w:val="1"/>
    <w:qFormat/>
    <w:uiPriority w:val="0"/>
    <w:pPr>
      <w:ind w:firstLine="420" w:firstLineChars="200"/>
    </w:pPr>
  </w:style>
  <w:style w:type="paragraph" w:customStyle="1" w:styleId="538">
    <w:name w:val="样式 标题 3正文三级标题 + 小五 左 行距: 固定值 12 磅"/>
    <w:basedOn w:val="6"/>
    <w:qFormat/>
    <w:uiPriority w:val="0"/>
    <w:pPr>
      <w:spacing w:line="240" w:lineRule="exact"/>
      <w:jc w:val="left"/>
    </w:pPr>
    <w:rPr>
      <w:rFonts w:cs="宋体"/>
      <w:sz w:val="18"/>
      <w:szCs w:val="20"/>
    </w:rPr>
  </w:style>
  <w:style w:type="paragraph" w:customStyle="1" w:styleId="539">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5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1">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3">
    <w:name w:val="Table of contents|1"/>
    <w:basedOn w:val="1"/>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4">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5">
    <w:name w:val="默认段落字体 Para Char Char Char Char"/>
    <w:basedOn w:val="1"/>
    <w:qFormat/>
    <w:uiPriority w:val="0"/>
    <w:rPr>
      <w:sz w:val="20"/>
    </w:rPr>
  </w:style>
  <w:style w:type="paragraph" w:customStyle="1" w:styleId="546">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47">
    <w:name w:val="样式 标题 3 + 黑体 小四 非加粗"/>
    <w:basedOn w:val="6"/>
    <w:qFormat/>
    <w:uiPriority w:val="0"/>
    <w:pPr>
      <w:spacing w:line="413" w:lineRule="auto"/>
    </w:pPr>
    <w:rPr>
      <w:rFonts w:ascii="黑体" w:hAnsi="黑体" w:eastAsia="黑体"/>
      <w:b w:val="0"/>
      <w:bCs w:val="0"/>
      <w:kern w:val="0"/>
      <w:sz w:val="24"/>
    </w:rPr>
  </w:style>
  <w:style w:type="paragraph" w:customStyle="1" w:styleId="548">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4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0">
    <w:name w:val="表格文字加粗"/>
    <w:basedOn w:val="481"/>
    <w:qFormat/>
    <w:uiPriority w:val="0"/>
    <w:pPr>
      <w:spacing w:line="240" w:lineRule="auto"/>
    </w:pPr>
    <w:rPr>
      <w:rFonts w:ascii="宋体" w:hAnsi="宋体" w:cs="宋体"/>
      <w:b/>
      <w:bCs/>
      <w:sz w:val="18"/>
      <w:szCs w:val="18"/>
    </w:rPr>
  </w:style>
  <w:style w:type="paragraph" w:customStyle="1" w:styleId="5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2">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55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4">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5">
    <w:name w:val="样式 标题 4 + 非加粗"/>
    <w:basedOn w:val="7"/>
    <w:qFormat/>
    <w:uiPriority w:val="0"/>
    <w:pPr>
      <w:keepNext w:val="0"/>
      <w:tabs>
        <w:tab w:val="left" w:pos="0"/>
      </w:tabs>
      <w:adjustRightInd w:val="0"/>
      <w:textAlignment w:val="baseline"/>
    </w:pPr>
    <w:rPr>
      <w:rFonts w:ascii="Arial" w:hAnsi="Arial" w:eastAsia="黑体"/>
      <w:sz w:val="24"/>
      <w:szCs w:val="20"/>
    </w:rPr>
  </w:style>
  <w:style w:type="paragraph" w:customStyle="1" w:styleId="556">
    <w:name w:val="blockquote"/>
    <w:basedOn w:val="1"/>
    <w:qFormat/>
    <w:uiPriority w:val="0"/>
    <w:pPr>
      <w:widowControl/>
      <w:spacing w:before="100" w:beforeAutospacing="1" w:after="100" w:afterAutospacing="1"/>
      <w:jc w:val="left"/>
    </w:pPr>
    <w:rPr>
      <w:rFonts w:ascii="宋体" w:hAnsi="宋体"/>
    </w:rPr>
  </w:style>
  <w:style w:type="paragraph" w:customStyle="1" w:styleId="557">
    <w:name w:val="Char1 Char Char Char Char1"/>
    <w:basedOn w:val="18"/>
    <w:qFormat/>
    <w:uiPriority w:val="0"/>
    <w:rPr>
      <w:rFonts w:ascii="Tahoma" w:hAnsi="Tahoma" w:cs="Tahoma"/>
      <w:kern w:val="0"/>
      <w:sz w:val="18"/>
    </w:rPr>
  </w:style>
  <w:style w:type="paragraph" w:customStyle="1" w:styleId="558">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59">
    <w:name w:val="缩正文"/>
    <w:basedOn w:val="56"/>
    <w:qFormat/>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560">
    <w:name w:val="Table Paragraph"/>
    <w:basedOn w:val="1"/>
    <w:qFormat/>
    <w:uiPriority w:val="1"/>
    <w:pPr>
      <w:autoSpaceDE w:val="0"/>
      <w:autoSpaceDN w:val="0"/>
      <w:adjustRightInd w:val="0"/>
      <w:jc w:val="left"/>
    </w:pPr>
    <w:rPr>
      <w:kern w:val="0"/>
      <w:sz w:val="24"/>
    </w:rPr>
  </w:style>
  <w:style w:type="paragraph" w:customStyle="1" w:styleId="561">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2">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3">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564">
    <w:name w:val="Char Char Char Char12"/>
    <w:basedOn w:val="1"/>
    <w:qFormat/>
    <w:uiPriority w:val="0"/>
    <w:rPr>
      <w:rFonts w:ascii="Tahoma" w:hAnsi="Tahoma"/>
      <w:sz w:val="24"/>
      <w:szCs w:val="20"/>
    </w:rPr>
  </w:style>
  <w:style w:type="paragraph" w:customStyle="1" w:styleId="565">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7">
    <w:name w:val="纯文本11"/>
    <w:basedOn w:val="1"/>
    <w:qFormat/>
    <w:uiPriority w:val="0"/>
    <w:pPr>
      <w:adjustRightInd w:val="0"/>
      <w:textAlignment w:val="baseline"/>
    </w:pPr>
    <w:rPr>
      <w:rFonts w:ascii="宋体" w:hAnsi="Courier New" w:eastAsia="楷体_GB2312"/>
      <w:sz w:val="26"/>
      <w:szCs w:val="20"/>
    </w:rPr>
  </w:style>
  <w:style w:type="paragraph" w:customStyle="1" w:styleId="568">
    <w:name w:val="编号，小四"/>
    <w:basedOn w:val="1"/>
    <w:qFormat/>
    <w:uiPriority w:val="0"/>
    <w:pPr>
      <w:numPr>
        <w:ilvl w:val="0"/>
        <w:numId w:val="12"/>
      </w:numPr>
      <w:spacing w:line="360" w:lineRule="auto"/>
    </w:pPr>
    <w:rPr>
      <w:rFonts w:ascii="Arial" w:hAnsi="Arial" w:cs="宋体"/>
      <w:sz w:val="24"/>
      <w:szCs w:val="20"/>
    </w:rPr>
  </w:style>
  <w:style w:type="paragraph" w:customStyle="1" w:styleId="5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0">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1">
    <w:name w:val="单位"/>
    <w:basedOn w:val="1"/>
    <w:qFormat/>
    <w:uiPriority w:val="0"/>
    <w:pPr>
      <w:adjustRightInd w:val="0"/>
      <w:jc w:val="center"/>
      <w:textAlignment w:val="baseline"/>
    </w:pPr>
    <w:rPr>
      <w:rFonts w:ascii="宋体" w:hAnsi="Times New Roman" w:cs="Times New Roman"/>
      <w:b/>
      <w:kern w:val="0"/>
      <w:sz w:val="32"/>
      <w:szCs w:val="20"/>
    </w:rPr>
  </w:style>
  <w:style w:type="paragraph" w:customStyle="1" w:styleId="572">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3">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4">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5">
    <w:name w:val="样式3"/>
    <w:basedOn w:val="7"/>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77">
    <w:name w:val="标题 4P"/>
    <w:basedOn w:val="7"/>
    <w:next w:val="2"/>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7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79">
    <w:name w:val="1Text"/>
    <w:basedOn w:val="1"/>
    <w:qFormat/>
    <w:uiPriority w:val="0"/>
    <w:pPr>
      <w:spacing w:before="156" w:beforeLines="50" w:after="156" w:afterLines="50" w:line="360" w:lineRule="auto"/>
      <w:ind w:firstLine="480" w:firstLineChars="200"/>
      <w:jc w:val="left"/>
    </w:pPr>
    <w:rPr>
      <w:rFonts w:ascii="Calibri" w:hAnsi="Calibri"/>
      <w:kern w:val="0"/>
      <w:sz w:val="24"/>
    </w:rPr>
  </w:style>
  <w:style w:type="paragraph" w:customStyle="1" w:styleId="58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2">
    <w:name w:val="_Style 33"/>
    <w:basedOn w:val="1"/>
    <w:qFormat/>
    <w:uiPriority w:val="0"/>
  </w:style>
  <w:style w:type="paragraph" w:customStyle="1" w:styleId="583">
    <w:name w:val="方案"/>
    <w:basedOn w:val="1"/>
    <w:qFormat/>
    <w:uiPriority w:val="0"/>
    <w:pPr>
      <w:jc w:val="right"/>
    </w:pPr>
    <w:rPr>
      <w:rFonts w:ascii="Times New Roman" w:hAnsi="Times New Roman" w:eastAsia="黑体"/>
      <w:b/>
      <w:sz w:val="52"/>
    </w:rPr>
  </w:style>
  <w:style w:type="paragraph" w:customStyle="1" w:styleId="584">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5">
    <w:name w:val="样式 标题 5正文四级标题 + 宋体 小五 行距: 固定值 12 磅1"/>
    <w:basedOn w:val="8"/>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86">
    <w:name w:val="列出段落1"/>
    <w:basedOn w:val="1"/>
    <w:qFormat/>
    <w:uiPriority w:val="0"/>
    <w:pPr>
      <w:ind w:firstLine="420" w:firstLineChars="200"/>
    </w:pPr>
    <w:rPr>
      <w:szCs w:val="20"/>
    </w:rPr>
  </w:style>
  <w:style w:type="paragraph" w:customStyle="1" w:styleId="587">
    <w:name w:val="招标文件－标准正文"/>
    <w:basedOn w:val="29"/>
    <w:qFormat/>
    <w:uiPriority w:val="0"/>
    <w:pPr>
      <w:spacing w:line="360" w:lineRule="auto"/>
    </w:pPr>
    <w:rPr>
      <w:rFonts w:ascii="Times New Roman" w:hAnsi="Times New Roman" w:cs="宋体"/>
      <w:color w:val="000000"/>
      <w:sz w:val="24"/>
    </w:rPr>
  </w:style>
  <w:style w:type="paragraph" w:customStyle="1" w:styleId="58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89">
    <w:name w:val="图表1"/>
    <w:basedOn w:val="1"/>
    <w:qFormat/>
    <w:uiPriority w:val="0"/>
    <w:pPr>
      <w:jc w:val="center"/>
    </w:pPr>
    <w:rPr>
      <w:sz w:val="20"/>
    </w:rPr>
  </w:style>
  <w:style w:type="paragraph" w:customStyle="1" w:styleId="590">
    <w:name w:val="CM106"/>
    <w:basedOn w:val="113"/>
    <w:next w:val="113"/>
    <w:qFormat/>
    <w:uiPriority w:val="0"/>
    <w:rPr>
      <w:rFonts w:cs="Times New Roman"/>
      <w:color w:val="auto"/>
    </w:rPr>
  </w:style>
  <w:style w:type="paragraph" w:customStyle="1" w:styleId="591">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2">
    <w:name w:val="Char Char3"/>
    <w:basedOn w:val="1"/>
    <w:qFormat/>
    <w:uiPriority w:val="0"/>
    <w:rPr>
      <w:rFonts w:ascii="仿宋_GB2312" w:eastAsia="仿宋_GB2312"/>
      <w:b/>
      <w:sz w:val="32"/>
      <w:szCs w:val="32"/>
    </w:rPr>
  </w:style>
  <w:style w:type="paragraph" w:customStyle="1" w:styleId="593">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4">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5">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6">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9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8">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599">
    <w:name w:val="Char3"/>
    <w:basedOn w:val="1"/>
    <w:qFormat/>
    <w:uiPriority w:val="0"/>
    <w:rPr>
      <w:rFonts w:ascii="Tahoma" w:hAnsi="Tahoma"/>
      <w:sz w:val="24"/>
      <w:szCs w:val="20"/>
    </w:rPr>
  </w:style>
  <w:style w:type="paragraph" w:customStyle="1" w:styleId="600">
    <w:name w:val="编号正文"/>
    <w:basedOn w:val="22"/>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1">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2">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3">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06">
    <w:name w:val="列出段落4"/>
    <w:basedOn w:val="1"/>
    <w:qFormat/>
    <w:uiPriority w:val="0"/>
    <w:pPr>
      <w:ind w:firstLine="420" w:firstLineChars="200"/>
    </w:pPr>
  </w:style>
  <w:style w:type="paragraph" w:customStyle="1" w:styleId="60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8">
    <w:name w:val="修订1"/>
    <w:qFormat/>
    <w:uiPriority w:val="0"/>
    <w:rPr>
      <w:rFonts w:ascii="Times New Roman" w:hAnsi="Times New Roman" w:eastAsia="宋体" w:cs="Times New Roman"/>
      <w:kern w:val="2"/>
      <w:sz w:val="21"/>
      <w:szCs w:val="24"/>
      <w:lang w:val="en-US" w:eastAsia="zh-CN" w:bidi="ar-SA"/>
    </w:rPr>
  </w:style>
  <w:style w:type="paragraph" w:customStyle="1" w:styleId="609">
    <w:name w:val="文字"/>
    <w:basedOn w:val="1"/>
    <w:qFormat/>
    <w:uiPriority w:val="0"/>
    <w:pPr>
      <w:tabs>
        <w:tab w:val="left" w:pos="8520"/>
      </w:tabs>
      <w:spacing w:line="312" w:lineRule="auto"/>
      <w:ind w:right="-210" w:firstLine="556"/>
    </w:pPr>
    <w:rPr>
      <w:rFonts w:ascii="宋体"/>
      <w:sz w:val="28"/>
      <w:szCs w:val="20"/>
    </w:rPr>
  </w:style>
  <w:style w:type="paragraph" w:customStyle="1" w:styleId="610">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1">
    <w:name w:val="默认段落字体 Para Char Char Char Char Char Char Char Char Char1 Char Char Char Char"/>
    <w:basedOn w:val="1"/>
    <w:qFormat/>
    <w:uiPriority w:val="0"/>
    <w:rPr>
      <w:rFonts w:ascii="Tahoma" w:hAnsi="Tahoma"/>
      <w:sz w:val="24"/>
      <w:szCs w:val="20"/>
    </w:rPr>
  </w:style>
  <w:style w:type="paragraph" w:customStyle="1" w:styleId="612">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3">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614">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5">
    <w:name w:val="List Paragraph1"/>
    <w:basedOn w:val="1"/>
    <w:qFormat/>
    <w:uiPriority w:val="0"/>
    <w:pPr>
      <w:spacing w:line="360" w:lineRule="auto"/>
      <w:ind w:firstLine="420" w:firstLineChars="200"/>
    </w:pPr>
    <w:rPr>
      <w:rFonts w:ascii="Calibri" w:hAnsi="Calibri"/>
      <w:sz w:val="24"/>
      <w:szCs w:val="22"/>
    </w:rPr>
  </w:style>
  <w:style w:type="paragraph" w:customStyle="1" w:styleId="61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17">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18">
    <w:name w:val="百姓X"/>
    <w:basedOn w:val="1"/>
    <w:qFormat/>
    <w:uiPriority w:val="0"/>
    <w:pPr>
      <w:spacing w:before="120" w:after="120" w:line="360" w:lineRule="auto"/>
      <w:ind w:firstLine="540"/>
    </w:pPr>
    <w:rPr>
      <w:rFonts w:ascii="宋体" w:hAnsi="宋体"/>
      <w:sz w:val="24"/>
      <w:szCs w:val="28"/>
    </w:rPr>
  </w:style>
  <w:style w:type="paragraph" w:customStyle="1" w:styleId="619">
    <w:name w:val="【注意】"/>
    <w:basedOn w:val="1"/>
    <w:next w:val="1"/>
    <w:qFormat/>
    <w:uiPriority w:val="0"/>
    <w:pPr>
      <w:spacing w:before="120" w:after="120"/>
      <w:jc w:val="left"/>
    </w:pPr>
    <w:rPr>
      <w:rFonts w:ascii="宋体" w:hAnsi="Arial"/>
      <w:szCs w:val="20"/>
    </w:rPr>
  </w:style>
  <w:style w:type="paragraph" w:customStyle="1" w:styleId="620">
    <w:name w:val="_Style 25"/>
    <w:basedOn w:val="1"/>
    <w:qFormat/>
    <w:uiPriority w:val="0"/>
  </w:style>
  <w:style w:type="paragraph" w:customStyle="1" w:styleId="621">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2">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3">
    <w:name w:val="标题 3H"/>
    <w:basedOn w:val="6"/>
    <w:next w:val="2"/>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2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5">
    <w:name w:val="内文正文"/>
    <w:basedOn w:val="29"/>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26">
    <w:name w:val="五级条标题"/>
    <w:basedOn w:val="627"/>
    <w:next w:val="1"/>
    <w:qFormat/>
    <w:uiPriority w:val="0"/>
    <w:pPr>
      <w:numPr>
        <w:ilvl w:val="6"/>
        <w:numId w:val="9"/>
      </w:numPr>
      <w:outlineLvl w:val="6"/>
    </w:pPr>
  </w:style>
  <w:style w:type="paragraph" w:customStyle="1" w:styleId="627">
    <w:name w:val="四级条标题"/>
    <w:basedOn w:val="501"/>
    <w:next w:val="1"/>
    <w:qFormat/>
    <w:uiPriority w:val="0"/>
    <w:pPr>
      <w:numPr>
        <w:ilvl w:val="5"/>
        <w:numId w:val="9"/>
      </w:numPr>
      <w:outlineLvl w:val="5"/>
    </w:pPr>
  </w:style>
  <w:style w:type="paragraph" w:customStyle="1" w:styleId="628">
    <w:name w:val="Char Char Char Char Char Char Char Char Char Char Char Char Char1"/>
    <w:basedOn w:val="1"/>
    <w:qFormat/>
    <w:uiPriority w:val="0"/>
    <w:rPr>
      <w:rFonts w:ascii="Tahoma" w:hAnsi="Tahoma"/>
      <w:sz w:val="24"/>
      <w:szCs w:val="20"/>
    </w:rPr>
  </w:style>
  <w:style w:type="paragraph" w:customStyle="1" w:styleId="629">
    <w:name w:val="目录"/>
    <w:basedOn w:val="39"/>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0">
    <w:name w:val="[Normal]"/>
    <w:qFormat/>
    <w:uiPriority w:val="0"/>
    <w:rPr>
      <w:rFonts w:ascii="宋体" w:hAnsi="宋体" w:eastAsia="宋体" w:cs="Times New Roman"/>
      <w:sz w:val="24"/>
      <w:szCs w:val="22"/>
      <w:lang w:val="zh-CN" w:eastAsia="zh-CN" w:bidi="ar-SA"/>
    </w:rPr>
  </w:style>
  <w:style w:type="paragraph" w:customStyle="1" w:styleId="63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3">
    <w:name w:val="样式 四号 首行缩进:  1 厘米"/>
    <w:basedOn w:val="1"/>
    <w:qFormat/>
    <w:uiPriority w:val="0"/>
    <w:pPr>
      <w:spacing w:line="440" w:lineRule="exact"/>
      <w:ind w:firstLine="567"/>
    </w:pPr>
    <w:rPr>
      <w:rFonts w:cs="宋体"/>
      <w:sz w:val="28"/>
      <w:szCs w:val="20"/>
    </w:rPr>
  </w:style>
  <w:style w:type="paragraph" w:customStyle="1" w:styleId="634">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5">
    <w:name w:val="保留正文"/>
    <w:basedOn w:val="22"/>
    <w:qFormat/>
    <w:uiPriority w:val="0"/>
    <w:pPr>
      <w:keepNext/>
      <w:spacing w:after="160"/>
    </w:pPr>
    <w:rPr>
      <w:rFonts w:ascii="仿宋_GB2312"/>
      <w:b/>
    </w:rPr>
  </w:style>
  <w:style w:type="paragraph" w:customStyle="1" w:styleId="636">
    <w:name w:val="列出段落6"/>
    <w:basedOn w:val="1"/>
    <w:qFormat/>
    <w:uiPriority w:val="0"/>
    <w:pPr>
      <w:ind w:firstLine="420" w:firstLineChars="200"/>
    </w:pPr>
  </w:style>
  <w:style w:type="paragraph" w:customStyle="1" w:styleId="637">
    <w:name w:val="正文缩进2"/>
    <w:basedOn w:val="1"/>
    <w:qFormat/>
    <w:uiPriority w:val="0"/>
    <w:pPr>
      <w:ind w:firstLine="420"/>
    </w:pPr>
    <w:rPr>
      <w:szCs w:val="20"/>
    </w:rPr>
  </w:style>
  <w:style w:type="paragraph" w:customStyle="1" w:styleId="638">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39">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0">
    <w:name w:val="简单回函地址"/>
    <w:basedOn w:val="1"/>
    <w:qFormat/>
    <w:uiPriority w:val="0"/>
  </w:style>
  <w:style w:type="paragraph" w:customStyle="1" w:styleId="64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3">
    <w:name w:val="Char1 Char Char Char Char"/>
    <w:basedOn w:val="18"/>
    <w:qFormat/>
    <w:uiPriority w:val="0"/>
    <w:rPr>
      <w:rFonts w:ascii="Tahoma" w:hAnsi="Tahoma" w:cs="Tahoma"/>
      <w:kern w:val="0"/>
      <w:sz w:val="18"/>
    </w:rPr>
  </w:style>
  <w:style w:type="paragraph" w:customStyle="1" w:styleId="6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标题3"/>
    <w:basedOn w:val="6"/>
    <w:qFormat/>
    <w:uiPriority w:val="0"/>
    <w:pPr>
      <w:numPr>
        <w:ilvl w:val="2"/>
        <w:numId w:val="8"/>
      </w:numPr>
      <w:spacing w:line="416" w:lineRule="auto"/>
      <w:jc w:val="left"/>
    </w:pPr>
    <w:rPr>
      <w:rFonts w:eastAsia="黑体" w:cs="Arial"/>
    </w:rPr>
  </w:style>
  <w:style w:type="paragraph" w:customStyle="1" w:styleId="646">
    <w:name w:val="Char Char Char Char Char Char Char1"/>
    <w:basedOn w:val="1"/>
    <w:qFormat/>
    <w:uiPriority w:val="0"/>
    <w:pPr>
      <w:widowControl/>
      <w:spacing w:after="160" w:line="240" w:lineRule="exact"/>
      <w:jc w:val="left"/>
    </w:pPr>
    <w:rPr>
      <w:szCs w:val="20"/>
    </w:rPr>
  </w:style>
  <w:style w:type="paragraph" w:customStyle="1" w:styleId="647">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48">
    <w:name w:val="Char Char Char Char Char Char Char Char Char1 Char"/>
    <w:basedOn w:val="1"/>
    <w:qFormat/>
    <w:uiPriority w:val="0"/>
  </w:style>
  <w:style w:type="paragraph" w:customStyle="1" w:styleId="649">
    <w:name w:val="正文内容"/>
    <w:basedOn w:val="1"/>
    <w:qFormat/>
    <w:uiPriority w:val="0"/>
    <w:pPr>
      <w:spacing w:line="360" w:lineRule="auto"/>
      <w:ind w:firstLine="480"/>
    </w:pPr>
    <w:rPr>
      <w:rFonts w:ascii="宋体" w:hAnsi="宋体"/>
      <w:sz w:val="24"/>
      <w:szCs w:val="20"/>
    </w:rPr>
  </w:style>
  <w:style w:type="paragraph" w:customStyle="1" w:styleId="65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51">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3">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4">
    <w:name w:val="正文常用"/>
    <w:basedOn w:val="1"/>
    <w:qFormat/>
    <w:uiPriority w:val="0"/>
    <w:pPr>
      <w:spacing w:line="360" w:lineRule="auto"/>
      <w:ind w:firstLine="420"/>
    </w:pPr>
    <w:rPr>
      <w:rFonts w:ascii="宋体" w:hAnsi="宋体"/>
      <w:color w:val="000000"/>
      <w:sz w:val="24"/>
      <w:szCs w:val="21"/>
    </w:rPr>
  </w:style>
  <w:style w:type="paragraph" w:customStyle="1" w:styleId="655">
    <w:name w:val="默认段落字体 Para Char"/>
    <w:basedOn w:val="1"/>
    <w:qFormat/>
    <w:uiPriority w:val="0"/>
    <w:pPr>
      <w:spacing w:before="156" w:beforeLines="50" w:after="156" w:afterLines="50"/>
    </w:pPr>
    <w:rPr>
      <w:rFonts w:ascii="Tahoma" w:hAnsi="Tahoma"/>
      <w:sz w:val="24"/>
      <w:szCs w:val="20"/>
    </w:rPr>
  </w:style>
  <w:style w:type="paragraph" w:customStyle="1" w:styleId="656">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57">
    <w:name w:val="样式 标题 3 + 黑色 段前: 5 磅 段后: 5 磅 行距: 1.5 倍行距"/>
    <w:basedOn w:val="1"/>
    <w:qFormat/>
    <w:uiPriority w:val="0"/>
    <w:pPr>
      <w:ind w:left="855" w:hanging="855"/>
    </w:pPr>
    <w:rPr>
      <w:sz w:val="24"/>
      <w:szCs w:val="20"/>
    </w:rPr>
  </w:style>
  <w:style w:type="paragraph" w:customStyle="1" w:styleId="6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9">
    <w:name w:val="项目符1"/>
    <w:basedOn w:val="1"/>
    <w:next w:val="1"/>
    <w:qFormat/>
    <w:uiPriority w:val="0"/>
    <w:pPr>
      <w:numPr>
        <w:ilvl w:val="0"/>
        <w:numId w:val="15"/>
      </w:numPr>
      <w:spacing w:before="60" w:line="360" w:lineRule="auto"/>
    </w:pPr>
    <w:rPr>
      <w:spacing w:val="6"/>
      <w:szCs w:val="20"/>
    </w:rPr>
  </w:style>
  <w:style w:type="paragraph" w:customStyle="1" w:styleId="66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1">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2">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3">
    <w:name w:val="样式_4"/>
    <w:basedOn w:val="7"/>
    <w:next w:val="7"/>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4">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66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6">
    <w:name w:val="列出段落2"/>
    <w:basedOn w:val="1"/>
    <w:qFormat/>
    <w:uiPriority w:val="0"/>
    <w:pPr>
      <w:spacing w:line="360" w:lineRule="auto"/>
      <w:ind w:firstLine="420" w:firstLineChars="200"/>
    </w:pPr>
    <w:rPr>
      <w:rFonts w:ascii="Calibri" w:hAnsi="Calibri"/>
      <w:sz w:val="24"/>
      <w:szCs w:val="22"/>
    </w:rPr>
  </w:style>
  <w:style w:type="paragraph" w:customStyle="1" w:styleId="667">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6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69">
    <w:name w:val="样式 标题 2 +"/>
    <w:basedOn w:val="5"/>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0">
    <w:name w:val="pic-info"/>
    <w:basedOn w:val="1"/>
    <w:qFormat/>
    <w:uiPriority w:val="0"/>
    <w:pPr>
      <w:widowControl/>
      <w:spacing w:before="100" w:beforeAutospacing="1" w:after="100" w:afterAutospacing="1"/>
      <w:jc w:val="left"/>
    </w:pPr>
    <w:rPr>
      <w:rFonts w:ascii="宋体" w:hAnsi="宋体" w:cs="宋体"/>
      <w:kern w:val="0"/>
      <w:sz w:val="24"/>
    </w:rPr>
  </w:style>
  <w:style w:type="paragraph" w:styleId="671">
    <w:name w:val="List Paragraph"/>
    <w:basedOn w:val="1"/>
    <w:qFormat/>
    <w:uiPriority w:val="0"/>
    <w:pPr>
      <w:ind w:firstLine="420" w:firstLineChars="200"/>
    </w:pPr>
    <w:rPr>
      <w:rFonts w:ascii="Calibri" w:hAnsi="Calibri" w:eastAsia="宋体" w:cs="Times New Roman"/>
      <w:szCs w:val="22"/>
    </w:rPr>
  </w:style>
  <w:style w:type="paragraph" w:customStyle="1" w:styleId="672">
    <w:name w:val="1 Char"/>
    <w:basedOn w:val="2"/>
    <w:qFormat/>
    <w:uiPriority w:val="0"/>
    <w:pPr>
      <w:adjustRightInd/>
      <w:spacing w:line="360" w:lineRule="auto"/>
      <w:ind w:firstLine="200" w:firstLineChars="200"/>
      <w:textAlignment w:val="auto"/>
    </w:pPr>
    <w:rPr>
      <w:rFonts w:ascii="仿宋_GB2312"/>
      <w:b/>
      <w:kern w:val="2"/>
      <w:szCs w:val="32"/>
    </w:rPr>
  </w:style>
  <w:style w:type="paragraph" w:customStyle="1" w:styleId="673">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4">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75">
    <w:name w:val="T4"/>
    <w:basedOn w:val="1"/>
    <w:qFormat/>
    <w:uiPriority w:val="0"/>
    <w:pPr>
      <w:adjustRightInd w:val="0"/>
      <w:spacing w:line="360" w:lineRule="atLeast"/>
    </w:pPr>
    <w:rPr>
      <w:rFonts w:ascii="宋体" w:hAnsi="Times New Roman"/>
      <w:kern w:val="0"/>
      <w:sz w:val="22"/>
      <w:szCs w:val="20"/>
    </w:rPr>
  </w:style>
  <w:style w:type="paragraph" w:customStyle="1" w:styleId="67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7">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7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79">
    <w:name w:val="Char1 Char Char Char"/>
    <w:basedOn w:val="1"/>
    <w:qFormat/>
    <w:uiPriority w:val="0"/>
    <w:rPr>
      <w:szCs w:val="20"/>
    </w:rPr>
  </w:style>
  <w:style w:type="paragraph" w:customStyle="1" w:styleId="680">
    <w:name w:val="样式 标题 1 + 黑体 三号 非加粗 居中 段前: 6 磅 段后: 6 磅 行距: 固定值 20 磅"/>
    <w:basedOn w:val="4"/>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3">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84">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6">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87">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8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9">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0">
    <w:name w:val="样式6"/>
    <w:basedOn w:val="16"/>
    <w:qFormat/>
    <w:uiPriority w:val="0"/>
    <w:pPr>
      <w:keepNext/>
      <w:autoSpaceDE/>
      <w:autoSpaceDN/>
      <w:adjustRightInd/>
      <w:jc w:val="center"/>
    </w:pPr>
    <w:rPr>
      <w:rFonts w:ascii="宋体" w:hAnsi="宋体" w:eastAsia="宋体"/>
      <w:kern w:val="2"/>
    </w:rPr>
  </w:style>
  <w:style w:type="paragraph" w:customStyle="1" w:styleId="691">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2">
    <w:name w:val="Char Char Char Char Char Char Char Char Char Char Char Char Char Char"/>
    <w:basedOn w:val="1"/>
    <w:qFormat/>
    <w:uiPriority w:val="0"/>
    <w:pPr>
      <w:widowControl/>
      <w:spacing w:after="160" w:line="240" w:lineRule="exact"/>
      <w:jc w:val="left"/>
    </w:pPr>
    <w:rPr>
      <w:bCs/>
    </w:rPr>
  </w:style>
  <w:style w:type="paragraph" w:customStyle="1" w:styleId="693">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4">
    <w:name w:val="样式 正文缩进 + 首行缩进:  2 字符"/>
    <w:basedOn w:val="2"/>
    <w:qFormat/>
    <w:uiPriority w:val="0"/>
    <w:pPr>
      <w:adjustRightInd/>
      <w:spacing w:line="360" w:lineRule="auto"/>
      <w:ind w:firstLine="200" w:firstLineChars="200"/>
      <w:textAlignment w:val="auto"/>
    </w:pPr>
    <w:rPr>
      <w:rFonts w:cs="宋体"/>
      <w:kern w:val="2"/>
      <w:sz w:val="24"/>
    </w:rPr>
  </w:style>
  <w:style w:type="paragraph" w:customStyle="1" w:styleId="695">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6">
    <w:name w:val="Char Char Char Char2"/>
    <w:basedOn w:val="18"/>
    <w:qFormat/>
    <w:uiPriority w:val="0"/>
    <w:pPr>
      <w:spacing w:line="360" w:lineRule="auto"/>
    </w:pPr>
    <w:rPr>
      <w:rFonts w:ascii="Tahoma" w:hAnsi="Tahoma"/>
      <w:sz w:val="24"/>
    </w:rPr>
  </w:style>
  <w:style w:type="paragraph" w:customStyle="1" w:styleId="69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698">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2">
    <w:name w:val="正文段"/>
    <w:basedOn w:val="1"/>
    <w:qFormat/>
    <w:uiPriority w:val="0"/>
    <w:pPr>
      <w:widowControl/>
      <w:snapToGrid w:val="0"/>
      <w:spacing w:after="156" w:afterLines="50"/>
      <w:ind w:firstLine="200" w:firstLineChars="200"/>
    </w:pPr>
    <w:rPr>
      <w:kern w:val="0"/>
      <w:sz w:val="24"/>
      <w:szCs w:val="20"/>
    </w:rPr>
  </w:style>
  <w:style w:type="paragraph" w:customStyle="1" w:styleId="703">
    <w:name w:val="Bulleted List"/>
    <w:basedOn w:val="1"/>
    <w:qFormat/>
    <w:uiPriority w:val="0"/>
    <w:pPr>
      <w:numPr>
        <w:ilvl w:val="1"/>
        <w:numId w:val="16"/>
      </w:numPr>
      <w:tabs>
        <w:tab w:val="left" w:pos="420"/>
      </w:tabs>
    </w:pPr>
  </w:style>
  <w:style w:type="paragraph" w:customStyle="1" w:styleId="70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5">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6">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7">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08">
    <w:name w:val="样式 标题 3h33rd level3Heading 3 - old + 居中 左侧:  9.8 毫米 首行缩进: ...1"/>
    <w:basedOn w:val="6"/>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709">
    <w:name w:val="哈哈表格"/>
    <w:basedOn w:val="1"/>
    <w:qFormat/>
    <w:uiPriority w:val="0"/>
    <w:pPr>
      <w:spacing w:line="360" w:lineRule="auto"/>
    </w:pPr>
    <w:rPr>
      <w:rFonts w:ascii="宋体" w:hAnsi="宋体" w:cs="宋体"/>
      <w:sz w:val="24"/>
      <w:szCs w:val="20"/>
    </w:rPr>
  </w:style>
  <w:style w:type="paragraph" w:customStyle="1" w:styleId="71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1">
    <w:name w:val="普通 (Web)"/>
    <w:basedOn w:val="1"/>
    <w:qFormat/>
    <w:uiPriority w:val="0"/>
    <w:pPr>
      <w:widowControl/>
      <w:spacing w:before="100" w:after="100"/>
      <w:jc w:val="left"/>
    </w:pPr>
    <w:rPr>
      <w:rFonts w:ascii="宋体" w:hAnsi="宋体"/>
      <w:kern w:val="0"/>
      <w:sz w:val="24"/>
    </w:rPr>
  </w:style>
  <w:style w:type="table" w:customStyle="1" w:styleId="712">
    <w:name w:val="网格表 5 深色 - 着色 21"/>
    <w:basedOn w:val="57"/>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3">
    <w:name w:val="清单表 4 - 着色 11"/>
    <w:basedOn w:val="57"/>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4">
    <w:name w:val="网格表 4 - 着色 51"/>
    <w:basedOn w:val="57"/>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5">
    <w:name w:val="网格型浅色2"/>
    <w:basedOn w:val="57"/>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6">
    <w:name w:val="网格型浅色1"/>
    <w:basedOn w:val="57"/>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7">
    <w:name w:val="浅色网格 - 强调文字颜色 11"/>
    <w:basedOn w:val="57"/>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18">
    <w:name w:val="清单表 3 - 着色 11"/>
    <w:basedOn w:val="57"/>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19">
    <w:name w:val="网格表 4 - 着色 31"/>
    <w:basedOn w:val="57"/>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0">
    <w:name w:val="中等深浅底纹 2 - 强调文字颜色 11"/>
    <w:basedOn w:val="57"/>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1">
    <w:name w:val="网格表 4 - 着色 11"/>
    <w:basedOn w:val="57"/>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2">
    <w:name w:val="清单表 3 - 着色 31"/>
    <w:basedOn w:val="57"/>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3">
    <w:name w:val="浅色列表 - 强调文字颜色 51"/>
    <w:basedOn w:val="57"/>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4">
    <w:name w:val="浅色列表 - 强调文字颜色 11"/>
    <w:basedOn w:val="57"/>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5">
    <w:name w:val="浅色底纹1"/>
    <w:basedOn w:val="57"/>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6">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27">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28">
    <w:name w:val="_Style 7"/>
    <w:basedOn w:val="22"/>
    <w:next w:val="55"/>
    <w:qFormat/>
    <w:uiPriority w:val="0"/>
    <w:pPr>
      <w:ind w:firstLine="420" w:firstLineChars="100"/>
    </w:pPr>
    <w:rPr>
      <w:rFonts w:ascii="Calibri" w:hAnsi="Calibri" w:eastAsia="宋体" w:cs="Times New Roman"/>
    </w:rPr>
  </w:style>
  <w:style w:type="character" w:customStyle="1" w:styleId="729">
    <w:name w:val="fontstyle11"/>
    <w:basedOn w:val="59"/>
    <w:qFormat/>
    <w:uiPriority w:val="0"/>
    <w:rPr>
      <w:rFonts w:ascii="仿宋" w:hAnsi="仿宋" w:eastAsia="仿宋" w:cs="仿宋"/>
      <w:color w:val="000000"/>
      <w:sz w:val="32"/>
      <w:szCs w:val="32"/>
    </w:rPr>
  </w:style>
  <w:style w:type="paragraph" w:customStyle="1" w:styleId="730">
    <w:name w:val="Body Text First Indent 21"/>
    <w:basedOn w:val="731"/>
    <w:qFormat/>
    <w:uiPriority w:val="0"/>
    <w:pPr>
      <w:spacing w:after="120" w:line="240" w:lineRule="auto"/>
      <w:ind w:left="420" w:leftChars="200" w:firstLine="420" w:firstLineChars="200"/>
    </w:pPr>
    <w:rPr>
      <w:sz w:val="21"/>
    </w:rPr>
  </w:style>
  <w:style w:type="paragraph" w:customStyle="1" w:styleId="731">
    <w:name w:val="Body Text Indent1"/>
    <w:basedOn w:val="1"/>
    <w:qFormat/>
    <w:uiPriority w:val="0"/>
    <w:pPr>
      <w:spacing w:line="200" w:lineRule="exact"/>
      <w:ind w:firstLine="301"/>
    </w:pPr>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69</Pages>
  <Words>41416</Words>
  <Characters>42972</Characters>
  <Lines>251</Lines>
  <Paragraphs>70</Paragraphs>
  <TotalTime>3</TotalTime>
  <ScaleCrop>false</ScaleCrop>
  <LinksUpToDate>false</LinksUpToDate>
  <CharactersWithSpaces>44930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2021-03-02T10:43:00Z</dcterms:created>
  <dc:creator>can</dc:creator>
  <cp:lastModifiedBy>小杰</cp:lastModifiedBy>
  <cp:lastPrinted>2024-05-29T11:50:00Z</cp:lastPrinted>
  <dcterms:modified xsi:type="dcterms:W3CDTF">2024-05-29T10:11:49Z</dcterms:modified>
  <dc:title>温州市政府集中采购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88A5CFAE56D04529A8DA933EAD6F8B0D_13</vt:lpwstr>
  </property>
</Properties>
</file>