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02C8E">
      <w:pPr>
        <w:widowControl/>
        <w:adjustRightInd/>
        <w:spacing w:line="240" w:lineRule="atLeast"/>
        <w:rPr>
          <w:rFonts w:hint="eastAsia" w:ascii="宋体" w:hAnsi="宋体" w:eastAsia="宋体" w:cs="宋体"/>
          <w:color w:val="auto"/>
          <w:sz w:val="36"/>
          <w:szCs w:val="36"/>
          <w:highlight w:val="none"/>
        </w:rPr>
      </w:pPr>
      <w:bookmarkStart w:id="0" w:name="_Toc491959005"/>
    </w:p>
    <w:bookmarkEnd w:id="0"/>
    <w:p w14:paraId="04C79680">
      <w:pPr>
        <w:adjustRightInd/>
        <w:spacing w:line="360" w:lineRule="auto"/>
        <w:jc w:val="center"/>
        <w:rPr>
          <w:rFonts w:hint="eastAsia" w:ascii="宋体" w:hAnsi="宋体" w:eastAsia="宋体" w:cs="宋体"/>
          <w:color w:val="auto"/>
          <w:sz w:val="48"/>
          <w:szCs w:val="48"/>
          <w:highlight w:val="none"/>
          <w:u w:val="single"/>
        </w:rPr>
      </w:pPr>
    </w:p>
    <w:p w14:paraId="0EFBA54F">
      <w:pPr>
        <w:adjustRightInd/>
        <w:spacing w:line="360" w:lineRule="auto"/>
        <w:jc w:val="center"/>
        <w:rPr>
          <w:rFonts w:hint="eastAsia" w:ascii="宋体" w:hAnsi="宋体" w:eastAsia="宋体" w:cs="宋体"/>
          <w:color w:val="auto"/>
          <w:sz w:val="52"/>
          <w:szCs w:val="52"/>
          <w:highlight w:val="none"/>
          <w:u w:val="single"/>
          <w:lang w:eastAsia="zh-CN"/>
        </w:rPr>
      </w:pPr>
      <w:r>
        <w:rPr>
          <w:rFonts w:hint="eastAsia" w:ascii="宋体" w:hAnsi="宋体" w:eastAsia="宋体" w:cs="宋体"/>
          <w:color w:val="auto"/>
          <w:sz w:val="52"/>
          <w:szCs w:val="52"/>
          <w:highlight w:val="none"/>
          <w:u w:val="single"/>
        </w:rPr>
        <w:t>浙江农林大学</w:t>
      </w:r>
      <w:r>
        <w:rPr>
          <w:rFonts w:hint="eastAsia" w:ascii="宋体" w:hAnsi="宋体" w:eastAsia="宋体" w:cs="宋体"/>
          <w:color w:val="auto"/>
          <w:sz w:val="52"/>
          <w:szCs w:val="52"/>
          <w:highlight w:val="none"/>
          <w:u w:val="single"/>
          <w:lang w:eastAsia="zh-CN"/>
        </w:rPr>
        <w:t>元素分析仪</w:t>
      </w:r>
    </w:p>
    <w:p w14:paraId="3AD225D7">
      <w:pPr>
        <w:adjustRightInd/>
        <w:spacing w:line="360" w:lineRule="auto"/>
        <w:jc w:val="center"/>
        <w:rPr>
          <w:rFonts w:hint="eastAsia" w:ascii="宋体" w:hAnsi="宋体" w:eastAsia="宋体" w:cs="宋体"/>
          <w:color w:val="auto"/>
          <w:sz w:val="48"/>
          <w:szCs w:val="48"/>
          <w:highlight w:val="none"/>
        </w:rPr>
      </w:pPr>
    </w:p>
    <w:p w14:paraId="17CCC40B">
      <w:pPr>
        <w:adjustRightInd/>
        <w:jc w:val="center"/>
        <w:rPr>
          <w:rFonts w:hint="eastAsia" w:ascii="宋体" w:hAnsi="宋体" w:eastAsia="宋体" w:cs="宋体"/>
          <w:color w:val="auto"/>
          <w:sz w:val="96"/>
          <w:szCs w:val="96"/>
          <w:highlight w:val="none"/>
        </w:rPr>
      </w:pPr>
      <w:r>
        <w:rPr>
          <w:rFonts w:hint="eastAsia" w:ascii="宋体" w:hAnsi="宋体" w:eastAsia="宋体" w:cs="宋体"/>
          <w:color w:val="auto"/>
          <w:sz w:val="104"/>
          <w:szCs w:val="104"/>
          <w:highlight w:val="none"/>
        </w:rPr>
        <w:t>招标文件</w:t>
      </w:r>
      <w:r>
        <w:rPr>
          <w:rFonts w:hint="eastAsia" w:ascii="宋体" w:hAnsi="宋体" w:eastAsia="宋体" w:cs="宋体"/>
          <w:color w:val="auto"/>
          <w:sz w:val="96"/>
          <w:szCs w:val="96"/>
          <w:highlight w:val="none"/>
        </w:rPr>
        <w:t xml:space="preserve"> </w:t>
      </w:r>
    </w:p>
    <w:p w14:paraId="47A9C46D">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3063C2C5">
      <w:pPr>
        <w:snapToGrid w:val="0"/>
        <w:spacing w:line="360" w:lineRule="auto"/>
        <w:jc w:val="center"/>
        <w:rPr>
          <w:rFonts w:hint="eastAsia" w:ascii="宋体" w:hAnsi="宋体" w:eastAsia="宋体" w:cs="宋体"/>
          <w:color w:val="auto"/>
          <w:sz w:val="30"/>
          <w:szCs w:val="30"/>
          <w:highlight w:val="none"/>
        </w:rPr>
      </w:pPr>
    </w:p>
    <w:p w14:paraId="0F0CE4EB">
      <w:pPr>
        <w:pStyle w:val="2"/>
        <w:ind w:left="852"/>
        <w:rPr>
          <w:rFonts w:hint="eastAsia" w:ascii="宋体" w:hAnsi="宋体" w:eastAsia="宋体" w:cs="宋体"/>
          <w:color w:val="auto"/>
          <w:highlight w:val="none"/>
        </w:rPr>
      </w:pPr>
    </w:p>
    <w:p w14:paraId="42D2B29F">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采购方式：公开招标</w:t>
      </w:r>
    </w:p>
    <w:p w14:paraId="603C364F">
      <w:pPr>
        <w:snapToGrid w:val="0"/>
        <w:spacing w:line="360" w:lineRule="auto"/>
        <w:jc w:val="center"/>
        <w:rPr>
          <w:rFonts w:hint="eastAsia" w:ascii="宋体" w:hAnsi="宋体" w:eastAsia="宋体" w:cs="宋体"/>
          <w:color w:val="auto"/>
          <w:sz w:val="30"/>
          <w:szCs w:val="30"/>
          <w:highlight w:val="none"/>
          <w:u w:val="single"/>
          <w:lang w:eastAsia="zh-CN"/>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u w:val="single"/>
          <w:lang w:eastAsia="zh-CN"/>
        </w:rPr>
        <w:t>ZJYC2025103(GK)</w:t>
      </w:r>
    </w:p>
    <w:p w14:paraId="501A743A">
      <w:pPr>
        <w:adjustRightInd/>
        <w:spacing w:line="360" w:lineRule="auto"/>
        <w:rPr>
          <w:rFonts w:hint="eastAsia" w:ascii="宋体" w:hAnsi="宋体" w:eastAsia="宋体" w:cs="宋体"/>
          <w:color w:val="auto"/>
          <w:sz w:val="28"/>
          <w:szCs w:val="20"/>
          <w:highlight w:val="none"/>
        </w:rPr>
      </w:pPr>
    </w:p>
    <w:p w14:paraId="2B2B8D9D">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6E1031AA">
      <w:pPr>
        <w:spacing w:line="360" w:lineRule="auto"/>
        <w:jc w:val="center"/>
        <w:rPr>
          <w:rFonts w:hint="eastAsia" w:ascii="宋体" w:hAnsi="宋体" w:eastAsia="宋体" w:cs="宋体"/>
          <w:b/>
          <w:color w:val="auto"/>
          <w:sz w:val="44"/>
          <w:szCs w:val="44"/>
          <w:highlight w:val="none"/>
        </w:rPr>
      </w:pPr>
    </w:p>
    <w:p w14:paraId="3990087C">
      <w:pPr>
        <w:snapToGrid w:val="0"/>
        <w:spacing w:line="360" w:lineRule="auto"/>
        <w:ind w:firstLine="2560" w:firstLineChars="8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采   购  人：</w:t>
      </w:r>
      <w:r>
        <w:rPr>
          <w:rFonts w:hint="eastAsia" w:ascii="宋体" w:hAnsi="宋体" w:eastAsia="宋体" w:cs="宋体"/>
          <w:color w:val="auto"/>
          <w:sz w:val="32"/>
          <w:szCs w:val="32"/>
          <w:highlight w:val="none"/>
          <w:u w:val="single"/>
        </w:rPr>
        <w:t xml:space="preserve">浙江农林大学 </w:t>
      </w:r>
    </w:p>
    <w:p w14:paraId="77B97AA4">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采购代理机构</w:t>
      </w:r>
      <w:r>
        <w:rPr>
          <w:rFonts w:hint="eastAsia" w:ascii="宋体" w:hAnsi="宋体" w:eastAsia="宋体" w:cs="宋体"/>
          <w:color w:val="auto"/>
          <w:sz w:val="32"/>
          <w:szCs w:val="32"/>
          <w:highlight w:val="none"/>
        </w:rPr>
        <w:t>：</w:t>
      </w:r>
      <w:r>
        <w:rPr>
          <w:rFonts w:hint="eastAsia" w:ascii="宋体" w:hAnsi="宋体" w:eastAsia="宋体" w:cs="宋体"/>
          <w:bCs/>
          <w:color w:val="auto"/>
          <w:sz w:val="32"/>
          <w:szCs w:val="32"/>
          <w:highlight w:val="none"/>
          <w:u w:val="single"/>
        </w:rPr>
        <w:t>浙江乐诚工程咨询有限公司</w:t>
      </w:r>
    </w:p>
    <w:p w14:paraId="4BB8B432">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val="en-US" w:eastAsia="zh-CN"/>
        </w:rPr>
        <w:t>2025</w:t>
      </w:r>
      <w:r>
        <w:rPr>
          <w:rFonts w:hint="eastAsia" w:ascii="宋体" w:hAnsi="宋体" w:eastAsia="宋体" w:cs="宋体"/>
          <w:bCs/>
          <w:color w:val="auto"/>
          <w:sz w:val="32"/>
          <w:szCs w:val="32"/>
          <w:highlight w:val="none"/>
          <w:lang w:eastAsia="zh-CN"/>
        </w:rPr>
        <w:t>年</w:t>
      </w:r>
      <w:r>
        <w:rPr>
          <w:rFonts w:hint="eastAsia" w:ascii="宋体" w:hAnsi="宋体" w:eastAsia="宋体" w:cs="宋体"/>
          <w:bCs/>
          <w:color w:val="auto"/>
          <w:sz w:val="32"/>
          <w:szCs w:val="32"/>
          <w:highlight w:val="none"/>
          <w:lang w:val="en-US" w:eastAsia="zh-CN"/>
        </w:rPr>
        <w:t>07</w:t>
      </w:r>
      <w:r>
        <w:rPr>
          <w:rFonts w:hint="eastAsia" w:ascii="宋体" w:hAnsi="宋体" w:eastAsia="宋体" w:cs="宋体"/>
          <w:bCs/>
          <w:color w:val="auto"/>
          <w:sz w:val="32"/>
          <w:szCs w:val="32"/>
          <w:highlight w:val="none"/>
          <w:lang w:eastAsia="zh-CN"/>
        </w:rPr>
        <w:t>月</w:t>
      </w:r>
    </w:p>
    <w:p w14:paraId="7D9EA687">
      <w:pPr>
        <w:spacing w:line="360" w:lineRule="auto"/>
        <w:jc w:val="center"/>
        <w:rPr>
          <w:rFonts w:hint="eastAsia" w:ascii="宋体" w:hAnsi="宋体" w:eastAsia="宋体" w:cs="宋体"/>
          <w:b/>
          <w:color w:val="auto"/>
          <w:sz w:val="48"/>
          <w:szCs w:val="48"/>
          <w:highlight w:val="none"/>
        </w:rPr>
      </w:pPr>
      <w:bookmarkStart w:id="1" w:name="_Hlt67893495"/>
      <w:bookmarkEnd w:id="1"/>
      <w:r>
        <w:rPr>
          <w:rFonts w:hint="eastAsia" w:ascii="宋体" w:hAnsi="宋体" w:eastAsia="宋体" w:cs="宋体"/>
          <w:b/>
          <w:color w:val="auto"/>
          <w:sz w:val="48"/>
          <w:szCs w:val="48"/>
          <w:highlight w:val="none"/>
        </w:rPr>
        <w:br w:type="page"/>
      </w:r>
      <w:r>
        <w:rPr>
          <w:rFonts w:hint="eastAsia" w:ascii="宋体" w:hAnsi="宋体" w:eastAsia="宋体" w:cs="宋体"/>
          <w:b/>
          <w:color w:val="auto"/>
          <w:sz w:val="48"/>
          <w:szCs w:val="48"/>
          <w:highlight w:val="none"/>
        </w:rPr>
        <w:t>目  录</w:t>
      </w:r>
    </w:p>
    <w:p w14:paraId="47D988CF">
      <w:pPr>
        <w:pStyle w:val="12"/>
        <w:keepNext w:val="0"/>
        <w:keepLines w:val="0"/>
        <w:pageBreakBefore w:val="0"/>
        <w:widowControl w:val="0"/>
        <w:tabs>
          <w:tab w:val="right" w:leader="hyphen" w:pos="9746"/>
        </w:tabs>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_Toc16524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第一部分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_Toc16524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640B3CF">
      <w:pPr>
        <w:pStyle w:val="12"/>
        <w:keepNext w:val="0"/>
        <w:keepLines w:val="0"/>
        <w:pageBreakBefore w:val="0"/>
        <w:widowControl w:val="0"/>
        <w:tabs>
          <w:tab w:val="right" w:leader="hyphen" w:pos="9746"/>
        </w:tabs>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_Toc984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_Toc984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F1B6451">
      <w:pPr>
        <w:pStyle w:val="12"/>
        <w:keepNext w:val="0"/>
        <w:keepLines w:val="0"/>
        <w:pageBreakBefore w:val="0"/>
        <w:widowControl w:val="0"/>
        <w:tabs>
          <w:tab w:val="right" w:leader="hyphen" w:pos="9746"/>
        </w:tabs>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_Toc27690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_Toc27690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0A09D07">
      <w:pPr>
        <w:pStyle w:val="12"/>
        <w:keepNext w:val="0"/>
        <w:keepLines w:val="0"/>
        <w:pageBreakBefore w:val="0"/>
        <w:widowControl w:val="0"/>
        <w:tabs>
          <w:tab w:val="right" w:leader="hyphen" w:pos="9746"/>
        </w:tabs>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_Toc25155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_Toc25155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D0CDE23">
      <w:pPr>
        <w:pStyle w:val="12"/>
        <w:keepNext w:val="0"/>
        <w:keepLines w:val="0"/>
        <w:pageBreakBefore w:val="0"/>
        <w:widowControl w:val="0"/>
        <w:tabs>
          <w:tab w:val="right" w:leader="hyphen" w:pos="9746"/>
        </w:tabs>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_Toc25020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二、招标文件的构成、澄清、修改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_Toc25020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B3D425A">
      <w:pPr>
        <w:pStyle w:val="14"/>
        <w:keepNext w:val="0"/>
        <w:keepLines w:val="0"/>
        <w:pageBreakBefore w:val="0"/>
        <w:widowControl w:val="0"/>
        <w:tabs>
          <w:tab w:val="right" w:leader="hyphen" w:pos="9746"/>
        </w:tabs>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_Toc12599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三、投标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_Toc12599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5350EC9">
      <w:pPr>
        <w:pStyle w:val="14"/>
        <w:keepNext w:val="0"/>
        <w:keepLines w:val="0"/>
        <w:pageBreakBefore w:val="0"/>
        <w:widowControl w:val="0"/>
        <w:tabs>
          <w:tab w:val="right" w:leader="hyphen" w:pos="9746"/>
        </w:tabs>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_Toc16257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四、开标、资格审查与信用信息查询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_Toc16257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0057B5E">
      <w:pPr>
        <w:pStyle w:val="14"/>
        <w:keepNext w:val="0"/>
        <w:keepLines w:val="0"/>
        <w:pageBreakBefore w:val="0"/>
        <w:widowControl w:val="0"/>
        <w:tabs>
          <w:tab w:val="right" w:leader="hyphen" w:pos="9746"/>
        </w:tabs>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_Toc11042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_Toc11042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36FC88F">
      <w:pPr>
        <w:pStyle w:val="14"/>
        <w:keepNext w:val="0"/>
        <w:keepLines w:val="0"/>
        <w:pageBreakBefore w:val="0"/>
        <w:widowControl w:val="0"/>
        <w:tabs>
          <w:tab w:val="right" w:leader="hyphen" w:pos="9746"/>
        </w:tabs>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_Toc16054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六、定 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_Toc16054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ADEF513">
      <w:pPr>
        <w:pStyle w:val="14"/>
        <w:keepNext w:val="0"/>
        <w:keepLines w:val="0"/>
        <w:pageBreakBefore w:val="0"/>
        <w:widowControl w:val="0"/>
        <w:tabs>
          <w:tab w:val="right" w:leader="hyphen" w:pos="9746"/>
        </w:tabs>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_Toc29380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_Toc29380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35DE9C5">
      <w:pPr>
        <w:pStyle w:val="14"/>
        <w:keepNext w:val="0"/>
        <w:keepLines w:val="0"/>
        <w:pageBreakBefore w:val="0"/>
        <w:widowControl w:val="0"/>
        <w:tabs>
          <w:tab w:val="right" w:leader="hyphen" w:pos="9746"/>
        </w:tabs>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_Toc29608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八、电子交易活动的中止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_Toc29608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C54B3E6">
      <w:pPr>
        <w:pStyle w:val="14"/>
        <w:keepNext w:val="0"/>
        <w:keepLines w:val="0"/>
        <w:pageBreakBefore w:val="0"/>
        <w:widowControl w:val="0"/>
        <w:tabs>
          <w:tab w:val="right" w:leader="hyphen" w:pos="9746"/>
        </w:tabs>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_Toc7556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九、验收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_Toc7556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EB23447">
      <w:pPr>
        <w:pStyle w:val="14"/>
        <w:keepNext w:val="0"/>
        <w:keepLines w:val="0"/>
        <w:pageBreakBefore w:val="0"/>
        <w:widowControl w:val="0"/>
        <w:tabs>
          <w:tab w:val="right" w:leader="hyphen" w:pos="9746"/>
        </w:tabs>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_Toc20295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第三部分</w:t>
      </w:r>
      <w:r>
        <w:rPr>
          <w:rFonts w:hint="eastAsia" w:ascii="宋体" w:hAnsi="宋体" w:eastAsia="宋体" w:cs="宋体"/>
          <w:color w:val="auto"/>
          <w:sz w:val="24"/>
          <w:szCs w:val="24"/>
          <w:highlight w:val="none"/>
          <w:lang w:val="en-US"/>
        </w:rPr>
        <w:t xml:space="preserve"> </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_Toc20295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850D290">
      <w:pPr>
        <w:pStyle w:val="12"/>
        <w:keepNext w:val="0"/>
        <w:keepLines w:val="0"/>
        <w:pageBreakBefore w:val="0"/>
        <w:widowControl w:val="0"/>
        <w:tabs>
          <w:tab w:val="right" w:leader="hyphen" w:pos="9746"/>
        </w:tabs>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_Toc19755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w:t>
      </w:r>
      <w:r>
        <w:rPr>
          <w:rFonts w:hint="eastAsia" w:ascii="宋体" w:hAnsi="宋体" w:eastAsia="宋体" w:cs="宋体"/>
          <w:color w:val="auto"/>
          <w:sz w:val="24"/>
          <w:szCs w:val="24"/>
          <w:highlight w:val="none"/>
          <w:lang w:val="en-US"/>
        </w:rPr>
        <w:t xml:space="preserve"> </w:t>
      </w:r>
      <w:r>
        <w:rPr>
          <w:rFonts w:hint="eastAsia" w:ascii="宋体" w:hAnsi="宋体" w:eastAsia="宋体" w:cs="宋体"/>
          <w:color w:val="auto"/>
          <w:sz w:val="24"/>
          <w:szCs w:val="24"/>
          <w:highlight w:val="none"/>
        </w:rPr>
        <w:t>评标办法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_Toc19755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68847E3">
      <w:pPr>
        <w:pStyle w:val="14"/>
        <w:keepNext w:val="0"/>
        <w:keepLines w:val="0"/>
        <w:pageBreakBefore w:val="0"/>
        <w:widowControl w:val="0"/>
        <w:tabs>
          <w:tab w:val="right" w:leader="hyphen" w:pos="9746"/>
        </w:tabs>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_Toc15516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拟签订的合同文本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_Toc15516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4E80C79">
      <w:pPr>
        <w:keepNext w:val="0"/>
        <w:keepLines w:val="0"/>
        <w:pageBreakBefore w:val="0"/>
        <w:widowControl w:val="0"/>
        <w:kinsoku/>
        <w:wordWrap/>
        <w:overflowPunct/>
        <w:topLinePunct w:val="0"/>
        <w:autoSpaceDE/>
        <w:autoSpaceDN/>
        <w:bidi w:val="0"/>
        <w:snapToGrid/>
        <w:spacing w:line="360" w:lineRule="auto"/>
        <w:ind w:left="0" w:leftChars="0"/>
        <w:textAlignment w:val="auto"/>
        <w:rPr>
          <w:rFonts w:hint="eastAsia" w:ascii="宋体" w:hAnsi="宋体" w:eastAsia="宋体" w:cs="宋体"/>
          <w:color w:val="auto"/>
          <w:szCs w:val="22"/>
          <w:highlight w:val="none"/>
        </w:rPr>
      </w:pPr>
      <w:r>
        <w:rPr>
          <w:rFonts w:hint="eastAsia" w:ascii="宋体" w:hAnsi="宋体" w:eastAsia="宋体" w:cs="宋体"/>
          <w:color w:val="auto"/>
          <w:sz w:val="24"/>
          <w:szCs w:val="24"/>
          <w:highlight w:val="none"/>
        </w:rPr>
        <w:fldChar w:fldCharType="end"/>
      </w:r>
      <w:bookmarkStart w:id="2" w:name="第一部分"/>
      <w:bookmarkStart w:id="3" w:name="_Toc91899869"/>
      <w:r>
        <w:rPr>
          <w:rFonts w:hint="eastAsia" w:ascii="宋体" w:hAnsi="宋体" w:eastAsia="宋体" w:cs="宋体"/>
          <w:color w:val="auto"/>
          <w:szCs w:val="22"/>
          <w:highlight w:val="none"/>
        </w:rPr>
        <w:t xml:space="preserve">  </w:t>
      </w:r>
    </w:p>
    <w:p w14:paraId="5BC60AC3">
      <w:pPr>
        <w:spacing w:line="400" w:lineRule="exact"/>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u w:val="single"/>
        </w:rPr>
        <w:t>注：▲招标文件中标“▲”且加下划线部分，为招标的实质性要求，着重提醒各投标人必须响应。各投标人必须认真阅读和理解招标文件中的每一个条款及要求，因误读招标文件而造成的后果，采购人及采购代理机构概不负责。</w:t>
      </w:r>
    </w:p>
    <w:p w14:paraId="28F011DE">
      <w:pPr>
        <w:adjustRightInd/>
        <w:spacing w:line="360" w:lineRule="auto"/>
        <w:jc w:val="center"/>
        <w:outlineLvl w:val="0"/>
        <w:rPr>
          <w:rFonts w:hint="eastAsia" w:ascii="宋体" w:hAnsi="宋体" w:eastAsia="宋体" w:cs="宋体"/>
          <w:color w:val="auto"/>
          <w:sz w:val="22"/>
          <w:szCs w:val="22"/>
          <w:highlight w:val="none"/>
          <w:u w:val="single"/>
        </w:rPr>
      </w:pPr>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_Toc16524"/>
      <w:bookmarkStart w:id="9" w:name="第二部分"/>
      <w:bookmarkStart w:id="10" w:name="_Toc91899870"/>
      <w:bookmarkStart w:id="11" w:name="_Toc91899871"/>
      <w:r>
        <w:rPr>
          <w:rStyle w:val="22"/>
          <w:rFonts w:hint="eastAsia" w:ascii="宋体" w:hAnsi="宋体" w:eastAsia="宋体" w:cs="宋体"/>
          <w:color w:val="auto"/>
          <w:highlight w:val="none"/>
        </w:rPr>
        <w:t>第一部分 招标公告</w:t>
      </w:r>
      <w:bookmarkEnd w:id="8"/>
      <w:r>
        <w:rPr>
          <w:rFonts w:hint="eastAsia" w:ascii="宋体" w:hAnsi="宋体" w:eastAsia="宋体" w:cs="宋体"/>
          <w:color w:val="auto"/>
          <w:sz w:val="22"/>
          <w:szCs w:val="22"/>
          <w:highlight w:val="none"/>
        </w:rPr>
        <w:t>。</w:t>
      </w:r>
    </w:p>
    <w:p w14:paraId="4CBA61B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b/>
          <w:bCs/>
          <w:i w:val="0"/>
          <w:iCs w:val="0"/>
          <w:caps w:val="0"/>
          <w:color w:val="auto"/>
          <w:spacing w:val="0"/>
          <w:sz w:val="22"/>
          <w:szCs w:val="22"/>
          <w:highlight w:val="none"/>
        </w:rPr>
        <w:t>项目概况</w:t>
      </w:r>
      <w:r>
        <w:rPr>
          <w:rFonts w:hint="eastAsia" w:ascii="宋体" w:hAnsi="宋体" w:eastAsia="宋体" w:cs="宋体"/>
          <w:i w:val="0"/>
          <w:iCs w:val="0"/>
          <w:caps w:val="0"/>
          <w:color w:val="auto"/>
          <w:spacing w:val="0"/>
          <w:sz w:val="22"/>
          <w:szCs w:val="22"/>
          <w:highlight w:val="none"/>
        </w:rPr>
        <w:t>        </w:t>
      </w:r>
    </w:p>
    <w:p w14:paraId="39CB7843">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eastAsia="宋体" w:cs="宋体"/>
          <w:i w:val="0"/>
          <w:iCs w:val="0"/>
          <w:caps w:val="0"/>
          <w:color w:val="auto"/>
          <w:spacing w:val="0"/>
          <w:sz w:val="22"/>
          <w:szCs w:val="22"/>
          <w:highlight w:val="none"/>
          <w:lang w:eastAsia="zh-CN"/>
        </w:rPr>
        <w:t>元素分析仪</w:t>
      </w:r>
      <w:r>
        <w:rPr>
          <w:rFonts w:hint="eastAsia" w:ascii="宋体" w:hAnsi="宋体" w:eastAsia="宋体" w:cs="宋体"/>
          <w:i w:val="0"/>
          <w:iCs w:val="0"/>
          <w:caps w:val="0"/>
          <w:color w:val="auto"/>
          <w:spacing w:val="0"/>
          <w:sz w:val="22"/>
          <w:szCs w:val="22"/>
          <w:highlight w:val="none"/>
        </w:rPr>
        <w:t>招标项目的潜在投标人应在政采云平台线上获取（下载）招标文件，并于</w:t>
      </w:r>
      <w:r>
        <w:rPr>
          <w:rFonts w:hint="eastAsia" w:cs="宋体"/>
          <w:i w:val="0"/>
          <w:iCs w:val="0"/>
          <w:caps w:val="0"/>
          <w:color w:val="auto"/>
          <w:spacing w:val="0"/>
          <w:sz w:val="22"/>
          <w:szCs w:val="22"/>
          <w:highlight w:val="none"/>
          <w:lang w:eastAsia="zh-CN"/>
        </w:rPr>
        <w:t>2025年07月23日</w:t>
      </w:r>
      <w:r>
        <w:rPr>
          <w:rFonts w:hint="eastAsia" w:ascii="宋体" w:hAnsi="宋体" w:eastAsia="宋体" w:cs="宋体"/>
          <w:i w:val="0"/>
          <w:iCs w:val="0"/>
          <w:caps w:val="0"/>
          <w:color w:val="auto"/>
          <w:spacing w:val="0"/>
          <w:sz w:val="22"/>
          <w:szCs w:val="22"/>
          <w:highlight w:val="none"/>
        </w:rPr>
        <w:t xml:space="preserve"> </w:t>
      </w:r>
      <w:bookmarkStart w:id="500" w:name="_GoBack"/>
      <w:bookmarkEnd w:id="500"/>
      <w:r>
        <w:rPr>
          <w:rFonts w:hint="eastAsia" w:cs="宋体"/>
          <w:i w:val="0"/>
          <w:iCs w:val="0"/>
          <w:caps w:val="0"/>
          <w:color w:val="auto"/>
          <w:spacing w:val="0"/>
          <w:sz w:val="22"/>
          <w:szCs w:val="22"/>
          <w:highlight w:val="none"/>
          <w:lang w:eastAsia="zh-CN"/>
        </w:rPr>
        <w:t>13:30</w:t>
      </w:r>
      <w:r>
        <w:rPr>
          <w:rFonts w:hint="eastAsia" w:ascii="宋体" w:hAnsi="宋体" w:eastAsia="宋体" w:cs="宋体"/>
          <w:i w:val="0"/>
          <w:iCs w:val="0"/>
          <w:caps w:val="0"/>
          <w:color w:val="auto"/>
          <w:spacing w:val="0"/>
          <w:sz w:val="22"/>
          <w:szCs w:val="22"/>
          <w:highlight w:val="none"/>
        </w:rPr>
        <w:t>（北京时间）前递交（上传）投标文件。          </w:t>
      </w:r>
    </w:p>
    <w:p w14:paraId="4607821E">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rPr>
        <w:t>一、项目基本情况</w:t>
      </w:r>
    </w:p>
    <w:p w14:paraId="5349972F">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rPr>
        <w:t>项目编号：</w:t>
      </w:r>
      <w:r>
        <w:rPr>
          <w:rFonts w:hint="eastAsia" w:eastAsia="宋体" w:cs="宋体"/>
          <w:i w:val="0"/>
          <w:iCs w:val="0"/>
          <w:caps w:val="0"/>
          <w:color w:val="auto"/>
          <w:spacing w:val="0"/>
          <w:sz w:val="22"/>
          <w:szCs w:val="22"/>
          <w:highlight w:val="none"/>
          <w:lang w:eastAsia="zh-CN"/>
        </w:rPr>
        <w:t>ZJYC2025103(GK)</w:t>
      </w:r>
    </w:p>
    <w:p w14:paraId="7B3DD32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rPr>
        <w:t>项目名称：</w:t>
      </w:r>
      <w:r>
        <w:rPr>
          <w:rFonts w:hint="eastAsia" w:eastAsia="宋体" w:cs="宋体"/>
          <w:i w:val="0"/>
          <w:iCs w:val="0"/>
          <w:caps w:val="0"/>
          <w:color w:val="auto"/>
          <w:spacing w:val="0"/>
          <w:sz w:val="22"/>
          <w:szCs w:val="22"/>
          <w:highlight w:val="none"/>
          <w:lang w:eastAsia="zh-CN"/>
        </w:rPr>
        <w:t>元素分析仪</w:t>
      </w:r>
    </w:p>
    <w:p w14:paraId="56608B1E">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rPr>
        <w:t>预算金额（元）：</w:t>
      </w:r>
      <w:r>
        <w:rPr>
          <w:rFonts w:hint="eastAsia" w:eastAsia="宋体" w:cs="宋体"/>
          <w:i w:val="0"/>
          <w:iCs w:val="0"/>
          <w:caps w:val="0"/>
          <w:color w:val="auto"/>
          <w:spacing w:val="0"/>
          <w:sz w:val="22"/>
          <w:szCs w:val="22"/>
          <w:highlight w:val="none"/>
          <w:lang w:eastAsia="zh-CN"/>
        </w:rPr>
        <w:t>550000</w:t>
      </w:r>
    </w:p>
    <w:p w14:paraId="0C91E03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rPr>
        <w:t>最高限价（元）：</w:t>
      </w:r>
      <w:r>
        <w:rPr>
          <w:rFonts w:hint="eastAsia" w:eastAsia="宋体" w:cs="宋体"/>
          <w:i w:val="0"/>
          <w:iCs w:val="0"/>
          <w:caps w:val="0"/>
          <w:color w:val="auto"/>
          <w:spacing w:val="0"/>
          <w:sz w:val="22"/>
          <w:szCs w:val="22"/>
          <w:highlight w:val="none"/>
          <w:lang w:eastAsia="zh-CN"/>
        </w:rPr>
        <w:t>550000</w:t>
      </w:r>
    </w:p>
    <w:p w14:paraId="04E0058C">
      <w:pPr>
        <w:keepNext w:val="0"/>
        <w:keepLines w:val="0"/>
        <w:pageBreakBefore w:val="0"/>
        <w:widowControl/>
        <w:suppressLineNumbers w:val="0"/>
        <w:kinsoku/>
        <w:wordWrap/>
        <w:overflowPunct/>
        <w:topLinePunct w:val="0"/>
        <w:autoSpaceDE/>
        <w:autoSpaceDN/>
        <w:bidi w:val="0"/>
        <w:adjustRightInd/>
        <w:snapToGrid/>
        <w:spacing w:line="360" w:lineRule="exact"/>
        <w:ind w:left="0" w:firstLine="420"/>
        <w:jc w:val="left"/>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bidi="ar"/>
        </w:rPr>
        <w:t>采购需求：  </w:t>
      </w:r>
    </w:p>
    <w:p w14:paraId="2D79726E">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标项名称：</w:t>
      </w:r>
      <w:r>
        <w:rPr>
          <w:rFonts w:hint="eastAsia" w:eastAsia="宋体" w:cs="宋体"/>
          <w:i w:val="0"/>
          <w:iCs w:val="0"/>
          <w:caps w:val="0"/>
          <w:color w:val="auto"/>
          <w:spacing w:val="0"/>
          <w:sz w:val="22"/>
          <w:szCs w:val="22"/>
          <w:highlight w:val="none"/>
          <w:lang w:eastAsia="zh-CN"/>
        </w:rPr>
        <w:t>元素分析仪</w:t>
      </w:r>
      <w:r>
        <w:rPr>
          <w:rFonts w:hint="eastAsia" w:ascii="宋体" w:hAnsi="宋体" w:eastAsia="宋体" w:cs="宋体"/>
          <w:i w:val="0"/>
          <w:iCs w:val="0"/>
          <w:caps w:val="0"/>
          <w:color w:val="auto"/>
          <w:spacing w:val="0"/>
          <w:sz w:val="22"/>
          <w:szCs w:val="22"/>
          <w:highlight w:val="none"/>
        </w:rPr>
        <w:t>    </w:t>
      </w:r>
    </w:p>
    <w:p w14:paraId="7E883121">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数量：1    </w:t>
      </w:r>
    </w:p>
    <w:p w14:paraId="436A7929">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预算金额（元）：</w:t>
      </w:r>
      <w:r>
        <w:rPr>
          <w:rFonts w:hint="eastAsia" w:eastAsia="宋体" w:cs="宋体"/>
          <w:i w:val="0"/>
          <w:iCs w:val="0"/>
          <w:caps w:val="0"/>
          <w:color w:val="auto"/>
          <w:spacing w:val="0"/>
          <w:sz w:val="22"/>
          <w:szCs w:val="22"/>
          <w:highlight w:val="none"/>
          <w:lang w:eastAsia="zh-CN"/>
        </w:rPr>
        <w:t>550000</w:t>
      </w:r>
      <w:r>
        <w:rPr>
          <w:rFonts w:hint="eastAsia" w:ascii="宋体" w:hAnsi="宋体" w:eastAsia="宋体" w:cs="宋体"/>
          <w:i w:val="0"/>
          <w:iCs w:val="0"/>
          <w:caps w:val="0"/>
          <w:color w:val="auto"/>
          <w:spacing w:val="0"/>
          <w:sz w:val="22"/>
          <w:szCs w:val="22"/>
          <w:highlight w:val="none"/>
        </w:rPr>
        <w:t>    </w:t>
      </w:r>
    </w:p>
    <w:p w14:paraId="17A39966">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简要规格描述或项目基本概况介绍、用途：具体以招标文件第三部分采购需求为准，投标人可点击本公告下方“浏览采购文件”查看招标文件。    </w:t>
      </w:r>
    </w:p>
    <w:p w14:paraId="2762C614">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备注：    </w:t>
      </w:r>
    </w:p>
    <w:p w14:paraId="3B8AA442">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合同履约期限：标项 1，具体见招标文件第三部分采购需求</w:t>
      </w:r>
    </w:p>
    <w:p w14:paraId="7F6ACCDF">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本项目（是）接受联合体投标。</w:t>
      </w:r>
    </w:p>
    <w:p w14:paraId="3467E3E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rPr>
        <w:t>二、申请人的资格要求：</w:t>
      </w:r>
    </w:p>
    <w:p w14:paraId="34D8B2CB">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131801A6">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2.落实政府采购政策需满足的资格要求：标项1：本项目专门面向中小企业采购，货物全部由符合政策要求的中小企业制造，提供中小企业声明函。</w:t>
      </w:r>
    </w:p>
    <w:p w14:paraId="3E2F9421">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3.本项目的特定资格要求：无</w:t>
      </w:r>
    </w:p>
    <w:p w14:paraId="1820E982">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rPr>
        <w:t>三、获取招标文件</w:t>
      </w:r>
    </w:p>
    <w:p w14:paraId="542CA139">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时间：/至</w:t>
      </w:r>
      <w:r>
        <w:rPr>
          <w:rFonts w:hint="eastAsia" w:cs="宋体"/>
          <w:i w:val="0"/>
          <w:iCs w:val="0"/>
          <w:caps w:val="0"/>
          <w:color w:val="auto"/>
          <w:spacing w:val="0"/>
          <w:sz w:val="22"/>
          <w:szCs w:val="22"/>
          <w:highlight w:val="none"/>
          <w:lang w:eastAsia="zh-CN"/>
        </w:rPr>
        <w:t>2025年07月23日</w:t>
      </w:r>
      <w:r>
        <w:rPr>
          <w:rFonts w:hint="eastAsia" w:ascii="宋体" w:hAnsi="宋体" w:eastAsia="宋体" w:cs="宋体"/>
          <w:i w:val="0"/>
          <w:iCs w:val="0"/>
          <w:caps w:val="0"/>
          <w:color w:val="auto"/>
          <w:spacing w:val="0"/>
          <w:sz w:val="22"/>
          <w:szCs w:val="22"/>
          <w:highlight w:val="none"/>
        </w:rPr>
        <w:t> ，每天上午00:00至12:00 ，下午12:00至23:59（北京时间，线上获取法定节假日均可，线下获取文件法定节假日除外）</w:t>
      </w:r>
    </w:p>
    <w:p w14:paraId="17B75DCA">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地点（网址）：政采云平台线上获取</w:t>
      </w:r>
    </w:p>
    <w:p w14:paraId="7C557F4A">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方式：供应商登录政采云平台https://www.zcygov.cn/在线申请获取采购文件（进入“项目采购”应用，在获取采购文件菜单中选择项目，申请获取采购文件）（公告规定的采购文件获取方式为依法获取采购文件的方式，未按照公告规定的方式获取采购文件的，不得对采购文件提起质疑、投诉。）</w:t>
      </w:r>
    </w:p>
    <w:p w14:paraId="1453BCC8">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售价（元）：0</w:t>
      </w:r>
    </w:p>
    <w:p w14:paraId="57287490">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rPr>
        <w:t>四、提交投标文件截止时间、开标时间和地点</w:t>
      </w:r>
    </w:p>
    <w:p w14:paraId="4D55BE0B">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提交投标文件截止时间：</w:t>
      </w:r>
      <w:r>
        <w:rPr>
          <w:rFonts w:hint="eastAsia" w:cs="宋体"/>
          <w:i w:val="0"/>
          <w:iCs w:val="0"/>
          <w:caps w:val="0"/>
          <w:color w:val="auto"/>
          <w:spacing w:val="0"/>
          <w:sz w:val="22"/>
          <w:szCs w:val="22"/>
          <w:highlight w:val="none"/>
          <w:lang w:eastAsia="zh-CN"/>
        </w:rPr>
        <w:t>2025年07月23日</w:t>
      </w:r>
      <w:r>
        <w:rPr>
          <w:rFonts w:hint="eastAsia" w:ascii="宋体" w:hAnsi="宋体" w:eastAsia="宋体" w:cs="宋体"/>
          <w:i w:val="0"/>
          <w:iCs w:val="0"/>
          <w:caps w:val="0"/>
          <w:color w:val="auto"/>
          <w:spacing w:val="0"/>
          <w:sz w:val="22"/>
          <w:szCs w:val="22"/>
          <w:highlight w:val="none"/>
        </w:rPr>
        <w:t xml:space="preserve"> </w:t>
      </w:r>
      <w:r>
        <w:rPr>
          <w:rFonts w:hint="eastAsia" w:cs="宋体"/>
          <w:i w:val="0"/>
          <w:iCs w:val="0"/>
          <w:caps w:val="0"/>
          <w:color w:val="auto"/>
          <w:spacing w:val="0"/>
          <w:sz w:val="22"/>
          <w:szCs w:val="22"/>
          <w:highlight w:val="none"/>
          <w:lang w:eastAsia="zh-CN"/>
        </w:rPr>
        <w:t>13:30</w:t>
      </w:r>
      <w:r>
        <w:rPr>
          <w:rFonts w:hint="eastAsia" w:ascii="宋体" w:hAnsi="宋体" w:eastAsia="宋体" w:cs="宋体"/>
          <w:i w:val="0"/>
          <w:iCs w:val="0"/>
          <w:caps w:val="0"/>
          <w:color w:val="auto"/>
          <w:spacing w:val="0"/>
          <w:sz w:val="22"/>
          <w:szCs w:val="22"/>
          <w:highlight w:val="none"/>
        </w:rPr>
        <w:t>（北京时间）</w:t>
      </w:r>
    </w:p>
    <w:p w14:paraId="0C211E2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投标地点（网址）：请登录政采云投标客户端投标</w:t>
      </w:r>
    </w:p>
    <w:p w14:paraId="3025FBEB">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rPr>
        <w:t>开标时间：</w:t>
      </w:r>
      <w:r>
        <w:rPr>
          <w:rFonts w:hint="eastAsia" w:cs="宋体"/>
          <w:i w:val="0"/>
          <w:iCs w:val="0"/>
          <w:caps w:val="0"/>
          <w:color w:val="auto"/>
          <w:spacing w:val="0"/>
          <w:sz w:val="22"/>
          <w:szCs w:val="22"/>
          <w:highlight w:val="none"/>
          <w:lang w:eastAsia="zh-CN"/>
        </w:rPr>
        <w:t>2025年07月23日</w:t>
      </w:r>
      <w:r>
        <w:rPr>
          <w:rFonts w:hint="eastAsia" w:ascii="宋体" w:hAnsi="宋体" w:eastAsia="宋体" w:cs="宋体"/>
          <w:i w:val="0"/>
          <w:iCs w:val="0"/>
          <w:caps w:val="0"/>
          <w:color w:val="auto"/>
          <w:spacing w:val="0"/>
          <w:sz w:val="22"/>
          <w:szCs w:val="22"/>
          <w:highlight w:val="none"/>
        </w:rPr>
        <w:t xml:space="preserve"> </w:t>
      </w:r>
      <w:r>
        <w:rPr>
          <w:rFonts w:hint="eastAsia" w:cs="宋体"/>
          <w:i w:val="0"/>
          <w:iCs w:val="0"/>
          <w:caps w:val="0"/>
          <w:color w:val="auto"/>
          <w:spacing w:val="0"/>
          <w:sz w:val="22"/>
          <w:szCs w:val="22"/>
          <w:highlight w:val="none"/>
          <w:lang w:eastAsia="zh-CN"/>
        </w:rPr>
        <w:t>13:30</w:t>
      </w:r>
    </w:p>
    <w:p w14:paraId="299F8701">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开标地点（网址）：浙江乐诚工程咨询有限公司评审室(杭州市机场路一巷22号杰立大厦裙房2楼)（网址：政府采购云平台（https://www.zcygov.cn）</w:t>
      </w:r>
    </w:p>
    <w:p w14:paraId="5DD1A490">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rPr>
        <w:t>五、公告期限</w:t>
      </w:r>
    </w:p>
    <w:p w14:paraId="0109C838">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自本公告发布之日起5个工作日。</w:t>
      </w:r>
    </w:p>
    <w:p w14:paraId="347C22D9">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rPr>
        <w:t>六、其他补充事宜</w:t>
      </w:r>
    </w:p>
    <w:p w14:paraId="767CB1D0">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79A214D">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4BAC3B50">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4EC2D8">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4.其他事项：（1）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以直接提交、邮寄形式（建议顺丰快递）或者电子邮件形式递交备份投标文件1份；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2）招标文件公告期限与招标公告的公告期限一致。</w:t>
      </w:r>
    </w:p>
    <w:p w14:paraId="64F18F8D">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rPr>
        <w:t>七、对本次采购提出询问、质疑、投诉，请按以下方式联系</w:t>
      </w:r>
    </w:p>
    <w:p w14:paraId="21152CCA">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1.采购人信息</w:t>
      </w:r>
    </w:p>
    <w:p w14:paraId="25EB5B86">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名    称：浙江农林大学</w:t>
      </w:r>
    </w:p>
    <w:p w14:paraId="58CD43EB">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地    址：杭州临安区武肃街666号</w:t>
      </w:r>
    </w:p>
    <w:p w14:paraId="3C310BED">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传    真：</w:t>
      </w:r>
    </w:p>
    <w:p w14:paraId="044D436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项目联系人（询问）：</w:t>
      </w:r>
      <w:r>
        <w:rPr>
          <w:rFonts w:hint="eastAsia" w:eastAsia="宋体" w:cs="宋体"/>
          <w:i w:val="0"/>
          <w:iCs w:val="0"/>
          <w:caps w:val="0"/>
          <w:color w:val="auto"/>
          <w:spacing w:val="0"/>
          <w:sz w:val="22"/>
          <w:szCs w:val="22"/>
          <w:highlight w:val="none"/>
          <w:lang w:val="en-US" w:eastAsia="zh-CN"/>
        </w:rPr>
        <w:t>徐</w:t>
      </w:r>
      <w:r>
        <w:rPr>
          <w:rFonts w:hint="eastAsia" w:ascii="宋体" w:hAnsi="宋体" w:eastAsia="宋体" w:cs="宋体"/>
          <w:i w:val="0"/>
          <w:iCs w:val="0"/>
          <w:caps w:val="0"/>
          <w:color w:val="auto"/>
          <w:spacing w:val="0"/>
          <w:sz w:val="22"/>
          <w:szCs w:val="22"/>
          <w:highlight w:val="none"/>
        </w:rPr>
        <w:t>老师</w:t>
      </w:r>
    </w:p>
    <w:p w14:paraId="5DD3120E">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项目联系方式（询问）：13961764240</w:t>
      </w:r>
    </w:p>
    <w:p w14:paraId="0A95F828">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质疑联系人：朱老师</w:t>
      </w:r>
    </w:p>
    <w:p w14:paraId="01B68611">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质疑联系方式：13891823227</w:t>
      </w:r>
    </w:p>
    <w:p w14:paraId="5E11544A">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2.采购代理机构信息</w:t>
      </w:r>
    </w:p>
    <w:p w14:paraId="43246AE8">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名    称：浙江乐诚工程咨询有限公司</w:t>
      </w:r>
    </w:p>
    <w:p w14:paraId="4B854364">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地    址：杭州市机场路一巷22号杰立大厦裙房2楼</w:t>
      </w:r>
    </w:p>
    <w:p w14:paraId="3B4A1249">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传    真：</w:t>
      </w:r>
    </w:p>
    <w:p w14:paraId="0B7DF781">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项目联系人（询问）：王纪凤/陈素芳</w:t>
      </w:r>
    </w:p>
    <w:p w14:paraId="4BB1C8D2">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项目联系方式（询问）：18357703076</w:t>
      </w:r>
    </w:p>
    <w:p w14:paraId="062AAAA0">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质疑联系人：钱学丰</w:t>
      </w:r>
    </w:p>
    <w:p w14:paraId="07DFA431">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质疑联系方式：15805779720</w:t>
      </w:r>
    </w:p>
    <w:p w14:paraId="07271E63">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3.</w:t>
      </w:r>
      <w:r>
        <w:rPr>
          <w:rStyle w:val="21"/>
          <w:rFonts w:hint="eastAsia" w:ascii="宋体" w:hAnsi="宋体" w:eastAsia="宋体" w:cs="宋体"/>
          <w:i w:val="0"/>
          <w:iCs w:val="0"/>
          <w:caps w:val="0"/>
          <w:color w:val="auto"/>
          <w:spacing w:val="0"/>
          <w:sz w:val="22"/>
          <w:szCs w:val="22"/>
          <w:highlight w:val="none"/>
        </w:rPr>
        <w:t>该项目由采购人处理采购争议。质疑环节，采购人委托采购代理机构处理的，可由采购代理机构答复。对质疑答复不满意的，向采购人内部设置的采购监督机构反映。</w:t>
      </w:r>
      <w:r>
        <w:rPr>
          <w:rFonts w:hint="eastAsia" w:ascii="宋体" w:hAnsi="宋体" w:eastAsia="宋体" w:cs="宋体"/>
          <w:i w:val="0"/>
          <w:iCs w:val="0"/>
          <w:caps w:val="0"/>
          <w:color w:val="auto"/>
          <w:spacing w:val="0"/>
          <w:sz w:val="22"/>
          <w:szCs w:val="22"/>
          <w:highlight w:val="none"/>
        </w:rPr>
        <w:t>  </w:t>
      </w:r>
    </w:p>
    <w:p w14:paraId="7CC41C43">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政策咨询：何一平、冯华，0571-87058424、87055741    </w:t>
      </w:r>
    </w:p>
    <w:p w14:paraId="2D2CBADD">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预算金额未达100万元的采购项目，由采购人处理采购争议。    </w:t>
      </w:r>
    </w:p>
    <w:p w14:paraId="0B468607">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若对项目采购电子交易系统操作有疑问，可登录政采云（https://www.zcygov.cn/），点击右侧咨询小采，获取采小蜜智能服务管家帮助，或拨打政采云服务热线95763获取热线服务帮助。</w:t>
      </w:r>
    </w:p>
    <w:p w14:paraId="7AC55099">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CA问题联系电话（人工）：汇信CA 400-888-4636；天谷CA 400-087-8198。</w:t>
      </w:r>
    </w:p>
    <w:p w14:paraId="183F04BE">
      <w:pPr>
        <w:pStyle w:val="15"/>
        <w:spacing w:before="0" w:beforeAutospacing="0" w:after="0" w:afterAutospacing="0" w:line="400" w:lineRule="exact"/>
        <w:ind w:firstLine="440" w:firstLineChars="200"/>
        <w:rPr>
          <w:rFonts w:hint="eastAsia" w:ascii="宋体" w:hAnsi="宋体" w:eastAsia="宋体" w:cs="宋体"/>
          <w:color w:val="auto"/>
          <w:kern w:val="2"/>
          <w:sz w:val="22"/>
          <w:szCs w:val="22"/>
          <w:highlight w:val="none"/>
        </w:rPr>
      </w:pPr>
    </w:p>
    <w:p w14:paraId="6BE0A9C4">
      <w:pPr>
        <w:pStyle w:val="15"/>
        <w:spacing w:before="0" w:beforeAutospacing="0" w:after="0" w:afterAutospacing="0" w:line="400" w:lineRule="exact"/>
        <w:rPr>
          <w:rFonts w:hint="eastAsia" w:ascii="宋体" w:hAnsi="宋体" w:eastAsia="宋体" w:cs="宋体"/>
          <w:color w:val="auto"/>
          <w:sz w:val="22"/>
          <w:szCs w:val="22"/>
          <w:highlight w:val="none"/>
        </w:rPr>
      </w:pPr>
    </w:p>
    <w:p w14:paraId="65C269ED">
      <w:pPr>
        <w:pStyle w:val="12"/>
        <w:spacing w:line="400" w:lineRule="exact"/>
        <w:ind w:firstLine="44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浙江农林大学</w:t>
      </w:r>
    </w:p>
    <w:p w14:paraId="44A2F3D6">
      <w:pPr>
        <w:pStyle w:val="12"/>
        <w:spacing w:line="400" w:lineRule="exact"/>
        <w:ind w:firstLine="44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浙江乐诚工程咨询有限公司</w:t>
      </w:r>
    </w:p>
    <w:p w14:paraId="2E89C752">
      <w:pPr>
        <w:pStyle w:val="12"/>
        <w:spacing w:line="400" w:lineRule="exact"/>
        <w:ind w:firstLine="44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eastAsia="zh-CN"/>
        </w:rPr>
        <w:t>2025年07月02日</w:t>
      </w:r>
    </w:p>
    <w:p w14:paraId="283216BC">
      <w:pPr>
        <w:pStyle w:val="9"/>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6E41E09F">
      <w:pPr>
        <w:numPr>
          <w:ilvl w:val="0"/>
          <w:numId w:val="1"/>
        </w:numPr>
        <w:adjustRightInd/>
        <w:spacing w:line="360" w:lineRule="auto"/>
        <w:jc w:val="center"/>
        <w:outlineLvl w:val="0"/>
        <w:rPr>
          <w:rStyle w:val="22"/>
          <w:rFonts w:hint="eastAsia" w:ascii="宋体" w:hAnsi="宋体" w:eastAsia="宋体" w:cs="宋体"/>
          <w:color w:val="auto"/>
          <w:highlight w:val="none"/>
        </w:rPr>
      </w:pPr>
      <w:r>
        <w:rPr>
          <w:rFonts w:hint="eastAsia" w:ascii="宋体" w:hAnsi="宋体" w:eastAsia="宋体" w:cs="宋体"/>
          <w:b/>
          <w:color w:val="auto"/>
          <w:sz w:val="36"/>
          <w:szCs w:val="20"/>
          <w:highlight w:val="none"/>
        </w:rPr>
        <w:br w:type="page"/>
      </w:r>
      <w:bookmarkEnd w:id="9"/>
      <w:bookmarkStart w:id="12" w:name="_Toc984"/>
      <w:r>
        <w:rPr>
          <w:rStyle w:val="22"/>
          <w:rFonts w:hint="eastAsia" w:ascii="宋体" w:hAnsi="宋体" w:eastAsia="宋体" w:cs="宋体"/>
          <w:color w:val="auto"/>
          <w:highlight w:val="none"/>
        </w:rPr>
        <w:t>投标人须知</w:t>
      </w:r>
      <w:bookmarkEnd w:id="10"/>
      <w:bookmarkEnd w:id="12"/>
    </w:p>
    <w:p w14:paraId="473B051E">
      <w:pPr>
        <w:adjustRightInd/>
        <w:spacing w:line="400" w:lineRule="exact"/>
        <w:jc w:val="center"/>
        <w:outlineLvl w:val="0"/>
        <w:rPr>
          <w:rStyle w:val="22"/>
          <w:rFonts w:hint="eastAsia" w:ascii="宋体" w:hAnsi="宋体" w:eastAsia="宋体" w:cs="宋体"/>
          <w:color w:val="auto"/>
          <w:highlight w:val="none"/>
        </w:rPr>
      </w:pPr>
      <w:bookmarkStart w:id="13" w:name="_Toc27690"/>
      <w:r>
        <w:rPr>
          <w:rStyle w:val="22"/>
          <w:rFonts w:hint="eastAsia" w:ascii="宋体" w:hAnsi="宋体" w:eastAsia="宋体" w:cs="宋体"/>
          <w:color w:val="auto"/>
          <w:highlight w:val="none"/>
        </w:rPr>
        <w:t>前附表</w:t>
      </w:r>
      <w:bookmarkEnd w:id="13"/>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9"/>
        <w:gridCol w:w="1826"/>
        <w:gridCol w:w="7036"/>
      </w:tblGrid>
      <w:tr w14:paraId="202EF6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tblHeader/>
          <w:jc w:val="center"/>
        </w:trPr>
        <w:tc>
          <w:tcPr>
            <w:tcW w:w="779" w:type="dxa"/>
            <w:noWrap w:val="0"/>
            <w:vAlign w:val="center"/>
          </w:tcPr>
          <w:p w14:paraId="405A95D1">
            <w:pPr>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826" w:type="dxa"/>
            <w:noWrap w:val="0"/>
            <w:vAlign w:val="center"/>
          </w:tcPr>
          <w:p w14:paraId="49D03787">
            <w:pPr>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   目</w:t>
            </w:r>
          </w:p>
        </w:tc>
        <w:tc>
          <w:tcPr>
            <w:tcW w:w="7036" w:type="dxa"/>
            <w:noWrap w:val="0"/>
            <w:vAlign w:val="center"/>
          </w:tcPr>
          <w:p w14:paraId="6EC2A886">
            <w:pPr>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       容</w:t>
            </w:r>
          </w:p>
        </w:tc>
      </w:tr>
      <w:tr w14:paraId="655351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779" w:type="dxa"/>
            <w:noWrap w:val="0"/>
            <w:vAlign w:val="center"/>
          </w:tcPr>
          <w:p w14:paraId="18C11BFE">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826" w:type="dxa"/>
            <w:noWrap w:val="0"/>
            <w:vAlign w:val="center"/>
          </w:tcPr>
          <w:p w14:paraId="10A56771">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036" w:type="dxa"/>
            <w:noWrap w:val="0"/>
            <w:vAlign w:val="center"/>
          </w:tcPr>
          <w:p w14:paraId="1A3E833F">
            <w:pPr>
              <w:spacing w:line="400" w:lineRule="exact"/>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详见第一部分“招标公告”</w:t>
            </w:r>
          </w:p>
        </w:tc>
      </w:tr>
      <w:tr w14:paraId="63DBEB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6187B727">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826" w:type="dxa"/>
            <w:noWrap w:val="0"/>
            <w:vAlign w:val="center"/>
          </w:tcPr>
          <w:p w14:paraId="6EA4080D">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合同履行地点</w:t>
            </w:r>
          </w:p>
        </w:tc>
        <w:tc>
          <w:tcPr>
            <w:tcW w:w="7036" w:type="dxa"/>
            <w:noWrap w:val="0"/>
            <w:vAlign w:val="center"/>
          </w:tcPr>
          <w:p w14:paraId="6FB997BB">
            <w:pPr>
              <w:spacing w:line="400" w:lineRule="exact"/>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rPr>
              <w:t>详见第一部分“招标公告”</w:t>
            </w:r>
          </w:p>
        </w:tc>
      </w:tr>
      <w:tr w14:paraId="5298AE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006E5EC4">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826" w:type="dxa"/>
            <w:noWrap w:val="0"/>
            <w:vAlign w:val="center"/>
          </w:tcPr>
          <w:p w14:paraId="09D7C13C">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项目编号</w:t>
            </w:r>
          </w:p>
        </w:tc>
        <w:tc>
          <w:tcPr>
            <w:tcW w:w="7036" w:type="dxa"/>
            <w:noWrap w:val="0"/>
            <w:vAlign w:val="center"/>
          </w:tcPr>
          <w:p w14:paraId="69507796">
            <w:pPr>
              <w:spacing w:line="400" w:lineRule="exact"/>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rPr>
              <w:t>详见第一部分“招标公告”</w:t>
            </w:r>
          </w:p>
        </w:tc>
      </w:tr>
      <w:tr w14:paraId="309ADB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3E7C2EE1">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826" w:type="dxa"/>
            <w:noWrap w:val="0"/>
            <w:vAlign w:val="center"/>
          </w:tcPr>
          <w:p w14:paraId="364B9895">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w:t>
            </w:r>
          </w:p>
        </w:tc>
        <w:tc>
          <w:tcPr>
            <w:tcW w:w="7036" w:type="dxa"/>
            <w:noWrap w:val="0"/>
            <w:vAlign w:val="center"/>
          </w:tcPr>
          <w:p w14:paraId="65B60CB3">
            <w:pPr>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公开招标</w:t>
            </w:r>
          </w:p>
        </w:tc>
      </w:tr>
      <w:tr w14:paraId="35385C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5DE442FF">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826" w:type="dxa"/>
            <w:noWrap w:val="0"/>
            <w:vAlign w:val="center"/>
          </w:tcPr>
          <w:p w14:paraId="724F71AB">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采购需求</w:t>
            </w:r>
          </w:p>
        </w:tc>
        <w:tc>
          <w:tcPr>
            <w:tcW w:w="7036" w:type="dxa"/>
            <w:noWrap w:val="0"/>
            <w:vAlign w:val="center"/>
          </w:tcPr>
          <w:p w14:paraId="142CB803">
            <w:pPr>
              <w:spacing w:line="400" w:lineRule="exac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详见第一部分“招标公告”</w:t>
            </w:r>
          </w:p>
        </w:tc>
      </w:tr>
      <w:tr w14:paraId="030ED0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5E303F78">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826" w:type="dxa"/>
            <w:noWrap w:val="0"/>
            <w:vAlign w:val="center"/>
          </w:tcPr>
          <w:p w14:paraId="7BD138F7">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合同履约期限</w:t>
            </w:r>
          </w:p>
        </w:tc>
        <w:tc>
          <w:tcPr>
            <w:tcW w:w="7036" w:type="dxa"/>
            <w:noWrap w:val="0"/>
            <w:vAlign w:val="center"/>
          </w:tcPr>
          <w:p w14:paraId="29B384D5">
            <w:pPr>
              <w:spacing w:line="400" w:lineRule="exact"/>
              <w:rPr>
                <w:rFonts w:hint="eastAsia" w:ascii="宋体" w:hAnsi="宋体" w:eastAsia="宋体" w:cs="宋体"/>
                <w:color w:val="auto"/>
                <w:kern w:val="0"/>
                <w:sz w:val="22"/>
                <w:szCs w:val="22"/>
                <w:highlight w:val="none"/>
              </w:rPr>
            </w:pPr>
            <w:r>
              <w:rPr>
                <w:rFonts w:hint="eastAsia" w:ascii="宋体" w:hAnsi="宋体" w:eastAsia="宋体" w:cs="宋体"/>
                <w:bCs/>
                <w:color w:val="auto"/>
                <w:kern w:val="0"/>
                <w:sz w:val="22"/>
                <w:szCs w:val="22"/>
                <w:highlight w:val="none"/>
              </w:rPr>
              <w:t>详见第一部分“招标公告”</w:t>
            </w:r>
          </w:p>
        </w:tc>
      </w:tr>
      <w:tr w14:paraId="7B5986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5AF61688">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826" w:type="dxa"/>
            <w:noWrap w:val="0"/>
            <w:vAlign w:val="center"/>
          </w:tcPr>
          <w:p w14:paraId="3B76DE00">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7036" w:type="dxa"/>
            <w:noWrap w:val="0"/>
            <w:vAlign w:val="center"/>
          </w:tcPr>
          <w:p w14:paraId="3887A699">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财政资金</w:t>
            </w:r>
          </w:p>
        </w:tc>
      </w:tr>
      <w:tr w14:paraId="08FB84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40A62273">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826" w:type="dxa"/>
            <w:noWrap w:val="0"/>
            <w:vAlign w:val="center"/>
          </w:tcPr>
          <w:p w14:paraId="7782231D">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7036" w:type="dxa"/>
            <w:noWrap w:val="0"/>
            <w:vAlign w:val="center"/>
          </w:tcPr>
          <w:p w14:paraId="5B8E260D">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本项目不需缴纳投标保证金</w:t>
            </w:r>
          </w:p>
        </w:tc>
      </w:tr>
      <w:tr w14:paraId="02B8FC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779" w:type="dxa"/>
            <w:noWrap w:val="0"/>
            <w:vAlign w:val="center"/>
          </w:tcPr>
          <w:p w14:paraId="306F582C">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1826" w:type="dxa"/>
            <w:noWrap w:val="0"/>
            <w:vAlign w:val="center"/>
          </w:tcPr>
          <w:p w14:paraId="15CE8042">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w:t>
            </w:r>
          </w:p>
        </w:tc>
        <w:tc>
          <w:tcPr>
            <w:tcW w:w="7036" w:type="dxa"/>
            <w:noWrap w:val="0"/>
            <w:vAlign w:val="center"/>
          </w:tcPr>
          <w:p w14:paraId="1DE6524A">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详见第三部分“采购需求”</w:t>
            </w:r>
          </w:p>
        </w:tc>
      </w:tr>
      <w:tr w14:paraId="526FE1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0F48BED6">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1826" w:type="dxa"/>
            <w:noWrap w:val="0"/>
            <w:vAlign w:val="center"/>
          </w:tcPr>
          <w:p w14:paraId="16E488CB">
            <w:pPr>
              <w:spacing w:line="400" w:lineRule="exact"/>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u w:val="single"/>
                <w:lang w:val="en-US" w:eastAsia="zh-CN"/>
              </w:rPr>
              <w:t>最高限价</w:t>
            </w:r>
          </w:p>
        </w:tc>
        <w:tc>
          <w:tcPr>
            <w:tcW w:w="7036" w:type="dxa"/>
            <w:noWrap w:val="0"/>
            <w:vAlign w:val="center"/>
          </w:tcPr>
          <w:p w14:paraId="2BE96948">
            <w:pPr>
              <w:spacing w:line="400" w:lineRule="exact"/>
              <w:jc w:val="both"/>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u w:val="single"/>
                <w:lang w:val="en-US" w:eastAsia="zh-CN"/>
              </w:rPr>
              <w:t>详见招标公告</w:t>
            </w:r>
            <w:r>
              <w:rPr>
                <w:rFonts w:hint="eastAsia" w:ascii="宋体" w:hAnsi="宋体" w:eastAsia="宋体" w:cs="宋体"/>
                <w:color w:val="auto"/>
                <w:kern w:val="0"/>
                <w:sz w:val="22"/>
                <w:szCs w:val="22"/>
                <w:highlight w:val="none"/>
                <w:u w:val="single"/>
              </w:rPr>
              <w:t>；报价超过</w:t>
            </w:r>
            <w:r>
              <w:rPr>
                <w:rFonts w:hint="eastAsia" w:ascii="宋体" w:hAnsi="宋体" w:eastAsia="宋体" w:cs="宋体"/>
                <w:color w:val="auto"/>
                <w:kern w:val="0"/>
                <w:sz w:val="22"/>
                <w:szCs w:val="22"/>
                <w:highlight w:val="none"/>
                <w:u w:val="single"/>
                <w:lang w:val="en-US" w:eastAsia="zh-CN"/>
              </w:rPr>
              <w:t>预算金额</w:t>
            </w:r>
            <w:r>
              <w:rPr>
                <w:rFonts w:hint="eastAsia" w:ascii="宋体" w:hAnsi="宋体" w:eastAsia="宋体" w:cs="宋体"/>
                <w:color w:val="auto"/>
                <w:kern w:val="0"/>
                <w:sz w:val="22"/>
                <w:szCs w:val="22"/>
                <w:highlight w:val="none"/>
                <w:u w:val="single"/>
              </w:rPr>
              <w:t>的投标无效。</w:t>
            </w:r>
          </w:p>
        </w:tc>
      </w:tr>
      <w:tr w14:paraId="510654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5CDB4CA3">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1826" w:type="dxa"/>
            <w:noWrap w:val="0"/>
            <w:vAlign w:val="center"/>
          </w:tcPr>
          <w:p w14:paraId="576EA18E">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现场踏勘</w:t>
            </w:r>
          </w:p>
        </w:tc>
        <w:tc>
          <w:tcPr>
            <w:tcW w:w="7036" w:type="dxa"/>
            <w:noWrap w:val="0"/>
            <w:vAlign w:val="center"/>
          </w:tcPr>
          <w:p w14:paraId="113F7053">
            <w:pPr>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sym w:font="Wingdings" w:char="00FE"/>
            </w:r>
            <w:r>
              <w:rPr>
                <w:rFonts w:hint="eastAsia" w:ascii="宋体" w:hAnsi="宋体" w:eastAsia="宋体" w:cs="宋体"/>
                <w:color w:val="auto"/>
                <w:kern w:val="0"/>
                <w:sz w:val="22"/>
                <w:szCs w:val="22"/>
                <w:highlight w:val="none"/>
              </w:rPr>
              <w:t xml:space="preserve"> 不组织。如有需要投标人</w:t>
            </w:r>
            <w:r>
              <w:rPr>
                <w:rFonts w:hint="eastAsia" w:ascii="宋体" w:hAnsi="宋体" w:eastAsia="宋体" w:cs="宋体"/>
                <w:color w:val="auto"/>
                <w:kern w:val="0"/>
                <w:sz w:val="22"/>
                <w:szCs w:val="22"/>
                <w:highlight w:val="none"/>
                <w:lang w:val="zh-CN"/>
              </w:rPr>
              <w:t>自行前往项目现场进行踏勘，</w:t>
            </w:r>
            <w:r>
              <w:rPr>
                <w:rFonts w:hint="eastAsia" w:ascii="宋体" w:hAnsi="宋体" w:eastAsia="宋体" w:cs="宋体"/>
                <w:color w:val="auto"/>
                <w:kern w:val="0"/>
                <w:sz w:val="22"/>
                <w:szCs w:val="22"/>
                <w:highlight w:val="none"/>
              </w:rPr>
              <w:t>投标人</w:t>
            </w:r>
            <w:r>
              <w:rPr>
                <w:rFonts w:hint="eastAsia" w:ascii="宋体" w:hAnsi="宋体" w:eastAsia="宋体" w:cs="宋体"/>
                <w:color w:val="auto"/>
                <w:kern w:val="0"/>
                <w:sz w:val="22"/>
                <w:szCs w:val="22"/>
                <w:highlight w:val="none"/>
                <w:lang w:val="zh-CN"/>
              </w:rPr>
              <w:t>因现场踏勘影响投标报价、方案编制的，由</w:t>
            </w:r>
            <w:r>
              <w:rPr>
                <w:rFonts w:hint="eastAsia" w:ascii="宋体" w:hAnsi="宋体" w:eastAsia="宋体" w:cs="宋体"/>
                <w:color w:val="auto"/>
                <w:kern w:val="0"/>
                <w:sz w:val="22"/>
                <w:szCs w:val="22"/>
                <w:highlight w:val="none"/>
              </w:rPr>
              <w:t>投标人</w:t>
            </w:r>
            <w:r>
              <w:rPr>
                <w:rFonts w:hint="eastAsia" w:ascii="宋体" w:hAnsi="宋体" w:eastAsia="宋体" w:cs="宋体"/>
                <w:color w:val="auto"/>
                <w:kern w:val="0"/>
                <w:sz w:val="22"/>
                <w:szCs w:val="22"/>
                <w:highlight w:val="none"/>
                <w:lang w:val="zh-CN"/>
              </w:rPr>
              <w:t>自行承担，因</w:t>
            </w:r>
            <w:r>
              <w:rPr>
                <w:rFonts w:hint="eastAsia" w:ascii="宋体" w:hAnsi="宋体" w:eastAsia="宋体" w:cs="宋体"/>
                <w:color w:val="auto"/>
                <w:kern w:val="0"/>
                <w:sz w:val="22"/>
                <w:szCs w:val="22"/>
                <w:highlight w:val="none"/>
              </w:rPr>
              <w:t>投标人</w:t>
            </w:r>
            <w:r>
              <w:rPr>
                <w:rFonts w:hint="eastAsia" w:ascii="宋体" w:hAnsi="宋体" w:eastAsia="宋体" w:cs="宋体"/>
                <w:color w:val="auto"/>
                <w:kern w:val="0"/>
                <w:sz w:val="22"/>
                <w:szCs w:val="22"/>
                <w:highlight w:val="none"/>
                <w:lang w:val="zh-CN"/>
              </w:rPr>
              <w:t>自身不能参加现场勘察或现场踏勘不全面的，</w:t>
            </w:r>
            <w:r>
              <w:rPr>
                <w:rFonts w:hint="eastAsia" w:ascii="宋体" w:hAnsi="宋体" w:eastAsia="宋体" w:cs="宋体"/>
                <w:color w:val="auto"/>
                <w:kern w:val="0"/>
                <w:sz w:val="22"/>
                <w:szCs w:val="22"/>
                <w:highlight w:val="none"/>
              </w:rPr>
              <w:t>投标人</w:t>
            </w:r>
            <w:r>
              <w:rPr>
                <w:rFonts w:hint="eastAsia" w:ascii="宋体" w:hAnsi="宋体" w:eastAsia="宋体" w:cs="宋体"/>
                <w:color w:val="auto"/>
                <w:kern w:val="0"/>
                <w:sz w:val="22"/>
                <w:szCs w:val="22"/>
                <w:highlight w:val="none"/>
                <w:lang w:val="zh-CN"/>
              </w:rPr>
              <w:t>不得因此提出修改投标报价或提出索赔等要求。</w:t>
            </w:r>
          </w:p>
          <w:p w14:paraId="5D7A191E">
            <w:pPr>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sym w:font="Wingdings" w:char="00A8"/>
            </w:r>
            <w:r>
              <w:rPr>
                <w:rFonts w:hint="eastAsia" w:ascii="宋体" w:hAnsi="宋体" w:eastAsia="宋体" w:cs="宋体"/>
                <w:color w:val="auto"/>
                <w:kern w:val="0"/>
                <w:sz w:val="22"/>
                <w:szCs w:val="22"/>
                <w:highlight w:val="none"/>
              </w:rPr>
              <w:t xml:space="preserve"> 组织，时间：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，地点：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，联系人：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，联系方式</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tc>
      </w:tr>
      <w:tr w14:paraId="3CCECA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56037476">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1826" w:type="dxa"/>
            <w:noWrap w:val="0"/>
            <w:vAlign w:val="center"/>
          </w:tcPr>
          <w:p w14:paraId="5C3B125B">
            <w:pPr>
              <w:spacing w:line="40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联合体投标</w:t>
            </w:r>
          </w:p>
        </w:tc>
        <w:tc>
          <w:tcPr>
            <w:tcW w:w="7036" w:type="dxa"/>
            <w:noWrap w:val="0"/>
            <w:vAlign w:val="center"/>
          </w:tcPr>
          <w:p w14:paraId="330F7DFF">
            <w:pPr>
              <w:spacing w:line="400" w:lineRule="exac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1.本项目接受联合体投标；</w:t>
            </w:r>
          </w:p>
          <w:p w14:paraId="52F17D91">
            <w:pPr>
              <w:spacing w:line="400" w:lineRule="exac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2.联合体投标要求</w:t>
            </w:r>
          </w:p>
          <w:p w14:paraId="0AB7BAB6">
            <w:pPr>
              <w:spacing w:line="400" w:lineRule="exac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以联合体形式参加政府采购的，联合体各方不得再单独参加或者与其他供应商另外组成联合体参加同一合同项下的政府采购活动，且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1326422B">
            <w:pPr>
              <w:spacing w:line="400" w:lineRule="exac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（2）两个以上的自然人、法人或者其他组织可以组成一个联合体，以一个投标人的身份共同参加政府采购。</w:t>
            </w:r>
          </w:p>
          <w:p w14:paraId="4B7D8471">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t>（3）除非另有规定和说明，若联合体参与投标的，涉及签字或盖章的可由联合体牵头人执行，本招标文件中涉及“供应商或投标人”一词亦指联合体各方。</w:t>
            </w:r>
          </w:p>
        </w:tc>
      </w:tr>
      <w:tr w14:paraId="546AFA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28601A54">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1826" w:type="dxa"/>
            <w:noWrap w:val="0"/>
            <w:vAlign w:val="center"/>
          </w:tcPr>
          <w:p w14:paraId="531C3468">
            <w:pPr>
              <w:spacing w:line="40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分包与转包</w:t>
            </w:r>
          </w:p>
        </w:tc>
        <w:tc>
          <w:tcPr>
            <w:tcW w:w="7036" w:type="dxa"/>
            <w:noWrap w:val="0"/>
            <w:vAlign w:val="center"/>
          </w:tcPr>
          <w:p w14:paraId="6CD59287">
            <w:pPr>
              <w:spacing w:line="400" w:lineRule="exac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（1）分包：</w:t>
            </w:r>
          </w:p>
          <w:p w14:paraId="0825925A">
            <w:pPr>
              <w:spacing w:line="400" w:lineRule="exac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sym w:font="Wingdings" w:char="00FE"/>
            </w:r>
            <w:r>
              <w:rPr>
                <w:rFonts w:hint="eastAsia" w:ascii="宋体" w:hAnsi="宋体" w:eastAsia="宋体" w:cs="宋体"/>
                <w:bCs/>
                <w:color w:val="auto"/>
                <w:kern w:val="0"/>
                <w:sz w:val="22"/>
                <w:szCs w:val="22"/>
                <w:highlight w:val="none"/>
              </w:rPr>
              <w:t xml:space="preserve"> </w:t>
            </w:r>
            <w:r>
              <w:rPr>
                <w:rFonts w:hint="eastAsia" w:ascii="宋体" w:hAnsi="宋体" w:eastAsia="宋体" w:cs="宋体"/>
                <w:color w:val="auto"/>
                <w:sz w:val="22"/>
                <w:szCs w:val="22"/>
                <w:highlight w:val="none"/>
              </w:rPr>
              <w:t>同意将非主体、非关键性的货物运输工作分包</w:t>
            </w:r>
            <w:r>
              <w:rPr>
                <w:rFonts w:hint="eastAsia" w:ascii="宋体" w:hAnsi="宋体" w:eastAsia="宋体" w:cs="宋体"/>
                <w:bCs/>
                <w:color w:val="auto"/>
                <w:kern w:val="0"/>
                <w:sz w:val="22"/>
                <w:szCs w:val="22"/>
                <w:highlight w:val="none"/>
              </w:rPr>
              <w:t>。</w:t>
            </w:r>
          </w:p>
          <w:p w14:paraId="1A6984AC">
            <w:pPr>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供应商根据招标文件的规定和采购项目的实际情况，拟在中标后将中标项目的非主体、非关键性工作分包的，应当在投标文件中载明分包承担主体，分包承担主体应当具备相应资质条件且不得再次分包。</w:t>
            </w:r>
          </w:p>
          <w:p w14:paraId="01E1A5A3">
            <w:pPr>
              <w:spacing w:line="400" w:lineRule="exact"/>
              <w:rPr>
                <w:rFonts w:hint="eastAsia" w:ascii="宋体" w:hAnsi="宋体" w:eastAsia="宋体" w:cs="宋体"/>
                <w:bCs/>
                <w:color w:val="auto"/>
                <w:kern w:val="0"/>
                <w:sz w:val="22"/>
                <w:szCs w:val="22"/>
                <w:highlight w:val="none"/>
              </w:rPr>
            </w:pPr>
            <w:r>
              <w:rPr>
                <w:rFonts w:hint="eastAsia" w:ascii="宋体" w:hAnsi="宋体" w:eastAsia="宋体" w:cs="宋体"/>
                <w:color w:val="auto"/>
                <w:kern w:val="0"/>
                <w:sz w:val="22"/>
                <w:szCs w:val="22"/>
                <w:highlight w:val="none"/>
                <w:lang w:val="zh-CN"/>
              </w:rPr>
              <w:t>当分包份额占到合同总金额100%时，视为转包。此情况根据《中华人民共和国政府采购法实施条例》（国务院令第658号）文件第七十二条规定，将依照政府采购法第七十七条第一款的规定追究相应法律责任。</w:t>
            </w:r>
          </w:p>
          <w:p w14:paraId="4D942B29">
            <w:pPr>
              <w:spacing w:line="400" w:lineRule="exac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sym w:font="Wingdings" w:char="00A8"/>
            </w:r>
            <w:r>
              <w:rPr>
                <w:rFonts w:hint="eastAsia" w:ascii="宋体" w:hAnsi="宋体" w:eastAsia="宋体" w:cs="宋体"/>
                <w:bCs/>
                <w:color w:val="auto"/>
                <w:kern w:val="0"/>
                <w:sz w:val="22"/>
                <w:szCs w:val="22"/>
                <w:highlight w:val="none"/>
              </w:rPr>
              <w:t xml:space="preserve"> 不同意分包。</w:t>
            </w:r>
          </w:p>
          <w:p w14:paraId="575BF673">
            <w:pPr>
              <w:numPr>
                <w:ilvl w:val="0"/>
                <w:numId w:val="2"/>
              </w:numPr>
              <w:spacing w:line="400" w:lineRule="exact"/>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rPr>
              <w:t>转包：本项目不允许转包。</w:t>
            </w:r>
          </w:p>
        </w:tc>
      </w:tr>
      <w:tr w14:paraId="4F7EC9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16EC5462">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1826" w:type="dxa"/>
            <w:noWrap w:val="0"/>
            <w:vAlign w:val="center"/>
          </w:tcPr>
          <w:p w14:paraId="20DC2F01">
            <w:pPr>
              <w:spacing w:line="40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是否允许采购进口产品</w:t>
            </w:r>
          </w:p>
        </w:tc>
        <w:tc>
          <w:tcPr>
            <w:tcW w:w="7036" w:type="dxa"/>
            <w:noWrap w:val="0"/>
            <w:vAlign w:val="center"/>
          </w:tcPr>
          <w:p w14:paraId="250CE2AA">
            <w:pPr>
              <w:spacing w:line="400" w:lineRule="exac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sym w:font="Wingdings" w:char="00FE"/>
            </w:r>
            <w:r>
              <w:rPr>
                <w:rFonts w:hint="eastAsia" w:ascii="宋体" w:hAnsi="宋体" w:eastAsia="宋体" w:cs="宋体"/>
                <w:bCs/>
                <w:color w:val="auto"/>
                <w:kern w:val="0"/>
                <w:sz w:val="22"/>
                <w:szCs w:val="22"/>
                <w:highlight w:val="none"/>
              </w:rPr>
              <w:t>本项目不允许采购进口产品。</w:t>
            </w:r>
          </w:p>
          <w:p w14:paraId="023BB862">
            <w:pPr>
              <w:spacing w:line="400" w:lineRule="exac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sym w:font="Wingdings" w:char="00A8"/>
            </w:r>
            <w:r>
              <w:rPr>
                <w:rFonts w:hint="eastAsia" w:ascii="宋体" w:hAnsi="宋体" w:eastAsia="宋体" w:cs="宋体"/>
                <w:bCs/>
                <w:color w:val="auto"/>
                <w:kern w:val="0"/>
                <w:sz w:val="22"/>
                <w:szCs w:val="22"/>
                <w:highlight w:val="none"/>
                <w:lang w:val="en-US" w:eastAsia="zh-CN"/>
              </w:rPr>
              <w:t>允许采购进口产品</w:t>
            </w:r>
            <w:r>
              <w:rPr>
                <w:rFonts w:hint="eastAsia" w:ascii="宋体" w:hAnsi="宋体" w:eastAsia="宋体" w:cs="宋体"/>
                <w:bCs/>
                <w:color w:val="auto"/>
                <w:kern w:val="0"/>
                <w:sz w:val="22"/>
                <w:szCs w:val="22"/>
                <w:highlight w:val="none"/>
              </w:rPr>
              <w:t>。</w:t>
            </w:r>
          </w:p>
        </w:tc>
      </w:tr>
      <w:tr w14:paraId="09D15D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6AFF0202">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1826" w:type="dxa"/>
            <w:noWrap w:val="0"/>
            <w:vAlign w:val="center"/>
          </w:tcPr>
          <w:p w14:paraId="0FC73A4F">
            <w:pPr>
              <w:spacing w:line="400" w:lineRule="exact"/>
              <w:jc w:val="center"/>
              <w:rPr>
                <w:rFonts w:hint="eastAsia" w:ascii="宋体" w:hAnsi="宋体" w:eastAsia="宋体" w:cs="宋体"/>
                <w:bCs/>
                <w:snapToGrid w:val="0"/>
                <w:color w:val="auto"/>
                <w:kern w:val="0"/>
                <w:sz w:val="22"/>
                <w:szCs w:val="22"/>
                <w:highlight w:val="none"/>
              </w:rPr>
            </w:pPr>
            <w:r>
              <w:rPr>
                <w:rFonts w:hint="eastAsia" w:ascii="宋体" w:hAnsi="宋体" w:eastAsia="宋体" w:cs="宋体"/>
                <w:bCs/>
                <w:color w:val="auto"/>
                <w:sz w:val="22"/>
                <w:szCs w:val="22"/>
                <w:highlight w:val="none"/>
              </w:rPr>
              <w:t>样品提供</w:t>
            </w:r>
          </w:p>
        </w:tc>
        <w:tc>
          <w:tcPr>
            <w:tcW w:w="7036" w:type="dxa"/>
            <w:noWrap w:val="0"/>
            <w:vAlign w:val="center"/>
          </w:tcPr>
          <w:p w14:paraId="1ACF7007">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w:char="00FE"/>
            </w:r>
            <w:r>
              <w:rPr>
                <w:rFonts w:hint="eastAsia" w:ascii="宋体" w:hAnsi="宋体" w:eastAsia="宋体" w:cs="宋体"/>
                <w:color w:val="auto"/>
                <w:sz w:val="22"/>
                <w:szCs w:val="22"/>
                <w:highlight w:val="none"/>
              </w:rPr>
              <w:t xml:space="preserve"> 不要求提供</w:t>
            </w:r>
          </w:p>
          <w:p w14:paraId="4F52ECE2">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rPr>
              <w:t xml:space="preserve"> 要求提供</w:t>
            </w:r>
          </w:p>
        </w:tc>
      </w:tr>
      <w:tr w14:paraId="1C1976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0E0D4620">
            <w:pPr>
              <w:spacing w:line="4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6</w:t>
            </w:r>
          </w:p>
        </w:tc>
        <w:tc>
          <w:tcPr>
            <w:tcW w:w="1826" w:type="dxa"/>
            <w:noWrap w:val="0"/>
            <w:vAlign w:val="center"/>
          </w:tcPr>
          <w:p w14:paraId="6032BC59">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投标文件的编制</w:t>
            </w:r>
          </w:p>
        </w:tc>
        <w:tc>
          <w:tcPr>
            <w:tcW w:w="7036" w:type="dxa"/>
            <w:noWrap w:val="0"/>
            <w:vAlign w:val="center"/>
          </w:tcPr>
          <w:p w14:paraId="5DEA571B">
            <w:pPr>
              <w:spacing w:line="400" w:lineRule="exact"/>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rPr>
              <w:t>详见第二部分“</w:t>
            </w:r>
            <w:r>
              <w:rPr>
                <w:rFonts w:hint="eastAsia" w:ascii="宋体" w:hAnsi="宋体" w:eastAsia="宋体" w:cs="宋体"/>
                <w:color w:val="auto"/>
                <w:sz w:val="22"/>
                <w:szCs w:val="22"/>
                <w:highlight w:val="none"/>
                <w:lang w:val="zh-CN"/>
              </w:rPr>
              <w:t>投标人须知</w:t>
            </w:r>
            <w:r>
              <w:rPr>
                <w:rFonts w:hint="eastAsia" w:ascii="宋体" w:hAnsi="宋体" w:eastAsia="宋体" w:cs="宋体"/>
                <w:bCs/>
                <w:color w:val="auto"/>
                <w:kern w:val="0"/>
                <w:sz w:val="22"/>
                <w:szCs w:val="22"/>
                <w:highlight w:val="none"/>
              </w:rPr>
              <w:t>”</w:t>
            </w:r>
            <w:r>
              <w:rPr>
                <w:rFonts w:hint="eastAsia" w:ascii="宋体" w:hAnsi="宋体" w:eastAsia="宋体" w:cs="宋体"/>
                <w:color w:val="auto"/>
                <w:sz w:val="22"/>
                <w:szCs w:val="22"/>
                <w:highlight w:val="none"/>
                <w:lang w:val="zh-CN"/>
              </w:rPr>
              <w:t>第</w:t>
            </w:r>
            <w:r>
              <w:rPr>
                <w:rFonts w:hint="eastAsia" w:ascii="宋体" w:hAnsi="宋体" w:eastAsia="宋体" w:cs="宋体"/>
                <w:color w:val="auto"/>
                <w:sz w:val="22"/>
                <w:szCs w:val="22"/>
                <w:highlight w:val="none"/>
              </w:rPr>
              <w:t>13</w:t>
            </w:r>
            <w:r>
              <w:rPr>
                <w:rFonts w:hint="eastAsia" w:ascii="宋体" w:hAnsi="宋体" w:eastAsia="宋体" w:cs="宋体"/>
                <w:color w:val="auto"/>
                <w:sz w:val="22"/>
                <w:szCs w:val="22"/>
                <w:highlight w:val="none"/>
                <w:lang w:val="zh-CN"/>
              </w:rPr>
              <w:t>款</w:t>
            </w:r>
          </w:p>
        </w:tc>
      </w:tr>
      <w:tr w14:paraId="14A0A7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77DC67BD">
            <w:pPr>
              <w:spacing w:line="4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7</w:t>
            </w:r>
          </w:p>
        </w:tc>
        <w:tc>
          <w:tcPr>
            <w:tcW w:w="1826" w:type="dxa"/>
            <w:noWrap w:val="0"/>
            <w:vAlign w:val="center"/>
          </w:tcPr>
          <w:p w14:paraId="7CA281B8">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投标文件的形式</w:t>
            </w:r>
          </w:p>
        </w:tc>
        <w:tc>
          <w:tcPr>
            <w:tcW w:w="7036" w:type="dxa"/>
            <w:noWrap w:val="0"/>
            <w:vAlign w:val="center"/>
          </w:tcPr>
          <w:p w14:paraId="538BEA1D">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39194ED3">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r>
              <w:rPr>
                <w:rFonts w:hint="eastAsia" w:ascii="宋体" w:hAnsi="宋体" w:eastAsia="宋体" w:cs="宋体"/>
                <w:b/>
                <w:bCs/>
                <w:color w:val="auto"/>
                <w:sz w:val="22"/>
                <w:szCs w:val="22"/>
                <w:highlight w:val="none"/>
              </w:rPr>
              <w:t>（文件扩展名为.jmbs）</w:t>
            </w:r>
            <w:r>
              <w:rPr>
                <w:rFonts w:hint="eastAsia" w:ascii="宋体" w:hAnsi="宋体" w:eastAsia="宋体" w:cs="宋体"/>
                <w:color w:val="auto"/>
                <w:sz w:val="22"/>
                <w:szCs w:val="22"/>
                <w:highlight w:val="none"/>
              </w:rPr>
              <w:t>。</w:t>
            </w:r>
          </w:p>
          <w:p w14:paraId="150F0704">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w:t>
            </w:r>
            <w:r>
              <w:rPr>
                <w:rStyle w:val="19"/>
                <w:rFonts w:hint="eastAsia" w:ascii="宋体" w:hAnsi="宋体" w:eastAsia="宋体" w:cs="宋体"/>
                <w:color w:val="auto"/>
                <w:sz w:val="22"/>
                <w:szCs w:val="22"/>
                <w:highlight w:val="none"/>
              </w:rPr>
              <w:t>(文件扩展名为.bfbs)</w:t>
            </w:r>
            <w:r>
              <w:rPr>
                <w:rFonts w:hint="eastAsia" w:ascii="宋体" w:hAnsi="宋体" w:eastAsia="宋体" w:cs="宋体"/>
                <w:b/>
                <w:bCs/>
                <w:color w:val="auto"/>
                <w:sz w:val="22"/>
                <w:szCs w:val="22"/>
                <w:highlight w:val="none"/>
              </w:rPr>
              <w:t>，</w:t>
            </w:r>
            <w:r>
              <w:rPr>
                <w:rFonts w:hint="eastAsia" w:ascii="宋体" w:hAnsi="宋体" w:eastAsia="宋体" w:cs="宋体"/>
                <w:color w:val="auto"/>
                <w:sz w:val="22"/>
                <w:szCs w:val="22"/>
                <w:highlight w:val="none"/>
              </w:rPr>
              <w:t>（备份标书，用于供应商标书解密异常时应急使用），其他方式编制的备份投标文件视为无效备份投标文件。</w:t>
            </w:r>
          </w:p>
          <w:p w14:paraId="5D4864E0">
            <w:pPr>
              <w:spacing w:line="400" w:lineRule="exact"/>
              <w:rPr>
                <w:rFonts w:hint="eastAsia" w:ascii="宋体" w:hAnsi="宋体" w:eastAsia="宋体" w:cs="宋体"/>
                <w:color w:val="auto"/>
                <w:sz w:val="22"/>
                <w:szCs w:val="22"/>
                <w:highlight w:val="none"/>
              </w:rPr>
            </w:pPr>
            <w:r>
              <w:rPr>
                <w:rFonts w:hint="eastAsia" w:ascii="宋体" w:hAnsi="宋体" w:eastAsia="宋体" w:cs="宋体"/>
                <w:b/>
                <w:bCs/>
                <w:snapToGrid w:val="0"/>
                <w:color w:val="auto"/>
                <w:sz w:val="22"/>
                <w:szCs w:val="22"/>
                <w:highlight w:val="none"/>
              </w:rPr>
              <w:t>注：</w:t>
            </w:r>
            <w:r>
              <w:rPr>
                <w:rFonts w:hint="eastAsia" w:ascii="宋体" w:hAnsi="宋体" w:eastAsia="宋体" w:cs="宋体"/>
                <w:b/>
                <w:bCs/>
                <w:color w:val="auto"/>
                <w:sz w:val="22"/>
                <w:szCs w:val="22"/>
                <w:highlight w:val="none"/>
              </w:rPr>
              <w:t>中标人在领取中标通知书时，将投标文件打印纸质版3份（邮寄或者送达</w:t>
            </w:r>
            <w:r>
              <w:rPr>
                <w:rFonts w:hint="eastAsia" w:ascii="宋体" w:hAnsi="宋体" w:eastAsia="宋体" w:cs="宋体"/>
                <w:b/>
                <w:bCs/>
                <w:color w:val="auto"/>
                <w:kern w:val="0"/>
                <w:sz w:val="22"/>
                <w:szCs w:val="22"/>
                <w:highlight w:val="none"/>
              </w:rPr>
              <w:t>地址：</w:t>
            </w:r>
            <w:r>
              <w:rPr>
                <w:rFonts w:hint="eastAsia" w:ascii="宋体" w:hAnsi="宋体" w:eastAsia="宋体" w:cs="宋体"/>
                <w:b/>
                <w:bCs/>
                <w:color w:val="auto"/>
                <w:sz w:val="22"/>
                <w:szCs w:val="22"/>
                <w:highlight w:val="none"/>
              </w:rPr>
              <w:t>杭州市机场路一巷22号杰立大厦裙房2楼（浙江乐诚工程咨询有限公司），</w:t>
            </w:r>
            <w:r>
              <w:rPr>
                <w:rFonts w:hint="eastAsia" w:ascii="宋体" w:hAnsi="宋体" w:eastAsia="宋体" w:cs="宋体"/>
                <w:b/>
                <w:bCs/>
                <w:color w:val="auto"/>
                <w:kern w:val="0"/>
                <w:sz w:val="22"/>
                <w:szCs w:val="22"/>
                <w:highlight w:val="none"/>
              </w:rPr>
              <w:t>联系人：王纪凤，电话：</w:t>
            </w:r>
            <w:r>
              <w:rPr>
                <w:rFonts w:hint="eastAsia" w:ascii="宋体" w:hAnsi="宋体" w:eastAsia="宋体" w:cs="宋体"/>
                <w:b/>
                <w:bCs/>
                <w:snapToGrid w:val="0"/>
                <w:color w:val="auto"/>
                <w:sz w:val="22"/>
                <w:szCs w:val="22"/>
                <w:highlight w:val="none"/>
              </w:rPr>
              <w:t xml:space="preserve">18357703076 </w:t>
            </w:r>
            <w:r>
              <w:rPr>
                <w:rFonts w:hint="eastAsia" w:ascii="宋体" w:hAnsi="宋体" w:eastAsia="宋体" w:cs="宋体"/>
                <w:b/>
                <w:bCs/>
                <w:color w:val="auto"/>
                <w:sz w:val="22"/>
                <w:szCs w:val="22"/>
                <w:highlight w:val="none"/>
              </w:rPr>
              <w:t>）。</w:t>
            </w:r>
          </w:p>
        </w:tc>
      </w:tr>
      <w:tr w14:paraId="614041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1BD8447A">
            <w:pPr>
              <w:spacing w:line="4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8</w:t>
            </w:r>
          </w:p>
        </w:tc>
        <w:tc>
          <w:tcPr>
            <w:tcW w:w="1826" w:type="dxa"/>
            <w:noWrap w:val="0"/>
            <w:vAlign w:val="center"/>
          </w:tcPr>
          <w:p w14:paraId="11093145">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投标文件的传输递交</w:t>
            </w:r>
          </w:p>
        </w:tc>
        <w:tc>
          <w:tcPr>
            <w:tcW w:w="7036" w:type="dxa"/>
            <w:noWrap w:val="0"/>
            <w:vAlign w:val="center"/>
          </w:tcPr>
          <w:p w14:paraId="288CA174">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详见第二部分“投标人须知”第16款</w:t>
            </w:r>
          </w:p>
          <w:p w14:paraId="3FCFA053">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注：上传、递交过程中如有疑问，可咨询“政采云”客服热线：95763</w:t>
            </w:r>
          </w:p>
        </w:tc>
      </w:tr>
      <w:tr w14:paraId="2B348B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2682FB95">
            <w:pPr>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19</w:t>
            </w:r>
          </w:p>
        </w:tc>
        <w:tc>
          <w:tcPr>
            <w:tcW w:w="1826" w:type="dxa"/>
            <w:noWrap w:val="0"/>
            <w:vAlign w:val="center"/>
          </w:tcPr>
          <w:p w14:paraId="2FFE1C01">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提交投标文件截止时间、开标时间和地点</w:t>
            </w:r>
          </w:p>
        </w:tc>
        <w:tc>
          <w:tcPr>
            <w:tcW w:w="7036" w:type="dxa"/>
            <w:noWrap w:val="0"/>
            <w:vAlign w:val="center"/>
          </w:tcPr>
          <w:p w14:paraId="083C21C2">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详见第一部分“招标公告”</w:t>
            </w:r>
          </w:p>
        </w:tc>
      </w:tr>
      <w:tr w14:paraId="547EF9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14CA1DE8">
            <w:pPr>
              <w:spacing w:line="4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0</w:t>
            </w:r>
          </w:p>
        </w:tc>
        <w:tc>
          <w:tcPr>
            <w:tcW w:w="1826" w:type="dxa"/>
            <w:noWrap w:val="0"/>
            <w:vAlign w:val="center"/>
          </w:tcPr>
          <w:p w14:paraId="030A3494">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评标委员会的组建</w:t>
            </w:r>
          </w:p>
        </w:tc>
        <w:tc>
          <w:tcPr>
            <w:tcW w:w="7036" w:type="dxa"/>
            <w:noWrap w:val="0"/>
            <w:vAlign w:val="center"/>
          </w:tcPr>
          <w:p w14:paraId="093D16DC">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评标委员会由采购人代表和评审专家组成，成员人数应当为 5 人及以上单数，其中评审专家不得少于成员总数的三分之二。</w:t>
            </w:r>
          </w:p>
        </w:tc>
      </w:tr>
      <w:tr w14:paraId="0A4A81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6155A13E">
            <w:pPr>
              <w:spacing w:line="4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1</w:t>
            </w:r>
          </w:p>
        </w:tc>
        <w:tc>
          <w:tcPr>
            <w:tcW w:w="1826" w:type="dxa"/>
            <w:noWrap w:val="0"/>
            <w:vAlign w:val="center"/>
          </w:tcPr>
          <w:p w14:paraId="2E7185EF">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w:t>
            </w:r>
          </w:p>
        </w:tc>
        <w:tc>
          <w:tcPr>
            <w:tcW w:w="7036" w:type="dxa"/>
            <w:noWrap w:val="0"/>
            <w:vAlign w:val="center"/>
          </w:tcPr>
          <w:p w14:paraId="7690D103">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详见第四部分“评标办法”</w:t>
            </w:r>
          </w:p>
        </w:tc>
      </w:tr>
      <w:tr w14:paraId="373778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7DA0D5A9">
            <w:pPr>
              <w:spacing w:line="4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2</w:t>
            </w:r>
          </w:p>
        </w:tc>
        <w:tc>
          <w:tcPr>
            <w:tcW w:w="1826" w:type="dxa"/>
            <w:noWrap w:val="0"/>
            <w:vAlign w:val="center"/>
          </w:tcPr>
          <w:p w14:paraId="3B59923C">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中标结果公告</w:t>
            </w:r>
          </w:p>
        </w:tc>
        <w:tc>
          <w:tcPr>
            <w:tcW w:w="7036" w:type="dxa"/>
            <w:noWrap w:val="0"/>
            <w:vAlign w:val="center"/>
          </w:tcPr>
          <w:p w14:paraId="69059546">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结果经采购人确认后2个工作日内，采购代理机构将对外发布中标成交公告和中标通知书。采购代理机构按相关政府采购规定将中标结果发布在政府采购网上进行公告，中标公告期限为1个工作日。采购人、采购代理机构及评标委员会对未中标的投标人不作落标原因解释。</w:t>
            </w:r>
          </w:p>
        </w:tc>
      </w:tr>
      <w:tr w14:paraId="3320B7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12238E21">
            <w:pPr>
              <w:spacing w:line="4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3</w:t>
            </w:r>
          </w:p>
        </w:tc>
        <w:tc>
          <w:tcPr>
            <w:tcW w:w="1826" w:type="dxa"/>
            <w:noWrap w:val="0"/>
            <w:vAlign w:val="center"/>
          </w:tcPr>
          <w:p w14:paraId="5C722D70">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合同签订时间</w:t>
            </w:r>
          </w:p>
        </w:tc>
        <w:tc>
          <w:tcPr>
            <w:tcW w:w="7036" w:type="dxa"/>
            <w:noWrap w:val="0"/>
            <w:vAlign w:val="center"/>
          </w:tcPr>
          <w:p w14:paraId="45A5BF8A">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中标通知书发出后30日内。</w:t>
            </w:r>
          </w:p>
        </w:tc>
      </w:tr>
      <w:tr w14:paraId="579802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035D6B07">
            <w:pPr>
              <w:spacing w:line="4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4</w:t>
            </w:r>
          </w:p>
        </w:tc>
        <w:tc>
          <w:tcPr>
            <w:tcW w:w="1826" w:type="dxa"/>
            <w:noWrap w:val="0"/>
            <w:vAlign w:val="center"/>
          </w:tcPr>
          <w:p w14:paraId="47935732">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7036" w:type="dxa"/>
            <w:noWrap w:val="0"/>
            <w:vAlign w:val="center"/>
          </w:tcPr>
          <w:p w14:paraId="210E1016">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投标有效期为从提交投标文件的截止之日起</w:t>
            </w:r>
            <w:r>
              <w:rPr>
                <w:rFonts w:hint="eastAsia" w:ascii="宋体" w:hAnsi="宋体" w:eastAsia="宋体" w:cs="宋体"/>
                <w:color w:val="auto"/>
                <w:sz w:val="22"/>
                <w:szCs w:val="22"/>
                <w:highlight w:val="none"/>
                <w:u w:val="single"/>
              </w:rPr>
              <w:t xml:space="preserve"> 90日历</w:t>
            </w:r>
            <w:r>
              <w:rPr>
                <w:rFonts w:hint="eastAsia" w:ascii="宋体" w:hAnsi="宋体" w:eastAsia="宋体" w:cs="宋体"/>
                <w:color w:val="auto"/>
                <w:sz w:val="22"/>
                <w:szCs w:val="22"/>
                <w:highlight w:val="none"/>
              </w:rPr>
              <w:t>天</w:t>
            </w:r>
          </w:p>
        </w:tc>
      </w:tr>
      <w:tr w14:paraId="3C571E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44FAD08F">
            <w:pPr>
              <w:spacing w:line="4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5</w:t>
            </w:r>
          </w:p>
        </w:tc>
        <w:tc>
          <w:tcPr>
            <w:tcW w:w="1826" w:type="dxa"/>
            <w:noWrap w:val="0"/>
            <w:vAlign w:val="center"/>
          </w:tcPr>
          <w:p w14:paraId="105619A3">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w:t>
            </w:r>
          </w:p>
        </w:tc>
        <w:tc>
          <w:tcPr>
            <w:tcW w:w="7036" w:type="dxa"/>
            <w:noWrap w:val="0"/>
            <w:vAlign w:val="center"/>
          </w:tcPr>
          <w:p w14:paraId="31F94C1F">
            <w:pPr>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根据《政府采购质疑和投诉办法》第十条的规定，供应商认为采购文件、采购过程、中标或者成交结果使自己的权益受到损害的，可以在知道或者应知其权益受到损害之日起 7 个工作日内，以书面形式向采购人、采购代理机构提出质疑。</w:t>
            </w:r>
          </w:p>
        </w:tc>
      </w:tr>
      <w:tr w14:paraId="31539F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6B02E72A">
            <w:pPr>
              <w:spacing w:line="4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6</w:t>
            </w:r>
          </w:p>
        </w:tc>
        <w:tc>
          <w:tcPr>
            <w:tcW w:w="1826" w:type="dxa"/>
            <w:noWrap w:val="0"/>
            <w:vAlign w:val="center"/>
          </w:tcPr>
          <w:p w14:paraId="79084A01">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w:t>
            </w:r>
          </w:p>
        </w:tc>
        <w:tc>
          <w:tcPr>
            <w:tcW w:w="7036" w:type="dxa"/>
            <w:noWrap w:val="0"/>
            <w:vAlign w:val="center"/>
          </w:tcPr>
          <w:p w14:paraId="750565AA">
            <w:pPr>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根据《政府采购质疑和投诉办法》第十七条的规定，质疑供应商对采购人、采购代理机构的答复不满意，或者采购人、采购代理机构未在规定时间内作出答复的，可以在答复期满后 15 个工作日内向本级财政部门提起投诉。</w:t>
            </w:r>
          </w:p>
        </w:tc>
      </w:tr>
      <w:tr w14:paraId="6805FE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174ABE48">
            <w:pPr>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7</w:t>
            </w:r>
          </w:p>
        </w:tc>
        <w:tc>
          <w:tcPr>
            <w:tcW w:w="1826" w:type="dxa"/>
            <w:noWrap w:val="0"/>
            <w:vAlign w:val="center"/>
          </w:tcPr>
          <w:p w14:paraId="7EC094B4">
            <w:pPr>
              <w:spacing w:line="40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color w:val="auto"/>
                <w:sz w:val="22"/>
                <w:szCs w:val="22"/>
                <w:highlight w:val="none"/>
              </w:rPr>
              <w:t>供应商信用信息查询</w:t>
            </w:r>
          </w:p>
        </w:tc>
        <w:tc>
          <w:tcPr>
            <w:tcW w:w="7036" w:type="dxa"/>
            <w:noWrap w:val="0"/>
            <w:vAlign w:val="center"/>
          </w:tcPr>
          <w:p w14:paraId="07D2B3DF">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根据《关于在政府采购活动中查询及使用信用记录有关问题的通知》财库[2016]125号的规定：</w:t>
            </w:r>
          </w:p>
          <w:p w14:paraId="77BE9AE5">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1）采购人或采购代理机构将对本项目投标人的信用信息进行查询。</w:t>
            </w:r>
          </w:p>
          <w:p w14:paraId="31A40E0E">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2）查询渠道为信用中国网站（www.creditchina.gov.cn）、中国政府采购网（www.ccgp.gov.cn）。</w:t>
            </w:r>
          </w:p>
          <w:p w14:paraId="69BBA7CA">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3）信用信息截止时点为从本项目投标截止日往前追溯三年，期间被列入失信被执行人名单、重大税收违法案件当事人名单、政府采购严重违法失信行为记录名单等投标人信用信息均将用于本项目。</w:t>
            </w:r>
          </w:p>
          <w:p w14:paraId="3BF4AB62">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4）信用信息查询记录和证据以网页截图等方式留存。</w:t>
            </w:r>
          </w:p>
          <w:p w14:paraId="04466B57">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5）信用信息将作为评审和确定中标人的依据。</w:t>
            </w:r>
          </w:p>
          <w:p w14:paraId="5857B567">
            <w:pPr>
              <w:pStyle w:val="23"/>
              <w:snapToGrid/>
              <w:spacing w:line="400" w:lineRule="exact"/>
              <w:ind w:firstLine="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6）联合体成员存在不良信用记录的，视同联合体存在不良信用记录。</w:t>
            </w:r>
          </w:p>
        </w:tc>
      </w:tr>
      <w:tr w14:paraId="264435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58D243D0">
            <w:pPr>
              <w:spacing w:line="4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8</w:t>
            </w:r>
          </w:p>
        </w:tc>
        <w:tc>
          <w:tcPr>
            <w:tcW w:w="1826" w:type="dxa"/>
            <w:noWrap w:val="0"/>
            <w:vAlign w:val="center"/>
          </w:tcPr>
          <w:p w14:paraId="663734E5">
            <w:pPr>
              <w:snapToGrid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项目属性与核心产品</w:t>
            </w:r>
          </w:p>
        </w:tc>
        <w:tc>
          <w:tcPr>
            <w:tcW w:w="7036" w:type="dxa"/>
            <w:noWrap w:val="0"/>
            <w:vAlign w:val="center"/>
          </w:tcPr>
          <w:p w14:paraId="1F92DFFB">
            <w:pPr>
              <w:spacing w:line="36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货物类，</w:t>
            </w:r>
            <w:r>
              <w:rPr>
                <w:rFonts w:hint="eastAsia" w:ascii="宋体" w:hAnsi="宋体" w:eastAsia="宋体" w:cs="宋体"/>
                <w:color w:val="auto"/>
                <w:kern w:val="0"/>
                <w:sz w:val="22"/>
                <w:szCs w:val="22"/>
                <w:highlight w:val="none"/>
              </w:rPr>
              <w:t>核心产品</w:t>
            </w:r>
            <w:r>
              <w:rPr>
                <w:rFonts w:hint="eastAsia" w:ascii="宋体" w:hAnsi="宋体" w:eastAsia="宋体" w:cs="宋体"/>
                <w:color w:val="auto"/>
                <w:sz w:val="22"/>
                <w:szCs w:val="22"/>
                <w:highlight w:val="none"/>
              </w:rPr>
              <w:t>为：</w:t>
            </w:r>
            <w:r>
              <w:rPr>
                <w:rFonts w:hint="eastAsia" w:ascii="宋体" w:hAnsi="宋体" w:eastAsia="宋体" w:cs="宋体"/>
                <w:snapToGrid w:val="0"/>
                <w:color w:val="auto"/>
                <w:sz w:val="22"/>
                <w:szCs w:val="22"/>
                <w:highlight w:val="none"/>
                <w:u w:val="single"/>
                <w:lang w:eastAsia="zh-CN"/>
              </w:rPr>
              <w:t>元素分析仪</w:t>
            </w:r>
            <w:r>
              <w:rPr>
                <w:rFonts w:hint="eastAsia" w:ascii="宋体" w:hAnsi="宋体" w:eastAsia="宋体" w:cs="宋体"/>
                <w:color w:val="auto"/>
                <w:sz w:val="22"/>
                <w:szCs w:val="22"/>
                <w:highlight w:val="none"/>
              </w:rPr>
              <w:t>。</w:t>
            </w:r>
          </w:p>
        </w:tc>
      </w:tr>
      <w:tr w14:paraId="0BC9C2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5A214FAC">
            <w:pPr>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29</w:t>
            </w:r>
          </w:p>
        </w:tc>
        <w:tc>
          <w:tcPr>
            <w:tcW w:w="1826" w:type="dxa"/>
            <w:noWrap w:val="0"/>
            <w:vAlign w:val="center"/>
          </w:tcPr>
          <w:p w14:paraId="7723A3D2">
            <w:pPr>
              <w:spacing w:line="400" w:lineRule="exact"/>
              <w:jc w:val="center"/>
              <w:rPr>
                <w:rFonts w:hint="eastAsia" w:ascii="宋体" w:hAnsi="宋体" w:eastAsia="宋体" w:cs="宋体"/>
                <w:b/>
                <w:bCs/>
                <w:snapToGrid w:val="0"/>
                <w:color w:val="auto"/>
                <w:sz w:val="22"/>
                <w:szCs w:val="22"/>
                <w:highlight w:val="none"/>
              </w:rPr>
            </w:pPr>
            <w:r>
              <w:rPr>
                <w:rFonts w:hint="eastAsia" w:ascii="宋体" w:hAnsi="宋体" w:eastAsia="宋体" w:cs="宋体"/>
                <w:snapToGrid w:val="0"/>
                <w:color w:val="auto"/>
                <w:sz w:val="22"/>
                <w:szCs w:val="22"/>
                <w:highlight w:val="none"/>
              </w:rPr>
              <w:t>中小企业预留份额情况</w:t>
            </w:r>
          </w:p>
        </w:tc>
        <w:tc>
          <w:tcPr>
            <w:tcW w:w="7036" w:type="dxa"/>
            <w:noWrap w:val="0"/>
            <w:vAlign w:val="center"/>
          </w:tcPr>
          <w:p w14:paraId="45A046EC">
            <w:pPr>
              <w:autoSpaceDE w:val="0"/>
              <w:autoSpaceDN w:val="0"/>
              <w:snapToGrid w:val="0"/>
              <w:spacing w:line="400" w:lineRule="exact"/>
              <w:jc w:val="left"/>
              <w:textAlignment w:val="bottom"/>
              <w:rPr>
                <w:rFonts w:hint="eastAsia" w:ascii="宋体" w:hAnsi="宋体" w:eastAsia="宋体" w:cs="宋体"/>
                <w:b/>
                <w:bCs/>
                <w:snapToGrid w:val="0"/>
                <w:color w:val="auto"/>
                <w:sz w:val="22"/>
                <w:szCs w:val="22"/>
                <w:highlight w:val="none"/>
              </w:rPr>
            </w:pPr>
            <w:r>
              <w:rPr>
                <w:rFonts w:hint="eastAsia" w:ascii="宋体" w:hAnsi="宋体" w:cs="宋体"/>
                <w:b/>
                <w:color w:val="auto"/>
                <w:sz w:val="22"/>
                <w:szCs w:val="22"/>
                <w:highlight w:val="none"/>
              </w:rPr>
              <w:t>根据《政府采购促进中小企业发展管理办法》财库〔2020〕46号文件的规定，本项目将采购项目整体专门面向中小企业采购。组成联合体或者接受分包合同的中小企业与联合体内其他企业、分包企业之间不得存在直接控股、管理关系。</w:t>
            </w:r>
          </w:p>
        </w:tc>
      </w:tr>
      <w:tr w14:paraId="5E3D79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193161F8">
            <w:pPr>
              <w:spacing w:line="4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0</w:t>
            </w:r>
          </w:p>
        </w:tc>
        <w:tc>
          <w:tcPr>
            <w:tcW w:w="1826" w:type="dxa"/>
            <w:noWrap w:val="0"/>
            <w:vAlign w:val="center"/>
          </w:tcPr>
          <w:p w14:paraId="298CBBDA">
            <w:pPr>
              <w:spacing w:line="40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color w:val="auto"/>
                <w:sz w:val="22"/>
                <w:szCs w:val="22"/>
                <w:highlight w:val="none"/>
              </w:rPr>
              <w:t>标的名称及其对应的中小企业划分标准所属行业</w:t>
            </w:r>
          </w:p>
        </w:tc>
        <w:tc>
          <w:tcPr>
            <w:tcW w:w="7036" w:type="dxa"/>
            <w:noWrap w:val="0"/>
            <w:vAlign w:val="center"/>
          </w:tcPr>
          <w:p w14:paraId="2BDB40D0">
            <w:pPr>
              <w:spacing w:line="400" w:lineRule="exact"/>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rPr>
              <w:t>1.标的名称：</w:t>
            </w:r>
            <w:r>
              <w:rPr>
                <w:rFonts w:hint="eastAsia" w:ascii="宋体" w:hAnsi="宋体" w:eastAsia="宋体" w:cs="宋体"/>
                <w:b/>
                <w:bCs/>
                <w:color w:val="auto"/>
                <w:sz w:val="22"/>
                <w:szCs w:val="22"/>
                <w:highlight w:val="none"/>
                <w:u w:val="single"/>
                <w:lang w:eastAsia="zh-CN"/>
              </w:rPr>
              <w:t>元素分析仪</w:t>
            </w:r>
            <w:r>
              <w:rPr>
                <w:rFonts w:hint="eastAsia" w:ascii="宋体" w:hAnsi="宋体" w:eastAsia="宋体" w:cs="宋体"/>
                <w:b/>
                <w:bCs/>
                <w:color w:val="auto"/>
                <w:sz w:val="22"/>
                <w:szCs w:val="22"/>
                <w:highlight w:val="none"/>
                <w:u w:val="single"/>
              </w:rPr>
              <w:t>；</w:t>
            </w:r>
          </w:p>
          <w:p w14:paraId="014112CB">
            <w:pPr>
              <w:snapToGrid w:val="0"/>
              <w:spacing w:line="400" w:lineRule="exact"/>
              <w:jc w:val="left"/>
              <w:rPr>
                <w:rFonts w:hint="eastAsia" w:ascii="宋体" w:hAnsi="宋体" w:eastAsia="宋体" w:cs="宋体"/>
                <w:snapToGrid w:val="0"/>
                <w:color w:val="auto"/>
                <w:sz w:val="22"/>
                <w:szCs w:val="22"/>
                <w:highlight w:val="none"/>
              </w:rPr>
            </w:pPr>
            <w:r>
              <w:rPr>
                <w:rFonts w:hint="eastAsia" w:ascii="宋体" w:hAnsi="宋体" w:eastAsia="宋体" w:cs="宋体"/>
                <w:b/>
                <w:bCs/>
                <w:color w:val="auto"/>
                <w:sz w:val="22"/>
                <w:szCs w:val="22"/>
                <w:highlight w:val="none"/>
              </w:rPr>
              <w:t>2.本项目属于</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b/>
                <w:bCs/>
                <w:snapToGrid w:val="0"/>
                <w:color w:val="auto"/>
                <w:sz w:val="22"/>
                <w:szCs w:val="22"/>
                <w:highlight w:val="none"/>
                <w:u w:val="single"/>
              </w:rPr>
              <w:t xml:space="preserve">工业  </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b/>
                <w:bCs/>
                <w:color w:val="auto"/>
                <w:sz w:val="22"/>
                <w:szCs w:val="22"/>
                <w:highlight w:val="none"/>
              </w:rPr>
              <w:t>行业</w:t>
            </w:r>
            <w:r>
              <w:rPr>
                <w:rFonts w:hint="eastAsia" w:ascii="宋体" w:hAnsi="宋体" w:eastAsia="宋体" w:cs="宋体"/>
                <w:color w:val="auto"/>
                <w:sz w:val="22"/>
                <w:szCs w:val="22"/>
                <w:highlight w:val="none"/>
              </w:rPr>
              <w:t>。</w:t>
            </w:r>
          </w:p>
          <w:p w14:paraId="213B611E">
            <w:pPr>
              <w:spacing w:line="400" w:lineRule="exact"/>
              <w:rPr>
                <w:rFonts w:hint="eastAsia" w:ascii="宋体" w:hAnsi="宋体" w:eastAsia="宋体" w:cs="宋体"/>
                <w:color w:val="auto"/>
                <w:sz w:val="22"/>
                <w:szCs w:val="22"/>
                <w:highlight w:val="none"/>
                <w:u w:val="single"/>
              </w:rPr>
            </w:pPr>
            <w:r>
              <w:rPr>
                <w:rFonts w:hint="eastAsia" w:ascii="宋体" w:hAnsi="宋体" w:eastAsia="宋体" w:cs="宋体"/>
                <w:snapToGrid w:val="0"/>
                <w:color w:val="auto"/>
                <w:sz w:val="22"/>
                <w:szCs w:val="22"/>
                <w:highlight w:val="none"/>
              </w:rPr>
              <w:t>划分标准：</w:t>
            </w:r>
            <w:r>
              <w:rPr>
                <w:rFonts w:hint="eastAsia" w:ascii="宋体" w:hAnsi="宋体" w:eastAsia="宋体" w:cs="宋体"/>
                <w:color w:val="auto"/>
                <w:sz w:val="22"/>
                <w:szCs w:val="22"/>
                <w:highlight w:val="none"/>
                <w:u w:val="singl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E3F8710">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中小企业的划分标准依据《关于印发中小企业划型标准规定的通知》（工信部联企业〔2011〕300号）文件执行。</w:t>
            </w:r>
          </w:p>
        </w:tc>
      </w:tr>
      <w:tr w14:paraId="151D38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4A3694AB">
            <w:pPr>
              <w:spacing w:line="4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1</w:t>
            </w:r>
          </w:p>
        </w:tc>
        <w:tc>
          <w:tcPr>
            <w:tcW w:w="1826" w:type="dxa"/>
            <w:noWrap w:val="0"/>
            <w:vAlign w:val="center"/>
          </w:tcPr>
          <w:p w14:paraId="1138B12D">
            <w:pPr>
              <w:pStyle w:val="5"/>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节能产品、环境标志产品</w:t>
            </w:r>
          </w:p>
        </w:tc>
        <w:tc>
          <w:tcPr>
            <w:tcW w:w="7036" w:type="dxa"/>
            <w:noWrap w:val="0"/>
            <w:vAlign w:val="center"/>
          </w:tcPr>
          <w:p w14:paraId="3F077AEF">
            <w:pPr>
              <w:pStyle w:val="5"/>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0052"/>
            </w:r>
            <w:r>
              <w:rPr>
                <w:rFonts w:hint="eastAsia" w:ascii="宋体" w:hAnsi="宋体" w:eastAsia="宋体" w:cs="宋体"/>
                <w:color w:val="auto"/>
                <w:sz w:val="22"/>
                <w:szCs w:val="22"/>
                <w:highlight w:val="none"/>
              </w:rPr>
              <w:t xml:space="preserve">适用  </w:t>
            </w:r>
            <w:r>
              <w:rPr>
                <w:rFonts w:hint="eastAsia" w:ascii="宋体" w:hAnsi="宋体" w:eastAsia="宋体" w:cs="宋体"/>
                <w:color w:val="auto"/>
                <w:sz w:val="22"/>
                <w:szCs w:val="22"/>
                <w:highlight w:val="none"/>
              </w:rPr>
              <w:sym w:font="Wingdings 2" w:char="00A3"/>
            </w:r>
            <w:r>
              <w:rPr>
                <w:rFonts w:hint="eastAsia" w:ascii="宋体" w:hAnsi="宋体" w:eastAsia="宋体" w:cs="宋体"/>
                <w:color w:val="auto"/>
                <w:sz w:val="22"/>
                <w:szCs w:val="22"/>
                <w:highlight w:val="none"/>
              </w:rPr>
              <w:t xml:space="preserve">不适用  </w:t>
            </w:r>
          </w:p>
          <w:p w14:paraId="367EE7B1">
            <w:pPr>
              <w:pStyle w:val="5"/>
              <w:spacing w:line="400" w:lineRule="exact"/>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（1）严格执行《财政部 发展改革委 生态环境部 市场监管总局关于调整优化节能产品、环境标志产品政府采购执行机制的通知》（财库〔2019〕9号）、《节能产品政府采购品目清单》详见《关于印发节能产品政府采购品目清单的通知(财库[2019]19号)》、《</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"http://gks.mof.gov.cn/zhengfucaigouguanli/201903/P020190329702478575295.pdf"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环境标志产品政府采购品目清单</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单》详见《关于印发环境标志产品政府采购品目清单的通知财库〔2019〕18号》、《参与实施政府采购节能产品认证机构名录》《参与实施政府采购环境标志产品认证机构名录》</w:t>
            </w:r>
            <w:r>
              <w:rPr>
                <w:rFonts w:hint="eastAsia" w:ascii="宋体" w:hAnsi="宋体" w:eastAsia="宋体" w:cs="宋体"/>
                <w:color w:val="auto"/>
                <w:sz w:val="22"/>
                <w:szCs w:val="22"/>
                <w:highlight w:val="none"/>
                <w:lang w:val="en-US"/>
              </w:rPr>
              <w:t>详见</w:t>
            </w:r>
            <w:r>
              <w:rPr>
                <w:rFonts w:hint="eastAsia" w:ascii="宋体" w:hAnsi="宋体" w:eastAsia="宋体" w:cs="宋体"/>
                <w:color w:val="auto"/>
                <w:sz w:val="22"/>
                <w:szCs w:val="22"/>
                <w:highlight w:val="none"/>
              </w:rPr>
              <w:t>《市场监管总局关于发布参与实施政府采购节能产品、环境标志产品认证机构名录的公告（2019年第16号）》。</w:t>
            </w:r>
          </w:p>
          <w:p w14:paraId="7F00714C">
            <w:pPr>
              <w:pStyle w:val="5"/>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(如遇调整，按最新</w:t>
            </w:r>
            <w:r>
              <w:rPr>
                <w:rFonts w:hint="eastAsia" w:ascii="宋体" w:hAnsi="宋体" w:eastAsia="宋体" w:cs="宋体"/>
                <w:color w:val="auto"/>
                <w:sz w:val="22"/>
                <w:szCs w:val="22"/>
                <w:highlight w:val="none"/>
                <w:lang w:val="en-US"/>
              </w:rPr>
              <w:t>文件</w:t>
            </w:r>
            <w:r>
              <w:rPr>
                <w:rFonts w:hint="eastAsia" w:ascii="宋体" w:hAnsi="宋体" w:eastAsia="宋体" w:cs="宋体"/>
                <w:color w:val="auto"/>
                <w:sz w:val="22"/>
                <w:szCs w:val="22"/>
                <w:highlight w:val="none"/>
              </w:rPr>
              <w:t>执行)</w:t>
            </w:r>
          </w:p>
          <w:p w14:paraId="4A812FF2">
            <w:pPr>
              <w:pStyle w:val="5"/>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7868230F">
            <w:pPr>
              <w:pStyle w:val="5"/>
              <w:spacing w:line="40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rPr>
              <w:t>3</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▲采购人拟采购的产品属于政府强制采购的节能产品品目清单范围的，投标人未按招标文件要求提供国家确定的认证机构出具的、处于有效期之内的节能产品认证证书的，投标无效。</w:t>
            </w:r>
          </w:p>
          <w:p w14:paraId="38A30661">
            <w:pPr>
              <w:pStyle w:val="5"/>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rPr>
              <w:t>4</w:t>
            </w:r>
            <w:r>
              <w:rPr>
                <w:rFonts w:hint="eastAsia" w:ascii="宋体" w:hAnsi="宋体" w:eastAsia="宋体" w:cs="宋体"/>
                <w:color w:val="auto"/>
                <w:sz w:val="22"/>
                <w:szCs w:val="22"/>
                <w:highlight w:val="none"/>
              </w:rPr>
              <w:t>）属于政府优先采购产品类别的，须按照要求提供依据国家确定的认证机构出具的、处于有效期之内的节能产品或环境标志产品认证证书，否则不予认定。</w:t>
            </w:r>
          </w:p>
        </w:tc>
      </w:tr>
      <w:tr w14:paraId="75DB77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3B760063">
            <w:pPr>
              <w:spacing w:line="4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2</w:t>
            </w:r>
          </w:p>
        </w:tc>
        <w:tc>
          <w:tcPr>
            <w:tcW w:w="1826" w:type="dxa"/>
            <w:noWrap w:val="0"/>
            <w:vAlign w:val="center"/>
          </w:tcPr>
          <w:p w14:paraId="17406E66">
            <w:pPr>
              <w:spacing w:line="40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投标报价要求</w:t>
            </w:r>
          </w:p>
        </w:tc>
        <w:tc>
          <w:tcPr>
            <w:tcW w:w="7036" w:type="dxa"/>
            <w:noWrap w:val="0"/>
            <w:vAlign w:val="center"/>
          </w:tcPr>
          <w:p w14:paraId="6D3B2F36">
            <w:pPr>
              <w:snapToGrid w:val="0"/>
              <w:spacing w:line="400" w:lineRule="exac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lang w:val="zh-CN"/>
              </w:rPr>
              <w:t>投标报价包含的内容：</w:t>
            </w:r>
          </w:p>
          <w:p w14:paraId="141F3A8D">
            <w:pPr>
              <w:spacing w:line="400" w:lineRule="exact"/>
              <w:jc w:val="lef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lang w:val="zh-CN"/>
              </w:rPr>
              <w:sym w:font="Wingdings" w:char="F0FE"/>
            </w:r>
            <w:r>
              <w:rPr>
                <w:rFonts w:hint="eastAsia" w:ascii="宋体" w:hAnsi="宋体" w:eastAsia="宋体" w:cs="宋体"/>
                <w:snapToGrid w:val="0"/>
                <w:color w:val="auto"/>
                <w:sz w:val="22"/>
                <w:szCs w:val="22"/>
                <w:highlight w:val="none"/>
                <w:lang w:val="zh-CN"/>
              </w:rPr>
              <w:t>采购代理服务费</w:t>
            </w:r>
          </w:p>
          <w:p w14:paraId="28C00068">
            <w:pPr>
              <w:spacing w:line="400" w:lineRule="exact"/>
              <w:jc w:val="lef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rPr>
              <w:t>1.</w:t>
            </w:r>
            <w:r>
              <w:rPr>
                <w:rFonts w:hint="eastAsia" w:ascii="宋体" w:hAnsi="宋体" w:eastAsia="宋体" w:cs="宋体"/>
                <w:snapToGrid w:val="0"/>
                <w:color w:val="auto"/>
                <w:sz w:val="22"/>
                <w:szCs w:val="22"/>
                <w:highlight w:val="none"/>
                <w:lang w:val="zh-CN"/>
              </w:rPr>
              <w:t>收费标准：本次</w:t>
            </w:r>
            <w:r>
              <w:rPr>
                <w:rFonts w:hint="eastAsia" w:ascii="宋体" w:hAnsi="宋体" w:eastAsia="宋体" w:cs="宋体"/>
                <w:snapToGrid w:val="0"/>
                <w:color w:val="auto"/>
                <w:sz w:val="22"/>
                <w:szCs w:val="22"/>
                <w:highlight w:val="none"/>
              </w:rPr>
              <w:t>采购</w:t>
            </w:r>
            <w:r>
              <w:rPr>
                <w:rFonts w:hint="eastAsia" w:ascii="宋体" w:hAnsi="宋体" w:eastAsia="宋体" w:cs="宋体"/>
                <w:snapToGrid w:val="0"/>
                <w:color w:val="auto"/>
                <w:sz w:val="22"/>
                <w:szCs w:val="22"/>
                <w:highlight w:val="none"/>
                <w:lang w:val="zh-CN"/>
              </w:rPr>
              <w:t>，</w:t>
            </w:r>
            <w:r>
              <w:rPr>
                <w:rFonts w:hint="eastAsia" w:ascii="宋体" w:hAnsi="宋体" w:eastAsia="宋体" w:cs="宋体"/>
                <w:snapToGrid w:val="0"/>
                <w:color w:val="auto"/>
                <w:sz w:val="22"/>
                <w:szCs w:val="22"/>
                <w:highlight w:val="none"/>
              </w:rPr>
              <w:t>采购</w:t>
            </w:r>
            <w:r>
              <w:rPr>
                <w:rFonts w:hint="eastAsia" w:ascii="宋体" w:hAnsi="宋体" w:eastAsia="宋体" w:cs="宋体"/>
                <w:snapToGrid w:val="0"/>
                <w:color w:val="auto"/>
                <w:sz w:val="22"/>
                <w:szCs w:val="22"/>
                <w:highlight w:val="none"/>
                <w:lang w:val="zh-CN"/>
              </w:rPr>
              <w:t xml:space="preserve">代理费按照《招标代理服务收费管理暂行办法》(计价格[2002]1980号) </w:t>
            </w:r>
            <w:r>
              <w:rPr>
                <w:rFonts w:hint="eastAsia" w:ascii="宋体" w:hAnsi="宋体" w:eastAsia="宋体" w:cs="宋体"/>
                <w:snapToGrid w:val="0"/>
                <w:color w:val="auto"/>
                <w:sz w:val="22"/>
                <w:szCs w:val="22"/>
                <w:highlight w:val="none"/>
              </w:rPr>
              <w:t>货物</w:t>
            </w:r>
            <w:r>
              <w:rPr>
                <w:rFonts w:hint="eastAsia" w:ascii="宋体" w:hAnsi="宋体" w:eastAsia="宋体" w:cs="宋体"/>
                <w:snapToGrid w:val="0"/>
                <w:color w:val="auto"/>
                <w:sz w:val="22"/>
                <w:szCs w:val="22"/>
                <w:highlight w:val="none"/>
                <w:lang w:val="zh-CN"/>
              </w:rPr>
              <w:t>类标准的</w:t>
            </w:r>
            <w:r>
              <w:rPr>
                <w:rFonts w:hint="eastAsia" w:ascii="宋体" w:hAnsi="宋体" w:eastAsia="宋体" w:cs="宋体"/>
                <w:snapToGrid w:val="0"/>
                <w:color w:val="auto"/>
                <w:sz w:val="22"/>
                <w:szCs w:val="22"/>
                <w:highlight w:val="none"/>
              </w:rPr>
              <w:t>70</w:t>
            </w:r>
            <w:r>
              <w:rPr>
                <w:rFonts w:hint="eastAsia" w:ascii="宋体" w:hAnsi="宋体" w:eastAsia="宋体" w:cs="宋体"/>
                <w:snapToGrid w:val="0"/>
                <w:color w:val="auto"/>
                <w:sz w:val="22"/>
                <w:szCs w:val="22"/>
                <w:highlight w:val="none"/>
                <w:lang w:val="zh-CN"/>
              </w:rPr>
              <w:t>%计算，服务费不足3000均按3000收取，由中标人在收到中标通知书时向采购代理机构交纳采购代理服务费，如未按上述规定办理，采购代理机构有权对于代理服务费不足部分进行追索。</w:t>
            </w:r>
          </w:p>
          <w:p w14:paraId="65FF222F">
            <w:pPr>
              <w:spacing w:line="400" w:lineRule="exact"/>
              <w:jc w:val="lef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rPr>
              <w:t>2.</w:t>
            </w:r>
            <w:r>
              <w:rPr>
                <w:rFonts w:hint="eastAsia" w:ascii="宋体" w:hAnsi="宋体" w:eastAsia="宋体" w:cs="宋体"/>
                <w:snapToGrid w:val="0"/>
                <w:color w:val="auto"/>
                <w:sz w:val="22"/>
                <w:szCs w:val="22"/>
                <w:highlight w:val="none"/>
                <w:lang w:val="zh-CN"/>
              </w:rPr>
              <w:t>服务费缴纳账号：</w:t>
            </w:r>
          </w:p>
          <w:p w14:paraId="5E2B7D10">
            <w:pPr>
              <w:spacing w:line="400" w:lineRule="exact"/>
              <w:ind w:firstLine="220" w:firstLineChars="100"/>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lang w:val="zh-CN"/>
              </w:rPr>
              <w:t>户名：</w:t>
            </w:r>
            <w:r>
              <w:rPr>
                <w:rFonts w:hint="eastAsia" w:ascii="宋体" w:hAnsi="宋体" w:eastAsia="宋体" w:cs="宋体"/>
                <w:snapToGrid w:val="0"/>
                <w:color w:val="auto"/>
                <w:sz w:val="22"/>
                <w:szCs w:val="22"/>
                <w:highlight w:val="none"/>
              </w:rPr>
              <w:t>浙江乐诚工程咨询有限公司</w:t>
            </w:r>
          </w:p>
          <w:p w14:paraId="224EC2F8">
            <w:pPr>
              <w:spacing w:line="400" w:lineRule="exact"/>
              <w:ind w:firstLine="220" w:firstLineChars="100"/>
              <w:jc w:val="lef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lang w:val="zh-CN"/>
              </w:rPr>
              <w:t>账号：76060122000323292</w:t>
            </w:r>
          </w:p>
          <w:p w14:paraId="1DE1D150">
            <w:pPr>
              <w:spacing w:line="400" w:lineRule="exact"/>
              <w:ind w:firstLine="220" w:firstLineChars="100"/>
              <w:jc w:val="lef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lang w:val="zh-CN"/>
              </w:rPr>
              <w:t>开户银行：宁波银行温州瓯海支行</w:t>
            </w:r>
          </w:p>
          <w:p w14:paraId="390AD2EC">
            <w:pPr>
              <w:spacing w:line="400" w:lineRule="exact"/>
              <w:jc w:val="lef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rPr>
              <w:t>3</w:t>
            </w:r>
            <w:r>
              <w:rPr>
                <w:rFonts w:hint="eastAsia" w:ascii="宋体" w:hAnsi="宋体" w:eastAsia="宋体" w:cs="宋体"/>
                <w:snapToGrid w:val="0"/>
                <w:color w:val="auto"/>
                <w:sz w:val="22"/>
                <w:szCs w:val="22"/>
                <w:highlight w:val="none"/>
                <w:lang w:val="zh-CN"/>
              </w:rPr>
              <w:t>.后期合同的签订及履行不影响招标代理服务费的收取。</w:t>
            </w:r>
          </w:p>
          <w:p w14:paraId="026BB5E9">
            <w:pPr>
              <w:spacing w:line="400" w:lineRule="exact"/>
              <w:jc w:val="lef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rPr>
              <w:t>4</w:t>
            </w:r>
            <w:r>
              <w:rPr>
                <w:rFonts w:hint="eastAsia" w:ascii="宋体" w:hAnsi="宋体" w:eastAsia="宋体" w:cs="宋体"/>
                <w:snapToGrid w:val="0"/>
                <w:color w:val="auto"/>
                <w:sz w:val="22"/>
                <w:szCs w:val="22"/>
                <w:highlight w:val="none"/>
                <w:lang w:val="zh-CN"/>
              </w:rPr>
              <w:t>.若投标人未在约定时间内支付招标代理服务费，从逾期之日起按日利率千分之一承担违约金。</w:t>
            </w:r>
          </w:p>
          <w:p w14:paraId="21F43286">
            <w:pPr>
              <w:snapToGrid w:val="0"/>
              <w:spacing w:line="400" w:lineRule="exac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rPr>
              <w:t>5</w:t>
            </w:r>
            <w:r>
              <w:rPr>
                <w:rFonts w:hint="eastAsia" w:ascii="宋体" w:hAnsi="宋体" w:eastAsia="宋体" w:cs="宋体"/>
                <w:snapToGrid w:val="0"/>
                <w:color w:val="auto"/>
                <w:sz w:val="22"/>
                <w:szCs w:val="22"/>
                <w:highlight w:val="none"/>
                <w:lang w:val="zh-CN"/>
              </w:rPr>
              <w:t>.若投标人未按上述规定办理，需承担采购代理机构为实现债权的所有费用（包括但不限于律师费、催讨车旅费、保全担保费等）</w:t>
            </w:r>
          </w:p>
          <w:p w14:paraId="2F06E396">
            <w:pPr>
              <w:snapToGrid w:val="0"/>
              <w:spacing w:line="400" w:lineRule="exac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lang w:val="zh-CN"/>
              </w:rPr>
              <w:sym w:font="Wingdings" w:char="F0FE"/>
            </w:r>
            <w:r>
              <w:rPr>
                <w:rFonts w:hint="eastAsia" w:ascii="宋体" w:hAnsi="宋体" w:eastAsia="宋体" w:cs="宋体"/>
                <w:snapToGrid w:val="0"/>
                <w:color w:val="auto"/>
                <w:sz w:val="22"/>
                <w:szCs w:val="22"/>
                <w:highlight w:val="none"/>
                <w:lang w:val="zh-CN"/>
              </w:rPr>
              <w:t>政府采购履约验收费用（包含第三方检测）；</w:t>
            </w:r>
          </w:p>
          <w:p w14:paraId="7ABD62F9">
            <w:pPr>
              <w:snapToGrid w:val="0"/>
              <w:spacing w:line="400" w:lineRule="exac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lang w:val="zh-CN"/>
              </w:rPr>
              <w:sym w:font="Wingdings" w:char="00FE"/>
            </w:r>
            <w:r>
              <w:rPr>
                <w:rFonts w:hint="eastAsia" w:ascii="宋体" w:hAnsi="宋体" w:eastAsia="宋体" w:cs="宋体"/>
                <w:snapToGrid w:val="0"/>
                <w:color w:val="auto"/>
                <w:sz w:val="22"/>
                <w:szCs w:val="22"/>
                <w:highlight w:val="none"/>
                <w:lang w:val="zh-CN"/>
              </w:rPr>
              <w:t xml:space="preserve"> 其他：详见第二部分“投标人须知”第14款。</w:t>
            </w:r>
          </w:p>
        </w:tc>
      </w:tr>
      <w:tr w14:paraId="5DAC3B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20BA5C4D">
            <w:pPr>
              <w:spacing w:line="4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3</w:t>
            </w:r>
          </w:p>
        </w:tc>
        <w:tc>
          <w:tcPr>
            <w:tcW w:w="1826" w:type="dxa"/>
            <w:noWrap w:val="0"/>
            <w:vAlign w:val="center"/>
          </w:tcPr>
          <w:p w14:paraId="486A5E3F">
            <w:pPr>
              <w:spacing w:line="40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color w:val="auto"/>
                <w:sz w:val="22"/>
                <w:szCs w:val="22"/>
                <w:highlight w:val="none"/>
              </w:rPr>
              <w:t>特别说明</w:t>
            </w:r>
          </w:p>
        </w:tc>
        <w:tc>
          <w:tcPr>
            <w:tcW w:w="7036" w:type="dxa"/>
            <w:noWrap w:val="0"/>
            <w:vAlign w:val="center"/>
          </w:tcPr>
          <w:p w14:paraId="52F0168A">
            <w:pPr>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如果发现本采购文件中存在含糊不清、相互矛盾、多种含义以及歧视性不公正条款或违法违规等内容时，请投标人在获取采购文件后，答疑截止时间前按要求书面提出，逾期视同自动放弃疑问提出的权利或采购人不作答复。</w:t>
            </w:r>
          </w:p>
          <w:p w14:paraId="1C3C0B96">
            <w:pPr>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（2）该项目中标公示期间，投标人不得通过非正当途径、更不得通过非正当手段获取法律法规规定评标委员会（包括其他相关人员）应当保密的相关内容。</w:t>
            </w:r>
          </w:p>
          <w:p w14:paraId="30C0DE20">
            <w:pPr>
              <w:spacing w:line="400" w:lineRule="exact"/>
              <w:rPr>
                <w:rFonts w:hint="eastAsia" w:ascii="宋体" w:hAnsi="宋体" w:eastAsia="宋体" w:cs="宋体"/>
                <w:color w:val="auto"/>
                <w:sz w:val="22"/>
                <w:szCs w:val="22"/>
                <w:highlight w:val="none"/>
              </w:rPr>
            </w:pPr>
            <w:r>
              <w:rPr>
                <w:rFonts w:hint="eastAsia" w:ascii="宋体" w:hAnsi="宋体" w:eastAsia="宋体" w:cs="宋体"/>
                <w:snapToGrid w:val="0"/>
                <w:color w:val="auto"/>
                <w:kern w:val="0"/>
                <w:sz w:val="22"/>
                <w:szCs w:val="22"/>
                <w:highlight w:val="none"/>
              </w:rPr>
              <w:t>（3）联合体投标的，联合体中有一方或者联合体成员根据分工按招标文件第四部分评标标准要求提供资信证明文件的，视为符合了相关要求。</w:t>
            </w:r>
          </w:p>
        </w:tc>
      </w:tr>
    </w:tbl>
    <w:p w14:paraId="387CFB7E">
      <w:pPr>
        <w:adjustRightInd/>
        <w:spacing w:line="400" w:lineRule="exact"/>
        <w:jc w:val="center"/>
        <w:outlineLvl w:val="0"/>
        <w:rPr>
          <w:rStyle w:val="22"/>
          <w:rFonts w:hint="eastAsia" w:ascii="宋体" w:hAnsi="宋体" w:eastAsia="宋体" w:cs="宋体"/>
          <w:color w:val="auto"/>
          <w:highlight w:val="none"/>
        </w:rPr>
      </w:pPr>
      <w:r>
        <w:rPr>
          <w:rStyle w:val="22"/>
          <w:rFonts w:hint="eastAsia" w:ascii="宋体" w:hAnsi="宋体" w:eastAsia="宋体" w:cs="宋体"/>
          <w:color w:val="auto"/>
          <w:highlight w:val="none"/>
        </w:rPr>
        <w:br w:type="page"/>
      </w:r>
      <w:bookmarkEnd w:id="11"/>
      <w:bookmarkStart w:id="14" w:name="_Toc25155"/>
      <w:bookmarkStart w:id="15" w:name="第三部分"/>
      <w:bookmarkStart w:id="16" w:name="_Toc164416483"/>
      <w:r>
        <w:rPr>
          <w:rStyle w:val="22"/>
          <w:rFonts w:hint="eastAsia" w:ascii="宋体" w:hAnsi="宋体" w:eastAsia="宋体" w:cs="宋体"/>
          <w:color w:val="auto"/>
          <w:highlight w:val="none"/>
        </w:rPr>
        <w:t>一、总则</w:t>
      </w:r>
      <w:bookmarkEnd w:id="14"/>
    </w:p>
    <w:p w14:paraId="6067EDF6">
      <w:pPr>
        <w:tabs>
          <w:tab w:val="left" w:pos="540"/>
          <w:tab w:val="left" w:pos="900"/>
        </w:tabs>
        <w:snapToGrid w:val="0"/>
        <w:spacing w:line="400" w:lineRule="exact"/>
        <w:ind w:firstLine="440" w:firstLineChars="200"/>
        <w:jc w:val="left"/>
        <w:rPr>
          <w:rFonts w:hint="eastAsia" w:ascii="宋体" w:hAnsi="宋体" w:eastAsia="宋体" w:cs="宋体"/>
          <w:color w:val="auto"/>
          <w:sz w:val="22"/>
          <w:szCs w:val="22"/>
          <w:highlight w:val="none"/>
        </w:rPr>
      </w:pPr>
      <w:bookmarkStart w:id="17" w:name="_Toc5882"/>
      <w:bookmarkStart w:id="18" w:name="_Toc29857"/>
      <w:r>
        <w:rPr>
          <w:rFonts w:hint="eastAsia" w:ascii="宋体" w:hAnsi="宋体" w:eastAsia="宋体" w:cs="宋体"/>
          <w:color w:val="auto"/>
          <w:sz w:val="22"/>
          <w:szCs w:val="22"/>
          <w:highlight w:val="none"/>
        </w:rPr>
        <w:t>本项目采购是按照《中华人民共和国政府采购法》、《政府采购货物和服务招标投标管理办法》（财政部第87号令）、《浙江省政府采购项目电子交易管理暂行办法》（浙财采监〔2019〕10号）等法律及有关法规组织和实施的。</w:t>
      </w:r>
    </w:p>
    <w:p w14:paraId="6686943C">
      <w:pPr>
        <w:snapToGrid w:val="0"/>
        <w:spacing w:line="400" w:lineRule="exact"/>
        <w:ind w:firstLine="331" w:firstLineChars="150"/>
        <w:jc w:val="left"/>
        <w:rPr>
          <w:rFonts w:hint="eastAsia" w:ascii="宋体" w:hAnsi="宋体" w:eastAsia="宋体" w:cs="宋体"/>
          <w:b/>
          <w:color w:val="auto"/>
          <w:sz w:val="22"/>
          <w:szCs w:val="22"/>
          <w:highlight w:val="none"/>
        </w:rPr>
      </w:pPr>
      <w:bookmarkStart w:id="19" w:name="_Toc27055"/>
      <w:r>
        <w:rPr>
          <w:rFonts w:hint="eastAsia" w:ascii="宋体" w:hAnsi="宋体" w:eastAsia="宋体" w:cs="宋体"/>
          <w:b/>
          <w:color w:val="auto"/>
          <w:sz w:val="22"/>
          <w:szCs w:val="22"/>
          <w:highlight w:val="none"/>
        </w:rPr>
        <w:t>1. 适用范围</w:t>
      </w:r>
      <w:bookmarkEnd w:id="17"/>
      <w:bookmarkEnd w:id="18"/>
      <w:bookmarkEnd w:id="19"/>
    </w:p>
    <w:p w14:paraId="6A177C3A">
      <w:pPr>
        <w:snapToGrid w:val="0"/>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本招标文件适用于该项目的招标、投标、开标、资格审查及信用信息查询、评标、定标、合同、验收等行为（法律、法规另有规定的，从其规定）。</w:t>
      </w:r>
    </w:p>
    <w:p w14:paraId="0B2E5AEA">
      <w:pPr>
        <w:adjustRightInd/>
        <w:spacing w:line="40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w:t>
      </w:r>
      <w:bookmarkStart w:id="20" w:name="_Toc3235"/>
      <w:bookmarkStart w:id="21" w:name="_Toc19066"/>
      <w:bookmarkStart w:id="22" w:name="_Toc31546"/>
      <w:r>
        <w:rPr>
          <w:rFonts w:hint="eastAsia" w:ascii="宋体" w:hAnsi="宋体" w:eastAsia="宋体" w:cs="宋体"/>
          <w:b/>
          <w:color w:val="auto"/>
          <w:sz w:val="22"/>
          <w:szCs w:val="22"/>
          <w:highlight w:val="none"/>
        </w:rPr>
        <w:t>2.定义</w:t>
      </w:r>
      <w:bookmarkEnd w:id="20"/>
      <w:bookmarkEnd w:id="21"/>
      <w:bookmarkEnd w:id="22"/>
    </w:p>
    <w:p w14:paraId="4216C5F0">
      <w:pPr>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 “采购人”系指招标公告中载明的本项目的采购人。</w:t>
      </w:r>
    </w:p>
    <w:p w14:paraId="44E6DE2E">
      <w:pPr>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 “采购代理机构”系指招标公告中载明的本项目的采购代理机构。</w:t>
      </w:r>
    </w:p>
    <w:p w14:paraId="58DDE052">
      <w:pPr>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 “投标人、供应商”均系指是指响应招标、参加投标竞争的法人、其他组织或者自然人。</w:t>
      </w:r>
    </w:p>
    <w:p w14:paraId="3B07195B">
      <w:pPr>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 “负责人”系指法人企业的法定负责人，或其他组织为法律、行政法规规定代表单位行使职权的主要负责人，或自然人本人。</w:t>
      </w:r>
    </w:p>
    <w:p w14:paraId="16E2ED97">
      <w:pPr>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31A2B31">
      <w:pPr>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2.6“电子交易平台”是指本项目政府采购活动所依托的政府采购云平台（https://www.zcygov.cn/）。</w:t>
      </w:r>
    </w:p>
    <w:p w14:paraId="6E6CEA78">
      <w:pPr>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 “▲</w:t>
      </w:r>
      <w:r>
        <w:rPr>
          <w:rFonts w:hint="eastAsia" w:ascii="宋体" w:hAnsi="宋体" w:eastAsia="宋体" w:cs="宋体"/>
          <w:snapToGrid w:val="0"/>
          <w:color w:val="auto"/>
          <w:kern w:val="28"/>
          <w:sz w:val="22"/>
          <w:szCs w:val="22"/>
          <w:highlight w:val="none"/>
        </w:rPr>
        <w:t>且加下划线</w:t>
      </w:r>
      <w:r>
        <w:rPr>
          <w:rFonts w:hint="eastAsia" w:ascii="宋体" w:hAnsi="宋体" w:eastAsia="宋体" w:cs="宋体"/>
          <w:color w:val="auto"/>
          <w:sz w:val="22"/>
          <w:szCs w:val="22"/>
          <w:highlight w:val="none"/>
        </w:rPr>
        <w:t>”</w:t>
      </w:r>
      <w:r>
        <w:rPr>
          <w:rFonts w:hint="eastAsia" w:ascii="宋体" w:hAnsi="宋体" w:eastAsia="宋体" w:cs="宋体"/>
          <w:snapToGrid w:val="0"/>
          <w:color w:val="auto"/>
          <w:kern w:val="28"/>
          <w:sz w:val="22"/>
          <w:szCs w:val="22"/>
          <w:highlight w:val="none"/>
        </w:rPr>
        <w:t>的条款</w:t>
      </w:r>
      <w:r>
        <w:rPr>
          <w:rFonts w:hint="eastAsia" w:ascii="宋体" w:hAnsi="宋体" w:eastAsia="宋体" w:cs="宋体"/>
          <w:color w:val="auto"/>
          <w:sz w:val="22"/>
          <w:szCs w:val="22"/>
          <w:highlight w:val="none"/>
        </w:rPr>
        <w:t>系指实质性要求条款，“</w:t>
      </w:r>
      <w:r>
        <w:rPr>
          <w:rFonts w:hint="eastAsia" w:ascii="宋体" w:hAnsi="宋体" w:eastAsia="宋体" w:cs="宋体"/>
          <w:color w:val="auto"/>
          <w:sz w:val="22"/>
          <w:szCs w:val="22"/>
          <w:highlight w:val="none"/>
        </w:rPr>
        <w:sym w:font="Wingdings" w:char="00FE"/>
      </w:r>
      <w:r>
        <w:rPr>
          <w:rFonts w:hint="eastAsia" w:ascii="宋体" w:hAnsi="宋体" w:eastAsia="宋体" w:cs="宋体"/>
          <w:color w:val="auto"/>
          <w:sz w:val="22"/>
          <w:szCs w:val="22"/>
          <w:highlight w:val="none"/>
        </w:rPr>
        <w:t>” 系指适用本项目的要求，“</w:t>
      </w: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rPr>
        <w:t>” 系指不适用本项目的要求。</w:t>
      </w:r>
    </w:p>
    <w:p w14:paraId="734DDDBA">
      <w:pPr>
        <w:spacing w:line="400" w:lineRule="exact"/>
        <w:ind w:firstLine="221" w:firstLineChars="10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3.特别说明</w:t>
      </w:r>
    </w:p>
    <w:p w14:paraId="65AA5E2F">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3.1投标人应仔细阅读招标文件的所有内容，按照招标文件的要求提交投标文件，并对所提供的全部资料的真实性承担法律责任。</w:t>
      </w:r>
    </w:p>
    <w:p w14:paraId="21721A67">
      <w:pPr>
        <w:spacing w:line="360" w:lineRule="exact"/>
        <w:ind w:firstLine="466" w:firstLineChars="200"/>
        <w:rPr>
          <w:rFonts w:hint="eastAsia" w:ascii="宋体" w:hAnsi="宋体" w:eastAsia="宋体" w:cs="宋体"/>
          <w:bCs/>
          <w:color w:val="auto"/>
          <w:spacing w:val="6"/>
          <w:sz w:val="22"/>
          <w:szCs w:val="22"/>
          <w:highlight w:val="none"/>
        </w:rPr>
      </w:pPr>
      <w:r>
        <w:rPr>
          <w:rFonts w:hint="eastAsia" w:ascii="宋体" w:hAnsi="宋体" w:eastAsia="宋体" w:cs="宋体"/>
          <w:b/>
          <w:bCs/>
          <w:color w:val="auto"/>
          <w:spacing w:val="6"/>
          <w:sz w:val="22"/>
          <w:highlight w:val="none"/>
        </w:rPr>
        <w:t>3.2</w:t>
      </w:r>
      <w:r>
        <w:rPr>
          <w:rFonts w:hint="eastAsia" w:ascii="宋体" w:hAnsi="宋体" w:eastAsia="宋体" w:cs="宋体"/>
          <w:b/>
          <w:color w:val="auto"/>
          <w:kern w:val="0"/>
          <w:sz w:val="22"/>
          <w:szCs w:val="22"/>
          <w:highlight w:val="none"/>
          <w:u w:val="single"/>
        </w:rPr>
        <w:t>▲</w:t>
      </w:r>
      <w:r>
        <w:rPr>
          <w:rFonts w:hint="eastAsia" w:ascii="宋体" w:hAnsi="宋体" w:eastAsia="宋体" w:cs="宋体"/>
          <w:b/>
          <w:bCs/>
          <w:color w:val="auto"/>
          <w:spacing w:val="6"/>
          <w:sz w:val="22"/>
          <w:szCs w:val="22"/>
          <w:highlight w:val="none"/>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r>
        <w:rPr>
          <w:rFonts w:hint="eastAsia" w:ascii="宋体" w:hAnsi="宋体" w:eastAsia="宋体" w:cs="宋体"/>
          <w:bCs/>
          <w:color w:val="auto"/>
          <w:spacing w:val="6"/>
          <w:sz w:val="22"/>
          <w:szCs w:val="22"/>
          <w:highlight w:val="none"/>
        </w:rPr>
        <w:t>。</w:t>
      </w:r>
    </w:p>
    <w:p w14:paraId="5FB287C2">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3.3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招标文件规定的方式确定一个投标人获得中标人推荐资格，招标文件未规定的采取随机抽取方式确定，其他同品牌投标人不作为中标候选人。</w:t>
      </w:r>
    </w:p>
    <w:p w14:paraId="27C6B1D7">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非单一产品采购项目，采购人应当根据采购项目技术构成、产品价格比重等合理确定核心产品，并在招标文件中载明。多家投标人提供的核心产品品牌相同的，按前两款规定处理。</w:t>
      </w:r>
    </w:p>
    <w:p w14:paraId="262233D5">
      <w:pPr>
        <w:spacing w:line="360" w:lineRule="exact"/>
        <w:ind w:firstLine="466" w:firstLineChars="200"/>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3.4</w:t>
      </w:r>
      <w:r>
        <w:rPr>
          <w:rFonts w:hint="eastAsia" w:ascii="宋体" w:hAnsi="宋体" w:eastAsia="宋体" w:cs="宋体"/>
          <w:b/>
          <w:bCs/>
          <w:color w:val="auto"/>
          <w:spacing w:val="6"/>
          <w:sz w:val="22"/>
          <w:highlight w:val="none"/>
        </w:rPr>
        <w:t>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r>
        <w:rPr>
          <w:rFonts w:hint="eastAsia" w:ascii="宋体" w:hAnsi="宋体" w:eastAsia="宋体" w:cs="宋体"/>
          <w:b/>
          <w:color w:val="auto"/>
          <w:spacing w:val="6"/>
          <w:sz w:val="22"/>
          <w:highlight w:val="none"/>
        </w:rPr>
        <w:t>。</w:t>
      </w:r>
    </w:p>
    <w:p w14:paraId="4B01F362">
      <w:pPr>
        <w:tabs>
          <w:tab w:val="left" w:pos="540"/>
          <w:tab w:val="left" w:pos="900"/>
        </w:tabs>
        <w:snapToGrid w:val="0"/>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3.5</w:t>
      </w:r>
      <w:r>
        <w:rPr>
          <w:rFonts w:hint="eastAsia" w:ascii="宋体" w:hAnsi="宋体" w:eastAsia="宋体" w:cs="宋体"/>
          <w:color w:val="auto"/>
          <w:sz w:val="22"/>
          <w:szCs w:val="22"/>
          <w:highlight w:val="none"/>
        </w:rPr>
        <w:t>投标人可授权投标人代表以投标人名义参加本次采购的投标活动（包括投标文件的签署、澄清、说明、补正、递交、撤回、修改等以及签订合同和处理有关事宜）。如果投标人代表不是法定代表人（单位负责人、自然人本人），须持有《授权委托书》。</w:t>
      </w:r>
    </w:p>
    <w:p w14:paraId="58065D1C">
      <w:pPr>
        <w:keepNext w:val="0"/>
        <w:keepLines w:val="0"/>
        <w:pageBreakBefore w:val="0"/>
        <w:widowControl w:val="0"/>
        <w:kinsoku/>
        <w:wordWrap/>
        <w:overflowPunct/>
        <w:topLinePunct w:val="0"/>
        <w:autoSpaceDE/>
        <w:autoSpaceDN/>
        <w:bidi w:val="0"/>
        <w:adjustRightInd w:val="0"/>
        <w:spacing w:line="400" w:lineRule="exact"/>
        <w:ind w:firstLine="442" w:firstLineChars="20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4.采购项目需要落实的政府采购政策</w:t>
      </w:r>
    </w:p>
    <w:p w14:paraId="0C638011">
      <w:pPr>
        <w:keepNext w:val="0"/>
        <w:keepLines w:val="0"/>
        <w:pageBreakBefore w:val="0"/>
        <w:widowControl w:val="0"/>
        <w:kinsoku/>
        <w:wordWrap/>
        <w:overflowPunct/>
        <w:topLinePunct w:val="0"/>
        <w:autoSpaceDE/>
        <w:autoSpaceDN/>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文件中明确规定</w:t>
      </w:r>
      <w:r>
        <w:rPr>
          <w:rFonts w:hint="eastAsia" w:ascii="宋体" w:hAnsi="宋体" w:eastAsia="宋体" w:cs="宋体"/>
          <w:color w:val="auto"/>
          <w:sz w:val="22"/>
          <w:szCs w:val="22"/>
          <w:highlight w:val="none"/>
          <w:lang w:eastAsia="zh-CN"/>
        </w:rPr>
        <w:t>允许采购进口产品</w:t>
      </w:r>
      <w:r>
        <w:rPr>
          <w:rFonts w:hint="eastAsia" w:ascii="宋体" w:hAnsi="宋体" w:eastAsia="宋体" w:cs="宋体"/>
          <w:color w:val="auto"/>
          <w:sz w:val="22"/>
          <w:szCs w:val="22"/>
          <w:highlight w:val="none"/>
        </w:rPr>
        <w:t>（但如果因信息不对称等原因，仍有满足需求的国内产品要求参与采购竞争的，采购人、采购代理机构不会对其加以限制，仍将按照公平竞争原则实施采购）。</w:t>
      </w:r>
    </w:p>
    <w:p w14:paraId="73749F38">
      <w:pPr>
        <w:keepNext w:val="0"/>
        <w:keepLines w:val="0"/>
        <w:pageBreakBefore w:val="0"/>
        <w:widowControl w:val="0"/>
        <w:kinsoku/>
        <w:wordWrap/>
        <w:overflowPunct/>
        <w:topLinePunct w:val="0"/>
        <w:autoSpaceDE/>
        <w:autoSpaceDN/>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 支持绿色发展</w:t>
      </w:r>
    </w:p>
    <w:p w14:paraId="5E46C471">
      <w:pPr>
        <w:keepNext w:val="0"/>
        <w:keepLines w:val="0"/>
        <w:pageBreakBefore w:val="0"/>
        <w:widowControl w:val="0"/>
        <w:kinsoku/>
        <w:wordWrap/>
        <w:overflowPunct/>
        <w:topLinePunct w:val="0"/>
        <w:autoSpaceDE/>
        <w:autoSpaceDN/>
        <w:bidi w:val="0"/>
        <w:adjustRightInd w:val="0"/>
        <w:spacing w:line="400" w:lineRule="exact"/>
        <w:ind w:firstLine="440" w:firstLineChars="200"/>
        <w:jc w:val="lef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color w:val="auto"/>
          <w:sz w:val="22"/>
          <w:szCs w:val="22"/>
          <w:highlight w:val="none"/>
          <w:u w:val="single"/>
        </w:rPr>
        <w:t>▲</w:t>
      </w:r>
      <w:r>
        <w:rPr>
          <w:rFonts w:hint="eastAsia" w:ascii="宋体" w:hAnsi="宋体" w:eastAsia="宋体" w:cs="宋体"/>
          <w:b/>
          <w:color w:val="auto"/>
          <w:sz w:val="22"/>
          <w:szCs w:val="22"/>
          <w:highlight w:val="none"/>
          <w:u w:val="single"/>
        </w:rPr>
        <w:t>采购人拟采购的产品属于政府强制采购的节能产品品目清单范围的，投标人未按招标文件要求提供国家确定的认证机构出具的、处于有效期之内的节能产品认证证书的，投标无效。</w:t>
      </w:r>
    </w:p>
    <w:p w14:paraId="304FCCA3">
      <w:pPr>
        <w:keepNext w:val="0"/>
        <w:keepLines w:val="0"/>
        <w:pageBreakBefore w:val="0"/>
        <w:widowControl w:val="0"/>
        <w:kinsoku/>
        <w:wordWrap/>
        <w:overflowPunct/>
        <w:topLinePunct w:val="0"/>
        <w:autoSpaceDE/>
        <w:autoSpaceDN/>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29E9FBF">
      <w:pPr>
        <w:keepNext w:val="0"/>
        <w:keepLines w:val="0"/>
        <w:pageBreakBefore w:val="0"/>
        <w:widowControl w:val="0"/>
        <w:kinsoku/>
        <w:wordWrap/>
        <w:overflowPunct/>
        <w:topLinePunct w:val="0"/>
        <w:autoSpaceDE/>
        <w:autoSpaceDN/>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4.2.3 鼓励供应商在参加政府采购过程中开展绿色设计、选择绿色材料、打造绿色制造工艺、开展绿色运输、做好废弃产品回收处理，实现产品全周期的绿色环保。</w:t>
      </w:r>
    </w:p>
    <w:p w14:paraId="68970C02">
      <w:pPr>
        <w:keepNext w:val="0"/>
        <w:keepLines w:val="0"/>
        <w:pageBreakBefore w:val="0"/>
        <w:widowControl w:val="0"/>
        <w:kinsoku/>
        <w:wordWrap/>
        <w:overflowPunct/>
        <w:topLinePunct w:val="0"/>
        <w:autoSpaceDE/>
        <w:autoSpaceDN/>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4.3支持中小企业发展</w:t>
      </w:r>
    </w:p>
    <w:p w14:paraId="125B6FE1">
      <w:pPr>
        <w:keepNext w:val="0"/>
        <w:keepLines w:val="0"/>
        <w:pageBreakBefore w:val="0"/>
        <w:widowControl w:val="0"/>
        <w:kinsoku/>
        <w:wordWrap/>
        <w:overflowPunct/>
        <w:topLinePunct w:val="0"/>
        <w:autoSpaceDE/>
        <w:autoSpaceDN/>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760B7E99">
      <w:pPr>
        <w:keepNext w:val="0"/>
        <w:keepLines w:val="0"/>
        <w:pageBreakBefore w:val="0"/>
        <w:widowControl w:val="0"/>
        <w:kinsoku/>
        <w:wordWrap/>
        <w:overflowPunct/>
        <w:topLinePunct w:val="0"/>
        <w:autoSpaceDE/>
        <w:autoSpaceDN/>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符合中小企业划分标准的个体工商户，在政府采购活动中视同中小企业。</w:t>
      </w:r>
    </w:p>
    <w:p w14:paraId="0348276C">
      <w:pPr>
        <w:keepNext w:val="0"/>
        <w:keepLines w:val="0"/>
        <w:pageBreakBefore w:val="0"/>
        <w:widowControl w:val="0"/>
        <w:kinsoku/>
        <w:wordWrap/>
        <w:overflowPunct/>
        <w:topLinePunct w:val="0"/>
        <w:autoSpaceDE/>
        <w:autoSpaceDN/>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4.3.2在政府采购活动中，投标人提供的货物、工程或者服务符合下列情形的，享受中小企业扶持政策：</w:t>
      </w:r>
    </w:p>
    <w:p w14:paraId="6AF6DF8F">
      <w:pPr>
        <w:keepNext w:val="0"/>
        <w:keepLines w:val="0"/>
        <w:pageBreakBefore w:val="0"/>
        <w:widowControl w:val="0"/>
        <w:kinsoku/>
        <w:wordWrap/>
        <w:overflowPunct/>
        <w:topLinePunct w:val="0"/>
        <w:autoSpaceDE/>
        <w:autoSpaceDN/>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（一）在货物采购项目中，货物由中小企业制造，即货物由中小企业生产且使用该中小企业商号或者注册商标；</w:t>
      </w:r>
    </w:p>
    <w:p w14:paraId="04B75DE5">
      <w:pPr>
        <w:keepNext w:val="0"/>
        <w:keepLines w:val="0"/>
        <w:pageBreakBefore w:val="0"/>
        <w:widowControl w:val="0"/>
        <w:kinsoku/>
        <w:wordWrap/>
        <w:overflowPunct/>
        <w:topLinePunct w:val="0"/>
        <w:autoSpaceDE/>
        <w:autoSpaceDN/>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（二）在工程采购项目中，工程由中小企业承建，即工程施工单位为中小企业；</w:t>
      </w:r>
    </w:p>
    <w:p w14:paraId="0BD89143">
      <w:pPr>
        <w:keepNext w:val="0"/>
        <w:keepLines w:val="0"/>
        <w:pageBreakBefore w:val="0"/>
        <w:widowControl w:val="0"/>
        <w:kinsoku/>
        <w:wordWrap/>
        <w:overflowPunct/>
        <w:topLinePunct w:val="0"/>
        <w:autoSpaceDE/>
        <w:autoSpaceDN/>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（三）在服务采购项目中，服务由中小企业承接，即提供服务的人员为中小企业依照《中华人民共和国劳动合同法》订立劳动合同的从业人员。</w:t>
      </w:r>
    </w:p>
    <w:p w14:paraId="0DC8454B">
      <w:pPr>
        <w:keepNext w:val="0"/>
        <w:keepLines w:val="0"/>
        <w:pageBreakBefore w:val="0"/>
        <w:widowControl w:val="0"/>
        <w:kinsoku/>
        <w:wordWrap/>
        <w:overflowPunct/>
        <w:topLinePunct w:val="0"/>
        <w:autoSpaceDE/>
        <w:autoSpaceDN/>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在货物采购项目中，供应商提供的货物既有中小企业制造货物，也有大型企业制造货物的，不享受本办法规定的中小企业扶持政策。</w:t>
      </w:r>
    </w:p>
    <w:p w14:paraId="21094B22">
      <w:pPr>
        <w:keepNext w:val="0"/>
        <w:keepLines w:val="0"/>
        <w:pageBreakBefore w:val="0"/>
        <w:widowControl w:val="0"/>
        <w:kinsoku/>
        <w:wordWrap/>
        <w:overflowPunct/>
        <w:topLinePunct w:val="0"/>
        <w:autoSpaceDE/>
        <w:autoSpaceDN/>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以联合体形式参加政府采购活动，联合体各方均为中小企业的，联合体视同中小企业。其中，联合体各方均为小微企业的，联合体视同小微企业。</w:t>
      </w:r>
    </w:p>
    <w:p w14:paraId="15CA301F">
      <w:pPr>
        <w:keepNext w:val="0"/>
        <w:keepLines w:val="0"/>
        <w:pageBreakBefore w:val="0"/>
        <w:widowControl w:val="0"/>
        <w:kinsoku/>
        <w:wordWrap/>
        <w:overflowPunct/>
        <w:topLinePunct w:val="0"/>
        <w:autoSpaceDE/>
        <w:autoSpaceDN/>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240E16A">
      <w:pPr>
        <w:keepNext w:val="0"/>
        <w:keepLines w:val="0"/>
        <w:pageBreakBefore w:val="0"/>
        <w:widowControl w:val="0"/>
        <w:kinsoku/>
        <w:wordWrap/>
        <w:overflowPunct/>
        <w:topLinePunct w:val="0"/>
        <w:autoSpaceDE/>
        <w:autoSpaceDN/>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4.3.4符合《关于促进残疾人就业政府采购政策的通知》（财库〔2017〕141号）规定的条件并提供《残疾人福利性单位声明函》（附件1）的残疾人福利性单位视同小型、微型企业；</w:t>
      </w:r>
    </w:p>
    <w:p w14:paraId="4D7349DC">
      <w:pPr>
        <w:keepNext w:val="0"/>
        <w:keepLines w:val="0"/>
        <w:pageBreakBefore w:val="0"/>
        <w:widowControl w:val="0"/>
        <w:kinsoku/>
        <w:wordWrap/>
        <w:overflowPunct/>
        <w:topLinePunct w:val="0"/>
        <w:autoSpaceDE/>
        <w:autoSpaceDN/>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693EB223">
      <w:pPr>
        <w:keepNext w:val="0"/>
        <w:keepLines w:val="0"/>
        <w:pageBreakBefore w:val="0"/>
        <w:widowControl w:val="0"/>
        <w:kinsoku/>
        <w:wordWrap/>
        <w:overflowPunct/>
        <w:topLinePunct w:val="0"/>
        <w:autoSpaceDE/>
        <w:autoSpaceDN/>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72A313E">
      <w:pPr>
        <w:keepNext w:val="0"/>
        <w:keepLines w:val="0"/>
        <w:pageBreakBefore w:val="0"/>
        <w:widowControl w:val="0"/>
        <w:kinsoku/>
        <w:wordWrap/>
        <w:overflowPunct/>
        <w:topLinePunct w:val="0"/>
        <w:autoSpaceDE/>
        <w:autoSpaceDN/>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4.3.7中小企业享受扶持政策获得政府采购合同的，小微企业不得将合同分包给大中型企业，中型企业不得将合同分包给大型企业。</w:t>
      </w:r>
    </w:p>
    <w:p w14:paraId="5D18FDDA">
      <w:pPr>
        <w:keepNext w:val="0"/>
        <w:keepLines w:val="0"/>
        <w:pageBreakBefore w:val="0"/>
        <w:widowControl w:val="0"/>
        <w:kinsoku/>
        <w:wordWrap/>
        <w:overflowPunct/>
        <w:topLinePunct w:val="0"/>
        <w:autoSpaceDE/>
        <w:autoSpaceDN/>
        <w:bidi w:val="0"/>
        <w:adjustRightInd w:val="0"/>
        <w:snapToGri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4.4中小企业信用融资：为支持和促进中小企业发展，进一步发挥政府采购政策功能，</w:t>
      </w:r>
      <w:r>
        <w:rPr>
          <w:rFonts w:hint="eastAsia" w:ascii="宋体" w:hAnsi="宋体" w:eastAsia="宋体" w:cs="宋体"/>
          <w:snapToGrid w:val="0"/>
          <w:color w:val="auto"/>
          <w:kern w:val="28"/>
          <w:sz w:val="22"/>
          <w:szCs w:val="22"/>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67F4D08">
      <w:pPr>
        <w:keepNext w:val="0"/>
        <w:keepLines w:val="0"/>
        <w:pageBreakBefore w:val="0"/>
        <w:widowControl w:val="0"/>
        <w:kinsoku/>
        <w:wordWrap/>
        <w:overflowPunct/>
        <w:topLinePunct w:val="0"/>
        <w:autoSpaceDE/>
        <w:autoSpaceDN/>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4.5支持创新发展</w:t>
      </w:r>
    </w:p>
    <w:p w14:paraId="5925161F">
      <w:pPr>
        <w:keepNext w:val="0"/>
        <w:keepLines w:val="0"/>
        <w:pageBreakBefore w:val="0"/>
        <w:widowControl w:val="0"/>
        <w:kinsoku/>
        <w:wordWrap/>
        <w:overflowPunct/>
        <w:topLinePunct w:val="0"/>
        <w:autoSpaceDE/>
        <w:autoSpaceDN/>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4.5.1采购人优先采购被认定为首台套产品和“制造精品”的自主创新产品。</w:t>
      </w:r>
    </w:p>
    <w:p w14:paraId="55CD7959">
      <w:pPr>
        <w:keepNext w:val="0"/>
        <w:keepLines w:val="0"/>
        <w:pageBreakBefore w:val="0"/>
        <w:widowControl w:val="0"/>
        <w:kinsoku/>
        <w:wordWrap/>
        <w:overflowPunct/>
        <w:topLinePunct w:val="0"/>
        <w:autoSpaceDE/>
        <w:autoSpaceDN/>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4.5.2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5729994A">
      <w:pPr>
        <w:keepNext w:val="0"/>
        <w:keepLines w:val="0"/>
        <w:pageBreakBefore w:val="0"/>
        <w:widowControl w:val="0"/>
        <w:kinsoku/>
        <w:wordWrap/>
        <w:overflowPunct/>
        <w:topLinePunct w:val="0"/>
        <w:autoSpaceDE/>
        <w:autoSpaceDN/>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4.6平等对待内外资企业和符合条件的破产重整企业</w:t>
      </w:r>
    </w:p>
    <w:p w14:paraId="13EAA845">
      <w:pPr>
        <w:keepNext w:val="0"/>
        <w:keepLines w:val="0"/>
        <w:pageBreakBefore w:val="0"/>
        <w:widowControl w:val="0"/>
        <w:kinsoku/>
        <w:wordWrap/>
        <w:overflowPunct/>
        <w:topLinePunct w:val="0"/>
        <w:autoSpaceDE/>
        <w:autoSpaceDN/>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平等对待内外资企业和符合条件的破产重整企业，切实保障企业公平竞争，平等维护企业的合法利益。</w:t>
      </w:r>
    </w:p>
    <w:p w14:paraId="33977D0C">
      <w:pPr>
        <w:spacing w:line="40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 询问、质疑、投诉</w:t>
      </w:r>
    </w:p>
    <w:p w14:paraId="59BA6A1E">
      <w:pPr>
        <w:keepNext w:val="0"/>
        <w:keepLines w:val="0"/>
        <w:pageBreakBefore w:val="0"/>
        <w:kinsoku/>
        <w:wordWrap/>
        <w:overflowPunct/>
        <w:topLinePunct w:val="0"/>
        <w:autoSpaceDE w:val="0"/>
        <w:autoSpaceDN w:val="0"/>
        <w:bidi w:val="0"/>
        <w:adjustRightInd w:val="0"/>
        <w:spacing w:line="400" w:lineRule="exact"/>
        <w:ind w:firstLine="440" w:firstLineChars="200"/>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lang w:val="zh-CN"/>
        </w:rPr>
        <w:t>.1供应商询问</w:t>
      </w:r>
    </w:p>
    <w:p w14:paraId="3D61A0C0">
      <w:pPr>
        <w:keepNext w:val="0"/>
        <w:keepLines w:val="0"/>
        <w:pageBreakBefore w:val="0"/>
        <w:kinsoku/>
        <w:wordWrap/>
        <w:overflowPunct/>
        <w:topLinePunct w:val="0"/>
        <w:autoSpaceDE w:val="0"/>
        <w:autoSpaceDN w:val="0"/>
        <w:bidi w:val="0"/>
        <w:adjustRightInd w:val="0"/>
        <w:spacing w:line="400" w:lineRule="exact"/>
        <w:ind w:firstLine="440" w:firstLineChars="200"/>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F6E712A">
      <w:pPr>
        <w:keepNext w:val="0"/>
        <w:keepLines w:val="0"/>
        <w:pageBreakBefore w:val="0"/>
        <w:kinsoku/>
        <w:wordWrap/>
        <w:overflowPunct/>
        <w:topLinePunct w:val="0"/>
        <w:autoSpaceDE w:val="0"/>
        <w:autoSpaceDN w:val="0"/>
        <w:bidi w:val="0"/>
        <w:adjustRightInd w:val="0"/>
        <w:spacing w:line="400" w:lineRule="exact"/>
        <w:ind w:firstLine="440" w:firstLineChars="200"/>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lang w:val="zh-CN"/>
        </w:rPr>
        <w:t>.2供应商质疑</w:t>
      </w:r>
    </w:p>
    <w:p w14:paraId="0D97546C">
      <w:pPr>
        <w:pStyle w:val="9"/>
        <w:keepNext w:val="0"/>
        <w:keepLines w:val="0"/>
        <w:pageBreakBefore w:val="0"/>
        <w:kinsoku/>
        <w:wordWrap/>
        <w:overflowPunct/>
        <w:topLinePunct w:val="0"/>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lang w:val="zh-CN"/>
        </w:rPr>
        <w:t>.2</w:t>
      </w:r>
      <w:r>
        <w:rPr>
          <w:rFonts w:hint="eastAsia" w:ascii="宋体" w:hAnsi="宋体" w:eastAsia="宋体" w:cs="宋体"/>
          <w:color w:val="auto"/>
          <w:sz w:val="22"/>
          <w:szCs w:val="22"/>
          <w:highlight w:val="none"/>
        </w:rPr>
        <w:t>.1提出质疑的供应商应当是参与所质疑项目采购活动的供应商。潜在供应商已依法获取其可质疑的招标文件的，可以对该文件提出质疑。</w:t>
      </w:r>
    </w:p>
    <w:p w14:paraId="4ABB023E">
      <w:pPr>
        <w:pStyle w:val="9"/>
        <w:keepNext w:val="0"/>
        <w:keepLines w:val="0"/>
        <w:pageBreakBefore w:val="0"/>
        <w:kinsoku/>
        <w:wordWrap/>
        <w:overflowPunct/>
        <w:topLinePunct w:val="0"/>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lang w:val="zh-CN"/>
        </w:rPr>
        <w:t>.2</w:t>
      </w:r>
      <w:r>
        <w:rPr>
          <w:rFonts w:hint="eastAsia" w:ascii="宋体" w:hAnsi="宋体" w:eastAsia="宋体" w:cs="宋体"/>
          <w:color w:val="auto"/>
          <w:sz w:val="22"/>
          <w:szCs w:val="22"/>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036629A">
      <w:pPr>
        <w:pStyle w:val="3"/>
        <w:keepNext w:val="0"/>
        <w:keepLines w:val="0"/>
        <w:pageBreakBefore w:val="0"/>
        <w:kinsoku/>
        <w:wordWrap/>
        <w:overflowPunct/>
        <w:topLinePunct w:val="0"/>
        <w:bidi w:val="0"/>
        <w:adjustRightInd w:val="0"/>
        <w:spacing w:line="400" w:lineRule="exact"/>
        <w:ind w:firstLine="440" w:firstLineChars="200"/>
        <w:jc w:val="left"/>
        <w:textAlignment w:val="auto"/>
        <w:rPr>
          <w:rFonts w:hint="eastAsia" w:ascii="宋体" w:hAnsi="宋体" w:eastAsia="宋体" w:cs="宋体"/>
          <w:snapToGrid/>
          <w:color w:val="auto"/>
          <w:kern w:val="2"/>
          <w:sz w:val="22"/>
          <w:szCs w:val="22"/>
          <w:highlight w:val="none"/>
        </w:rPr>
      </w:pPr>
      <w:r>
        <w:rPr>
          <w:rFonts w:hint="eastAsia" w:ascii="宋体" w:hAnsi="宋体" w:eastAsia="宋体" w:cs="宋体"/>
          <w:snapToGrid/>
          <w:color w:val="auto"/>
          <w:kern w:val="2"/>
          <w:sz w:val="22"/>
          <w:szCs w:val="22"/>
          <w:highlight w:val="none"/>
        </w:rPr>
        <w:t>5.2.2.1质疑提交形式：以</w:t>
      </w:r>
      <w:r>
        <w:rPr>
          <w:rFonts w:hint="eastAsia" w:ascii="宋体" w:hAnsi="宋体" w:eastAsia="宋体" w:cs="宋体"/>
          <w:color w:val="auto"/>
          <w:sz w:val="22"/>
          <w:szCs w:val="22"/>
          <w:highlight w:val="none"/>
        </w:rPr>
        <w:t>书面形式</w:t>
      </w:r>
      <w:r>
        <w:rPr>
          <w:rFonts w:hint="eastAsia" w:ascii="宋体" w:hAnsi="宋体" w:eastAsia="宋体" w:cs="宋体"/>
          <w:snapToGrid/>
          <w:color w:val="auto"/>
          <w:kern w:val="2"/>
          <w:sz w:val="22"/>
          <w:szCs w:val="22"/>
          <w:highlight w:val="none"/>
        </w:rPr>
        <w:t>向招标公告中载明的质疑联系人提交</w:t>
      </w:r>
      <w:r>
        <w:rPr>
          <w:rFonts w:hint="eastAsia" w:ascii="宋体" w:hAnsi="宋体" w:eastAsia="宋体" w:cs="宋体"/>
          <w:color w:val="auto"/>
          <w:sz w:val="22"/>
          <w:szCs w:val="22"/>
          <w:highlight w:val="none"/>
        </w:rPr>
        <w:t>或登录政采云平台（https://www.zcygov.cn/）通过“询问质疑投诉”栏向采购机构内设的质疑联系人提交并上传书面质疑材料。</w:t>
      </w:r>
    </w:p>
    <w:p w14:paraId="54AEA770">
      <w:pPr>
        <w:pStyle w:val="3"/>
        <w:keepNext w:val="0"/>
        <w:keepLines w:val="0"/>
        <w:pageBreakBefore w:val="0"/>
        <w:kinsoku/>
        <w:wordWrap/>
        <w:overflowPunct/>
        <w:topLinePunct w:val="0"/>
        <w:bidi w:val="0"/>
        <w:adjustRightInd w:val="0"/>
        <w:spacing w:line="400" w:lineRule="exact"/>
        <w:ind w:firstLine="440" w:firstLineChars="200"/>
        <w:jc w:val="left"/>
        <w:textAlignment w:val="auto"/>
        <w:rPr>
          <w:rFonts w:hint="eastAsia" w:ascii="宋体" w:hAnsi="宋体" w:eastAsia="宋体" w:cs="宋体"/>
          <w:snapToGrid/>
          <w:color w:val="auto"/>
          <w:kern w:val="2"/>
          <w:sz w:val="22"/>
          <w:szCs w:val="22"/>
          <w:highlight w:val="none"/>
        </w:rPr>
      </w:pPr>
      <w:r>
        <w:rPr>
          <w:rFonts w:hint="eastAsia" w:ascii="宋体" w:hAnsi="宋体" w:eastAsia="宋体" w:cs="宋体"/>
          <w:color w:val="auto"/>
          <w:sz w:val="22"/>
          <w:szCs w:val="22"/>
          <w:highlight w:val="none"/>
        </w:rPr>
        <w:t>5.2.2.2</w:t>
      </w:r>
      <w:r>
        <w:rPr>
          <w:rFonts w:hint="eastAsia" w:ascii="宋体" w:hAnsi="宋体" w:eastAsia="宋体" w:cs="宋体"/>
          <w:snapToGrid/>
          <w:color w:val="auto"/>
          <w:kern w:val="2"/>
          <w:sz w:val="22"/>
          <w:szCs w:val="22"/>
          <w:highlight w:val="none"/>
        </w:rPr>
        <w:t>对招标文件提出质疑的，质疑期限为供应商获得招标文件之日或者招标文件公告期限届满之日起计算。</w:t>
      </w:r>
    </w:p>
    <w:p w14:paraId="750C8C3F">
      <w:pPr>
        <w:pStyle w:val="9"/>
        <w:keepNext w:val="0"/>
        <w:keepLines w:val="0"/>
        <w:pageBreakBefore w:val="0"/>
        <w:kinsoku/>
        <w:wordWrap/>
        <w:overflowPunct/>
        <w:topLinePunct w:val="0"/>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5.2.2.3对采购过程提出质疑的，质疑期限为各采购程序环节结束之日起计算。</w:t>
      </w:r>
    </w:p>
    <w:p w14:paraId="68D7ACF4">
      <w:pPr>
        <w:pStyle w:val="9"/>
        <w:keepNext w:val="0"/>
        <w:keepLines w:val="0"/>
        <w:pageBreakBefore w:val="0"/>
        <w:kinsoku/>
        <w:wordWrap/>
        <w:overflowPunct/>
        <w:topLinePunct w:val="0"/>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5.2.2.4对采购结果提出质疑的，质疑期限自采购结果公告期限届满之日起计算。</w:t>
      </w:r>
    </w:p>
    <w:p w14:paraId="59F30D19">
      <w:pPr>
        <w:pStyle w:val="9"/>
        <w:keepNext w:val="0"/>
        <w:keepLines w:val="0"/>
        <w:pageBreakBefore w:val="0"/>
        <w:kinsoku/>
        <w:wordWrap/>
        <w:overflowPunct/>
        <w:topLinePunct w:val="0"/>
        <w:bidi w:val="0"/>
        <w:adjustRightInd w:val="0"/>
        <w:spacing w:line="400" w:lineRule="exact"/>
        <w:ind w:firstLine="440" w:firstLineChars="200"/>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lang w:val="zh-CN"/>
        </w:rPr>
        <w:t>.2.3</w:t>
      </w:r>
      <w:r>
        <w:rPr>
          <w:rFonts w:hint="eastAsia" w:ascii="宋体" w:hAnsi="宋体" w:eastAsia="宋体" w:cs="宋体"/>
          <w:color w:val="auto"/>
          <w:sz w:val="22"/>
          <w:szCs w:val="22"/>
          <w:highlight w:val="none"/>
        </w:rPr>
        <w:t>供应商提出质疑应当提交质疑函和必要的证明材料。质疑函应当包括下列内容：</w:t>
      </w:r>
    </w:p>
    <w:p w14:paraId="6CA251AA">
      <w:pPr>
        <w:pStyle w:val="9"/>
        <w:keepNext w:val="0"/>
        <w:keepLines w:val="0"/>
        <w:pageBreakBefore w:val="0"/>
        <w:kinsoku/>
        <w:wordWrap/>
        <w:overflowPunct/>
        <w:topLinePunct w:val="0"/>
        <w:bidi w:val="0"/>
        <w:adjustRightInd w:val="0"/>
        <w:spacing w:line="400" w:lineRule="exact"/>
        <w:ind w:firstLine="440" w:firstLineChars="200"/>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lang w:val="zh-CN"/>
        </w:rPr>
        <w:t>.2.3.1供应商的姓名或者名称、地址、邮编、联系人及联系电话；</w:t>
      </w:r>
    </w:p>
    <w:p w14:paraId="401807CD">
      <w:pPr>
        <w:pStyle w:val="9"/>
        <w:keepNext w:val="0"/>
        <w:keepLines w:val="0"/>
        <w:pageBreakBefore w:val="0"/>
        <w:kinsoku/>
        <w:wordWrap/>
        <w:overflowPunct/>
        <w:topLinePunct w:val="0"/>
        <w:bidi w:val="0"/>
        <w:adjustRightInd w:val="0"/>
        <w:spacing w:line="400" w:lineRule="exact"/>
        <w:ind w:firstLine="440" w:firstLineChars="200"/>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lang w:val="zh-CN"/>
        </w:rPr>
        <w:t>.2.3.2质疑项目的名称、编号；</w:t>
      </w:r>
    </w:p>
    <w:p w14:paraId="6BB3C9E4">
      <w:pPr>
        <w:pStyle w:val="9"/>
        <w:keepNext w:val="0"/>
        <w:keepLines w:val="0"/>
        <w:pageBreakBefore w:val="0"/>
        <w:kinsoku/>
        <w:wordWrap/>
        <w:overflowPunct/>
        <w:topLinePunct w:val="0"/>
        <w:bidi w:val="0"/>
        <w:adjustRightInd w:val="0"/>
        <w:spacing w:line="400" w:lineRule="exact"/>
        <w:ind w:firstLine="440" w:firstLineChars="200"/>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lang w:val="zh-CN"/>
        </w:rPr>
        <w:t>.2.3.3具体、明确的质疑事项和与质疑事项相关的请求；</w:t>
      </w:r>
    </w:p>
    <w:p w14:paraId="1D23D5CA">
      <w:pPr>
        <w:pStyle w:val="9"/>
        <w:keepNext w:val="0"/>
        <w:keepLines w:val="0"/>
        <w:pageBreakBefore w:val="0"/>
        <w:kinsoku/>
        <w:wordWrap/>
        <w:overflowPunct/>
        <w:topLinePunct w:val="0"/>
        <w:bidi w:val="0"/>
        <w:adjustRightInd w:val="0"/>
        <w:spacing w:line="400" w:lineRule="exact"/>
        <w:ind w:firstLine="440" w:firstLineChars="200"/>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lang w:val="zh-CN"/>
        </w:rPr>
        <w:t>.2.3.4事实依据；</w:t>
      </w:r>
    </w:p>
    <w:p w14:paraId="3D093CAF">
      <w:pPr>
        <w:pStyle w:val="9"/>
        <w:keepNext w:val="0"/>
        <w:keepLines w:val="0"/>
        <w:pageBreakBefore w:val="0"/>
        <w:kinsoku/>
        <w:wordWrap/>
        <w:overflowPunct/>
        <w:topLinePunct w:val="0"/>
        <w:bidi w:val="0"/>
        <w:adjustRightInd w:val="0"/>
        <w:spacing w:line="400" w:lineRule="exact"/>
        <w:ind w:firstLine="440" w:firstLineChars="200"/>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lang w:val="zh-CN"/>
        </w:rPr>
        <w:t>.2.3.5必要的法律依据；</w:t>
      </w:r>
    </w:p>
    <w:p w14:paraId="22A52371">
      <w:pPr>
        <w:keepNext w:val="0"/>
        <w:keepLines w:val="0"/>
        <w:pageBreakBefore w:val="0"/>
        <w:kinsoku/>
        <w:wordWrap/>
        <w:overflowPunct/>
        <w:topLinePunct w:val="0"/>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zh-CN"/>
        </w:rPr>
        <w:t>.2.3.6提出质疑的日期。</w:t>
      </w:r>
    </w:p>
    <w:p w14:paraId="56EDAAD6">
      <w:pPr>
        <w:keepNext w:val="0"/>
        <w:keepLines w:val="0"/>
        <w:pageBreakBefore w:val="0"/>
        <w:kinsoku/>
        <w:wordWrap/>
        <w:overflowPunct/>
        <w:topLinePunct w:val="0"/>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供应商为自然人的，应当由本人签字；供应商为法人或者其他组织的，应当由法定代表人、主要负责人，或者其授权代表签字或者盖章，并加盖公章。</w:t>
      </w:r>
    </w:p>
    <w:p w14:paraId="2DB55A94">
      <w:pPr>
        <w:keepNext w:val="0"/>
        <w:keepLines w:val="0"/>
        <w:pageBreakBefore w:val="0"/>
        <w:kinsoku/>
        <w:wordWrap/>
        <w:overflowPunct/>
        <w:topLinePunct w:val="0"/>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质疑函范本及制作说明详见附件2。</w:t>
      </w:r>
    </w:p>
    <w:p w14:paraId="16771D60">
      <w:pPr>
        <w:keepNext w:val="0"/>
        <w:keepLines w:val="0"/>
        <w:pageBreakBefore w:val="0"/>
        <w:kinsoku/>
        <w:wordWrap/>
        <w:overflowPunct/>
        <w:topLinePunct w:val="0"/>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对同一采购程序环节的质疑，供应商须在法定质疑期内一次性提出。</w:t>
      </w:r>
    </w:p>
    <w:p w14:paraId="287C7A1E">
      <w:pPr>
        <w:keepNext w:val="0"/>
        <w:keepLines w:val="0"/>
        <w:pageBreakBefore w:val="0"/>
        <w:kinsoku/>
        <w:wordWrap/>
        <w:overflowPunct/>
        <w:topLinePunct w:val="0"/>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浙江政府采购网的“其他公告”栏目公开质疑答复，答复内容应当完整。质疑函作为附件上传。</w:t>
      </w:r>
    </w:p>
    <w:p w14:paraId="17155923">
      <w:pPr>
        <w:keepNext w:val="0"/>
        <w:keepLines w:val="0"/>
        <w:pageBreakBefore w:val="0"/>
        <w:kinsoku/>
        <w:wordWrap/>
        <w:overflowPunct/>
        <w:topLinePunct w:val="0"/>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zh-CN"/>
        </w:rPr>
        <w:t>.2.5询问或者质疑事项可能影响采购结果的，采购人应当暂停签订合同，已经签订合同的，应当中止履行合同。</w:t>
      </w:r>
    </w:p>
    <w:p w14:paraId="1133D5C0">
      <w:pPr>
        <w:keepNext w:val="0"/>
        <w:keepLines w:val="0"/>
        <w:pageBreakBefore w:val="0"/>
        <w:kinsoku/>
        <w:wordWrap/>
        <w:overflowPunct/>
        <w:topLinePunct w:val="0"/>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zh-CN"/>
        </w:rPr>
        <w:t>.3供应商投诉</w:t>
      </w:r>
    </w:p>
    <w:p w14:paraId="617794E6">
      <w:pPr>
        <w:keepNext w:val="0"/>
        <w:keepLines w:val="0"/>
        <w:pageBreakBefore w:val="0"/>
        <w:kinsoku/>
        <w:wordWrap/>
        <w:overflowPunct/>
        <w:topLinePunct w:val="0"/>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5.3.1质疑供应商对采购人、采购代理机构的答复不满意或者采购人、采购代理机构未在规定的时间内作出答复的，可以在答复期满后十五个工作日内向同级政府采购监督管理部门提出投诉。</w:t>
      </w:r>
    </w:p>
    <w:p w14:paraId="5CBDF031">
      <w:pPr>
        <w:keepNext w:val="0"/>
        <w:keepLines w:val="0"/>
        <w:pageBreakBefore w:val="0"/>
        <w:kinsoku/>
        <w:wordWrap/>
        <w:overflowPunct/>
        <w:topLinePunct w:val="0"/>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5.3.2供应商投诉的事项不得超出已质疑事项的范围，基于质疑答复内容提出的投诉事项除外。</w:t>
      </w:r>
    </w:p>
    <w:p w14:paraId="1225BEA6">
      <w:pPr>
        <w:keepNext w:val="0"/>
        <w:keepLines w:val="0"/>
        <w:pageBreakBefore w:val="0"/>
        <w:kinsoku/>
        <w:wordWrap/>
        <w:overflowPunct/>
        <w:topLinePunct w:val="0"/>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5.3.3供应商投诉应当有明确的请求和必要的证明材料。</w:t>
      </w:r>
    </w:p>
    <w:p w14:paraId="5D8A60C2">
      <w:pPr>
        <w:keepNext w:val="0"/>
        <w:keepLines w:val="0"/>
        <w:pageBreakBefore w:val="0"/>
        <w:kinsoku/>
        <w:wordWrap/>
        <w:overflowPunct/>
        <w:topLinePunct w:val="0"/>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5.3.</w:t>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以联合体形式参加政府采购活动的，其投诉应当由组成联合体的所有供应商共同提出。</w:t>
      </w:r>
    </w:p>
    <w:p w14:paraId="4FA07912">
      <w:pPr>
        <w:keepNext w:val="0"/>
        <w:keepLines w:val="0"/>
        <w:pageBreakBefore w:val="0"/>
        <w:kinsoku/>
        <w:wordWrap/>
        <w:overflowPunct/>
        <w:topLinePunct w:val="0"/>
        <w:bidi w:val="0"/>
        <w:adjustRightInd w:val="0"/>
        <w:spacing w:line="400" w:lineRule="exact"/>
        <w:ind w:firstLine="440" w:firstLineChars="200"/>
        <w:jc w:val="lef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投诉书范本及制作说明详见附件3。</w:t>
      </w:r>
    </w:p>
    <w:p w14:paraId="6CBC4874">
      <w:pPr>
        <w:adjustRightInd/>
        <w:spacing w:line="400" w:lineRule="exact"/>
        <w:jc w:val="center"/>
        <w:outlineLvl w:val="0"/>
        <w:rPr>
          <w:rStyle w:val="22"/>
          <w:rFonts w:hint="eastAsia" w:ascii="宋体" w:hAnsi="宋体" w:eastAsia="宋体" w:cs="宋体"/>
          <w:color w:val="auto"/>
          <w:highlight w:val="none"/>
        </w:rPr>
      </w:pPr>
    </w:p>
    <w:p w14:paraId="7948DAD1">
      <w:pPr>
        <w:adjustRightInd/>
        <w:spacing w:line="400" w:lineRule="exact"/>
        <w:jc w:val="center"/>
        <w:outlineLvl w:val="0"/>
        <w:rPr>
          <w:rFonts w:hint="eastAsia" w:ascii="宋体" w:hAnsi="宋体" w:eastAsia="宋体" w:cs="宋体"/>
          <w:b/>
          <w:color w:val="auto"/>
          <w:sz w:val="32"/>
          <w:szCs w:val="20"/>
          <w:highlight w:val="none"/>
        </w:rPr>
      </w:pPr>
      <w:bookmarkStart w:id="23" w:name="_Toc25020"/>
      <w:r>
        <w:rPr>
          <w:rStyle w:val="22"/>
          <w:rFonts w:hint="eastAsia" w:ascii="宋体" w:hAnsi="宋体" w:eastAsia="宋体" w:cs="宋体"/>
          <w:color w:val="auto"/>
          <w:highlight w:val="none"/>
        </w:rPr>
        <w:t>二、招标文件的构成、澄清、修改</w:t>
      </w:r>
      <w:bookmarkEnd w:id="23"/>
    </w:p>
    <w:p w14:paraId="2502529F">
      <w:pPr>
        <w:pStyle w:val="9"/>
        <w:spacing w:line="40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6．招标文件的构成</w:t>
      </w:r>
    </w:p>
    <w:p w14:paraId="5071983A">
      <w:pPr>
        <w:pStyle w:val="9"/>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 招标文件包括下列文件及附件：</w:t>
      </w:r>
    </w:p>
    <w:p w14:paraId="2C67D008">
      <w:pPr>
        <w:pStyle w:val="9"/>
        <w:tabs>
          <w:tab w:val="left" w:pos="840"/>
        </w:tabs>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6.1.1招标公告；</w:t>
      </w:r>
    </w:p>
    <w:p w14:paraId="4DFFA030">
      <w:pPr>
        <w:pStyle w:val="9"/>
        <w:tabs>
          <w:tab w:val="left" w:pos="840"/>
        </w:tabs>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6.1.2投标人须知；</w:t>
      </w:r>
    </w:p>
    <w:p w14:paraId="795117AD">
      <w:pPr>
        <w:pStyle w:val="9"/>
        <w:tabs>
          <w:tab w:val="left" w:pos="840"/>
        </w:tabs>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6.1.3采购需求；</w:t>
      </w:r>
    </w:p>
    <w:p w14:paraId="34823E6B">
      <w:pPr>
        <w:pStyle w:val="9"/>
        <w:tabs>
          <w:tab w:val="left" w:pos="840"/>
        </w:tabs>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6.1.4评标办法；</w:t>
      </w:r>
    </w:p>
    <w:p w14:paraId="596D2367">
      <w:pPr>
        <w:pStyle w:val="9"/>
        <w:tabs>
          <w:tab w:val="left" w:pos="840"/>
        </w:tabs>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6.1.5拟签订的合同文本；</w:t>
      </w:r>
    </w:p>
    <w:p w14:paraId="4C01D632">
      <w:pPr>
        <w:pStyle w:val="9"/>
        <w:tabs>
          <w:tab w:val="left" w:pos="840"/>
        </w:tabs>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6.1.6应提交的有关格式范例。</w:t>
      </w:r>
    </w:p>
    <w:p w14:paraId="08994D00">
      <w:pPr>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6.2与本项目有关的</w:t>
      </w:r>
      <w:r>
        <w:rPr>
          <w:rFonts w:hint="eastAsia" w:ascii="宋体" w:hAnsi="宋体" w:eastAsia="宋体" w:cs="宋体"/>
          <w:bCs/>
          <w:color w:val="auto"/>
          <w:sz w:val="22"/>
          <w:szCs w:val="22"/>
          <w:highlight w:val="none"/>
        </w:rPr>
        <w:t>澄清或者修改的内容为招标文件的组成部分</w:t>
      </w:r>
      <w:r>
        <w:rPr>
          <w:rFonts w:hint="eastAsia" w:ascii="宋体" w:hAnsi="宋体" w:eastAsia="宋体" w:cs="宋体"/>
          <w:color w:val="auto"/>
          <w:sz w:val="22"/>
          <w:szCs w:val="22"/>
          <w:highlight w:val="none"/>
        </w:rPr>
        <w:t>。</w:t>
      </w:r>
    </w:p>
    <w:p w14:paraId="045C564F">
      <w:pPr>
        <w:pStyle w:val="9"/>
        <w:spacing w:line="40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 招标文件的澄清、修改</w:t>
      </w:r>
    </w:p>
    <w:p w14:paraId="4E6E1DC9">
      <w:pPr>
        <w:pStyle w:val="24"/>
        <w:snapToGrid w:val="0"/>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7.1已获取招标文件的潜在投标人，若有问题需要澄清，应于投标截止时间前，以书面形式向采购代理机构提出。</w:t>
      </w:r>
    </w:p>
    <w:p w14:paraId="42B696C9">
      <w:pPr>
        <w:pStyle w:val="24"/>
        <w:snapToGrid w:val="0"/>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188B798">
      <w:pPr>
        <w:pStyle w:val="5"/>
        <w:spacing w:line="400" w:lineRule="exact"/>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1EE69266">
      <w:pPr>
        <w:pStyle w:val="2"/>
        <w:spacing w:line="400" w:lineRule="exact"/>
        <w:ind w:left="0"/>
        <w:jc w:val="center"/>
        <w:rPr>
          <w:rFonts w:hint="eastAsia" w:ascii="宋体" w:hAnsi="宋体" w:eastAsia="宋体" w:cs="宋体"/>
          <w:color w:val="auto"/>
          <w:highlight w:val="none"/>
        </w:rPr>
      </w:pPr>
      <w:bookmarkStart w:id="24" w:name="_Toc12599"/>
      <w:r>
        <w:rPr>
          <w:rFonts w:hint="eastAsia" w:ascii="宋体" w:hAnsi="宋体" w:eastAsia="宋体" w:cs="宋体"/>
          <w:color w:val="auto"/>
          <w:highlight w:val="none"/>
        </w:rPr>
        <w:t>三、投标</w:t>
      </w:r>
      <w:bookmarkEnd w:id="24"/>
    </w:p>
    <w:p w14:paraId="3E0B77EB">
      <w:pPr>
        <w:pStyle w:val="9"/>
        <w:spacing w:line="40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8. 招标文件的获取</w:t>
      </w:r>
    </w:p>
    <w:p w14:paraId="1C988F37">
      <w:pPr>
        <w:spacing w:line="400" w:lineRule="exact"/>
        <w:ind w:firstLine="440" w:firstLineChars="200"/>
        <w:jc w:val="left"/>
        <w:rPr>
          <w:rFonts w:hint="eastAsia" w:ascii="宋体" w:hAnsi="宋体" w:eastAsia="宋体" w:cs="宋体"/>
          <w:snapToGrid w:val="0"/>
          <w:color w:val="auto"/>
          <w:kern w:val="28"/>
          <w:sz w:val="22"/>
          <w:szCs w:val="22"/>
          <w:highlight w:val="none"/>
        </w:rPr>
      </w:pPr>
      <w:r>
        <w:rPr>
          <w:rFonts w:hint="eastAsia" w:ascii="宋体" w:hAnsi="宋体" w:eastAsia="宋体" w:cs="宋体"/>
          <w:snapToGrid w:val="0"/>
          <w:color w:val="auto"/>
          <w:kern w:val="28"/>
          <w:sz w:val="22"/>
          <w:szCs w:val="22"/>
          <w:highlight w:val="none"/>
        </w:rPr>
        <w:t>详见招标公告中获取招标文件的时间期限、地点、方式及招标文件售价。</w:t>
      </w:r>
    </w:p>
    <w:p w14:paraId="3A39ED02">
      <w:pPr>
        <w:pStyle w:val="9"/>
        <w:spacing w:line="40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9.开标前答疑会或现场考察</w:t>
      </w:r>
    </w:p>
    <w:p w14:paraId="446CE853">
      <w:pPr>
        <w:pStyle w:val="9"/>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采购人组织潜在投标人现场考察或者召开开标前答疑会的，潜在投标人按第二部分投标人须知前附表的规定参加现场考察或者开标前答疑会。</w:t>
      </w:r>
    </w:p>
    <w:p w14:paraId="767C8175">
      <w:pPr>
        <w:pStyle w:val="9"/>
        <w:spacing w:line="40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kern w:val="28"/>
          <w:sz w:val="22"/>
          <w:szCs w:val="22"/>
          <w:highlight w:val="none"/>
        </w:rPr>
        <w:t>10.投标保证金</w:t>
      </w:r>
    </w:p>
    <w:p w14:paraId="4402EE2D">
      <w:pPr>
        <w:pStyle w:val="3"/>
        <w:spacing w:line="400" w:lineRule="exact"/>
        <w:ind w:firstLine="431" w:firstLineChars="196"/>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本项目不需缴纳投标保证金。</w:t>
      </w:r>
    </w:p>
    <w:p w14:paraId="1AADC19B">
      <w:pPr>
        <w:pStyle w:val="9"/>
        <w:spacing w:line="40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 投标文件的语言</w:t>
      </w:r>
    </w:p>
    <w:p w14:paraId="0C80FB6A">
      <w:pPr>
        <w:autoSpaceDE w:val="0"/>
        <w:autoSpaceDN w:val="0"/>
        <w:spacing w:line="400" w:lineRule="exact"/>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投标文件及投标人与采购有关的来往通知、函件和文件均应使用中文。</w:t>
      </w:r>
    </w:p>
    <w:p w14:paraId="07AAB9E9">
      <w:pPr>
        <w:pStyle w:val="9"/>
        <w:spacing w:line="40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12. 投标文件的组成</w:t>
      </w:r>
    </w:p>
    <w:p w14:paraId="45F9DF00">
      <w:pPr>
        <w:snapToGrid w:val="0"/>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w:t>
      </w:r>
      <w:r>
        <w:rPr>
          <w:rFonts w:hint="eastAsia" w:ascii="宋体" w:hAnsi="宋体" w:eastAsia="宋体" w:cs="宋体"/>
          <w:b/>
          <w:color w:val="auto"/>
          <w:sz w:val="22"/>
          <w:szCs w:val="22"/>
          <w:highlight w:val="none"/>
        </w:rPr>
        <w:t>资格文件</w:t>
      </w:r>
      <w:r>
        <w:rPr>
          <w:rFonts w:hint="eastAsia" w:ascii="宋体" w:hAnsi="宋体" w:eastAsia="宋体" w:cs="宋体"/>
          <w:color w:val="auto"/>
          <w:sz w:val="22"/>
          <w:szCs w:val="22"/>
          <w:highlight w:val="none"/>
        </w:rPr>
        <w:t>：</w:t>
      </w:r>
    </w:p>
    <w:p w14:paraId="5AFF1369">
      <w:pPr>
        <w:pStyle w:val="23"/>
        <w:spacing w:line="40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12.1.1提供符合参加政府采购活动应当具备的一般条件的承诺函</w:t>
      </w:r>
      <w:r>
        <w:rPr>
          <w:rFonts w:hint="eastAsia" w:ascii="宋体" w:hAnsi="宋体" w:eastAsia="宋体" w:cs="宋体"/>
          <w:b/>
          <w:bCs/>
          <w:color w:val="auto"/>
          <w:sz w:val="22"/>
          <w:szCs w:val="22"/>
          <w:highlight w:val="none"/>
        </w:rPr>
        <w:t>（若联合体参加投标的，联合体各方分别提供、分别盖电子签名或公章）</w:t>
      </w:r>
    </w:p>
    <w:p w14:paraId="24C44C88">
      <w:pPr>
        <w:pStyle w:val="23"/>
        <w:spacing w:line="40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12.1.2有效的企业营业执照（或事业法人登记证书或其它工商等登记证明材料，自然人提供身份证)复制件</w:t>
      </w:r>
      <w:r>
        <w:rPr>
          <w:rFonts w:hint="eastAsia" w:ascii="宋体" w:hAnsi="宋体" w:eastAsia="宋体" w:cs="宋体"/>
          <w:b/>
          <w:bCs/>
          <w:color w:val="auto"/>
          <w:sz w:val="22"/>
          <w:szCs w:val="22"/>
          <w:highlight w:val="none"/>
        </w:rPr>
        <w:t>（若联合体参加投标的，联合体各方分别提供）</w:t>
      </w:r>
      <w:r>
        <w:rPr>
          <w:rFonts w:hint="eastAsia" w:ascii="宋体" w:hAnsi="宋体" w:eastAsia="宋体" w:cs="宋体"/>
          <w:color w:val="auto"/>
          <w:sz w:val="22"/>
          <w:szCs w:val="22"/>
          <w:highlight w:val="none"/>
        </w:rPr>
        <w:t>（五选一）：</w:t>
      </w:r>
    </w:p>
    <w:p w14:paraId="0F0B67F5">
      <w:pPr>
        <w:snapToGrid w:val="0"/>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12.1.3落实政府采购政策需满足的资格要求</w:t>
      </w:r>
      <w:r>
        <w:rPr>
          <w:rFonts w:hint="eastAsia" w:ascii="宋体" w:hAnsi="宋体" w:eastAsia="宋体" w:cs="宋体"/>
          <w:color w:val="auto"/>
          <w:sz w:val="22"/>
          <w:szCs w:val="22"/>
          <w:highlight w:val="none"/>
          <w:lang w:val="zh-CN"/>
        </w:rPr>
        <w:t>证明材料</w:t>
      </w:r>
      <w:r>
        <w:rPr>
          <w:rFonts w:hint="eastAsia" w:ascii="宋体" w:hAnsi="宋体" w:eastAsia="宋体" w:cs="宋体"/>
          <w:color w:val="auto"/>
          <w:sz w:val="22"/>
          <w:szCs w:val="22"/>
          <w:highlight w:val="none"/>
        </w:rPr>
        <w:t>；</w:t>
      </w:r>
    </w:p>
    <w:p w14:paraId="6C11DDCF">
      <w:pPr>
        <w:snapToGrid w:val="0"/>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12.1.4联合协议</w:t>
      </w:r>
      <w:r>
        <w:rPr>
          <w:rFonts w:hint="eastAsia" w:ascii="宋体" w:hAnsi="宋体" w:eastAsia="宋体" w:cs="宋体"/>
          <w:snapToGrid w:val="0"/>
          <w:color w:val="auto"/>
          <w:kern w:val="28"/>
          <w:sz w:val="22"/>
          <w:szCs w:val="22"/>
          <w:highlight w:val="none"/>
        </w:rPr>
        <w:t>（如果有)；</w:t>
      </w:r>
    </w:p>
    <w:p w14:paraId="0C84DA64">
      <w:pPr>
        <w:snapToGrid w:val="0"/>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12.1.5分包意向协议</w:t>
      </w:r>
      <w:r>
        <w:rPr>
          <w:rFonts w:hint="eastAsia" w:ascii="宋体" w:hAnsi="宋体" w:eastAsia="宋体" w:cs="宋体"/>
          <w:snapToGrid w:val="0"/>
          <w:color w:val="auto"/>
          <w:kern w:val="28"/>
          <w:sz w:val="22"/>
          <w:szCs w:val="22"/>
          <w:highlight w:val="none"/>
        </w:rPr>
        <w:t>（如果有)；</w:t>
      </w:r>
    </w:p>
    <w:p w14:paraId="46902DA4">
      <w:pPr>
        <w:snapToGrid w:val="0"/>
        <w:spacing w:line="400" w:lineRule="exact"/>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12.1.6本项目的特定资格要求</w:t>
      </w:r>
      <w:r>
        <w:rPr>
          <w:rFonts w:hint="eastAsia" w:ascii="宋体" w:hAnsi="宋体" w:eastAsia="宋体" w:cs="宋体"/>
          <w:snapToGrid w:val="0"/>
          <w:color w:val="auto"/>
          <w:kern w:val="28"/>
          <w:sz w:val="22"/>
          <w:szCs w:val="22"/>
          <w:highlight w:val="none"/>
        </w:rPr>
        <w:t>（如果有)</w:t>
      </w:r>
      <w:r>
        <w:rPr>
          <w:rFonts w:hint="eastAsia" w:ascii="宋体" w:hAnsi="宋体" w:eastAsia="宋体" w:cs="宋体"/>
          <w:color w:val="auto"/>
          <w:sz w:val="22"/>
          <w:szCs w:val="22"/>
          <w:highlight w:val="none"/>
          <w:lang w:val="zh-CN"/>
        </w:rPr>
        <w:t>。</w:t>
      </w:r>
    </w:p>
    <w:p w14:paraId="041A3503">
      <w:pPr>
        <w:snapToGrid w:val="0"/>
        <w:spacing w:line="400" w:lineRule="exact"/>
        <w:ind w:firstLine="442" w:firstLineChars="200"/>
        <w:jc w:val="lef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1</w:t>
      </w:r>
      <w:r>
        <w:rPr>
          <w:rFonts w:hint="eastAsia" w:ascii="宋体" w:hAnsi="宋体" w:eastAsia="宋体" w:cs="宋体"/>
          <w:b/>
          <w:bCs/>
          <w:color w:val="auto"/>
          <w:sz w:val="22"/>
          <w:szCs w:val="22"/>
          <w:highlight w:val="none"/>
        </w:rPr>
        <w:t>2</w:t>
      </w:r>
      <w:r>
        <w:rPr>
          <w:rFonts w:hint="eastAsia" w:ascii="宋体" w:hAnsi="宋体" w:eastAsia="宋体" w:cs="宋体"/>
          <w:b/>
          <w:bCs/>
          <w:color w:val="auto"/>
          <w:sz w:val="22"/>
          <w:szCs w:val="22"/>
          <w:highlight w:val="none"/>
          <w:lang w:val="zh-CN"/>
        </w:rPr>
        <w:t>.</w:t>
      </w:r>
      <w:r>
        <w:rPr>
          <w:rFonts w:hint="eastAsia" w:ascii="宋体" w:hAnsi="宋体" w:eastAsia="宋体" w:cs="宋体"/>
          <w:b/>
          <w:bCs/>
          <w:color w:val="auto"/>
          <w:sz w:val="22"/>
          <w:szCs w:val="22"/>
          <w:highlight w:val="none"/>
        </w:rPr>
        <w:t>2</w:t>
      </w:r>
      <w:r>
        <w:rPr>
          <w:rFonts w:hint="eastAsia" w:ascii="宋体" w:hAnsi="宋体" w:eastAsia="宋体" w:cs="宋体"/>
          <w:b/>
          <w:bCs/>
          <w:color w:val="auto"/>
          <w:sz w:val="22"/>
          <w:szCs w:val="22"/>
          <w:highlight w:val="none"/>
          <w:lang w:val="zh-CN"/>
        </w:rPr>
        <w:t xml:space="preserve">  </w:t>
      </w:r>
      <w:r>
        <w:rPr>
          <w:rFonts w:hint="eastAsia" w:ascii="宋体" w:hAnsi="宋体" w:eastAsia="宋体" w:cs="宋体"/>
          <w:b/>
          <w:bCs/>
          <w:color w:val="auto"/>
          <w:sz w:val="22"/>
          <w:szCs w:val="22"/>
          <w:highlight w:val="none"/>
        </w:rPr>
        <w:t>商务技术</w:t>
      </w:r>
      <w:r>
        <w:rPr>
          <w:rFonts w:hint="eastAsia" w:ascii="宋体" w:hAnsi="宋体" w:eastAsia="宋体" w:cs="宋体"/>
          <w:b/>
          <w:bCs/>
          <w:color w:val="auto"/>
          <w:sz w:val="22"/>
          <w:szCs w:val="22"/>
          <w:highlight w:val="none"/>
          <w:lang w:val="zh-CN"/>
        </w:rPr>
        <w:t>文件：</w:t>
      </w:r>
    </w:p>
    <w:p w14:paraId="64073467">
      <w:pPr>
        <w:tabs>
          <w:tab w:val="left" w:pos="942"/>
        </w:tabs>
        <w:snapToGrid w:val="0"/>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12.2.1投标函；</w:t>
      </w:r>
      <w:r>
        <w:rPr>
          <w:rFonts w:hint="eastAsia" w:ascii="宋体" w:hAnsi="宋体" w:eastAsia="宋体" w:cs="宋体"/>
          <w:color w:val="auto"/>
          <w:sz w:val="22"/>
          <w:szCs w:val="22"/>
          <w:highlight w:val="none"/>
          <w:lang w:val="zh-CN"/>
        </w:rPr>
        <w:t xml:space="preserve"> </w:t>
      </w:r>
    </w:p>
    <w:p w14:paraId="15FDC126">
      <w:pPr>
        <w:snapToGrid w:val="0"/>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12.2.2法定代表人（单位负责人、自然人本人）身份证明或授权委托书；</w:t>
      </w:r>
    </w:p>
    <w:p w14:paraId="393F9186">
      <w:pPr>
        <w:snapToGrid w:val="0"/>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12.2.3评标标准相应的商务技术资料；</w:t>
      </w:r>
    </w:p>
    <w:p w14:paraId="0EDD4679">
      <w:pPr>
        <w:snapToGrid w:val="0"/>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12.2.4采购需求偏离表；</w:t>
      </w:r>
    </w:p>
    <w:p w14:paraId="1A4EED79">
      <w:pPr>
        <w:snapToGrid w:val="0"/>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12.2.5投标标的清单；</w:t>
      </w:r>
    </w:p>
    <w:p w14:paraId="6C819D7D">
      <w:pPr>
        <w:snapToGrid w:val="0"/>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12.2.6</w:t>
      </w:r>
      <w:r>
        <w:rPr>
          <w:rFonts w:hint="eastAsia" w:ascii="宋体" w:hAnsi="宋体" w:eastAsia="宋体" w:cs="宋体"/>
          <w:color w:val="auto"/>
          <w:sz w:val="22"/>
          <w:szCs w:val="22"/>
          <w:highlight w:val="none"/>
          <w:lang w:val="zh-CN"/>
        </w:rPr>
        <w:t>政府采购供应商廉洁自律承诺书；</w:t>
      </w:r>
    </w:p>
    <w:p w14:paraId="63484489">
      <w:pPr>
        <w:snapToGrid w:val="0"/>
        <w:spacing w:line="40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12.2.7</w:t>
      </w:r>
      <w:r>
        <w:rPr>
          <w:rFonts w:hint="eastAsia" w:ascii="宋体" w:hAnsi="宋体" w:eastAsia="宋体" w:cs="宋体"/>
          <w:color w:val="auto"/>
          <w:sz w:val="22"/>
          <w:highlight w:val="none"/>
        </w:rPr>
        <w:t>投标产品技术支持材料；</w:t>
      </w:r>
    </w:p>
    <w:p w14:paraId="56F53AC5">
      <w:pPr>
        <w:snapToGrid w:val="0"/>
        <w:spacing w:line="400" w:lineRule="exact"/>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12.2.8</w:t>
      </w:r>
      <w:r>
        <w:rPr>
          <w:rFonts w:hint="eastAsia" w:ascii="宋体" w:hAnsi="宋体" w:eastAsia="宋体" w:cs="宋体"/>
          <w:color w:val="auto"/>
          <w:sz w:val="22"/>
          <w:szCs w:val="22"/>
          <w:highlight w:val="none"/>
          <w:lang w:val="zh-CN"/>
        </w:rPr>
        <w:t>投标人认为需要提供的其他材料。</w:t>
      </w:r>
    </w:p>
    <w:p w14:paraId="758BA67B">
      <w:pPr>
        <w:snapToGrid w:val="0"/>
        <w:spacing w:line="400" w:lineRule="exact"/>
        <w:ind w:firstLine="440" w:firstLineChars="200"/>
        <w:jc w:val="left"/>
        <w:rPr>
          <w:rFonts w:hint="eastAsia" w:ascii="宋体" w:hAnsi="宋体" w:eastAsia="宋体" w:cs="宋体"/>
          <w:color w:val="auto"/>
          <w:sz w:val="22"/>
          <w:szCs w:val="22"/>
          <w:highlight w:val="none"/>
          <w:u w:val="single"/>
          <w:lang w:val="zh-CN"/>
        </w:rPr>
      </w:pPr>
      <w:r>
        <w:rPr>
          <w:rFonts w:hint="eastAsia" w:ascii="宋体" w:hAnsi="宋体" w:eastAsia="宋体" w:cs="宋体"/>
          <w:color w:val="auto"/>
          <w:kern w:val="0"/>
          <w:sz w:val="22"/>
          <w:szCs w:val="22"/>
          <w:highlight w:val="none"/>
          <w:lang w:val="zh-CN"/>
        </w:rPr>
        <w:t>12.3</w:t>
      </w:r>
      <w:r>
        <w:rPr>
          <w:rFonts w:hint="eastAsia" w:ascii="宋体" w:hAnsi="宋体" w:eastAsia="宋体" w:cs="宋体"/>
          <w:b/>
          <w:color w:val="auto"/>
          <w:sz w:val="22"/>
          <w:szCs w:val="22"/>
          <w:highlight w:val="none"/>
        </w:rPr>
        <w:t>报价文件：</w:t>
      </w:r>
      <w:r>
        <w:rPr>
          <w:rFonts w:hint="eastAsia" w:ascii="宋体" w:hAnsi="宋体" w:eastAsia="宋体" w:cs="宋体"/>
          <w:color w:val="auto"/>
          <w:sz w:val="22"/>
          <w:szCs w:val="22"/>
          <w:highlight w:val="none"/>
        </w:rPr>
        <w:t xml:space="preserve"> </w:t>
      </w:r>
    </w:p>
    <w:p w14:paraId="35151B17">
      <w:pPr>
        <w:snapToGrid w:val="0"/>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12.3.1开标一览表；</w:t>
      </w:r>
    </w:p>
    <w:p w14:paraId="3FC89EAC">
      <w:pPr>
        <w:snapToGrid w:val="0"/>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12.3.2投标报价明细表；</w:t>
      </w:r>
    </w:p>
    <w:p w14:paraId="5FDD66EE">
      <w:pPr>
        <w:spacing w:line="400" w:lineRule="exact"/>
        <w:ind w:firstLine="442" w:firstLineChars="20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投标文件含有采购人不能接受的附加条件的，投标无效；</w:t>
      </w:r>
    </w:p>
    <w:p w14:paraId="0AFC7E19">
      <w:pPr>
        <w:spacing w:line="400" w:lineRule="exact"/>
        <w:ind w:firstLine="442" w:firstLineChars="20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投标人提供虚假材料投标的，投标无效。 </w:t>
      </w:r>
    </w:p>
    <w:p w14:paraId="4F0D3838">
      <w:pPr>
        <w:pStyle w:val="24"/>
        <w:snapToGrid w:val="0"/>
        <w:spacing w:before="0" w:line="400" w:lineRule="exact"/>
        <w:ind w:firstLine="0" w:firstLineChars="0"/>
        <w:jc w:val="left"/>
        <w:rPr>
          <w:rFonts w:hint="eastAsia" w:ascii="宋体" w:hAnsi="宋体" w:eastAsia="宋体" w:cs="宋体"/>
          <w:b/>
          <w:color w:val="auto"/>
          <w:sz w:val="22"/>
          <w:szCs w:val="22"/>
          <w:highlight w:val="none"/>
        </w:rPr>
      </w:pPr>
      <w:bookmarkStart w:id="25" w:name="_Toc6297"/>
      <w:bookmarkStart w:id="26" w:name="_Toc23416"/>
      <w:bookmarkStart w:id="27" w:name="_Toc19035"/>
      <w:r>
        <w:rPr>
          <w:rFonts w:hint="eastAsia" w:ascii="宋体" w:hAnsi="宋体" w:eastAsia="宋体" w:cs="宋体"/>
          <w:b/>
          <w:color w:val="auto"/>
          <w:sz w:val="22"/>
          <w:szCs w:val="22"/>
          <w:highlight w:val="none"/>
        </w:rPr>
        <w:t>13</w:t>
      </w:r>
      <w:r>
        <w:rPr>
          <w:rFonts w:hint="eastAsia" w:ascii="宋体" w:hAnsi="宋体" w:eastAsia="宋体" w:cs="宋体"/>
          <w:b/>
          <w:color w:val="auto"/>
          <w:kern w:val="0"/>
          <w:sz w:val="22"/>
          <w:szCs w:val="22"/>
          <w:highlight w:val="none"/>
          <w:lang w:val="zh-CN"/>
        </w:rPr>
        <w:t xml:space="preserve">. </w:t>
      </w:r>
      <w:r>
        <w:rPr>
          <w:rFonts w:hint="eastAsia" w:ascii="宋体" w:hAnsi="宋体" w:eastAsia="宋体" w:cs="宋体"/>
          <w:b/>
          <w:color w:val="auto"/>
          <w:sz w:val="22"/>
          <w:szCs w:val="22"/>
          <w:highlight w:val="none"/>
        </w:rPr>
        <w:t>投标文件的编制</w:t>
      </w:r>
      <w:bookmarkEnd w:id="25"/>
      <w:bookmarkEnd w:id="26"/>
      <w:bookmarkEnd w:id="27"/>
    </w:p>
    <w:p w14:paraId="4CA9BE4D">
      <w:pPr>
        <w:spacing w:line="400" w:lineRule="exact"/>
        <w:ind w:firstLine="440" w:firstLineChars="200"/>
        <w:jc w:val="left"/>
        <w:rPr>
          <w:rFonts w:hint="eastAsia" w:ascii="宋体" w:hAnsi="宋体" w:eastAsia="宋体" w:cs="宋体"/>
          <w:b/>
          <w:color w:val="auto"/>
          <w:sz w:val="22"/>
          <w:szCs w:val="22"/>
          <w:highlight w:val="none"/>
        </w:rPr>
      </w:pPr>
      <w:r>
        <w:rPr>
          <w:rFonts w:hint="eastAsia" w:ascii="宋体" w:hAnsi="宋体" w:eastAsia="宋体" w:cs="宋体"/>
          <w:color w:val="auto"/>
          <w:kern w:val="0"/>
          <w:sz w:val="22"/>
          <w:szCs w:val="22"/>
          <w:highlight w:val="none"/>
          <w:lang w:val="zh-CN"/>
        </w:rPr>
        <w:t>1</w:t>
      </w:r>
      <w:r>
        <w:rPr>
          <w:rFonts w:hint="eastAsia"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2499BAA">
      <w:pPr>
        <w:spacing w:line="400" w:lineRule="exact"/>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w:t>
      </w:r>
      <w:r>
        <w:rPr>
          <w:rFonts w:hint="eastAsia"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3A360DE2">
      <w:pPr>
        <w:spacing w:line="400" w:lineRule="exact"/>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w:t>
      </w:r>
      <w:r>
        <w:rPr>
          <w:rFonts w:hint="eastAsia"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lang w:val="zh-CN"/>
        </w:rPr>
        <w:t>.3使用“政采云电子交易客户端”需要提前申领CA数字证书，申领流程请自行前往“浙江政府采购网-下载专区-电子交易客户端-CA驱动和申领流程”进行查阅。</w:t>
      </w:r>
    </w:p>
    <w:p w14:paraId="5FD410CA">
      <w:pPr>
        <w:pStyle w:val="24"/>
        <w:snapToGrid w:val="0"/>
        <w:spacing w:before="0" w:line="400" w:lineRule="exact"/>
        <w:ind w:firstLine="0" w:firstLineChars="0"/>
        <w:jc w:val="left"/>
        <w:rPr>
          <w:rFonts w:hint="eastAsia" w:ascii="宋体" w:hAnsi="宋体" w:eastAsia="宋体" w:cs="宋体"/>
          <w:b/>
          <w:bCs/>
          <w:color w:val="auto"/>
          <w:sz w:val="22"/>
          <w:szCs w:val="22"/>
          <w:highlight w:val="none"/>
          <w:u w:val="single"/>
        </w:rPr>
      </w:pPr>
      <w:bookmarkStart w:id="28" w:name="_Toc1765"/>
      <w:r>
        <w:rPr>
          <w:rFonts w:hint="eastAsia" w:ascii="宋体" w:hAnsi="宋体" w:eastAsia="宋体" w:cs="宋体"/>
          <w:b/>
          <w:color w:val="auto"/>
          <w:sz w:val="22"/>
          <w:szCs w:val="22"/>
          <w:highlight w:val="none"/>
        </w:rPr>
        <w:t>14投标报价</w:t>
      </w:r>
      <w:bookmarkEnd w:id="28"/>
    </w:p>
    <w:p w14:paraId="5100B1BE">
      <w:pPr>
        <w:pStyle w:val="24"/>
        <w:snapToGrid w:val="0"/>
        <w:spacing w:before="0" w:line="400" w:lineRule="exact"/>
        <w:ind w:firstLine="442"/>
        <w:jc w:val="left"/>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14.</w:t>
      </w:r>
      <w:r>
        <w:rPr>
          <w:rFonts w:hint="eastAsia" w:ascii="宋体" w:hAnsi="宋体" w:eastAsia="宋体" w:cs="宋体"/>
          <w:b/>
          <w:bCs/>
          <w:color w:val="auto"/>
          <w:sz w:val="22"/>
          <w:szCs w:val="22"/>
          <w:highlight w:val="none"/>
          <w:u w:val="single"/>
          <w:lang w:val="zh-CN"/>
        </w:rPr>
        <w:t>1 ▲</w:t>
      </w:r>
      <w:r>
        <w:rPr>
          <w:rFonts w:hint="eastAsia" w:ascii="宋体" w:hAnsi="宋体" w:eastAsia="宋体" w:cs="宋体"/>
          <w:b/>
          <w:bCs/>
          <w:color w:val="auto"/>
          <w:sz w:val="22"/>
          <w:szCs w:val="22"/>
          <w:highlight w:val="none"/>
          <w:u w:val="single"/>
        </w:rPr>
        <w:t>投标报价形式：人民币报价。</w:t>
      </w:r>
    </w:p>
    <w:p w14:paraId="76A1049C">
      <w:pPr>
        <w:pStyle w:val="24"/>
        <w:snapToGrid w:val="0"/>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 投标人根据招标文件的要求，</w:t>
      </w:r>
      <w:r>
        <w:rPr>
          <w:rFonts w:hint="eastAsia" w:ascii="宋体" w:hAnsi="宋体" w:eastAsia="宋体" w:cs="宋体"/>
          <w:color w:val="auto"/>
          <w:sz w:val="22"/>
          <w:szCs w:val="22"/>
          <w:highlight w:val="none"/>
          <w:lang w:val="zh-CN"/>
        </w:rPr>
        <w:t>有关本项目实施所需的所有费用（含税费）均计入报价</w:t>
      </w:r>
      <w:r>
        <w:rPr>
          <w:rFonts w:hint="eastAsia" w:ascii="宋体" w:hAnsi="宋体" w:eastAsia="宋体" w:cs="宋体"/>
          <w:color w:val="auto"/>
          <w:sz w:val="22"/>
          <w:szCs w:val="22"/>
          <w:highlight w:val="none"/>
        </w:rPr>
        <w:t>。投标报价为交钥匙方式完成本项目的全部费用的价格体现，即供货至采购人指定的地点，总价包干。</w:t>
      </w:r>
    </w:p>
    <w:p w14:paraId="35D64CCC">
      <w:pPr>
        <w:pStyle w:val="24"/>
        <w:snapToGrid w:val="0"/>
        <w:spacing w:before="0" w:line="400" w:lineRule="exact"/>
        <w:ind w:firstLine="440"/>
        <w:jc w:val="left"/>
        <w:rPr>
          <w:rFonts w:hint="eastAsia" w:ascii="宋体" w:hAnsi="宋体" w:eastAsia="宋体" w:cs="宋体"/>
          <w:b/>
          <w:bCs/>
          <w:color w:val="auto"/>
          <w:sz w:val="22"/>
          <w:szCs w:val="22"/>
          <w:highlight w:val="none"/>
          <w:lang w:val="zh-CN"/>
        </w:rPr>
      </w:pPr>
      <w:r>
        <w:rPr>
          <w:rFonts w:hint="eastAsia" w:ascii="宋体" w:hAnsi="宋体" w:eastAsia="宋体" w:cs="宋体"/>
          <w:color w:val="auto"/>
          <w:sz w:val="22"/>
          <w:szCs w:val="22"/>
          <w:highlight w:val="none"/>
        </w:rPr>
        <w:t>14.3</w:t>
      </w:r>
      <w:r>
        <w:rPr>
          <w:rFonts w:hint="eastAsia" w:ascii="宋体" w:hAnsi="宋体" w:eastAsia="宋体" w:cs="宋体"/>
          <w:b/>
          <w:bCs/>
          <w:color w:val="auto"/>
          <w:sz w:val="22"/>
          <w:szCs w:val="22"/>
          <w:highlight w:val="none"/>
          <w:u w:val="single"/>
        </w:rPr>
        <w:t>▲所投标项只允许有一个报价，不接受有选择报价的投标文件。</w:t>
      </w:r>
    </w:p>
    <w:p w14:paraId="33BC93F3">
      <w:pPr>
        <w:pStyle w:val="24"/>
        <w:snapToGrid w:val="0"/>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14.4不论投标结果如何，投标人均应自行承担所有与投标有关的全部费用。</w:t>
      </w:r>
    </w:p>
    <w:p w14:paraId="4DED1B42">
      <w:pPr>
        <w:snapToGrid w:val="0"/>
        <w:spacing w:line="40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15.投标文件的签署、盖章</w:t>
      </w:r>
    </w:p>
    <w:p w14:paraId="4D1DF45C">
      <w:pPr>
        <w:pStyle w:val="24"/>
        <w:snapToGrid w:val="0"/>
        <w:spacing w:before="0" w:line="400" w:lineRule="exact"/>
        <w:ind w:firstLine="44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15.1投标文件按照招标文件第六部分格式要求进行签署、盖章。</w:t>
      </w:r>
      <w:r>
        <w:rPr>
          <w:rFonts w:hint="eastAsia" w:ascii="宋体" w:hAnsi="宋体" w:eastAsia="宋体" w:cs="宋体"/>
          <w:b/>
          <w:color w:val="auto"/>
          <w:sz w:val="22"/>
          <w:szCs w:val="22"/>
          <w:highlight w:val="none"/>
          <w:u w:val="single"/>
        </w:rPr>
        <w:t>▲投标人的投标文件未按照招标文件要求签署、盖章的，其投标无效</w:t>
      </w:r>
      <w:r>
        <w:rPr>
          <w:rFonts w:hint="eastAsia" w:ascii="宋体" w:hAnsi="宋体" w:eastAsia="宋体" w:cs="宋体"/>
          <w:color w:val="auto"/>
          <w:sz w:val="22"/>
          <w:szCs w:val="22"/>
          <w:highlight w:val="none"/>
          <w:u w:val="single"/>
        </w:rPr>
        <w:t>。</w:t>
      </w:r>
    </w:p>
    <w:p w14:paraId="68DE6D0D">
      <w:pPr>
        <w:pStyle w:val="24"/>
        <w:snapToGrid w:val="0"/>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15.2为确保网上操作合法、有效和安全，投标人应当在投标截止时间前完成在“政府采购云平台”的身份认证，确保在电子投标过程中能够对相关数据电文进行加密和使用电子签名。</w:t>
      </w:r>
    </w:p>
    <w:p w14:paraId="626D7BCB">
      <w:pPr>
        <w:pStyle w:val="24"/>
        <w:snapToGrid w:val="0"/>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15.3招标文件对投标文件签署、盖章的要求适用于电子签名。</w:t>
      </w:r>
    </w:p>
    <w:p w14:paraId="23446703">
      <w:pPr>
        <w:pStyle w:val="24"/>
        <w:spacing w:before="0" w:line="400" w:lineRule="exact"/>
        <w:ind w:firstLine="0" w:firstLineChars="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16. 投标文件的提交、补充、修改、撤回</w:t>
      </w:r>
    </w:p>
    <w:p w14:paraId="1EE6D58A">
      <w:pPr>
        <w:pStyle w:val="24"/>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 供应商应当在投标截止时间前将加密的投标文件上传至政府采购云平台，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EB76B4">
      <w:pPr>
        <w:pStyle w:val="24"/>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16.2电子交易平台收到投标文件，将妥善保存并即时向供应商发出确认回执通知。在投标截止时间前，除供应商补充、修改或者撤回投标文件外，任何单位和个人不得解密或提取投标文件。</w:t>
      </w:r>
    </w:p>
    <w:p w14:paraId="16A4BF54">
      <w:pPr>
        <w:pStyle w:val="24"/>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16.3采购人、采购代理机构可以视情况延长投标文件提交的截止时间。在上述情况下，采购代理机构与投标人以前在投标截止期方面的全部权利、责任和义务，将适用于延长至新的投标截止期。</w:t>
      </w:r>
    </w:p>
    <w:p w14:paraId="069A83C6">
      <w:pPr>
        <w:pStyle w:val="24"/>
        <w:spacing w:before="0" w:line="400" w:lineRule="exact"/>
        <w:ind w:firstLine="442"/>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16.4备份投标文件</w:t>
      </w:r>
    </w:p>
    <w:p w14:paraId="4336DBEF">
      <w:pPr>
        <w:pStyle w:val="9"/>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16.4.1</w:t>
      </w:r>
      <w:r>
        <w:rPr>
          <w:rFonts w:hint="eastAsia" w:ascii="宋体" w:hAnsi="宋体" w:eastAsia="宋体" w:cs="宋体"/>
          <w:bCs/>
          <w:color w:val="auto"/>
          <w:kern w:val="0"/>
          <w:sz w:val="22"/>
          <w:szCs w:val="22"/>
          <w:highlight w:val="none"/>
        </w:rPr>
        <w:t>为确保采购项目顺利实施，避免因政采云上电子投标文件解密失败导致投标人投标无效，</w:t>
      </w:r>
      <w:r>
        <w:rPr>
          <w:rFonts w:hint="eastAsia" w:ascii="宋体" w:hAnsi="宋体" w:eastAsia="宋体" w:cs="宋体"/>
          <w:color w:val="auto"/>
          <w:sz w:val="22"/>
          <w:szCs w:val="22"/>
          <w:highlight w:val="none"/>
        </w:rPr>
        <w:t>投标人在电子交易平台传输递交投标文件后，还可以在投标截止时间前提交电文文档形式的备份投标文件1份，</w:t>
      </w:r>
      <w:r>
        <w:rPr>
          <w:rFonts w:hint="eastAsia" w:ascii="宋体" w:hAnsi="宋体" w:eastAsia="宋体" w:cs="宋体"/>
          <w:b/>
          <w:color w:val="auto"/>
          <w:sz w:val="22"/>
          <w:szCs w:val="22"/>
          <w:highlight w:val="none"/>
        </w:rPr>
        <w:t>但采购人、采购代理机构不强制或变相强制投标人提交备份投标文件。</w:t>
      </w:r>
      <w:r>
        <w:rPr>
          <w:rFonts w:hint="eastAsia" w:ascii="宋体" w:hAnsi="宋体" w:eastAsia="宋体" w:cs="宋体"/>
          <w:color w:val="auto"/>
          <w:sz w:val="22"/>
          <w:szCs w:val="22"/>
          <w:highlight w:val="none"/>
        </w:rPr>
        <w:t>备份投标文件提交形式（三选一）：</w:t>
      </w:r>
    </w:p>
    <w:p w14:paraId="549716FA">
      <w:pPr>
        <w:pStyle w:val="9"/>
        <w:spacing w:line="400" w:lineRule="exact"/>
        <w:ind w:firstLine="330" w:firstLineChars="1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w:char="00FE"/>
      </w:r>
      <w:r>
        <w:rPr>
          <w:rFonts w:hint="eastAsia" w:ascii="宋体" w:hAnsi="宋体" w:eastAsia="宋体" w:cs="宋体"/>
          <w:color w:val="auto"/>
          <w:sz w:val="22"/>
          <w:szCs w:val="22"/>
          <w:highlight w:val="none"/>
        </w:rPr>
        <w:t>直接提交备份投标文件的，投标人应于投标截止时间前在招标公告中载明的开标地点将备份投标文件提交给采购代理机构，采购代理机构将拒绝接受逾期送达的备份投标文件。</w:t>
      </w:r>
    </w:p>
    <w:p w14:paraId="400EFFC9">
      <w:pPr>
        <w:pStyle w:val="9"/>
        <w:spacing w:line="400" w:lineRule="exact"/>
        <w:ind w:firstLine="330" w:firstLineChars="1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w:char="00FE"/>
      </w:r>
      <w:r>
        <w:rPr>
          <w:rFonts w:hint="eastAsia" w:ascii="宋体" w:hAnsi="宋体" w:eastAsia="宋体" w:cs="宋体"/>
          <w:bCs/>
          <w:color w:val="auto"/>
          <w:kern w:val="0"/>
          <w:sz w:val="22"/>
          <w:szCs w:val="22"/>
          <w:highlight w:val="none"/>
        </w:rPr>
        <w:t>以邮寄形式（建议顺丰快递）</w:t>
      </w:r>
      <w:r>
        <w:rPr>
          <w:rFonts w:hint="eastAsia" w:ascii="宋体" w:hAnsi="宋体" w:eastAsia="宋体" w:cs="宋体"/>
          <w:color w:val="auto"/>
          <w:sz w:val="22"/>
          <w:szCs w:val="22"/>
          <w:highlight w:val="none"/>
        </w:rPr>
        <w:t>递交备份投标文件的，</w:t>
      </w:r>
      <w:r>
        <w:rPr>
          <w:rFonts w:hint="eastAsia" w:ascii="宋体" w:hAnsi="宋体" w:eastAsia="宋体" w:cs="宋体"/>
          <w:bCs/>
          <w:color w:val="auto"/>
          <w:kern w:val="0"/>
          <w:sz w:val="22"/>
          <w:szCs w:val="22"/>
          <w:highlight w:val="none"/>
        </w:rPr>
        <w:t>将备份投标文件存入并储存在U盘中，备份在投标截止时间前递交，并需采购代理机构确认是否收到，邮寄地址及收件人：</w:t>
      </w:r>
      <w:r>
        <w:rPr>
          <w:rFonts w:hint="eastAsia" w:ascii="宋体" w:hAnsi="宋体" w:eastAsia="宋体" w:cs="宋体"/>
          <w:color w:val="auto"/>
          <w:sz w:val="22"/>
          <w:szCs w:val="22"/>
          <w:highlight w:val="none"/>
          <w:u w:val="single"/>
        </w:rPr>
        <w:t>杭州市机场路一巷22号杰立大厦裙房2楼（浙江乐诚工程咨询有限公司），收件人王纪凤/18357703076</w:t>
      </w:r>
      <w:r>
        <w:rPr>
          <w:rFonts w:hint="eastAsia" w:ascii="宋体" w:hAnsi="宋体" w:eastAsia="宋体" w:cs="宋体"/>
          <w:bCs/>
          <w:color w:val="auto"/>
          <w:kern w:val="0"/>
          <w:sz w:val="22"/>
          <w:szCs w:val="22"/>
          <w:highlight w:val="none"/>
        </w:rPr>
        <w:t>。</w:t>
      </w:r>
      <w:r>
        <w:rPr>
          <w:rFonts w:hint="eastAsia" w:ascii="宋体" w:hAnsi="宋体" w:eastAsia="宋体" w:cs="宋体"/>
          <w:color w:val="auto"/>
          <w:sz w:val="22"/>
          <w:szCs w:val="22"/>
          <w:highlight w:val="none"/>
        </w:rPr>
        <w:t>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宋体" w:hAnsi="宋体" w:eastAsia="宋体" w:cs="宋体"/>
          <w:b/>
          <w:color w:val="auto"/>
          <w:sz w:val="22"/>
          <w:szCs w:val="22"/>
          <w:highlight w:val="none"/>
        </w:rPr>
        <w:t>不符合上述制作、存储、密封规定的备份投标文件将被视为无效或者被拒绝接收。</w:t>
      </w:r>
      <w:r>
        <w:rPr>
          <w:rFonts w:hint="eastAsia" w:ascii="宋体" w:hAnsi="宋体" w:eastAsia="宋体" w:cs="宋体"/>
          <w:color w:val="auto"/>
          <w:sz w:val="22"/>
          <w:szCs w:val="22"/>
          <w:highlight w:val="none"/>
        </w:rPr>
        <w:t>送达时间以签收人签收时间为准。采购代理机构将拒绝接受逾期送达的备份投标文件。邮寄过程中，电子备份投标文件发生泄露、遗失、损坏或延期送达等情况的，由投标人自行负责。</w:t>
      </w:r>
    </w:p>
    <w:p w14:paraId="0EA3C553">
      <w:pPr>
        <w:pStyle w:val="9"/>
        <w:spacing w:line="400" w:lineRule="exact"/>
        <w:ind w:firstLine="330" w:firstLineChars="1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w:char="00FE"/>
      </w:r>
      <w:r>
        <w:rPr>
          <w:rFonts w:hint="eastAsia" w:ascii="宋体" w:hAnsi="宋体" w:eastAsia="宋体" w:cs="宋体"/>
          <w:color w:val="auto"/>
          <w:sz w:val="22"/>
          <w:szCs w:val="22"/>
          <w:highlight w:val="none"/>
        </w:rPr>
        <w:t>以电子邮件形式将生成的备份投标文件（</w:t>
      </w:r>
      <w:r>
        <w:rPr>
          <w:rFonts w:hint="eastAsia" w:ascii="宋体" w:hAnsi="宋体" w:eastAsia="宋体" w:cs="宋体"/>
          <w:color w:val="auto"/>
          <w:sz w:val="22"/>
          <w:szCs w:val="22"/>
          <w:highlight w:val="none"/>
          <w:lang w:val="zh-CN"/>
        </w:rPr>
        <w:t>打包压缩并加密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加密密码由投标人自行保管</w:t>
      </w:r>
      <w:r>
        <w:rPr>
          <w:rFonts w:hint="eastAsia" w:ascii="宋体" w:hAnsi="宋体" w:eastAsia="宋体" w:cs="宋体"/>
          <w:color w:val="auto"/>
          <w:sz w:val="22"/>
          <w:szCs w:val="22"/>
          <w:highlight w:val="none"/>
        </w:rPr>
        <w:t>，未加密导致投标信息泄露的风险由投标人自行承担。）发送到采购代理机构邮箱号：</w:t>
      </w:r>
      <w:r>
        <w:rPr>
          <w:rFonts w:hint="eastAsia" w:ascii="宋体" w:hAnsi="宋体" w:eastAsia="宋体" w:cs="宋体"/>
          <w:color w:val="auto"/>
          <w:sz w:val="22"/>
          <w:szCs w:val="22"/>
          <w:highlight w:val="none"/>
          <w:u w:val="single"/>
        </w:rPr>
        <w:t>58000634@qq.com，</w:t>
      </w:r>
      <w:r>
        <w:rPr>
          <w:rFonts w:hint="eastAsia" w:ascii="宋体" w:hAnsi="宋体" w:eastAsia="宋体" w:cs="宋体"/>
          <w:color w:val="auto"/>
          <w:sz w:val="22"/>
          <w:szCs w:val="22"/>
          <w:highlight w:val="none"/>
        </w:rPr>
        <w:t>备份投标文件签收人员联系方式：</w:t>
      </w:r>
      <w:r>
        <w:rPr>
          <w:rFonts w:hint="eastAsia" w:ascii="宋体" w:hAnsi="宋体" w:eastAsia="宋体" w:cs="宋体"/>
          <w:color w:val="auto"/>
          <w:sz w:val="22"/>
          <w:szCs w:val="22"/>
          <w:highlight w:val="none"/>
          <w:u w:val="single"/>
        </w:rPr>
        <w:t>王纪凤/18357703076</w:t>
      </w:r>
      <w:r>
        <w:rPr>
          <w:rFonts w:hint="eastAsia" w:ascii="宋体" w:hAnsi="宋体" w:eastAsia="宋体" w:cs="宋体"/>
          <w:color w:val="auto"/>
          <w:sz w:val="22"/>
          <w:szCs w:val="22"/>
          <w:highlight w:val="none"/>
        </w:rPr>
        <w:t>，并注明</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投标人名称、项目编号、项目名称、备份投标文件</w:t>
      </w:r>
      <w:r>
        <w:rPr>
          <w:rFonts w:hint="eastAsia" w:ascii="宋体" w:hAnsi="宋体" w:eastAsia="宋体" w:cs="宋体"/>
          <w:color w:val="auto"/>
          <w:sz w:val="22"/>
          <w:szCs w:val="22"/>
          <w:highlight w:val="none"/>
          <w:lang w:val="zh-CN"/>
        </w:rPr>
        <w:t>等”信息，</w:t>
      </w:r>
      <w:r>
        <w:rPr>
          <w:rFonts w:hint="eastAsia" w:ascii="宋体" w:hAnsi="宋体" w:eastAsia="宋体" w:cs="宋体"/>
          <w:b/>
          <w:color w:val="auto"/>
          <w:sz w:val="22"/>
          <w:szCs w:val="22"/>
          <w:highlight w:val="none"/>
        </w:rPr>
        <w:t>不符合上述制作规定的备份投标文件将被视为无效或者被拒绝接收。</w:t>
      </w:r>
    </w:p>
    <w:p w14:paraId="1EE40EC7">
      <w:pPr>
        <w:pStyle w:val="9"/>
        <w:spacing w:line="400" w:lineRule="exact"/>
        <w:ind w:firstLine="437" w:firstLineChars="199"/>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16.4.2</w:t>
      </w:r>
      <w:r>
        <w:rPr>
          <w:rFonts w:hint="eastAsia" w:ascii="宋体" w:hAnsi="宋体" w:eastAsia="宋体" w:cs="宋体"/>
          <w:b/>
          <w:color w:val="auto"/>
          <w:sz w:val="22"/>
          <w:szCs w:val="22"/>
          <w:highlight w:val="none"/>
        </w:rPr>
        <w:t>投标人仅提交备份投标文件，没有在电子交易平台传输递交投标文件的，投标无效。</w:t>
      </w:r>
    </w:p>
    <w:p w14:paraId="65A7B933">
      <w:pPr>
        <w:pStyle w:val="24"/>
        <w:spacing w:before="0" w:line="400" w:lineRule="exact"/>
        <w:ind w:firstLine="0" w:firstLineChars="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17.投标有效期</w:t>
      </w:r>
    </w:p>
    <w:p w14:paraId="00512243">
      <w:pPr>
        <w:spacing w:line="400" w:lineRule="exact"/>
        <w:ind w:firstLine="440" w:firstLineChars="20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17.1投标有效期详见投标须知前附表。</w:t>
      </w:r>
      <w:r>
        <w:rPr>
          <w:rFonts w:hint="eastAsia" w:ascii="宋体" w:hAnsi="宋体" w:eastAsia="宋体" w:cs="宋体"/>
          <w:color w:val="auto"/>
          <w:sz w:val="22"/>
          <w:szCs w:val="22"/>
          <w:highlight w:val="none"/>
          <w:u w:val="single"/>
        </w:rPr>
        <w:t>▲</w:t>
      </w:r>
      <w:r>
        <w:rPr>
          <w:rFonts w:hint="eastAsia" w:ascii="宋体" w:hAnsi="宋体" w:eastAsia="宋体" w:cs="宋体"/>
          <w:b/>
          <w:color w:val="auto"/>
          <w:sz w:val="22"/>
          <w:szCs w:val="22"/>
          <w:highlight w:val="none"/>
          <w:u w:val="single"/>
        </w:rPr>
        <w:t>投标人的投标文件中承诺的投标有效期少于招标文件中载明的投标有效期的，投标无效。</w:t>
      </w:r>
    </w:p>
    <w:p w14:paraId="7D9DC810">
      <w:pPr>
        <w:pStyle w:val="24"/>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17.2投标文件合格投递后，自投标截止日期起，在投标有效期内有效。</w:t>
      </w:r>
    </w:p>
    <w:p w14:paraId="656A01AC">
      <w:pPr>
        <w:pStyle w:val="24"/>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68DC015">
      <w:pPr>
        <w:pStyle w:val="24"/>
        <w:spacing w:before="0" w:line="400" w:lineRule="exact"/>
        <w:ind w:firstLine="1063" w:firstLineChars="331"/>
        <w:rPr>
          <w:rFonts w:hint="eastAsia" w:ascii="宋体" w:hAnsi="宋体" w:eastAsia="宋体" w:cs="宋体"/>
          <w:b/>
          <w:color w:val="auto"/>
          <w:sz w:val="32"/>
          <w:highlight w:val="none"/>
        </w:rPr>
      </w:pPr>
    </w:p>
    <w:p w14:paraId="2CA0A6EF">
      <w:pPr>
        <w:pStyle w:val="2"/>
        <w:spacing w:line="400" w:lineRule="exact"/>
        <w:ind w:left="0"/>
        <w:jc w:val="center"/>
        <w:rPr>
          <w:rStyle w:val="22"/>
          <w:rFonts w:hint="eastAsia" w:ascii="宋体" w:hAnsi="宋体" w:eastAsia="宋体" w:cs="宋体"/>
          <w:b/>
          <w:color w:val="auto"/>
          <w:highlight w:val="none"/>
        </w:rPr>
      </w:pPr>
      <w:bookmarkStart w:id="29" w:name="_Toc16257"/>
      <w:r>
        <w:rPr>
          <w:rStyle w:val="22"/>
          <w:rFonts w:hint="eastAsia" w:ascii="宋体" w:hAnsi="宋体" w:eastAsia="宋体" w:cs="宋体"/>
          <w:b/>
          <w:color w:val="auto"/>
          <w:highlight w:val="none"/>
        </w:rPr>
        <w:t>四、开标、资格审查与信用信息查询</w:t>
      </w:r>
      <w:bookmarkEnd w:id="29"/>
    </w:p>
    <w:p w14:paraId="25F9BB11">
      <w:pPr>
        <w:pStyle w:val="25"/>
        <w:spacing w:before="0" w:line="400" w:lineRule="exact"/>
        <w:ind w:left="0" w:firstLine="0"/>
        <w:contextualSpacing/>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18.开标</w:t>
      </w:r>
      <w:r>
        <w:rPr>
          <w:rFonts w:hint="eastAsia" w:ascii="宋体" w:hAnsi="宋体" w:eastAsia="宋体" w:cs="宋体"/>
          <w:color w:val="auto"/>
          <w:sz w:val="22"/>
          <w:szCs w:val="22"/>
          <w:highlight w:val="none"/>
        </w:rPr>
        <w:t xml:space="preserve"> </w:t>
      </w:r>
    </w:p>
    <w:p w14:paraId="561C44DF">
      <w:pPr>
        <w:pStyle w:val="25"/>
        <w:spacing w:before="0" w:line="400" w:lineRule="exact"/>
        <w:ind w:left="0" w:firstLine="440" w:firstLineChars="200"/>
        <w:contextualSpacing/>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18.1采购代理机构按照招标文件规定的时间通过电子交易平台组织开标，所有投标人均应当准时在线参加。投标人不足3家的，不得开标。</w:t>
      </w:r>
    </w:p>
    <w:p w14:paraId="3B2EF25F">
      <w:pPr>
        <w:pStyle w:val="25"/>
        <w:spacing w:before="0" w:line="400" w:lineRule="exact"/>
        <w:ind w:left="0" w:firstLine="220" w:firstLineChars="100"/>
        <w:contextualSpacing/>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18.2开标时，电子交易平台按开标时间自动提取所有投标文件。采购代理机构依托电子交易平台发起开始解密指令，投标人按照平台提示和招标文件的规定在半小时内完成在线解密。</w:t>
      </w:r>
    </w:p>
    <w:p w14:paraId="4F6FFBA4">
      <w:pPr>
        <w:pStyle w:val="25"/>
        <w:spacing w:before="0" w:line="400" w:lineRule="exact"/>
        <w:ind w:left="0" w:firstLine="220" w:firstLineChars="100"/>
        <w:contextualSpacing/>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　18.3</w:t>
      </w:r>
      <w:r>
        <w:rPr>
          <w:rFonts w:hint="eastAsia" w:ascii="宋体" w:hAnsi="宋体" w:eastAsia="宋体" w:cs="宋体"/>
          <w:b/>
          <w:color w:val="auto"/>
          <w:sz w:val="22"/>
          <w:szCs w:val="22"/>
          <w:highlight w:val="none"/>
        </w:rPr>
        <w:t>投标文件未按时解密，投标人提供了备份投标文件的，以备份投标文件作为依据，否则视为投标文件撤回。投标文件已按时解密的，备份投标文件自动失效。</w:t>
      </w:r>
    </w:p>
    <w:p w14:paraId="6D34398D">
      <w:pPr>
        <w:pStyle w:val="25"/>
        <w:spacing w:before="0" w:line="400" w:lineRule="exact"/>
        <w:ind w:left="0" w:firstLine="442" w:firstLineChars="200"/>
        <w:contextualSpacing/>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18.4 </w:t>
      </w:r>
      <w:r>
        <w:rPr>
          <w:rFonts w:hint="eastAsia" w:ascii="宋体" w:hAnsi="宋体" w:eastAsia="宋体" w:cs="宋体"/>
          <w:color w:val="auto"/>
          <w:sz w:val="22"/>
          <w:highlight w:val="none"/>
        </w:rPr>
        <w:t>投标文件解密结束，组织投标人签署《政府采购活动现场确认声明书》，格式详见附件8。</w:t>
      </w:r>
    </w:p>
    <w:p w14:paraId="2B991E69">
      <w:pPr>
        <w:pStyle w:val="25"/>
        <w:spacing w:before="0" w:line="400" w:lineRule="exact"/>
        <w:ind w:left="0" w:firstLine="0"/>
        <w:contextualSpacing/>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19、资格审查</w:t>
      </w:r>
    </w:p>
    <w:p w14:paraId="1CF8B6A4">
      <w:pPr>
        <w:snapToGrid w:val="0"/>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19.1</w:t>
      </w:r>
      <w:r>
        <w:rPr>
          <w:rFonts w:hint="eastAsia" w:ascii="宋体" w:hAnsi="宋体" w:eastAsia="宋体" w:cs="宋体"/>
          <w:color w:val="auto"/>
          <w:sz w:val="22"/>
          <w:szCs w:val="22"/>
          <w:highlight w:val="none"/>
        </w:rPr>
        <w:t>采购人或采购代理机构依据法律法规和招标文件的规定，对投标人的资格进行审查。</w:t>
      </w:r>
    </w:p>
    <w:p w14:paraId="0EAB38B2">
      <w:pPr>
        <w:pStyle w:val="24"/>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19.2投标人未按照招标文件要求提供与</w:t>
      </w:r>
      <w:r>
        <w:rPr>
          <w:rFonts w:hint="eastAsia" w:ascii="宋体" w:hAnsi="宋体" w:eastAsia="宋体" w:cs="宋体"/>
          <w:color w:val="auto"/>
          <w:sz w:val="22"/>
          <w:szCs w:val="22"/>
          <w:highlight w:val="none"/>
        </w:rPr>
        <w:t>资格条件相应的</w:t>
      </w:r>
      <w:r>
        <w:rPr>
          <w:rFonts w:hint="eastAsia" w:ascii="宋体" w:hAnsi="宋体" w:eastAsia="宋体" w:cs="宋体"/>
          <w:color w:val="auto"/>
          <w:kern w:val="0"/>
          <w:sz w:val="22"/>
          <w:szCs w:val="22"/>
          <w:highlight w:val="none"/>
        </w:rPr>
        <w:t>有效资格证明材料的，视为</w:t>
      </w:r>
      <w:r>
        <w:rPr>
          <w:rFonts w:hint="eastAsia" w:ascii="宋体" w:hAnsi="宋体" w:eastAsia="宋体" w:cs="宋体"/>
          <w:color w:val="auto"/>
          <w:sz w:val="22"/>
          <w:szCs w:val="22"/>
          <w:highlight w:val="none"/>
        </w:rPr>
        <w:t>投标人不具备招标文件中规定的资格要求，其投标无效。</w:t>
      </w:r>
    </w:p>
    <w:p w14:paraId="258F6325">
      <w:pPr>
        <w:pStyle w:val="24"/>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19.</w:t>
      </w:r>
      <w:r>
        <w:rPr>
          <w:rFonts w:hint="eastAsia" w:ascii="宋体" w:hAnsi="宋体" w:eastAsia="宋体" w:cs="宋体"/>
          <w:color w:val="auto"/>
          <w:sz w:val="22"/>
          <w:szCs w:val="22"/>
          <w:highlight w:val="none"/>
        </w:rPr>
        <w:t>3对未通过资格审查的投标人，采购人或采购代理机构告知其未通过的原因。</w:t>
      </w:r>
    </w:p>
    <w:p w14:paraId="2890F1DC">
      <w:pPr>
        <w:pStyle w:val="24"/>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19.</w:t>
      </w:r>
      <w:r>
        <w:rPr>
          <w:rFonts w:hint="eastAsia" w:ascii="宋体" w:hAnsi="宋体" w:eastAsia="宋体" w:cs="宋体"/>
          <w:color w:val="auto"/>
          <w:sz w:val="22"/>
          <w:szCs w:val="22"/>
          <w:highlight w:val="none"/>
        </w:rPr>
        <w:t>4合格投标人不足3家的，不再评标。</w:t>
      </w:r>
    </w:p>
    <w:p w14:paraId="4271B0B0">
      <w:pPr>
        <w:pStyle w:val="24"/>
        <w:spacing w:before="0" w:line="400" w:lineRule="exact"/>
        <w:ind w:firstLine="0" w:firstLineChars="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20、信用信息查询</w:t>
      </w:r>
    </w:p>
    <w:p w14:paraId="0FFF79A1">
      <w:pPr>
        <w:pStyle w:val="24"/>
        <w:spacing w:before="0" w:line="400" w:lineRule="exact"/>
        <w:ind w:firstLine="495" w:firstLineChars="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20.1信用信息查询渠道及截止时间：采购代理机构将通过“信用中国”网站(www.creditchina.gov.cn)、中国政府采购网(www.ccgp.gov.cn)渠道查询投标人投标截止时间当天的信用记录。</w:t>
      </w:r>
    </w:p>
    <w:p w14:paraId="677D9580">
      <w:pPr>
        <w:pStyle w:val="24"/>
        <w:spacing w:before="0" w:line="400" w:lineRule="exact"/>
        <w:ind w:firstLine="495" w:firstLineChars="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20.2信用信息查询记录和证据留存的具体方式：现场查询的投标人的信用记录、查询结果经确认后将与采购文件一起存档。</w:t>
      </w:r>
    </w:p>
    <w:p w14:paraId="51DE9FC8">
      <w:pPr>
        <w:pStyle w:val="24"/>
        <w:spacing w:before="0" w:line="400" w:lineRule="exact"/>
        <w:ind w:firstLine="495" w:firstLineChars="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20.3信用信息的使用规则：经查询列入失信被执行人名单、重大税收违法案件当事人名单、政府采购严重违法失信行为记录名单的投标人将被拒绝参与政府采购活动。</w:t>
      </w:r>
    </w:p>
    <w:p w14:paraId="241CBEFD">
      <w:pPr>
        <w:pStyle w:val="24"/>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2"/>
          <w:szCs w:val="22"/>
          <w:highlight w:val="none"/>
        </w:rPr>
        <w:t>。</w:t>
      </w:r>
    </w:p>
    <w:p w14:paraId="52A62225">
      <w:pPr>
        <w:pStyle w:val="24"/>
        <w:spacing w:before="0" w:line="400" w:lineRule="exact"/>
        <w:ind w:firstLine="0" w:firstLineChars="0"/>
        <w:rPr>
          <w:rFonts w:hint="eastAsia" w:ascii="宋体" w:hAnsi="宋体" w:eastAsia="宋体" w:cs="宋体"/>
          <w:color w:val="auto"/>
          <w:kern w:val="0"/>
          <w:szCs w:val="24"/>
          <w:highlight w:val="none"/>
        </w:rPr>
      </w:pPr>
    </w:p>
    <w:p w14:paraId="7162B05B">
      <w:pPr>
        <w:pStyle w:val="2"/>
        <w:spacing w:line="400" w:lineRule="exact"/>
        <w:ind w:left="0"/>
        <w:jc w:val="center"/>
        <w:rPr>
          <w:rStyle w:val="22"/>
          <w:rFonts w:hint="eastAsia" w:ascii="宋体" w:hAnsi="宋体" w:eastAsia="宋体" w:cs="宋体"/>
          <w:b/>
          <w:color w:val="auto"/>
          <w:highlight w:val="none"/>
        </w:rPr>
      </w:pPr>
      <w:bookmarkStart w:id="30" w:name="_Toc11042"/>
      <w:r>
        <w:rPr>
          <w:rStyle w:val="22"/>
          <w:rFonts w:hint="eastAsia" w:ascii="宋体" w:hAnsi="宋体" w:eastAsia="宋体" w:cs="宋体"/>
          <w:b/>
          <w:color w:val="auto"/>
          <w:highlight w:val="none"/>
        </w:rPr>
        <w:t>五、评标</w:t>
      </w:r>
      <w:bookmarkEnd w:id="30"/>
    </w:p>
    <w:p w14:paraId="0F55BBD0">
      <w:pPr>
        <w:spacing w:line="400" w:lineRule="exact"/>
        <w:jc w:val="left"/>
        <w:rPr>
          <w:rFonts w:hint="eastAsia" w:ascii="宋体" w:hAnsi="宋体" w:eastAsia="宋体" w:cs="宋体"/>
          <w:bCs/>
          <w:color w:val="auto"/>
          <w:sz w:val="22"/>
          <w:szCs w:val="22"/>
          <w:highlight w:val="none"/>
        </w:rPr>
      </w:pPr>
      <w:bookmarkStart w:id="31" w:name="_Toc91899903"/>
      <w:r>
        <w:rPr>
          <w:rFonts w:hint="eastAsia" w:ascii="宋体" w:hAnsi="宋体" w:eastAsia="宋体" w:cs="宋体"/>
          <w:bCs/>
          <w:color w:val="auto"/>
          <w:sz w:val="22"/>
          <w:szCs w:val="22"/>
          <w:highlight w:val="none"/>
        </w:rPr>
        <w:t>21.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689B353D">
      <w:pPr>
        <w:spacing w:line="400" w:lineRule="exact"/>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评标过程的保密性。开标后直至向中标人授予合同时止，凡与招标有关的资料均不得向投标人及与投标无关人员透露。如果投标人在评标过程中试图向招标采购单位和评标委员会成员施加影响，或扰乱开标和评标秩序，其投标将被拒绝。</w:t>
      </w:r>
    </w:p>
    <w:p w14:paraId="3875137B">
      <w:pPr>
        <w:spacing w:line="400" w:lineRule="exact"/>
        <w:ind w:firstLine="440" w:firstLineChars="200"/>
        <w:jc w:val="left"/>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详见招标文件第四部分评标办法。</w:t>
      </w:r>
    </w:p>
    <w:p w14:paraId="23489777">
      <w:pPr>
        <w:pStyle w:val="2"/>
        <w:spacing w:line="400" w:lineRule="exact"/>
        <w:ind w:left="0"/>
        <w:jc w:val="center"/>
        <w:rPr>
          <w:rStyle w:val="22"/>
          <w:rFonts w:hint="eastAsia" w:ascii="宋体" w:hAnsi="宋体" w:eastAsia="宋体" w:cs="宋体"/>
          <w:b/>
          <w:color w:val="auto"/>
          <w:highlight w:val="none"/>
        </w:rPr>
      </w:pPr>
    </w:p>
    <w:p w14:paraId="7EB42B9D">
      <w:pPr>
        <w:pStyle w:val="2"/>
        <w:spacing w:line="400" w:lineRule="exact"/>
        <w:ind w:left="0"/>
        <w:jc w:val="center"/>
        <w:rPr>
          <w:rStyle w:val="22"/>
          <w:rFonts w:hint="eastAsia" w:ascii="宋体" w:hAnsi="宋体" w:eastAsia="宋体" w:cs="宋体"/>
          <w:b/>
          <w:color w:val="auto"/>
          <w:highlight w:val="none"/>
        </w:rPr>
      </w:pPr>
      <w:bookmarkStart w:id="32" w:name="_Toc16054"/>
      <w:r>
        <w:rPr>
          <w:rStyle w:val="22"/>
          <w:rFonts w:hint="eastAsia" w:ascii="宋体" w:hAnsi="宋体" w:eastAsia="宋体" w:cs="宋体"/>
          <w:b/>
          <w:color w:val="auto"/>
          <w:highlight w:val="none"/>
        </w:rPr>
        <w:t>六、定 标</w:t>
      </w:r>
      <w:bookmarkEnd w:id="32"/>
    </w:p>
    <w:p w14:paraId="197E5979">
      <w:pPr>
        <w:pStyle w:val="6"/>
        <w:spacing w:line="400" w:lineRule="exact"/>
        <w:ind w:left="440" w:hanging="440" w:hangingChars="199"/>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22. 确定中标人</w:t>
      </w:r>
    </w:p>
    <w:p w14:paraId="6FA3B193">
      <w:pPr>
        <w:pStyle w:val="6"/>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机构在评标结束后2个工作日内将评标报告送采购人。采购人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14:paraId="25CEE4EA">
      <w:pPr>
        <w:pStyle w:val="24"/>
        <w:snapToGrid w:val="0"/>
        <w:spacing w:before="0" w:line="400" w:lineRule="exact"/>
        <w:ind w:firstLine="0" w:firstLineChars="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23. 中标通知与中标结果公告</w:t>
      </w:r>
    </w:p>
    <w:p w14:paraId="1BC62A83">
      <w:pPr>
        <w:pStyle w:val="6"/>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23.1自中标人确定之日起2个工作日内，采购代理机构向中标人发出中标通知书，同时编制发布采购结果公告。</w:t>
      </w:r>
    </w:p>
    <w:p w14:paraId="31CE40B9">
      <w:pPr>
        <w:pStyle w:val="6"/>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62BFE9FD">
      <w:pPr>
        <w:pStyle w:val="6"/>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23.3公告期限为1个工作日。</w:t>
      </w:r>
    </w:p>
    <w:p w14:paraId="22C6655B">
      <w:pPr>
        <w:snapToGrid w:val="0"/>
        <w:spacing w:line="400" w:lineRule="exact"/>
        <w:ind w:firstLine="482" w:firstLineChars="150"/>
        <w:jc w:val="center"/>
        <w:rPr>
          <w:rFonts w:hint="eastAsia" w:ascii="宋体" w:hAnsi="宋体" w:eastAsia="宋体" w:cs="宋体"/>
          <w:b/>
          <w:color w:val="auto"/>
          <w:sz w:val="32"/>
          <w:highlight w:val="none"/>
        </w:rPr>
      </w:pPr>
    </w:p>
    <w:p w14:paraId="5152C272">
      <w:pPr>
        <w:pStyle w:val="2"/>
        <w:spacing w:line="400" w:lineRule="exact"/>
        <w:ind w:left="0"/>
        <w:jc w:val="center"/>
        <w:rPr>
          <w:rStyle w:val="22"/>
          <w:rFonts w:hint="eastAsia" w:ascii="宋体" w:hAnsi="宋体" w:eastAsia="宋体" w:cs="宋体"/>
          <w:b/>
          <w:color w:val="auto"/>
          <w:highlight w:val="none"/>
        </w:rPr>
      </w:pPr>
      <w:bookmarkStart w:id="33" w:name="_Toc29380"/>
      <w:r>
        <w:rPr>
          <w:rStyle w:val="22"/>
          <w:rFonts w:hint="eastAsia" w:ascii="宋体" w:hAnsi="宋体" w:eastAsia="宋体" w:cs="宋体"/>
          <w:b/>
          <w:color w:val="auto"/>
          <w:highlight w:val="none"/>
        </w:rPr>
        <w:t>七、合同授予</w:t>
      </w:r>
      <w:bookmarkEnd w:id="33"/>
    </w:p>
    <w:p w14:paraId="7BFF08C0">
      <w:pPr>
        <w:pStyle w:val="6"/>
        <w:spacing w:line="400" w:lineRule="exact"/>
        <w:ind w:left="440" w:hanging="440" w:hangingChars="199"/>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24. </w:t>
      </w:r>
      <w:r>
        <w:rPr>
          <w:rFonts w:hint="eastAsia" w:ascii="宋体" w:hAnsi="宋体" w:eastAsia="宋体" w:cs="宋体"/>
          <w:color w:val="auto"/>
          <w:sz w:val="22"/>
          <w:szCs w:val="22"/>
          <w:highlight w:val="none"/>
        </w:rPr>
        <w:t>合同主要条款详见第五部分拟签订的合同文本。</w:t>
      </w:r>
    </w:p>
    <w:p w14:paraId="2BE90322">
      <w:pPr>
        <w:pStyle w:val="6"/>
        <w:spacing w:line="400" w:lineRule="exact"/>
        <w:ind w:left="440" w:hanging="440" w:hangingChars="199"/>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25. 合同的签订</w:t>
      </w:r>
    </w:p>
    <w:p w14:paraId="6AB29C9B">
      <w:pPr>
        <w:pStyle w:val="24"/>
        <w:snapToGrid w:val="0"/>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25.1 采购人与中标人应当在中标通知书发出之日起三十日内，按照招标文件确定的事项签订政府采购合同，并在合同签订之日起2个工作日内依法发布合同公告。</w:t>
      </w:r>
    </w:p>
    <w:p w14:paraId="1D0C70ED">
      <w:pPr>
        <w:pStyle w:val="24"/>
        <w:snapToGrid w:val="0"/>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0563DBC">
      <w:pPr>
        <w:pStyle w:val="24"/>
        <w:snapToGrid w:val="0"/>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25.3如签订合同并生效后，投标人无故拒绝或延期，除按照合同条款处理外，列入不良行为记录一次，并给予通报。</w:t>
      </w:r>
    </w:p>
    <w:p w14:paraId="4665E147">
      <w:pPr>
        <w:pStyle w:val="24"/>
        <w:snapToGrid w:val="0"/>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25.4排名第一的中标候选人放弃中标；因不可抗力提出不能履行合同；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14:paraId="31558679">
      <w:pPr>
        <w:pStyle w:val="24"/>
        <w:snapToGrid w:val="0"/>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25.5采购合同由采购人与中标人根据招标文件、投标文件等内容签订。</w:t>
      </w:r>
    </w:p>
    <w:p w14:paraId="65F19B1C">
      <w:pPr>
        <w:pStyle w:val="24"/>
        <w:snapToGrid w:val="0"/>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25.6供应商在政府采购活动中违反政府采购相关规定给采购组织机构造成损失的，供应商承担赔偿责任；中标、成交供应商放弃中标、成交资格导致重新采购的，应当承担支付采购代理服务费和专家评审费等费用在内的赔偿责任。</w:t>
      </w:r>
    </w:p>
    <w:p w14:paraId="41EEE32F">
      <w:pPr>
        <w:pStyle w:val="24"/>
        <w:snapToGrid w:val="0"/>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25.7采购人不得向供应商索要或者接受其给予的赠品、回扣或者与采购无关的其他商品、服务。采购过程（采购文件）中应明确以下要求：</w:t>
      </w:r>
    </w:p>
    <w:p w14:paraId="51FD75C1">
      <w:pPr>
        <w:pStyle w:val="24"/>
        <w:numPr>
          <w:ilvl w:val="0"/>
          <w:numId w:val="3"/>
        </w:numPr>
        <w:snapToGrid w:val="0"/>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不得明示或暗示供应商提供赠品、回扣、采购预算中本身不包含的其他商品或服务；</w:t>
      </w:r>
    </w:p>
    <w:p w14:paraId="5BBDB44A">
      <w:pPr>
        <w:pStyle w:val="24"/>
        <w:numPr>
          <w:ilvl w:val="0"/>
          <w:numId w:val="3"/>
        </w:numPr>
        <w:snapToGrid w:val="0"/>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供应商承诺提供赠品、回扣、采购预算中本身不包含的其他商品或服务，视作无效承诺；不得因无效承诺对供应商实行差别待遇或者歧视待遇；</w:t>
      </w:r>
    </w:p>
    <w:p w14:paraId="76AD976B">
      <w:pPr>
        <w:pStyle w:val="24"/>
        <w:numPr>
          <w:ilvl w:val="0"/>
          <w:numId w:val="3"/>
        </w:numPr>
        <w:snapToGrid w:val="0"/>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合同总价不为零，投标报价明细表中部分产品、服务单价为零的，视作已包含在总价中（采购文件中明确）；</w:t>
      </w:r>
    </w:p>
    <w:p w14:paraId="74BF4024">
      <w:pPr>
        <w:pStyle w:val="24"/>
        <w:numPr>
          <w:ilvl w:val="0"/>
          <w:numId w:val="3"/>
        </w:numPr>
        <w:snapToGrid w:val="0"/>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不得将供应商提供赠品、回扣、采购预算中本身不包含的其他商品或服务作为中标（成交）条件或者合同签订条件；</w:t>
      </w:r>
    </w:p>
    <w:p w14:paraId="052F4C60">
      <w:pPr>
        <w:pStyle w:val="24"/>
        <w:numPr>
          <w:ilvl w:val="0"/>
          <w:numId w:val="3"/>
        </w:numPr>
        <w:snapToGrid w:val="0"/>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合同签订后，不得接受供应商无效承诺的赠品、回扣、采购预算中本身不包含的其他商品或服务；</w:t>
      </w:r>
    </w:p>
    <w:p w14:paraId="5A89E3A6">
      <w:pPr>
        <w:pStyle w:val="24"/>
        <w:numPr>
          <w:ilvl w:val="0"/>
          <w:numId w:val="3"/>
        </w:numPr>
        <w:snapToGrid w:val="0"/>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合同签订后，不得向供应商索要赠品、回扣、采购预算中本身不包含的其他商品或服务；</w:t>
      </w:r>
    </w:p>
    <w:p w14:paraId="4F864E57">
      <w:pPr>
        <w:pStyle w:val="24"/>
        <w:numPr>
          <w:ilvl w:val="0"/>
          <w:numId w:val="3"/>
        </w:numPr>
        <w:snapToGrid w:val="0"/>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履约验收环节，不得因供应商提供赠品、回扣、采购预算中本身不包含的其他商品或服务减免供应商违约责任。</w:t>
      </w:r>
    </w:p>
    <w:p w14:paraId="443A9D10">
      <w:pPr>
        <w:pStyle w:val="2"/>
        <w:spacing w:line="400" w:lineRule="exact"/>
        <w:ind w:left="0"/>
        <w:jc w:val="center"/>
        <w:rPr>
          <w:rStyle w:val="22"/>
          <w:rFonts w:hint="eastAsia" w:ascii="宋体" w:hAnsi="宋体" w:eastAsia="宋体" w:cs="宋体"/>
          <w:b/>
          <w:color w:val="auto"/>
          <w:highlight w:val="none"/>
        </w:rPr>
      </w:pPr>
    </w:p>
    <w:p w14:paraId="3EF293D8">
      <w:pPr>
        <w:pStyle w:val="2"/>
        <w:spacing w:line="400" w:lineRule="exact"/>
        <w:ind w:left="0"/>
        <w:jc w:val="center"/>
        <w:rPr>
          <w:rStyle w:val="22"/>
          <w:rFonts w:hint="eastAsia" w:ascii="宋体" w:hAnsi="宋体" w:eastAsia="宋体" w:cs="宋体"/>
          <w:b/>
          <w:color w:val="auto"/>
          <w:highlight w:val="none"/>
        </w:rPr>
      </w:pPr>
      <w:bookmarkStart w:id="34" w:name="_Toc29608"/>
      <w:r>
        <w:rPr>
          <w:rStyle w:val="22"/>
          <w:rFonts w:hint="eastAsia" w:ascii="宋体" w:hAnsi="宋体" w:eastAsia="宋体" w:cs="宋体"/>
          <w:b/>
          <w:color w:val="auto"/>
          <w:highlight w:val="none"/>
        </w:rPr>
        <w:t>八、电子交易活动的中止</w:t>
      </w:r>
      <w:bookmarkEnd w:id="34"/>
    </w:p>
    <w:p w14:paraId="1163B26C">
      <w:pPr>
        <w:pStyle w:val="24"/>
        <w:snapToGrid w:val="0"/>
        <w:spacing w:before="0" w:line="400" w:lineRule="exact"/>
        <w:ind w:firstLine="0" w:firstLineChars="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26. 电子交易活动的中止。</w:t>
      </w:r>
    </w:p>
    <w:p w14:paraId="3B3D292F">
      <w:pPr>
        <w:pStyle w:val="24"/>
        <w:snapToGrid w:val="0"/>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采购过程中出现以下情形，导致电子交易平台无法正常运行，或者无法保证电子交易的公平、公正和安全时，采购代理机构可中止电子交易活动：</w:t>
      </w:r>
    </w:p>
    <w:p w14:paraId="5ED32481">
      <w:pPr>
        <w:pStyle w:val="24"/>
        <w:snapToGrid w:val="0"/>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26.1电子交易平台发生故障而无法登录访问的； </w:t>
      </w:r>
    </w:p>
    <w:p w14:paraId="1A116CFF">
      <w:pPr>
        <w:pStyle w:val="24"/>
        <w:snapToGrid w:val="0"/>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26.2电子交易平台应用或数据库出现错误，不能进行正常操作的；</w:t>
      </w:r>
    </w:p>
    <w:p w14:paraId="4A5538AC">
      <w:pPr>
        <w:pStyle w:val="24"/>
        <w:snapToGrid w:val="0"/>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26.3电子交易平台发现严重安全漏洞，有潜在泄密危险的；</w:t>
      </w:r>
    </w:p>
    <w:p w14:paraId="2EAE2009">
      <w:pPr>
        <w:pStyle w:val="24"/>
        <w:snapToGrid w:val="0"/>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26.4病毒发作导致不能进行正常操作的； </w:t>
      </w:r>
    </w:p>
    <w:p w14:paraId="129A51BA">
      <w:pPr>
        <w:pStyle w:val="24"/>
        <w:snapToGrid w:val="0"/>
        <w:spacing w:before="0" w:line="40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26.5其他无法保证电子交易的公平、公正和安全的情况。</w:t>
      </w:r>
    </w:p>
    <w:p w14:paraId="52EB938A">
      <w:pPr>
        <w:pStyle w:val="24"/>
        <w:snapToGrid w:val="0"/>
        <w:spacing w:before="0" w:line="400" w:lineRule="exact"/>
        <w:ind w:firstLine="0" w:firstLineChars="0"/>
        <w:jc w:val="left"/>
        <w:rPr>
          <w:rStyle w:val="22"/>
          <w:rFonts w:hint="eastAsia" w:ascii="宋体" w:hAnsi="宋体" w:eastAsia="宋体" w:cs="宋体"/>
          <w:color w:val="auto"/>
          <w:highlight w:val="none"/>
        </w:rPr>
      </w:pPr>
      <w:r>
        <w:rPr>
          <w:rFonts w:hint="eastAsia" w:ascii="宋体" w:hAnsi="宋体" w:eastAsia="宋体" w:cs="宋体"/>
          <w:color w:val="auto"/>
          <w:sz w:val="22"/>
          <w:szCs w:val="22"/>
          <w:highlight w:val="none"/>
        </w:rPr>
        <w:t>27.出现以上情形，不影响采购公平、公正性的，采购组织机构可以待上述情形消除后继续组织电子交易活动，也可以决定某些环节以纸质形式进行；影响或可能影响采购公平、公正性的，应当重新采购。</w:t>
      </w:r>
    </w:p>
    <w:p w14:paraId="0F4CFCC0">
      <w:pPr>
        <w:pStyle w:val="2"/>
        <w:spacing w:line="400" w:lineRule="exact"/>
        <w:ind w:left="0"/>
        <w:jc w:val="center"/>
        <w:rPr>
          <w:rStyle w:val="22"/>
          <w:rFonts w:hint="eastAsia" w:ascii="宋体" w:hAnsi="宋体" w:eastAsia="宋体" w:cs="宋体"/>
          <w:b/>
          <w:color w:val="auto"/>
          <w:highlight w:val="none"/>
        </w:rPr>
      </w:pPr>
    </w:p>
    <w:p w14:paraId="15385314">
      <w:pPr>
        <w:pStyle w:val="2"/>
        <w:spacing w:line="400" w:lineRule="exact"/>
        <w:ind w:left="0"/>
        <w:jc w:val="center"/>
        <w:rPr>
          <w:rStyle w:val="22"/>
          <w:rFonts w:hint="eastAsia" w:ascii="宋体" w:hAnsi="宋体" w:eastAsia="宋体" w:cs="宋体"/>
          <w:b/>
          <w:color w:val="auto"/>
          <w:highlight w:val="none"/>
        </w:rPr>
      </w:pPr>
      <w:bookmarkStart w:id="35" w:name="_Toc7556"/>
      <w:r>
        <w:rPr>
          <w:rStyle w:val="22"/>
          <w:rFonts w:hint="eastAsia" w:ascii="宋体" w:hAnsi="宋体" w:eastAsia="宋体" w:cs="宋体"/>
          <w:b/>
          <w:color w:val="auto"/>
          <w:highlight w:val="none"/>
        </w:rPr>
        <w:t>九、验收</w:t>
      </w:r>
      <w:bookmarkEnd w:id="35"/>
    </w:p>
    <w:p w14:paraId="0BEFD5B3">
      <w:pPr>
        <w:pStyle w:val="6"/>
        <w:spacing w:line="400" w:lineRule="exact"/>
        <w:ind w:firstLine="0" w:firstLineChars="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28.验收</w:t>
      </w:r>
    </w:p>
    <w:p w14:paraId="66FC5AAF">
      <w:pPr>
        <w:tabs>
          <w:tab w:val="left" w:pos="0"/>
        </w:tabs>
        <w:spacing w:line="400" w:lineRule="exact"/>
        <w:ind w:firstLine="48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28.1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CC80BC">
      <w:pPr>
        <w:tabs>
          <w:tab w:val="left" w:pos="0"/>
        </w:tabs>
        <w:spacing w:line="400" w:lineRule="exact"/>
        <w:ind w:firstLine="48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28.2采购人可以邀请参加本项目的其他投标人或者第三方机构参与验收。参与验收的投标人或者第三方机构的意见作为验收书的参考资料一并存档。</w:t>
      </w:r>
    </w:p>
    <w:p w14:paraId="10EEC0DA">
      <w:pPr>
        <w:tabs>
          <w:tab w:val="left" w:pos="0"/>
        </w:tabs>
        <w:spacing w:line="400" w:lineRule="exact"/>
        <w:ind w:firstLine="48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28.3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5980E193">
      <w:pPr>
        <w:tabs>
          <w:tab w:val="left" w:pos="0"/>
        </w:tabs>
        <w:spacing w:line="400" w:lineRule="exact"/>
        <w:ind w:firstLine="48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28.4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1"/>
    <w:p w14:paraId="07FE13DC">
      <w:pPr>
        <w:tabs>
          <w:tab w:val="left" w:pos="0"/>
        </w:tabs>
        <w:spacing w:line="400" w:lineRule="exact"/>
        <w:ind w:firstLine="480"/>
        <w:jc w:val="left"/>
        <w:rPr>
          <w:rFonts w:hint="eastAsia" w:ascii="宋体" w:hAnsi="宋体" w:eastAsia="宋体" w:cs="宋体"/>
          <w:color w:val="auto"/>
          <w:kern w:val="0"/>
          <w:sz w:val="22"/>
          <w:szCs w:val="22"/>
          <w:highlight w:val="none"/>
        </w:rPr>
      </w:pPr>
      <w:bookmarkStart w:id="36" w:name="_Hlt68403820"/>
      <w:bookmarkEnd w:id="36"/>
      <w:bookmarkStart w:id="37" w:name="_Hlt68057669"/>
      <w:bookmarkEnd w:id="37"/>
      <w:bookmarkStart w:id="38" w:name="_Hlt74729768"/>
      <w:bookmarkEnd w:id="38"/>
      <w:bookmarkStart w:id="39" w:name="_Hlt68072990"/>
      <w:bookmarkEnd w:id="39"/>
      <w:bookmarkStart w:id="40" w:name="_Hlt74730295"/>
      <w:bookmarkEnd w:id="40"/>
      <w:bookmarkStart w:id="41" w:name="_Hlt68073093"/>
      <w:bookmarkEnd w:id="41"/>
      <w:bookmarkStart w:id="42" w:name="_Hlt75236011"/>
      <w:bookmarkEnd w:id="42"/>
      <w:bookmarkStart w:id="43" w:name="_Hlt74707468"/>
      <w:bookmarkEnd w:id="43"/>
      <w:bookmarkStart w:id="44" w:name="_Hlt75236290"/>
      <w:bookmarkEnd w:id="44"/>
      <w:bookmarkStart w:id="45" w:name="_Hlt68072998"/>
      <w:bookmarkEnd w:id="45"/>
      <w:bookmarkStart w:id="46" w:name="_Hlt74714665"/>
      <w:bookmarkEnd w:id="46"/>
      <w:bookmarkStart w:id="47" w:name="_Hlt75236101"/>
      <w:bookmarkEnd w:id="47"/>
      <w:r>
        <w:rPr>
          <w:rFonts w:hint="eastAsia" w:ascii="宋体" w:hAnsi="宋体" w:eastAsia="宋体" w:cs="宋体"/>
          <w:color w:val="auto"/>
          <w:kern w:val="0"/>
          <w:sz w:val="22"/>
          <w:szCs w:val="22"/>
          <w:highlight w:val="none"/>
        </w:rPr>
        <w:t>28.5履约验收费用由供应商承担，因供应商原因造成验收不通过的，再次验收的费用仍由供应商承担。</w:t>
      </w:r>
    </w:p>
    <w:bookmarkEnd w:id="15"/>
    <w:bookmarkEnd w:id="16"/>
    <w:p w14:paraId="28F6554C">
      <w:pPr>
        <w:pStyle w:val="2"/>
        <w:ind w:left="852"/>
        <w:rPr>
          <w:rStyle w:val="22"/>
          <w:rFonts w:hint="eastAsia" w:ascii="宋体" w:hAnsi="宋体" w:eastAsia="宋体" w:cs="宋体"/>
          <w:b/>
          <w:color w:val="auto"/>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bookmarkStart w:id="48" w:name="第四部分"/>
    </w:p>
    <w:p w14:paraId="0DBAA236">
      <w:pPr>
        <w:pStyle w:val="2"/>
        <w:ind w:left="0" w:firstLine="0"/>
        <w:jc w:val="center"/>
        <w:rPr>
          <w:rStyle w:val="22"/>
          <w:rFonts w:hint="eastAsia" w:ascii="宋体" w:hAnsi="宋体" w:eastAsia="宋体" w:cs="宋体"/>
          <w:b/>
          <w:color w:val="auto"/>
          <w:highlight w:val="none"/>
        </w:rPr>
      </w:pPr>
      <w:bookmarkStart w:id="49" w:name="_Toc20295"/>
      <w:r>
        <w:rPr>
          <w:rStyle w:val="22"/>
          <w:rFonts w:hint="eastAsia" w:ascii="宋体" w:hAnsi="宋体" w:eastAsia="宋体" w:cs="宋体"/>
          <w:b/>
          <w:color w:val="auto"/>
          <w:highlight w:val="none"/>
        </w:rPr>
        <w:t>第三部分</w:t>
      </w:r>
      <w:r>
        <w:rPr>
          <w:rStyle w:val="22"/>
          <w:rFonts w:hint="eastAsia" w:ascii="宋体" w:hAnsi="宋体" w:eastAsia="宋体" w:cs="宋体"/>
          <w:b/>
          <w:color w:val="auto"/>
          <w:highlight w:val="none"/>
          <w:lang w:val="en-US"/>
        </w:rPr>
        <w:t xml:space="preserve"> </w:t>
      </w:r>
      <w:r>
        <w:rPr>
          <w:rStyle w:val="22"/>
          <w:rFonts w:hint="eastAsia" w:ascii="宋体" w:hAnsi="宋体" w:eastAsia="宋体" w:cs="宋体"/>
          <w:b/>
          <w:color w:val="auto"/>
          <w:highlight w:val="none"/>
        </w:rPr>
        <w:t>采购需求</w:t>
      </w:r>
      <w:bookmarkEnd w:id="49"/>
    </w:p>
    <w:p w14:paraId="726BC850">
      <w:pPr>
        <w:spacing w:line="360" w:lineRule="exact"/>
        <w:rPr>
          <w:rFonts w:hint="eastAsia" w:ascii="宋体" w:hAnsi="宋体" w:eastAsia="宋体" w:cs="宋体"/>
          <w:color w:val="auto"/>
          <w:sz w:val="22"/>
          <w:szCs w:val="22"/>
          <w:highlight w:val="none"/>
        </w:rPr>
      </w:pPr>
      <w:r>
        <w:rPr>
          <w:rFonts w:hint="eastAsia" w:ascii="宋体" w:hAnsi="宋体" w:eastAsia="宋体" w:cs="宋体"/>
          <w:b/>
          <w:bCs/>
          <w:color w:val="auto"/>
          <w:spacing w:val="-6"/>
          <w:sz w:val="22"/>
          <w:szCs w:val="22"/>
          <w:highlight w:val="none"/>
        </w:rPr>
        <w:t>一、</w:t>
      </w:r>
      <w:r>
        <w:rPr>
          <w:rFonts w:hint="eastAsia" w:ascii="宋体" w:hAnsi="宋体" w:eastAsia="宋体" w:cs="宋体"/>
          <w:b/>
          <w:bCs/>
          <w:color w:val="auto"/>
          <w:sz w:val="22"/>
          <w:szCs w:val="22"/>
          <w:highlight w:val="none"/>
        </w:rPr>
        <w:t>采购清单（标的清单）</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2002"/>
        <w:gridCol w:w="665"/>
        <w:gridCol w:w="697"/>
        <w:gridCol w:w="1414"/>
        <w:gridCol w:w="1637"/>
        <w:gridCol w:w="1637"/>
        <w:gridCol w:w="972"/>
      </w:tblGrid>
      <w:tr w14:paraId="7039C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465" w:type="pct"/>
            <w:noWrap w:val="0"/>
            <w:vAlign w:val="center"/>
          </w:tcPr>
          <w:p w14:paraId="31E33CB2">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005" w:type="pct"/>
            <w:noWrap w:val="0"/>
            <w:vAlign w:val="center"/>
          </w:tcPr>
          <w:p w14:paraId="696218C3">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标的名称</w:t>
            </w:r>
          </w:p>
        </w:tc>
        <w:tc>
          <w:tcPr>
            <w:tcW w:w="334" w:type="pct"/>
            <w:noWrap w:val="0"/>
            <w:vAlign w:val="center"/>
          </w:tcPr>
          <w:p w14:paraId="469660C8">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数量</w:t>
            </w:r>
          </w:p>
        </w:tc>
        <w:tc>
          <w:tcPr>
            <w:tcW w:w="350" w:type="pct"/>
            <w:noWrap w:val="0"/>
            <w:vAlign w:val="center"/>
          </w:tcPr>
          <w:p w14:paraId="48CBD027">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单位</w:t>
            </w:r>
          </w:p>
        </w:tc>
        <w:tc>
          <w:tcPr>
            <w:tcW w:w="710" w:type="pct"/>
            <w:noWrap w:val="0"/>
            <w:vAlign w:val="center"/>
          </w:tcPr>
          <w:p w14:paraId="45453AC8">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是否允许采购进口产品</w:t>
            </w:r>
          </w:p>
        </w:tc>
        <w:tc>
          <w:tcPr>
            <w:tcW w:w="822" w:type="pct"/>
            <w:noWrap w:val="0"/>
            <w:vAlign w:val="center"/>
          </w:tcPr>
          <w:p w14:paraId="066CD61B">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预算金额</w:t>
            </w:r>
          </w:p>
          <w:p w14:paraId="377B15D5">
            <w:pPr>
              <w:spacing w:line="360" w:lineRule="exac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（元人民币）</w:t>
            </w:r>
          </w:p>
        </w:tc>
        <w:tc>
          <w:tcPr>
            <w:tcW w:w="822" w:type="pct"/>
            <w:noWrap w:val="0"/>
            <w:vAlign w:val="center"/>
          </w:tcPr>
          <w:p w14:paraId="39ED8A86">
            <w:pPr>
              <w:spacing w:line="360" w:lineRule="exact"/>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最高限价</w:t>
            </w:r>
          </w:p>
          <w:p w14:paraId="6D1F0B51">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（元人民币）</w:t>
            </w:r>
          </w:p>
        </w:tc>
        <w:tc>
          <w:tcPr>
            <w:tcW w:w="488" w:type="pct"/>
            <w:noWrap w:val="0"/>
            <w:vAlign w:val="center"/>
          </w:tcPr>
          <w:p w14:paraId="1A106B82">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14:paraId="06E1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65" w:type="pct"/>
            <w:tcBorders>
              <w:top w:val="single" w:color="auto" w:sz="4" w:space="0"/>
              <w:left w:val="single" w:color="auto" w:sz="4" w:space="0"/>
              <w:bottom w:val="single" w:color="auto" w:sz="4" w:space="0"/>
              <w:right w:val="single" w:color="auto" w:sz="4" w:space="0"/>
            </w:tcBorders>
            <w:noWrap w:val="0"/>
            <w:vAlign w:val="center"/>
          </w:tcPr>
          <w:p w14:paraId="5B5FFFB9">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p>
        </w:tc>
        <w:tc>
          <w:tcPr>
            <w:tcW w:w="1005" w:type="pct"/>
            <w:tcBorders>
              <w:top w:val="single" w:color="auto" w:sz="4" w:space="0"/>
              <w:left w:val="single" w:color="auto" w:sz="4" w:space="0"/>
              <w:bottom w:val="single" w:color="auto" w:sz="4" w:space="0"/>
              <w:right w:val="single" w:color="auto" w:sz="4" w:space="0"/>
            </w:tcBorders>
            <w:noWrap w:val="0"/>
            <w:vAlign w:val="center"/>
          </w:tcPr>
          <w:p w14:paraId="07316AF0">
            <w:pPr>
              <w:spacing w:line="3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元素分析仪</w:t>
            </w:r>
          </w:p>
        </w:tc>
        <w:tc>
          <w:tcPr>
            <w:tcW w:w="334" w:type="pct"/>
            <w:tcBorders>
              <w:top w:val="single" w:color="auto" w:sz="4" w:space="0"/>
              <w:left w:val="single" w:color="auto" w:sz="4" w:space="0"/>
              <w:bottom w:val="single" w:color="auto" w:sz="4" w:space="0"/>
              <w:right w:val="single" w:color="auto" w:sz="4" w:space="0"/>
            </w:tcBorders>
            <w:noWrap w:val="0"/>
            <w:vAlign w:val="center"/>
          </w:tcPr>
          <w:p w14:paraId="13748B04">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p>
        </w:tc>
        <w:tc>
          <w:tcPr>
            <w:tcW w:w="350" w:type="pct"/>
            <w:tcBorders>
              <w:top w:val="single" w:color="auto" w:sz="4" w:space="0"/>
              <w:left w:val="single" w:color="auto" w:sz="4" w:space="0"/>
              <w:bottom w:val="single" w:color="auto" w:sz="4" w:space="0"/>
              <w:right w:val="single" w:color="auto" w:sz="4" w:space="0"/>
            </w:tcBorders>
            <w:noWrap w:val="0"/>
            <w:vAlign w:val="center"/>
          </w:tcPr>
          <w:p w14:paraId="345A60A7">
            <w:pPr>
              <w:spacing w:line="3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val="en-US" w:eastAsia="zh-CN"/>
              </w:rPr>
              <w:t>台</w:t>
            </w:r>
          </w:p>
        </w:tc>
        <w:tc>
          <w:tcPr>
            <w:tcW w:w="710" w:type="pct"/>
            <w:tcBorders>
              <w:top w:val="single" w:color="auto" w:sz="4" w:space="0"/>
              <w:left w:val="single" w:color="auto" w:sz="4" w:space="0"/>
              <w:bottom w:val="single" w:color="auto" w:sz="4" w:space="0"/>
              <w:right w:val="single" w:color="auto" w:sz="4" w:space="0"/>
            </w:tcBorders>
            <w:noWrap w:val="0"/>
            <w:vAlign w:val="center"/>
          </w:tcPr>
          <w:p w14:paraId="1E156C48">
            <w:pPr>
              <w:spacing w:line="3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val="en-US" w:eastAsia="zh-CN"/>
              </w:rPr>
              <w:t>否</w:t>
            </w:r>
          </w:p>
        </w:tc>
        <w:tc>
          <w:tcPr>
            <w:tcW w:w="822" w:type="pct"/>
            <w:tcBorders>
              <w:top w:val="single" w:color="auto" w:sz="4" w:space="0"/>
              <w:left w:val="single" w:color="auto" w:sz="4" w:space="0"/>
              <w:bottom w:val="single" w:color="auto" w:sz="4" w:space="0"/>
              <w:right w:val="single" w:color="auto" w:sz="4" w:space="0"/>
            </w:tcBorders>
            <w:noWrap w:val="0"/>
            <w:vAlign w:val="center"/>
          </w:tcPr>
          <w:p w14:paraId="649752AB">
            <w:pPr>
              <w:spacing w:line="360" w:lineRule="exac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lang w:val="en-US" w:eastAsia="zh-CN"/>
              </w:rPr>
              <w:t>550000</w:t>
            </w:r>
          </w:p>
        </w:tc>
        <w:tc>
          <w:tcPr>
            <w:tcW w:w="822" w:type="pct"/>
            <w:tcBorders>
              <w:top w:val="single" w:color="auto" w:sz="4" w:space="0"/>
              <w:left w:val="single" w:color="auto" w:sz="4" w:space="0"/>
              <w:bottom w:val="single" w:color="auto" w:sz="4" w:space="0"/>
              <w:right w:val="single" w:color="auto" w:sz="4" w:space="0"/>
            </w:tcBorders>
            <w:noWrap w:val="0"/>
            <w:vAlign w:val="center"/>
          </w:tcPr>
          <w:p w14:paraId="141757FD">
            <w:pPr>
              <w:spacing w:line="360" w:lineRule="exact"/>
              <w:jc w:val="center"/>
              <w:rPr>
                <w:rFonts w:hint="eastAsia" w:ascii="宋体" w:hAnsi="宋体" w:eastAsia="宋体" w:cs="宋体"/>
                <w:b/>
                <w:bCs/>
                <w:color w:val="auto"/>
                <w:sz w:val="22"/>
                <w:szCs w:val="22"/>
                <w:highlight w:val="none"/>
                <w:lang w:val="en-US"/>
              </w:rPr>
            </w:pPr>
            <w:r>
              <w:rPr>
                <w:rFonts w:hint="eastAsia" w:ascii="宋体" w:hAnsi="宋体" w:eastAsia="宋体" w:cs="宋体"/>
                <w:b/>
                <w:bCs/>
                <w:color w:val="auto"/>
                <w:sz w:val="22"/>
                <w:szCs w:val="22"/>
                <w:highlight w:val="none"/>
                <w:lang w:val="en-US" w:eastAsia="zh-CN"/>
              </w:rPr>
              <w:t>550000</w:t>
            </w:r>
          </w:p>
        </w:tc>
        <w:tc>
          <w:tcPr>
            <w:tcW w:w="488" w:type="pct"/>
            <w:tcBorders>
              <w:top w:val="single" w:color="auto" w:sz="4" w:space="0"/>
              <w:left w:val="single" w:color="auto" w:sz="4" w:space="0"/>
              <w:bottom w:val="single" w:color="auto" w:sz="4" w:space="0"/>
              <w:right w:val="single" w:color="auto" w:sz="4" w:space="0"/>
            </w:tcBorders>
            <w:noWrap w:val="0"/>
            <w:vAlign w:val="center"/>
          </w:tcPr>
          <w:p w14:paraId="4ABE0170">
            <w:pPr>
              <w:spacing w:line="360" w:lineRule="exact"/>
              <w:jc w:val="center"/>
              <w:rPr>
                <w:rFonts w:hint="eastAsia" w:ascii="宋体" w:hAnsi="宋体" w:eastAsia="宋体" w:cs="宋体"/>
                <w:b/>
                <w:bCs/>
                <w:color w:val="auto"/>
                <w:sz w:val="22"/>
                <w:szCs w:val="22"/>
                <w:highlight w:val="none"/>
                <w:lang w:val="en-US" w:eastAsia="zh-CN"/>
              </w:rPr>
            </w:pPr>
          </w:p>
        </w:tc>
      </w:tr>
    </w:tbl>
    <w:p w14:paraId="09FD97AF">
      <w:pPr>
        <w:keepNext w:val="0"/>
        <w:keepLines w:val="0"/>
        <w:pageBreakBefore w:val="0"/>
        <w:widowControl w:val="0"/>
        <w:tabs>
          <w:tab w:val="left" w:pos="432"/>
        </w:tabs>
        <w:kinsoku/>
        <w:wordWrap/>
        <w:overflowPunct/>
        <w:topLinePunct w:val="0"/>
        <w:autoSpaceDE/>
        <w:autoSpaceDN/>
        <w:bidi w:val="0"/>
        <w:snapToGrid w:val="0"/>
        <w:spacing w:line="360" w:lineRule="exact"/>
        <w:ind w:left="0"/>
        <w:jc w:val="left"/>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pacing w:val="-6"/>
          <w:sz w:val="22"/>
          <w:szCs w:val="22"/>
          <w:highlight w:val="none"/>
        </w:rPr>
        <w:t>二、</w:t>
      </w:r>
      <w:r>
        <w:rPr>
          <w:rFonts w:hint="eastAsia" w:ascii="宋体" w:hAnsi="宋体" w:eastAsia="宋体" w:cs="宋体"/>
          <w:b/>
          <w:bCs/>
          <w:color w:val="auto"/>
          <w:sz w:val="22"/>
          <w:szCs w:val="22"/>
          <w:highlight w:val="none"/>
        </w:rPr>
        <w:t>技术要求</w:t>
      </w: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167"/>
        <w:gridCol w:w="7286"/>
        <w:gridCol w:w="779"/>
      </w:tblGrid>
      <w:tr w14:paraId="238A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noWrap w:val="0"/>
            <w:vAlign w:val="center"/>
          </w:tcPr>
          <w:p w14:paraId="038D3D8B">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586" w:type="pct"/>
            <w:noWrap w:val="0"/>
            <w:vAlign w:val="center"/>
          </w:tcPr>
          <w:p w14:paraId="0A5EF94A">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标的名称</w:t>
            </w:r>
          </w:p>
        </w:tc>
        <w:tc>
          <w:tcPr>
            <w:tcW w:w="3659" w:type="pct"/>
            <w:noWrap w:val="0"/>
            <w:vAlign w:val="center"/>
          </w:tcPr>
          <w:p w14:paraId="53011658">
            <w:pPr>
              <w:keepNext w:val="0"/>
              <w:keepLines w:val="0"/>
              <w:pageBreakBefore w:val="0"/>
              <w:widowControl w:val="0"/>
              <w:kinsoku/>
              <w:wordWrap/>
              <w:overflowPunct/>
              <w:topLinePunct w:val="0"/>
              <w:autoSpaceDE/>
              <w:autoSpaceDN/>
              <w:bidi w:val="0"/>
              <w:adjustRightInd/>
              <w:spacing w:line="360" w:lineRule="exact"/>
              <w:ind w:left="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功能、目标、质量、安全、技术规格、物理特性等要求</w:t>
            </w:r>
          </w:p>
        </w:tc>
        <w:tc>
          <w:tcPr>
            <w:tcW w:w="391" w:type="pct"/>
            <w:noWrap w:val="0"/>
            <w:vAlign w:val="center"/>
          </w:tcPr>
          <w:p w14:paraId="03222E69">
            <w:pPr>
              <w:keepNext w:val="0"/>
              <w:keepLines w:val="0"/>
              <w:pageBreakBefore w:val="0"/>
              <w:widowControl w:val="0"/>
              <w:kinsoku/>
              <w:wordWrap/>
              <w:overflowPunct/>
              <w:topLinePunct w:val="0"/>
              <w:autoSpaceDE/>
              <w:autoSpaceDN/>
              <w:bidi w:val="0"/>
              <w:adjustRightInd/>
              <w:spacing w:line="360" w:lineRule="exact"/>
              <w:ind w:left="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14:paraId="1263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tcBorders>
              <w:top w:val="single" w:color="auto" w:sz="4" w:space="0"/>
              <w:left w:val="single" w:color="auto" w:sz="4" w:space="0"/>
              <w:bottom w:val="single" w:color="auto" w:sz="4" w:space="0"/>
              <w:right w:val="single" w:color="auto" w:sz="4" w:space="0"/>
            </w:tcBorders>
            <w:noWrap w:val="0"/>
            <w:vAlign w:val="center"/>
          </w:tcPr>
          <w:p w14:paraId="4B4C0D3C">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p>
        </w:tc>
        <w:tc>
          <w:tcPr>
            <w:tcW w:w="586" w:type="pct"/>
            <w:tcBorders>
              <w:top w:val="single" w:color="auto" w:sz="4" w:space="0"/>
              <w:left w:val="single" w:color="auto" w:sz="4" w:space="0"/>
              <w:bottom w:val="single" w:color="auto" w:sz="4" w:space="0"/>
              <w:right w:val="single" w:color="auto" w:sz="4" w:space="0"/>
            </w:tcBorders>
            <w:noWrap w:val="0"/>
            <w:vAlign w:val="center"/>
          </w:tcPr>
          <w:p w14:paraId="491FFD4B">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元素分析仪</w:t>
            </w:r>
          </w:p>
        </w:tc>
        <w:tc>
          <w:tcPr>
            <w:tcW w:w="3659" w:type="pct"/>
            <w:tcBorders>
              <w:top w:val="single" w:color="auto" w:sz="4" w:space="0"/>
              <w:left w:val="single" w:color="auto" w:sz="4" w:space="0"/>
              <w:bottom w:val="single" w:color="auto" w:sz="4" w:space="0"/>
              <w:right w:val="single" w:color="auto" w:sz="4" w:space="0"/>
            </w:tcBorders>
            <w:noWrap w:val="0"/>
            <w:vAlign w:val="center"/>
          </w:tcPr>
          <w:p w14:paraId="7E844509">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1.使用环境：温度5～35℃；环境湿度：≤75%；</w:t>
            </w:r>
          </w:p>
          <w:p w14:paraId="150F4587">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2.用途：适用于对土壤、土壤、植株、矿产品、药品、中草药、饲料、肥料、化工产品、沉积物、水生生物等各类样品中C、H、N、S、O等元素的直接分析；</w:t>
            </w:r>
          </w:p>
          <w:p w14:paraId="72208A59">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★3.待测组份通过色谱柱与吸附柱进行分离，通过TCD检测器准确定量CHNS/O各元素含量；</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商务和技术文件中</w:t>
            </w:r>
            <w:r>
              <w:rPr>
                <w:rFonts w:hint="eastAsia" w:ascii="宋体" w:hAnsi="宋体" w:eastAsia="宋体" w:cs="宋体"/>
                <w:b/>
                <w:bCs/>
                <w:color w:val="auto"/>
                <w:sz w:val="22"/>
                <w:szCs w:val="22"/>
                <w:highlight w:val="none"/>
                <w:lang w:eastAsia="zh-CN"/>
              </w:rPr>
              <w:t>提供</w:t>
            </w:r>
            <w:r>
              <w:rPr>
                <w:rFonts w:hint="eastAsia" w:ascii="宋体" w:hAnsi="宋体" w:eastAsia="宋体" w:cs="宋体"/>
                <w:b/>
                <w:bCs/>
                <w:color w:val="auto"/>
                <w:sz w:val="22"/>
                <w:szCs w:val="22"/>
                <w:highlight w:val="none"/>
                <w:lang w:val="en-US" w:eastAsia="zh-CN"/>
              </w:rPr>
              <w:t>产品彩页</w:t>
            </w:r>
            <w:r>
              <w:rPr>
                <w:rFonts w:hint="eastAsia" w:ascii="宋体" w:hAnsi="宋体" w:eastAsia="宋体" w:cs="宋体"/>
                <w:b/>
                <w:bCs/>
                <w:color w:val="auto"/>
                <w:sz w:val="22"/>
                <w:szCs w:val="22"/>
                <w:highlight w:val="none"/>
                <w:lang w:eastAsia="zh-CN"/>
              </w:rPr>
              <w:t>证明文件，</w:t>
            </w:r>
            <w:r>
              <w:rPr>
                <w:rFonts w:hint="eastAsia" w:ascii="宋体" w:hAnsi="宋体" w:eastAsia="宋体" w:cs="宋体"/>
                <w:b/>
                <w:bCs/>
                <w:color w:val="auto"/>
                <w:sz w:val="22"/>
                <w:szCs w:val="22"/>
                <w:highlight w:val="none"/>
                <w:lang w:val="en-US" w:eastAsia="zh-CN"/>
              </w:rPr>
              <w:t>否则视为负偏离</w:t>
            </w:r>
            <w:r>
              <w:rPr>
                <w:rFonts w:hint="eastAsia" w:ascii="宋体" w:hAnsi="宋体" w:eastAsia="宋体" w:cs="宋体"/>
                <w:b/>
                <w:bCs/>
                <w:color w:val="auto"/>
                <w:sz w:val="22"/>
                <w:szCs w:val="22"/>
                <w:highlight w:val="none"/>
                <w:lang w:eastAsia="zh-CN"/>
              </w:rPr>
              <w:t>）</w:t>
            </w:r>
          </w:p>
          <w:p w14:paraId="42AE65E4">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4.独立管路输送氧气，通过注氧管将氧气输送到样品表面，确保样品得到充分燃烧，节约氧气及纯铜等耗材；</w:t>
            </w:r>
          </w:p>
          <w:p w14:paraId="4A5CAC2F">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5.高温炉系统：</w:t>
            </w:r>
          </w:p>
          <w:p w14:paraId="1310C531">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5.1双孔加热管系统，针对不同检测需求选配内径Φ28mm、Φ22mm、Φ18mm三种不同规格的石英反应管；</w:t>
            </w:r>
          </w:p>
          <w:p w14:paraId="341A79B3">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u w:val="single"/>
                <w:lang w:eastAsia="zh-CN"/>
              </w:rPr>
            </w:pPr>
            <w:r>
              <w:rPr>
                <w:rFonts w:hint="eastAsia" w:ascii="宋体" w:hAnsi="宋体" w:eastAsia="宋体" w:cs="宋体"/>
                <w:b w:val="0"/>
                <w:bCs w:val="0"/>
                <w:color w:val="auto"/>
                <w:sz w:val="22"/>
                <w:szCs w:val="22"/>
                <w:highlight w:val="none"/>
                <w:u w:val="single"/>
                <w:lang w:eastAsia="zh-CN"/>
              </w:rPr>
              <w:t>▲5.2高温炉温度可达1200℃，样品充分燃烧温度可达1800℃；</w:t>
            </w:r>
          </w:p>
          <w:p w14:paraId="443F8DAF">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u w:val="single"/>
                <w:lang w:eastAsia="zh-CN"/>
              </w:rPr>
              <w:t>▲5.3无需移动自动进样器，高温炉可通过导轨整体滑出，使得维护仪器和更换耗材更加方便；</w:t>
            </w:r>
          </w:p>
          <w:p w14:paraId="7648505F">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5.4高温状态下，常规维护仪器无需降温；</w:t>
            </w:r>
          </w:p>
          <w:p w14:paraId="6B23D4D1">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5.5管路连接：快速插拔的球夹连接设计实现免工具维护；</w:t>
            </w:r>
          </w:p>
          <w:p w14:paraId="78A59BC2">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6.色谱柱与吸附柱双分离选择技术：</w:t>
            </w:r>
          </w:p>
          <w:p w14:paraId="6A571BF3">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6.1 柱温箱温控范围：室温-400℃，确保最佳的分离效果；</w:t>
            </w:r>
          </w:p>
          <w:p w14:paraId="1680CE48">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★6.2 CN与CHNS分离柱可共置同一个柱温箱中，柱温箱最高设置温度可达400℃，无需切换分离柱便可更换测量方式；</w:t>
            </w:r>
          </w:p>
          <w:p w14:paraId="391995E9">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6.3在不降低高温炉工作温度的情况下，通过更换测量模式便可实现CHNS/O交替测量，大大提升测试效率；</w:t>
            </w:r>
          </w:p>
          <w:p w14:paraId="4EF7F651">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u w:val="single"/>
                <w:lang w:eastAsia="zh-CN"/>
              </w:rPr>
            </w:pPr>
            <w:r>
              <w:rPr>
                <w:rFonts w:hint="eastAsia" w:ascii="宋体" w:hAnsi="宋体" w:eastAsia="宋体" w:cs="宋体"/>
                <w:b w:val="0"/>
                <w:bCs w:val="0"/>
                <w:color w:val="auto"/>
                <w:sz w:val="22"/>
                <w:szCs w:val="22"/>
                <w:highlight w:val="none"/>
                <w:u w:val="single"/>
                <w:lang w:eastAsia="zh-CN"/>
              </w:rPr>
              <w:t>▲7.高灵敏度TCD热导检测器均可测试CHNSO等各元素，无需选择其他检测器；</w:t>
            </w:r>
          </w:p>
          <w:p w14:paraId="7264C901">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u w:val="single"/>
                <w:lang w:eastAsia="zh-CN"/>
              </w:rPr>
              <w:t>▲8.载气和助燃气均采用MFC进行控制，提高气体控制精度并实现全仪器自动泄露测试功能，提高使用便捷性</w:t>
            </w:r>
            <w:r>
              <w:rPr>
                <w:rFonts w:hint="eastAsia" w:ascii="宋体" w:hAnsi="宋体" w:eastAsia="宋体" w:cs="宋体"/>
                <w:b w:val="0"/>
                <w:bCs w:val="0"/>
                <w:color w:val="auto"/>
                <w:sz w:val="22"/>
                <w:szCs w:val="22"/>
                <w:highlight w:val="none"/>
                <w:lang w:eastAsia="zh-CN"/>
              </w:rPr>
              <w:t>；</w:t>
            </w:r>
          </w:p>
          <w:p w14:paraId="11609C79">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★9.TCD检测器无需实时使用载气保护，便于仪器试漏和检修，同时避免载气浪费，降低测试成本；</w:t>
            </w:r>
          </w:p>
          <w:p w14:paraId="37E39F57">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★10.智能关机技术：仪器测试完毕后即可直接关闭主机电源、电脑电源及氦气、氧气阀门，无需人员等待，炉体温度自动降至200℃以下；</w:t>
            </w:r>
          </w:p>
          <w:p w14:paraId="4AB2A13A">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11.自动进样器采用气动方式，配合叠加式样品盘，避免了上、下盘电机易卡顿、磨损等常见故障；</w:t>
            </w:r>
          </w:p>
          <w:p w14:paraId="0844C10A">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★11.1自动进样器净化功能，参比气回流到进样盘中吹除空气，不仅做到资源重复性利用，还能确保样品测试不受外界气体的污染，利于低O、N含量的检测；</w:t>
            </w:r>
          </w:p>
          <w:p w14:paraId="2B1E9B10">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11.2测试与装填样品的工作可同时进行，提高工作效率；</w:t>
            </w:r>
          </w:p>
          <w:p w14:paraId="5AE5D282">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11.3进样盘具有</w:t>
            </w:r>
            <w:r>
              <w:rPr>
                <w:rFonts w:hint="eastAsia"/>
                <w:color w:val="auto"/>
                <w:sz w:val="22"/>
                <w:szCs w:val="22"/>
                <w:highlight w:val="none"/>
                <w:lang w:val="en-US" w:eastAsia="zh-CN"/>
              </w:rPr>
              <w:t>≥</w:t>
            </w:r>
            <w:r>
              <w:rPr>
                <w:rFonts w:hint="eastAsia" w:ascii="宋体" w:hAnsi="宋体" w:eastAsia="宋体" w:cs="宋体"/>
                <w:b w:val="0"/>
                <w:bCs w:val="0"/>
                <w:color w:val="auto"/>
                <w:sz w:val="22"/>
                <w:szCs w:val="22"/>
                <w:highlight w:val="none"/>
                <w:lang w:eastAsia="zh-CN"/>
              </w:rPr>
              <w:t>40个样品位/盘，最多可安装4组进样盘；</w:t>
            </w:r>
          </w:p>
          <w:p w14:paraId="7764BC4B">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11.4样品容器：锡杯或银杯；</w:t>
            </w:r>
          </w:p>
          <w:p w14:paraId="4B3D8F84">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12.检测限：≤40 ppm；</w:t>
            </w:r>
          </w:p>
          <w:p w14:paraId="4A1339ED">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13.分析范围：ppm-100%；</w:t>
            </w:r>
          </w:p>
          <w:p w14:paraId="2AD28E69">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14.以磺胺标准品为例，检测结果SD≤±0.3%</w:t>
            </w:r>
          </w:p>
          <w:p w14:paraId="3134127A">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15.分析模式：CHNS、CNS、S、CHN、CN、N、O、CHNSO可选；</w:t>
            </w:r>
          </w:p>
          <w:p w14:paraId="58AE0576">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16.分析时间：CN≤4分钟、CHNS≤8分钟；</w:t>
            </w:r>
          </w:p>
          <w:p w14:paraId="7F99172B">
            <w:pPr>
              <w:pStyle w:val="4"/>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17</w:t>
            </w:r>
            <w:r>
              <w:rPr>
                <w:rFonts w:hint="eastAsia" w:ascii="宋体" w:hAnsi="宋体" w:eastAsia="宋体" w:cs="宋体"/>
                <w:b w:val="0"/>
                <w:bCs w:val="0"/>
                <w:color w:val="auto"/>
                <w:kern w:val="2"/>
                <w:sz w:val="22"/>
                <w:szCs w:val="22"/>
                <w:highlight w:val="none"/>
                <w:lang w:val="en-US" w:eastAsia="zh-CN" w:bidi="ar-SA"/>
              </w:rPr>
              <w:t>.工作站软件控制系统：</w:t>
            </w:r>
          </w:p>
          <w:p w14:paraId="2E8F1B28">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17.1随机提供基于Windows11操作系统的仪器控制和数据处理软件。工作参数显示，自动运行设置，自动分析不同样品工作参数的各种样品，校正曲线，数据处理，图形显示，报告编辑，自动样品重量输入，漏气测试等；</w:t>
            </w:r>
          </w:p>
          <w:p w14:paraId="6AFA8263">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17.2软件系统可同时显示CHNSO结果外，还具有组份面积、校正系数、图形等显示内容；</w:t>
            </w:r>
          </w:p>
          <w:p w14:paraId="5DE0C5A7">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17.3在硬件支持的前提下，免费软件升级；</w:t>
            </w:r>
          </w:p>
          <w:p w14:paraId="259A9D3A">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u w:val="single"/>
                <w:lang w:eastAsia="zh-CN"/>
              </w:rPr>
            </w:pPr>
            <w:r>
              <w:rPr>
                <w:rFonts w:hint="eastAsia" w:ascii="宋体" w:hAnsi="宋体" w:eastAsia="宋体" w:cs="宋体"/>
                <w:b w:val="0"/>
                <w:bCs w:val="0"/>
                <w:color w:val="auto"/>
                <w:sz w:val="22"/>
                <w:szCs w:val="22"/>
                <w:highlight w:val="none"/>
                <w:u w:val="single"/>
                <w:lang w:eastAsia="zh-CN"/>
              </w:rPr>
              <w:t>▲18.仪器验收方法：使用GSS-2a土壤标准品绘制标准曲线，线性≥0.9995。每测试20个土壤样品，须核查测试两个GSS-2a土壤标准品，两个核查标准品中C/N测试结果的相对标准偏差≤2%，并要求与土壤标准品中C/N真实值的相对标准偏差≤5%。</w:t>
            </w:r>
          </w:p>
          <w:p w14:paraId="191A4FDA">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配置要求</w:t>
            </w:r>
          </w:p>
          <w:p w14:paraId="3DB6FEA6">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1.元素分析仪主机1套；</w:t>
            </w:r>
          </w:p>
          <w:p w14:paraId="61BEDF12">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2.自动进样器位数80位；</w:t>
            </w:r>
          </w:p>
          <w:p w14:paraId="4AEAD4C9">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3.滑轨式双孔加热炉1台；</w:t>
            </w:r>
          </w:p>
          <w:p w14:paraId="7A934F0E">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4.组份分离柱1套；</w:t>
            </w:r>
          </w:p>
          <w:p w14:paraId="037BC79D">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5.CN模式（含2支已装填反应管，2支灰分管）及1000次分析消耗品；</w:t>
            </w:r>
          </w:p>
          <w:p w14:paraId="01E7C8EB">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CHNS模式（含1支已装填反应管，1支灰分管）及500次分析消耗品；</w:t>
            </w:r>
          </w:p>
          <w:p w14:paraId="41E63CA7">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6.MFC质量流量控制器2件；</w:t>
            </w:r>
          </w:p>
          <w:p w14:paraId="79E02CCF">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7.关机智能降温模块1组；</w:t>
            </w:r>
          </w:p>
          <w:p w14:paraId="0B90F36A">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8.控制和分析数据处理软件1件；</w:t>
            </w:r>
          </w:p>
          <w:p w14:paraId="78A419D9">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9.空气压缩机1台；</w:t>
            </w:r>
          </w:p>
          <w:p w14:paraId="63EEBC11">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10.</w:t>
            </w:r>
            <w:r>
              <w:rPr>
                <w:rFonts w:hint="eastAsia" w:ascii="宋体" w:hAnsi="宋体" w:eastAsia="宋体" w:cs="宋体"/>
                <w:b w:val="0"/>
                <w:bCs w:val="0"/>
                <w:color w:val="auto"/>
                <w:sz w:val="22"/>
                <w:szCs w:val="22"/>
                <w:highlight w:val="none"/>
                <w:lang w:val="en-US" w:eastAsia="zh-CN"/>
              </w:rPr>
              <w:t>配套工作站</w:t>
            </w:r>
            <w:r>
              <w:rPr>
                <w:rFonts w:hint="eastAsia" w:ascii="宋体" w:hAnsi="宋体" w:eastAsia="宋体" w:cs="宋体"/>
                <w:b w:val="0"/>
                <w:bCs w:val="0"/>
                <w:color w:val="auto"/>
                <w:sz w:val="22"/>
                <w:szCs w:val="22"/>
                <w:highlight w:val="none"/>
                <w:lang w:eastAsia="zh-CN"/>
              </w:rPr>
              <w:t>配置：8G内存/512G硬盘/23寸液晶显示器/串口/鼠标/键盘；</w:t>
            </w:r>
          </w:p>
          <w:p w14:paraId="07AB8DFE">
            <w:pPr>
              <w:keepNext w:val="0"/>
              <w:keepLines w:val="0"/>
              <w:pageBreakBefore w:val="0"/>
              <w:widowControl w:val="0"/>
              <w:kinsoku/>
              <w:wordWrap/>
              <w:overflowPunct/>
              <w:topLinePunct w:val="0"/>
              <w:autoSpaceDE/>
              <w:autoSpaceDN/>
              <w:bidi w:val="0"/>
              <w:spacing w:line="360" w:lineRule="exact"/>
              <w:ind w:left="0"/>
              <w:jc w:val="left"/>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11.GSS-1a与GSS-2a土壤标准品各1瓶。</w:t>
            </w:r>
          </w:p>
        </w:tc>
        <w:tc>
          <w:tcPr>
            <w:tcW w:w="391" w:type="pct"/>
            <w:tcBorders>
              <w:top w:val="single" w:color="auto" w:sz="4" w:space="0"/>
              <w:left w:val="single" w:color="auto" w:sz="4" w:space="0"/>
              <w:bottom w:val="single" w:color="auto" w:sz="4" w:space="0"/>
              <w:right w:val="single" w:color="auto" w:sz="4" w:space="0"/>
            </w:tcBorders>
            <w:noWrap w:val="0"/>
            <w:vAlign w:val="center"/>
          </w:tcPr>
          <w:p w14:paraId="17FC0FD4">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宋体" w:hAnsi="宋体" w:eastAsia="宋体" w:cs="宋体"/>
                <w:b/>
                <w:bCs/>
                <w:color w:val="auto"/>
                <w:sz w:val="22"/>
                <w:szCs w:val="22"/>
                <w:highlight w:val="none"/>
                <w:lang w:eastAsia="zh-CN"/>
              </w:rPr>
            </w:pPr>
          </w:p>
        </w:tc>
      </w:tr>
    </w:tbl>
    <w:p w14:paraId="25C935F3">
      <w:pPr>
        <w:keepNext w:val="0"/>
        <w:keepLines w:val="0"/>
        <w:pageBreakBefore w:val="0"/>
        <w:widowControl w:val="0"/>
        <w:numPr>
          <w:ilvl w:val="0"/>
          <w:numId w:val="4"/>
        </w:numPr>
        <w:kinsoku/>
        <w:wordWrap/>
        <w:overflowPunct/>
        <w:topLinePunct w:val="0"/>
        <w:autoSpaceDE/>
        <w:autoSpaceDN/>
        <w:bidi w:val="0"/>
        <w:snapToGrid w:val="0"/>
        <w:spacing w:line="360" w:lineRule="exact"/>
        <w:ind w:left="0"/>
        <w:textAlignment w:val="auto"/>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商务要求（技术要求里另有注明的以技术要求为准）</w:t>
      </w:r>
    </w:p>
    <w:p w14:paraId="08E61E21">
      <w:pPr>
        <w:pStyle w:val="26"/>
        <w:numPr>
          <w:ilvl w:val="0"/>
          <w:numId w:val="5"/>
        </w:numPr>
        <w:spacing w:line="360" w:lineRule="exact"/>
        <w:ind w:firstLine="442"/>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售后服务保障要求：</w:t>
      </w:r>
    </w:p>
    <w:p w14:paraId="10BC6119">
      <w:pPr>
        <w:pStyle w:val="26"/>
        <w:numPr>
          <w:ilvl w:val="1"/>
          <w:numId w:val="5"/>
        </w:numPr>
        <w:spacing w:line="360" w:lineRule="exact"/>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货物（设备/软件）验收合格后提供≥</w:t>
      </w:r>
      <w:r>
        <w:rPr>
          <w:rFonts w:hint="eastAsia" w:ascii="宋体" w:hAnsi="宋体" w:eastAsia="宋体" w:cs="宋体"/>
          <w:color w:val="auto"/>
          <w:sz w:val="22"/>
          <w:szCs w:val="22"/>
          <w:highlight w:val="none"/>
          <w:u w:val="single"/>
          <w:lang w:val="en-US" w:eastAsia="zh-CN"/>
        </w:rPr>
        <w:t xml:space="preserve"> 1 </w:t>
      </w:r>
      <w:r>
        <w:rPr>
          <w:rFonts w:hint="eastAsia" w:ascii="宋体" w:hAnsi="宋体" w:eastAsia="宋体" w:cs="宋体"/>
          <w:color w:val="auto"/>
          <w:sz w:val="22"/>
          <w:szCs w:val="22"/>
          <w:highlight w:val="none"/>
        </w:rPr>
        <w:t>年质保，质保期内因不能排除的故障而影响工作的情况每发生一次，质保期相应延长60天，质保期内因设备本身缺陷造成各种故障应由投标人免费技术服务和维修，若技术需求中有质保要求，以技术需求为准。</w:t>
      </w:r>
    </w:p>
    <w:p w14:paraId="0AB482A5">
      <w:pPr>
        <w:pStyle w:val="26"/>
        <w:numPr>
          <w:ilvl w:val="1"/>
          <w:numId w:val="5"/>
        </w:numPr>
        <w:spacing w:line="360" w:lineRule="exact"/>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货物（设备）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14:paraId="3D85265F">
      <w:pPr>
        <w:pStyle w:val="26"/>
        <w:numPr>
          <w:ilvl w:val="1"/>
          <w:numId w:val="5"/>
        </w:numPr>
        <w:spacing w:line="360" w:lineRule="exact"/>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货物（设备/软件）发生故障接到用户维修要求后，投标人应承诺在1小时内响应并提出解决方案，2小时内到现场进行故障处理，维修过程中所需材料在接到通知后应及时提供，最多不超过4小时。若（设备）短期无法修复，应提供相应备件并负责安装调试。</w:t>
      </w:r>
    </w:p>
    <w:p w14:paraId="1B0CA22C">
      <w:pPr>
        <w:pStyle w:val="26"/>
        <w:numPr>
          <w:ilvl w:val="1"/>
          <w:numId w:val="5"/>
        </w:numPr>
        <w:spacing w:line="360" w:lineRule="exact"/>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质保期内提供一年至少2次免费上门服务。</w:t>
      </w:r>
    </w:p>
    <w:p w14:paraId="5ABF30C3">
      <w:pPr>
        <w:pStyle w:val="26"/>
        <w:numPr>
          <w:ilvl w:val="0"/>
          <w:numId w:val="5"/>
        </w:numPr>
        <w:spacing w:line="360" w:lineRule="exact"/>
        <w:ind w:firstLine="442"/>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培训：</w:t>
      </w:r>
      <w:r>
        <w:rPr>
          <w:rFonts w:hint="eastAsia" w:ascii="宋体" w:hAnsi="宋体" w:eastAsia="宋体" w:cs="宋体"/>
          <w:color w:val="auto"/>
          <w:sz w:val="22"/>
          <w:szCs w:val="22"/>
          <w:highlight w:val="none"/>
        </w:rPr>
        <w:t>应提供设备操作培训及培训资料。</w:t>
      </w:r>
    </w:p>
    <w:p w14:paraId="5267010A">
      <w:pPr>
        <w:pStyle w:val="26"/>
        <w:numPr>
          <w:ilvl w:val="0"/>
          <w:numId w:val="5"/>
        </w:numPr>
        <w:spacing w:line="360" w:lineRule="exact"/>
        <w:ind w:firstLine="442"/>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备品备件及耗材等要求：</w:t>
      </w:r>
      <w:r>
        <w:rPr>
          <w:rFonts w:hint="eastAsia" w:ascii="宋体" w:hAnsi="宋体" w:eastAsia="宋体" w:cs="宋体"/>
          <w:color w:val="auto"/>
          <w:sz w:val="22"/>
          <w:szCs w:val="22"/>
          <w:highlight w:val="none"/>
        </w:rPr>
        <w:t>投标时标明常用备品备件及耗材的投标价，并承诺所报价格不高于市场价格。</w:t>
      </w:r>
    </w:p>
    <w:p w14:paraId="6FF6A5C8">
      <w:pPr>
        <w:pStyle w:val="26"/>
        <w:numPr>
          <w:ilvl w:val="0"/>
          <w:numId w:val="5"/>
        </w:numPr>
        <w:spacing w:line="360" w:lineRule="exact"/>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交货时间及地点：</w:t>
      </w:r>
    </w:p>
    <w:p w14:paraId="60426206">
      <w:pPr>
        <w:pStyle w:val="26"/>
        <w:numPr>
          <w:ilvl w:val="1"/>
          <w:numId w:val="5"/>
        </w:numPr>
        <w:spacing w:line="360" w:lineRule="exact"/>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交货时间：合同签订并生效后</w:t>
      </w:r>
      <w:r>
        <w:rPr>
          <w:rFonts w:hint="eastAsia" w:ascii="宋体" w:hAnsi="宋体" w:eastAsia="宋体" w:cs="宋体"/>
          <w:color w:val="auto"/>
          <w:sz w:val="22"/>
          <w:szCs w:val="22"/>
          <w:highlight w:val="none"/>
          <w:u w:val="single"/>
          <w:lang w:val="en-US" w:eastAsia="zh-CN"/>
        </w:rPr>
        <w:t>30</w:t>
      </w:r>
      <w:r>
        <w:rPr>
          <w:rFonts w:hint="eastAsia" w:ascii="宋体" w:hAnsi="宋体" w:eastAsia="宋体" w:cs="宋体"/>
          <w:color w:val="auto"/>
          <w:sz w:val="22"/>
          <w:szCs w:val="22"/>
          <w:highlight w:val="none"/>
        </w:rPr>
        <w:t>日内交货、安装、调试完毕。</w:t>
      </w:r>
    </w:p>
    <w:p w14:paraId="19C54898">
      <w:pPr>
        <w:pStyle w:val="26"/>
        <w:numPr>
          <w:ilvl w:val="1"/>
          <w:numId w:val="5"/>
        </w:numPr>
        <w:spacing w:line="360" w:lineRule="exact"/>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地点：采购人指定地点。</w:t>
      </w:r>
    </w:p>
    <w:p w14:paraId="659F1D00">
      <w:pPr>
        <w:spacing w:line="36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四、采购设备的其它要求</w:t>
      </w:r>
    </w:p>
    <w:p w14:paraId="5B7A588D">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1.所有设备必须是全新的，未曾使用过的。</w:t>
      </w:r>
    </w:p>
    <w:p w14:paraId="3239B390">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2.投标人提供设备的专用工具及其清单。</w:t>
      </w:r>
    </w:p>
    <w:p w14:paraId="5C725503">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3.投标人提供的检测设备须符合国家有关设备制造标准。</w:t>
      </w:r>
    </w:p>
    <w:p w14:paraId="09A5DB95">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4.投标人应在投标文件详细说明所提供货物的技术规格和参数以及主要部件产地。</w:t>
      </w:r>
    </w:p>
    <w:p w14:paraId="05B083EE">
      <w:pPr>
        <w:spacing w:line="36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五、技术文件</w:t>
      </w:r>
    </w:p>
    <w:p w14:paraId="6A66FFA3">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投标人应提供下列技术文件：</w:t>
      </w:r>
    </w:p>
    <w:p w14:paraId="69D920B9">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1.投标人在投标时必须提供设备样本及有关技术说明（所有参数均采用公制单位）。</w:t>
      </w:r>
    </w:p>
    <w:p w14:paraId="138C747D">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2.投标人在投标文件中必须提供主要部件生产厂家情况及有关样本、技术说明。</w:t>
      </w:r>
    </w:p>
    <w:p w14:paraId="547E801E">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3.投标人认为有必要提供的其它技术资料及文件。</w:t>
      </w:r>
    </w:p>
    <w:p w14:paraId="774E1D34">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4.投标人提供详细的试验报告。</w:t>
      </w:r>
    </w:p>
    <w:p w14:paraId="0DE04B55">
      <w:pPr>
        <w:spacing w:line="36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六、技术服务</w:t>
      </w:r>
    </w:p>
    <w:p w14:paraId="50A03611">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1.设备的安装、调试由投标人负责，但用户需配合投标人进行该项内容。</w:t>
      </w:r>
    </w:p>
    <w:p w14:paraId="2888916B">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（1）投标人应确保设备运行可靠、维护方便。</w:t>
      </w:r>
    </w:p>
    <w:p w14:paraId="1E7DA3B0">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（2）投标人负责组织专业技术人员进行设备安装调试。中标人在收到采购人通知后在7日内完成安装和调试，如因中标人的原因未在规定时间内完成，则承担采购人因此造成的损失。</w:t>
      </w:r>
    </w:p>
    <w:p w14:paraId="4B57A790">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安装调试到位后的设备由投标人与设备使用单位组织的验收小组共同进行质量验收签字。（验收标准：各类设备的数量、技术质量性能和规格型号、外观等应符合采购文件要求及合同中的相关条款，同时应符合产品制造商和国家相关标准，明确安装调试、保修服务、配件提供、培训与技术升级等事宜）。</w:t>
      </w:r>
    </w:p>
    <w:p w14:paraId="051E82B5">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（4）设备交货的同时，投标人应向采购人提供以下列明的中文（或带有中文摘要的英文）技术资料，其费用应包括在报价总价内。</w:t>
      </w:r>
    </w:p>
    <w:p w14:paraId="02C139AF">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（a）产品技术说明书；</w:t>
      </w:r>
    </w:p>
    <w:p w14:paraId="6CA8F0C5">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（b）用户手册；</w:t>
      </w:r>
    </w:p>
    <w:p w14:paraId="3FB9262D">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（c）出厂明细表（装箱单）；</w:t>
      </w:r>
    </w:p>
    <w:p w14:paraId="4E61D407">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（d）出厂检验报告和合格书；</w:t>
      </w:r>
    </w:p>
    <w:p w14:paraId="0606272C">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（e）其他相关技术资料。</w:t>
      </w:r>
    </w:p>
    <w:p w14:paraId="1CA63EC9">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（5）投标人向用户提供安装和维修所需特殊专用的工具、随机备件及清单和中文说明书，其费用包括在投标价格内。</w:t>
      </w:r>
    </w:p>
    <w:p w14:paraId="073E59B2">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（6）如因投标人责任而造成的安装延期，产生的费用由投标人负担。</w:t>
      </w:r>
    </w:p>
    <w:p w14:paraId="50E335AB">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（7）货物验收不合格的，采购人可以要求中标（成交）方无条件免费更换或退货，并赔偿由此造成的采购人的损失。</w:t>
      </w:r>
    </w:p>
    <w:p w14:paraId="3D32DAE3">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2.投标人应为采购人或最终用户技术人员进行有关设备维护、操作、保养等方面培训，直至能独立操作。</w:t>
      </w:r>
    </w:p>
    <w:p w14:paraId="66223D08">
      <w:pPr>
        <w:spacing w:line="36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七、验收</w:t>
      </w:r>
    </w:p>
    <w:p w14:paraId="5435B64E">
      <w:pPr>
        <w:numPr>
          <w:ilvl w:val="0"/>
          <w:numId w:val="6"/>
        </w:num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验收应当由采购人在指定地点进行，采购人对投标人所交货物依照采购文件上的技术规格要求或国家（设备制造国）有关标准指定验收小组进行验收，性能达到技术要求的，给予签收。验收不合格的不予以签收，后果由投标人负责。</w:t>
      </w:r>
    </w:p>
    <w:p w14:paraId="30821C04">
      <w:pPr>
        <w:numPr>
          <w:ilvl w:val="0"/>
          <w:numId w:val="6"/>
        </w:num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设备满足合同中规定的各项技术规格、指标和性能要求，符合厂家提供的正式技术文件的说明。</w:t>
      </w:r>
    </w:p>
    <w:p w14:paraId="33E35973">
      <w:pPr>
        <w:numPr>
          <w:ilvl w:val="0"/>
          <w:numId w:val="6"/>
        </w:num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采购人应在货到指定地点安装调试完毕之日起5个工作日内组织验收完毕。验收时投标人应在现场。所有调试及验收测试已进行完毕，并形成书面报告。</w:t>
      </w:r>
    </w:p>
    <w:p w14:paraId="46F9E3C2">
      <w:pPr>
        <w:spacing w:line="36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八、采购的其它要求</w:t>
      </w:r>
    </w:p>
    <w:p w14:paraId="3977B506">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投标人应在投标文件中对采购文件技术规范的要求逐条加以说明，并在偏离表中体现出来。</w:t>
      </w:r>
    </w:p>
    <w:p w14:paraId="54B9F45E">
      <w:pPr>
        <w:spacing w:line="36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九、其他说明</w:t>
      </w:r>
    </w:p>
    <w:p w14:paraId="086001F4">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1.投标人须自行了解使用坏境的一切与本项目实施有关的情况，提供产品时应考虑相应的环境与条件。</w:t>
      </w:r>
    </w:p>
    <w:p w14:paraId="6BB39C0A">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采购文件中遗漏了必须具备的设备、配件或服务，请投标人在投标文件中指出，并提出解决方案供采购人参考；中标人有义务保证采购人系统的完整性，如项目实施过程中因缺少设备、配件或服务导致采购人系统无法正常运行，中标人须承诺免费提供。</w:t>
      </w:r>
    </w:p>
    <w:p w14:paraId="14D8FC5D">
      <w:pPr>
        <w:spacing w:line="3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3.中标后不得以任何形式将本项目转包或分包给其他单位，否则采购人有权终止合同，所发生的一切损失均由中标人承担。</w:t>
      </w:r>
    </w:p>
    <w:p w14:paraId="14C1D69A">
      <w:pPr>
        <w:spacing w:line="36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十、根据本项目的特点，投标文件中提供：</w:t>
      </w:r>
    </w:p>
    <w:p w14:paraId="13D0EF4F">
      <w:pPr>
        <w:spacing w:line="360" w:lineRule="exact"/>
        <w:ind w:firstLine="440" w:firstLineChars="200"/>
        <w:rPr>
          <w:rFonts w:hint="eastAsia" w:ascii="宋体" w:hAnsi="宋体" w:eastAsia="宋体" w:cs="宋体"/>
          <w:bCs/>
          <w:snapToGrid w:val="0"/>
          <w:color w:val="auto"/>
          <w:kern w:val="0"/>
          <w:sz w:val="22"/>
          <w:szCs w:val="22"/>
          <w:highlight w:val="none"/>
        </w:rPr>
      </w:pPr>
      <w:r>
        <w:rPr>
          <w:rFonts w:hint="eastAsia" w:ascii="宋体" w:hAnsi="宋体" w:eastAsia="宋体" w:cs="宋体"/>
          <w:bCs/>
          <w:snapToGrid w:val="0"/>
          <w:color w:val="auto"/>
          <w:kern w:val="0"/>
          <w:sz w:val="22"/>
          <w:szCs w:val="22"/>
          <w:highlight w:val="none"/>
        </w:rPr>
        <w:t>1.所提供产品的技术规格书、所投设备的品牌、型号规格、主要技术性能、特点、操作说明和质量水平的详细描述；投标产品的具体配置情况、技术支持资料、技术偏离程度；</w:t>
      </w:r>
    </w:p>
    <w:p w14:paraId="2D7938B9">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2.本项目的具体实施方案：包括技术实施方案、供货方案、服务方案、质量控制（安装调试技术保障措施）、人员培训计划、进度控制（物资进场安排、进度计划）等；</w:t>
      </w:r>
    </w:p>
    <w:p w14:paraId="374572C9">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3.本项目专业技术人员配备情况；</w:t>
      </w:r>
    </w:p>
    <w:p w14:paraId="09FB7ACA">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4.质保期、质保期满后备品备件及人工维修费用的价格承诺；</w:t>
      </w:r>
    </w:p>
    <w:p w14:paraId="0BCA890E">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5.技术支持、培训及售后服务等；</w:t>
      </w:r>
    </w:p>
    <w:p w14:paraId="4DD43C89">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6.招标文件及评分办法规定的其他要求。</w:t>
      </w:r>
    </w:p>
    <w:p w14:paraId="6A7B86CC">
      <w:pPr>
        <w:pStyle w:val="15"/>
        <w:spacing w:before="0" w:beforeAutospacing="0" w:after="0" w:afterAutospacing="0" w:line="360" w:lineRule="exact"/>
        <w:rPr>
          <w:rFonts w:hint="default" w:eastAsia="宋体" w:cs="宋体"/>
          <w:b/>
          <w:color w:val="auto"/>
          <w:sz w:val="22"/>
          <w:szCs w:val="22"/>
          <w:highlight w:val="none"/>
          <w:u w:val="single"/>
          <w:lang w:val="en-US" w:eastAsia="zh-CN"/>
        </w:rPr>
      </w:pPr>
      <w:r>
        <w:rPr>
          <w:rFonts w:hint="eastAsia" w:ascii="宋体" w:hAnsi="宋体" w:cs="宋体"/>
          <w:b/>
          <w:bCs/>
          <w:color w:val="auto"/>
          <w:spacing w:val="-6"/>
          <w:sz w:val="22"/>
          <w:szCs w:val="22"/>
          <w:highlight w:val="none"/>
          <w:u w:val="single"/>
        </w:rPr>
        <w:t>▲</w:t>
      </w:r>
      <w:r>
        <w:rPr>
          <w:rFonts w:hint="eastAsia" w:cs="宋体"/>
          <w:b/>
          <w:color w:val="auto"/>
          <w:sz w:val="22"/>
          <w:szCs w:val="22"/>
          <w:highlight w:val="none"/>
          <w:u w:val="single"/>
        </w:rPr>
        <w:t>十一、</w:t>
      </w:r>
      <w:r>
        <w:rPr>
          <w:rFonts w:hint="eastAsia" w:cs="宋体"/>
          <w:b/>
          <w:color w:val="auto"/>
          <w:sz w:val="22"/>
          <w:szCs w:val="22"/>
          <w:highlight w:val="none"/>
          <w:u w:val="single"/>
          <w:lang w:val="en-US" w:eastAsia="zh-CN"/>
        </w:rPr>
        <w:t>履约保证金</w:t>
      </w:r>
    </w:p>
    <w:p w14:paraId="33E67F8E">
      <w:pPr>
        <w:spacing w:line="400" w:lineRule="exact"/>
        <w:ind w:firstLine="416" w:firstLineChars="200"/>
        <w:outlineLvl w:val="0"/>
        <w:rPr>
          <w:rFonts w:hint="eastAsia" w:ascii="宋体" w:hAnsi="宋体" w:cs="宋体"/>
          <w:color w:val="auto"/>
          <w:kern w:val="0"/>
          <w:sz w:val="22"/>
          <w:szCs w:val="22"/>
          <w:highlight w:val="none"/>
          <w:u w:val="single"/>
        </w:rPr>
      </w:pPr>
      <w:r>
        <w:rPr>
          <w:rFonts w:hint="eastAsia" w:ascii="宋体" w:hAnsi="宋体" w:cs="宋体"/>
          <w:color w:val="auto"/>
          <w:spacing w:val="-6"/>
          <w:sz w:val="22"/>
          <w:szCs w:val="22"/>
          <w:highlight w:val="none"/>
          <w:u w:val="single"/>
        </w:rPr>
        <w:t>履约保证金金额：</w:t>
      </w:r>
      <w:r>
        <w:rPr>
          <w:rFonts w:hint="eastAsia" w:ascii="宋体" w:hAnsi="宋体" w:cs="宋体"/>
          <w:color w:val="auto"/>
          <w:kern w:val="0"/>
          <w:sz w:val="22"/>
          <w:szCs w:val="22"/>
          <w:highlight w:val="none"/>
          <w:u w:val="single"/>
        </w:rPr>
        <w:t>合同金额的 1%；</w:t>
      </w:r>
    </w:p>
    <w:p w14:paraId="00A00D5D">
      <w:pPr>
        <w:spacing w:line="400" w:lineRule="exact"/>
        <w:ind w:firstLine="440" w:firstLineChars="200"/>
        <w:outlineLvl w:val="0"/>
        <w:rPr>
          <w:rFonts w:hint="eastAsia" w:cs="宋体"/>
          <w:b/>
          <w:color w:val="auto"/>
          <w:sz w:val="22"/>
          <w:szCs w:val="22"/>
          <w:highlight w:val="none"/>
          <w:u w:val="single"/>
        </w:rPr>
      </w:pPr>
      <w:r>
        <w:rPr>
          <w:rFonts w:hint="eastAsia" w:ascii="宋体" w:hAnsi="宋体" w:cs="宋体"/>
          <w:color w:val="auto"/>
          <w:kern w:val="0"/>
          <w:sz w:val="22"/>
          <w:szCs w:val="22"/>
          <w:highlight w:val="none"/>
          <w:u w:val="single"/>
        </w:rPr>
        <w:t>履约保证金支付方式：由</w:t>
      </w:r>
      <w:r>
        <w:rPr>
          <w:rFonts w:hint="eastAsia" w:ascii="宋体" w:hAnsi="宋体" w:cs="宋体"/>
          <w:color w:val="auto"/>
          <w:kern w:val="0"/>
          <w:sz w:val="22"/>
          <w:szCs w:val="22"/>
          <w:highlight w:val="none"/>
          <w:u w:val="single"/>
          <w:lang w:val="en-US" w:eastAsia="zh-CN"/>
        </w:rPr>
        <w:t>中标人</w:t>
      </w:r>
      <w:r>
        <w:rPr>
          <w:rFonts w:hint="eastAsia" w:ascii="宋体" w:hAnsi="宋体" w:cs="宋体"/>
          <w:color w:val="auto"/>
          <w:kern w:val="0"/>
          <w:sz w:val="22"/>
          <w:szCs w:val="22"/>
          <w:highlight w:val="none"/>
          <w:u w:val="single"/>
        </w:rPr>
        <w:t>在</w:t>
      </w:r>
      <w:r>
        <w:rPr>
          <w:rFonts w:hint="eastAsia" w:ascii="宋体" w:hAnsi="宋体" w:cs="宋体"/>
          <w:color w:val="auto"/>
          <w:spacing w:val="-6"/>
          <w:sz w:val="22"/>
          <w:szCs w:val="22"/>
          <w:highlight w:val="none"/>
          <w:u w:val="single"/>
        </w:rPr>
        <w:t>合同签订后5个工作日内，</w:t>
      </w:r>
      <w:r>
        <w:rPr>
          <w:rFonts w:hint="eastAsia" w:ascii="宋体" w:hAnsi="宋体" w:cs="宋体"/>
          <w:color w:val="auto"/>
          <w:sz w:val="22"/>
          <w:szCs w:val="22"/>
          <w:highlight w:val="none"/>
          <w:u w:val="single"/>
        </w:rPr>
        <w:t>以支票、汇票、本票或者金融机构、担保机构出具的保函等非现金形式</w:t>
      </w:r>
      <w:r>
        <w:rPr>
          <w:rFonts w:hint="eastAsia" w:ascii="宋体" w:hAnsi="宋体" w:cs="宋体"/>
          <w:color w:val="auto"/>
          <w:kern w:val="0"/>
          <w:sz w:val="22"/>
          <w:szCs w:val="22"/>
          <w:highlight w:val="none"/>
          <w:u w:val="single"/>
        </w:rPr>
        <w:t>向</w:t>
      </w:r>
      <w:r>
        <w:rPr>
          <w:rFonts w:hint="eastAsia" w:ascii="宋体" w:hAnsi="宋体" w:cs="宋体"/>
          <w:color w:val="auto"/>
          <w:kern w:val="0"/>
          <w:sz w:val="22"/>
          <w:szCs w:val="22"/>
          <w:highlight w:val="none"/>
          <w:u w:val="single"/>
          <w:lang w:eastAsia="zh-CN"/>
        </w:rPr>
        <w:t>采购人</w:t>
      </w:r>
      <w:r>
        <w:rPr>
          <w:rFonts w:hint="eastAsia" w:ascii="宋体" w:hAnsi="宋体" w:cs="宋体"/>
          <w:color w:val="auto"/>
          <w:kern w:val="0"/>
          <w:sz w:val="22"/>
          <w:szCs w:val="22"/>
          <w:highlight w:val="none"/>
          <w:u w:val="single"/>
        </w:rPr>
        <w:t>缴纳。</w:t>
      </w:r>
    </w:p>
    <w:p w14:paraId="4BD7A13A">
      <w:pPr>
        <w:pStyle w:val="15"/>
        <w:spacing w:before="0" w:beforeAutospacing="0" w:after="0" w:afterAutospacing="0" w:line="360" w:lineRule="exact"/>
        <w:rPr>
          <w:rFonts w:hint="default" w:eastAsia="宋体" w:cs="宋体"/>
          <w:b/>
          <w:color w:val="auto"/>
          <w:sz w:val="22"/>
          <w:szCs w:val="22"/>
          <w:highlight w:val="none"/>
          <w:u w:val="single"/>
          <w:lang w:val="en-US" w:eastAsia="zh-CN"/>
        </w:rPr>
      </w:pPr>
      <w:r>
        <w:rPr>
          <w:rFonts w:hint="eastAsia" w:ascii="宋体" w:hAnsi="宋体" w:cs="宋体"/>
          <w:b/>
          <w:bCs/>
          <w:color w:val="auto"/>
          <w:spacing w:val="-6"/>
          <w:sz w:val="22"/>
          <w:szCs w:val="22"/>
          <w:highlight w:val="none"/>
          <w:u w:val="single"/>
        </w:rPr>
        <w:t>▲</w:t>
      </w:r>
      <w:r>
        <w:rPr>
          <w:rFonts w:hint="eastAsia" w:cs="宋体"/>
          <w:b/>
          <w:color w:val="auto"/>
          <w:sz w:val="22"/>
          <w:szCs w:val="22"/>
          <w:highlight w:val="none"/>
          <w:u w:val="single"/>
          <w:lang w:val="en-US" w:eastAsia="zh-CN"/>
        </w:rPr>
        <w:t>十二、付款方式</w:t>
      </w:r>
    </w:p>
    <w:p w14:paraId="172BC6E1">
      <w:pPr>
        <w:pStyle w:val="15"/>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exact"/>
        <w:ind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合同生效以及具备实施条件后7个工作日内，且</w:t>
      </w:r>
      <w:r>
        <w:rPr>
          <w:rFonts w:hint="eastAsia" w:ascii="宋体" w:hAnsi="宋体" w:cs="宋体"/>
          <w:color w:val="auto"/>
          <w:kern w:val="0"/>
          <w:sz w:val="22"/>
          <w:szCs w:val="22"/>
          <w:highlight w:val="none"/>
          <w:u w:val="single"/>
          <w:lang w:val="en-US" w:eastAsia="zh-CN"/>
        </w:rPr>
        <w:t>中标人</w:t>
      </w:r>
      <w:r>
        <w:rPr>
          <w:rFonts w:hint="eastAsia" w:ascii="宋体" w:hAnsi="宋体" w:eastAsia="宋体" w:cs="宋体"/>
          <w:color w:val="auto"/>
          <w:sz w:val="22"/>
          <w:szCs w:val="22"/>
          <w:highlight w:val="none"/>
          <w:u w:val="single"/>
        </w:rPr>
        <w:t>已向</w:t>
      </w:r>
      <w:r>
        <w:rPr>
          <w:rFonts w:hint="eastAsia" w:ascii="宋体" w:hAnsi="宋体" w:eastAsia="宋体" w:cs="宋体"/>
          <w:color w:val="auto"/>
          <w:sz w:val="22"/>
          <w:szCs w:val="22"/>
          <w:highlight w:val="none"/>
          <w:u w:val="single"/>
          <w:lang w:val="en-US" w:eastAsia="zh-CN"/>
        </w:rPr>
        <w:t>采购人</w:t>
      </w:r>
      <w:r>
        <w:rPr>
          <w:rFonts w:hint="eastAsia" w:ascii="宋体" w:hAnsi="宋体" w:eastAsia="宋体" w:cs="宋体"/>
          <w:color w:val="auto"/>
          <w:sz w:val="22"/>
          <w:szCs w:val="22"/>
          <w:highlight w:val="none"/>
          <w:u w:val="single"/>
        </w:rPr>
        <w:t>提交银行、保险公司等金融机构出具的预付款保函的，</w:t>
      </w:r>
      <w:r>
        <w:rPr>
          <w:rFonts w:hint="eastAsia" w:ascii="宋体" w:hAnsi="宋体" w:eastAsia="宋体" w:cs="宋体"/>
          <w:color w:val="auto"/>
          <w:sz w:val="22"/>
          <w:szCs w:val="22"/>
          <w:highlight w:val="none"/>
          <w:u w:val="single"/>
          <w:lang w:val="en-US" w:eastAsia="zh-CN"/>
        </w:rPr>
        <w:t>采购人</w:t>
      </w:r>
      <w:r>
        <w:rPr>
          <w:rFonts w:hint="eastAsia" w:ascii="宋体" w:hAnsi="宋体" w:eastAsia="宋体" w:cs="宋体"/>
          <w:color w:val="auto"/>
          <w:sz w:val="22"/>
          <w:szCs w:val="22"/>
          <w:highlight w:val="none"/>
          <w:u w:val="single"/>
        </w:rPr>
        <w:t>向</w:t>
      </w:r>
      <w:r>
        <w:rPr>
          <w:rFonts w:hint="eastAsia" w:ascii="宋体" w:hAnsi="宋体" w:cs="宋体"/>
          <w:color w:val="auto"/>
          <w:kern w:val="0"/>
          <w:sz w:val="22"/>
          <w:szCs w:val="22"/>
          <w:highlight w:val="none"/>
          <w:u w:val="single"/>
          <w:lang w:val="en-US" w:eastAsia="zh-CN"/>
        </w:rPr>
        <w:t>中标人</w:t>
      </w:r>
      <w:r>
        <w:rPr>
          <w:rFonts w:hint="eastAsia" w:ascii="宋体" w:hAnsi="宋体" w:eastAsia="宋体" w:cs="宋体"/>
          <w:color w:val="auto"/>
          <w:sz w:val="22"/>
          <w:szCs w:val="22"/>
          <w:highlight w:val="none"/>
          <w:u w:val="single"/>
        </w:rPr>
        <w:t>支付合同总价40%的预付款，合同尾款在</w:t>
      </w:r>
      <w:r>
        <w:rPr>
          <w:rFonts w:hint="eastAsia" w:ascii="宋体" w:hAnsi="宋体" w:cs="宋体"/>
          <w:color w:val="auto"/>
          <w:kern w:val="0"/>
          <w:sz w:val="22"/>
          <w:szCs w:val="22"/>
          <w:highlight w:val="none"/>
          <w:u w:val="single"/>
          <w:lang w:val="en-US" w:eastAsia="zh-CN"/>
        </w:rPr>
        <w:t>中标人</w:t>
      </w:r>
      <w:r>
        <w:rPr>
          <w:rFonts w:hint="eastAsia" w:ascii="宋体" w:hAnsi="宋体" w:eastAsia="宋体" w:cs="宋体"/>
          <w:color w:val="auto"/>
          <w:sz w:val="22"/>
          <w:szCs w:val="22"/>
          <w:highlight w:val="none"/>
          <w:u w:val="single"/>
          <w:lang w:val="zh-CN"/>
        </w:rPr>
        <w:t>完成全部供货及安装、调试、培训</w:t>
      </w:r>
      <w:r>
        <w:rPr>
          <w:rFonts w:hint="eastAsia" w:ascii="宋体" w:hAnsi="宋体" w:eastAsia="宋体" w:cs="宋体"/>
          <w:color w:val="auto"/>
          <w:sz w:val="22"/>
          <w:szCs w:val="22"/>
          <w:highlight w:val="none"/>
          <w:u w:val="single"/>
        </w:rPr>
        <w:t>且经</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验收合格后支付并退还预付款保函</w:t>
      </w:r>
      <w:r>
        <w:rPr>
          <w:rFonts w:hint="eastAsia" w:ascii="宋体" w:hAnsi="宋体" w:eastAsia="宋体" w:cs="宋体"/>
          <w:color w:val="auto"/>
          <w:sz w:val="22"/>
          <w:szCs w:val="22"/>
          <w:highlight w:val="none"/>
          <w:u w:val="single"/>
          <w:lang w:val="zh-CN"/>
        </w:rPr>
        <w:t>。</w:t>
      </w:r>
    </w:p>
    <w:p w14:paraId="17162D36">
      <w:pPr>
        <w:pStyle w:val="15"/>
        <w:spacing w:before="0" w:beforeAutospacing="0" w:after="0" w:afterAutospacing="0" w:line="360" w:lineRule="exact"/>
        <w:rPr>
          <w:rFonts w:hint="eastAsia" w:cs="宋体"/>
          <w:b/>
          <w:bCs/>
          <w:color w:val="auto"/>
          <w:sz w:val="22"/>
          <w:szCs w:val="22"/>
          <w:highlight w:val="none"/>
        </w:rPr>
      </w:pPr>
      <w:r>
        <w:rPr>
          <w:rFonts w:hint="eastAsia" w:cs="宋体"/>
          <w:b/>
          <w:bCs/>
          <w:color w:val="auto"/>
          <w:spacing w:val="-6"/>
          <w:sz w:val="22"/>
          <w:szCs w:val="22"/>
          <w:highlight w:val="none"/>
        </w:rPr>
        <w:t>十</w:t>
      </w:r>
      <w:r>
        <w:rPr>
          <w:rFonts w:hint="eastAsia" w:cs="宋体"/>
          <w:b/>
          <w:bCs/>
          <w:color w:val="auto"/>
          <w:spacing w:val="-6"/>
          <w:sz w:val="22"/>
          <w:szCs w:val="22"/>
          <w:highlight w:val="none"/>
          <w:lang w:val="en-US" w:eastAsia="zh-CN"/>
        </w:rPr>
        <w:t>三</w:t>
      </w:r>
      <w:r>
        <w:rPr>
          <w:rFonts w:hint="eastAsia" w:cs="宋体"/>
          <w:b/>
          <w:bCs/>
          <w:color w:val="auto"/>
          <w:spacing w:val="-6"/>
          <w:sz w:val="22"/>
          <w:szCs w:val="22"/>
          <w:highlight w:val="none"/>
        </w:rPr>
        <w:t>、</w:t>
      </w:r>
      <w:r>
        <w:rPr>
          <w:rFonts w:hint="eastAsia" w:cs="宋体"/>
          <w:b/>
          <w:color w:val="auto"/>
          <w:sz w:val="22"/>
          <w:szCs w:val="22"/>
          <w:highlight w:val="none"/>
        </w:rPr>
        <w:t>未尽之</w:t>
      </w:r>
      <w:r>
        <w:rPr>
          <w:rFonts w:hint="eastAsia" w:cs="宋体"/>
          <w:b/>
          <w:color w:val="auto"/>
          <w:kern w:val="2"/>
          <w:sz w:val="22"/>
          <w:szCs w:val="22"/>
          <w:highlight w:val="none"/>
        </w:rPr>
        <w:t>处详见“第五部分 拟签订的合同文本”。</w:t>
      </w:r>
    </w:p>
    <w:p w14:paraId="7153A9DC">
      <w:pPr>
        <w:pStyle w:val="7"/>
        <w:spacing w:after="0" w:line="360" w:lineRule="exact"/>
        <w:ind w:left="0" w:leftChars="0" w:firstLine="0" w:firstLineChars="0"/>
        <w:rPr>
          <w:rFonts w:hint="eastAsia" w:ascii="宋体" w:hAnsi="宋体" w:eastAsia="宋体" w:cs="宋体"/>
          <w:b/>
          <w:bCs/>
          <w:color w:val="auto"/>
          <w:spacing w:val="-6"/>
          <w:sz w:val="22"/>
          <w:szCs w:val="22"/>
          <w:highlight w:val="none"/>
        </w:rPr>
      </w:pPr>
      <w:r>
        <w:rPr>
          <w:rFonts w:hint="eastAsia" w:ascii="宋体" w:hAnsi="宋体" w:eastAsia="宋体" w:cs="宋体"/>
          <w:b/>
          <w:color w:val="auto"/>
          <w:sz w:val="22"/>
          <w:szCs w:val="22"/>
          <w:highlight w:val="none"/>
        </w:rPr>
        <w:t>十</w:t>
      </w:r>
      <w:r>
        <w:rPr>
          <w:rFonts w:hint="eastAsia" w:eastAsia="宋体" w:cs="宋体"/>
          <w:b/>
          <w:color w:val="auto"/>
          <w:sz w:val="22"/>
          <w:szCs w:val="22"/>
          <w:highlight w:val="none"/>
          <w:lang w:val="en-US" w:eastAsia="zh-CN"/>
        </w:rPr>
        <w:t>四</w:t>
      </w:r>
      <w:r>
        <w:rPr>
          <w:rFonts w:hint="eastAsia" w:ascii="宋体" w:hAnsi="宋体" w:eastAsia="宋体" w:cs="宋体"/>
          <w:b/>
          <w:bCs/>
          <w:color w:val="auto"/>
          <w:spacing w:val="-6"/>
          <w:sz w:val="22"/>
          <w:szCs w:val="22"/>
          <w:highlight w:val="none"/>
        </w:rPr>
        <w:t>、其他</w:t>
      </w:r>
    </w:p>
    <w:p w14:paraId="77576950">
      <w:pPr>
        <w:adjustRightInd/>
        <w:snapToGrid w:val="0"/>
        <w:spacing w:line="360" w:lineRule="exact"/>
        <w:ind w:firstLine="418" w:firstLineChars="20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1.除招标文件中所明确的采购需求外，欢迎其他能满足本项目采购需求且性能相当于或高于所明确采购需求的产品参加投标报价。同时在采购需求偏离表中作出详细对比说明。</w:t>
      </w:r>
    </w:p>
    <w:p w14:paraId="37383D73">
      <w:pPr>
        <w:adjustRightInd/>
        <w:snapToGrid w:val="0"/>
        <w:spacing w:line="360" w:lineRule="exact"/>
        <w:ind w:firstLine="418" w:firstLineChars="20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2.带“▲且加下划线”的有关条款为实质性条款，投标人必须做出实质性响应，不允许负偏离，出现负偏离的将导致投标无效。打★的条款为重要指标，允许负偏离，但在技术评分时会重点扣分，具体见评标办法。</w:t>
      </w:r>
    </w:p>
    <w:p w14:paraId="49A315BA">
      <w:pPr>
        <w:adjustRightInd/>
        <w:snapToGrid w:val="0"/>
        <w:spacing w:line="360" w:lineRule="exact"/>
        <w:ind w:firstLine="418" w:firstLineChars="20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3.如采购需求中未特别注明需执行的国家相关标准、行业标准、地方标准或者其他标准、规范，则统一执行最新标准、规范。</w:t>
      </w:r>
    </w:p>
    <w:p w14:paraId="0A00D94E">
      <w:pPr>
        <w:spacing w:line="3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2"/>
          <w:highlight w:val="none"/>
        </w:rPr>
        <w:br w:type="page"/>
      </w:r>
      <w:bookmarkStart w:id="50" w:name="_Toc19755"/>
      <w:r>
        <w:rPr>
          <w:rStyle w:val="22"/>
          <w:rFonts w:hint="eastAsia" w:ascii="宋体" w:hAnsi="宋体" w:eastAsia="宋体" w:cs="宋体"/>
          <w:color w:val="auto"/>
          <w:highlight w:val="none"/>
        </w:rPr>
        <w:t>第四部分</w:t>
      </w:r>
      <w:bookmarkStart w:id="51" w:name="_Toc184308074"/>
      <w:bookmarkEnd w:id="51"/>
      <w:bookmarkStart w:id="52" w:name="_Toc184314435"/>
      <w:bookmarkEnd w:id="52"/>
      <w:bookmarkStart w:id="53" w:name="_Toc184314463"/>
      <w:bookmarkEnd w:id="53"/>
      <w:bookmarkStart w:id="54" w:name="_Toc184314428"/>
      <w:bookmarkEnd w:id="54"/>
      <w:bookmarkStart w:id="55" w:name="_Toc184312099"/>
      <w:bookmarkEnd w:id="55"/>
      <w:bookmarkStart w:id="56" w:name="_Toc184313289"/>
      <w:bookmarkEnd w:id="56"/>
      <w:bookmarkStart w:id="57" w:name="_Toc184308093"/>
      <w:bookmarkEnd w:id="57"/>
      <w:bookmarkStart w:id="58" w:name="_Toc184310308"/>
      <w:bookmarkEnd w:id="58"/>
      <w:bookmarkStart w:id="59" w:name="_Toc184313297"/>
      <w:bookmarkEnd w:id="59"/>
      <w:bookmarkStart w:id="60" w:name="_Toc184310287"/>
      <w:bookmarkEnd w:id="60"/>
      <w:bookmarkStart w:id="61" w:name="_Toc184312117"/>
      <w:bookmarkEnd w:id="61"/>
      <w:bookmarkStart w:id="62" w:name="_Toc184310314"/>
      <w:bookmarkEnd w:id="62"/>
      <w:bookmarkStart w:id="63" w:name="_Toc184312111"/>
      <w:bookmarkEnd w:id="63"/>
      <w:bookmarkStart w:id="64" w:name="_Toc184313253"/>
      <w:bookmarkEnd w:id="64"/>
      <w:bookmarkStart w:id="65" w:name="_Toc184310332"/>
      <w:bookmarkEnd w:id="65"/>
      <w:bookmarkStart w:id="66" w:name="_Toc184312116"/>
      <w:bookmarkEnd w:id="66"/>
      <w:bookmarkStart w:id="67" w:name="_Toc184308061"/>
      <w:bookmarkEnd w:id="67"/>
      <w:bookmarkStart w:id="68" w:name="_Toc184314439"/>
      <w:bookmarkEnd w:id="68"/>
      <w:bookmarkStart w:id="69" w:name="_Toc184312121"/>
      <w:bookmarkEnd w:id="69"/>
      <w:bookmarkStart w:id="70" w:name="_Toc184312074"/>
      <w:bookmarkEnd w:id="70"/>
      <w:bookmarkStart w:id="71" w:name="_Toc184314437"/>
      <w:bookmarkEnd w:id="71"/>
      <w:bookmarkStart w:id="72" w:name="_Toc184313254"/>
      <w:bookmarkEnd w:id="72"/>
      <w:bookmarkStart w:id="73" w:name="_Toc184314467"/>
      <w:bookmarkEnd w:id="73"/>
      <w:bookmarkStart w:id="74" w:name="_Toc184313259"/>
      <w:bookmarkEnd w:id="74"/>
      <w:bookmarkStart w:id="75" w:name="_Toc184312138"/>
      <w:bookmarkEnd w:id="75"/>
      <w:bookmarkStart w:id="76" w:name="_Toc184312123"/>
      <w:bookmarkEnd w:id="76"/>
      <w:bookmarkStart w:id="77" w:name="_Toc184312092"/>
      <w:bookmarkEnd w:id="77"/>
      <w:bookmarkStart w:id="78" w:name="_Toc184312126"/>
      <w:bookmarkEnd w:id="78"/>
      <w:bookmarkStart w:id="79" w:name="_Toc184312090"/>
      <w:bookmarkEnd w:id="79"/>
      <w:bookmarkStart w:id="80" w:name="_Toc184310282"/>
      <w:bookmarkEnd w:id="80"/>
      <w:bookmarkStart w:id="81" w:name="_Toc184314427"/>
      <w:bookmarkEnd w:id="81"/>
      <w:bookmarkStart w:id="82" w:name="_Toc184308094"/>
      <w:bookmarkEnd w:id="82"/>
      <w:bookmarkStart w:id="83" w:name="_Toc184313278"/>
      <w:bookmarkEnd w:id="83"/>
      <w:bookmarkStart w:id="84" w:name="_Toc184314431"/>
      <w:bookmarkEnd w:id="84"/>
      <w:bookmarkStart w:id="85" w:name="_Toc184310321"/>
      <w:bookmarkEnd w:id="85"/>
      <w:bookmarkStart w:id="86" w:name="_Toc184308039"/>
      <w:bookmarkEnd w:id="86"/>
      <w:bookmarkStart w:id="87" w:name="_Toc184314460"/>
      <w:bookmarkEnd w:id="87"/>
      <w:bookmarkStart w:id="88" w:name="_Toc184310340"/>
      <w:bookmarkEnd w:id="88"/>
      <w:bookmarkStart w:id="89" w:name="_Toc184313284"/>
      <w:bookmarkEnd w:id="89"/>
      <w:bookmarkStart w:id="90" w:name="_Toc184313308"/>
      <w:bookmarkEnd w:id="90"/>
      <w:bookmarkStart w:id="91" w:name="_Toc184313283"/>
      <w:bookmarkEnd w:id="91"/>
      <w:bookmarkStart w:id="92" w:name="_Toc184310327"/>
      <w:bookmarkEnd w:id="92"/>
      <w:bookmarkStart w:id="93" w:name="_Toc184314468"/>
      <w:bookmarkEnd w:id="93"/>
      <w:bookmarkStart w:id="94" w:name="_Toc184312103"/>
      <w:bookmarkEnd w:id="94"/>
      <w:bookmarkStart w:id="95" w:name="_Toc184312110"/>
      <w:bookmarkEnd w:id="95"/>
      <w:bookmarkStart w:id="96" w:name="_Toc184312077"/>
      <w:bookmarkEnd w:id="96"/>
      <w:bookmarkStart w:id="97" w:name="_Toc184314448"/>
      <w:bookmarkEnd w:id="97"/>
      <w:bookmarkStart w:id="98" w:name="_Toc184314456"/>
      <w:bookmarkEnd w:id="98"/>
      <w:bookmarkStart w:id="99" w:name="_Toc184308106"/>
      <w:bookmarkEnd w:id="99"/>
      <w:bookmarkStart w:id="100" w:name="_Toc184313285"/>
      <w:bookmarkEnd w:id="100"/>
      <w:bookmarkStart w:id="101" w:name="_Toc184313246"/>
      <w:bookmarkEnd w:id="101"/>
      <w:bookmarkStart w:id="102" w:name="_Toc184308043"/>
      <w:bookmarkEnd w:id="102"/>
      <w:bookmarkStart w:id="103" w:name="_Toc184314457"/>
      <w:bookmarkEnd w:id="103"/>
      <w:bookmarkStart w:id="104" w:name="_Toc184314411"/>
      <w:bookmarkEnd w:id="104"/>
      <w:bookmarkStart w:id="105" w:name="_Toc184310335"/>
      <w:bookmarkEnd w:id="105"/>
      <w:bookmarkStart w:id="106" w:name="_Toc184313307"/>
      <w:bookmarkEnd w:id="106"/>
      <w:bookmarkStart w:id="107" w:name="_Toc184310333"/>
      <w:bookmarkEnd w:id="107"/>
      <w:bookmarkStart w:id="108" w:name="_Toc184313299"/>
      <w:bookmarkEnd w:id="108"/>
      <w:bookmarkStart w:id="109" w:name="_Toc184312091"/>
      <w:bookmarkEnd w:id="109"/>
      <w:bookmarkStart w:id="110" w:name="_Toc184314475"/>
      <w:bookmarkEnd w:id="110"/>
      <w:bookmarkStart w:id="111" w:name="_Toc184308097"/>
      <w:bookmarkEnd w:id="111"/>
      <w:bookmarkStart w:id="112" w:name="_Toc184313248"/>
      <w:bookmarkEnd w:id="112"/>
      <w:bookmarkStart w:id="113" w:name="_Toc184310319"/>
      <w:bookmarkEnd w:id="113"/>
      <w:bookmarkStart w:id="114" w:name="_Toc184314429"/>
      <w:bookmarkEnd w:id="114"/>
      <w:bookmarkStart w:id="115" w:name="_Toc184314410"/>
      <w:bookmarkEnd w:id="115"/>
      <w:bookmarkStart w:id="116" w:name="_Toc184314479"/>
      <w:bookmarkEnd w:id="116"/>
      <w:bookmarkStart w:id="117" w:name="_Toc184312113"/>
      <w:bookmarkEnd w:id="117"/>
      <w:bookmarkStart w:id="118" w:name="_Toc184310276"/>
      <w:bookmarkEnd w:id="118"/>
      <w:bookmarkStart w:id="119" w:name="_Toc184308096"/>
      <w:bookmarkEnd w:id="119"/>
      <w:bookmarkStart w:id="120" w:name="_Toc184310280"/>
      <w:bookmarkEnd w:id="120"/>
      <w:bookmarkStart w:id="121" w:name="_Toc184308088"/>
      <w:bookmarkEnd w:id="121"/>
      <w:bookmarkStart w:id="122" w:name="_Toc184308067"/>
      <w:bookmarkEnd w:id="122"/>
      <w:bookmarkStart w:id="123" w:name="_Toc184312136"/>
      <w:bookmarkEnd w:id="123"/>
      <w:bookmarkStart w:id="124" w:name="_Toc184312073"/>
      <w:bookmarkEnd w:id="124"/>
      <w:bookmarkStart w:id="125" w:name="_Toc184314447"/>
      <w:bookmarkEnd w:id="125"/>
      <w:bookmarkStart w:id="126" w:name="_Toc184313306"/>
      <w:bookmarkEnd w:id="126"/>
      <w:bookmarkStart w:id="127" w:name="_Toc184310304"/>
      <w:bookmarkEnd w:id="127"/>
      <w:bookmarkStart w:id="128" w:name="_Toc184313249"/>
      <w:bookmarkEnd w:id="128"/>
      <w:bookmarkStart w:id="129" w:name="_Toc184314472"/>
      <w:bookmarkEnd w:id="129"/>
      <w:bookmarkStart w:id="130" w:name="_Toc184308055"/>
      <w:bookmarkEnd w:id="130"/>
      <w:bookmarkStart w:id="131" w:name="_Toc184308071"/>
      <w:bookmarkEnd w:id="131"/>
      <w:bookmarkStart w:id="132" w:name="_Toc184312096"/>
      <w:bookmarkEnd w:id="132"/>
      <w:bookmarkStart w:id="133" w:name="_Toc184308036"/>
      <w:bookmarkEnd w:id="133"/>
      <w:bookmarkStart w:id="134" w:name="_Toc184312067"/>
      <w:bookmarkEnd w:id="134"/>
      <w:bookmarkStart w:id="135" w:name="_Toc184310343"/>
      <w:bookmarkEnd w:id="135"/>
      <w:bookmarkStart w:id="136" w:name="_Toc184308103"/>
      <w:bookmarkEnd w:id="136"/>
      <w:bookmarkStart w:id="137" w:name="_Toc184308048"/>
      <w:bookmarkEnd w:id="137"/>
      <w:bookmarkStart w:id="138" w:name="_Toc184312129"/>
      <w:bookmarkEnd w:id="138"/>
      <w:bookmarkStart w:id="139" w:name="_Toc184314418"/>
      <w:bookmarkEnd w:id="139"/>
      <w:bookmarkStart w:id="140" w:name="_Toc184312122"/>
      <w:bookmarkEnd w:id="140"/>
      <w:bookmarkStart w:id="141" w:name="_Toc184308101"/>
      <w:bookmarkEnd w:id="141"/>
      <w:bookmarkStart w:id="142" w:name="_Toc184310315"/>
      <w:bookmarkEnd w:id="142"/>
      <w:bookmarkStart w:id="143" w:name="_Toc184313255"/>
      <w:bookmarkEnd w:id="143"/>
      <w:bookmarkStart w:id="144" w:name="_Toc184312080"/>
      <w:bookmarkEnd w:id="144"/>
      <w:bookmarkStart w:id="145" w:name="_Toc184314424"/>
      <w:bookmarkEnd w:id="145"/>
      <w:bookmarkStart w:id="146" w:name="_Toc184312108"/>
      <w:bookmarkEnd w:id="146"/>
      <w:bookmarkStart w:id="147" w:name="_Toc184310300"/>
      <w:bookmarkEnd w:id="147"/>
      <w:bookmarkStart w:id="148" w:name="_Toc184314416"/>
      <w:bookmarkEnd w:id="148"/>
      <w:bookmarkStart w:id="149" w:name="_Toc184310339"/>
      <w:bookmarkEnd w:id="149"/>
      <w:bookmarkStart w:id="150" w:name="_Toc184308107"/>
      <w:bookmarkEnd w:id="150"/>
      <w:bookmarkStart w:id="151" w:name="_Toc184312093"/>
      <w:bookmarkEnd w:id="151"/>
      <w:bookmarkStart w:id="152" w:name="_Toc184310278"/>
      <w:bookmarkEnd w:id="152"/>
      <w:bookmarkStart w:id="153" w:name="_Toc184313310"/>
      <w:bookmarkEnd w:id="153"/>
      <w:bookmarkStart w:id="154" w:name="_Toc184308098"/>
      <w:bookmarkEnd w:id="154"/>
      <w:bookmarkStart w:id="155" w:name="_Toc184312124"/>
      <w:bookmarkEnd w:id="155"/>
      <w:bookmarkStart w:id="156" w:name="_Toc184308076"/>
      <w:bookmarkEnd w:id="156"/>
      <w:bookmarkStart w:id="157" w:name="_Toc184310281"/>
      <w:bookmarkEnd w:id="157"/>
      <w:bookmarkStart w:id="158" w:name="_Toc184314421"/>
      <w:bookmarkEnd w:id="158"/>
      <w:bookmarkStart w:id="159" w:name="_Toc184310306"/>
      <w:bookmarkEnd w:id="159"/>
      <w:bookmarkStart w:id="160" w:name="_Toc184313303"/>
      <w:bookmarkEnd w:id="160"/>
      <w:bookmarkStart w:id="161" w:name="_Toc184313260"/>
      <w:bookmarkEnd w:id="161"/>
      <w:bookmarkStart w:id="162" w:name="_Toc184312083"/>
      <w:bookmarkEnd w:id="162"/>
      <w:bookmarkStart w:id="163" w:name="_Toc184314461"/>
      <w:bookmarkEnd w:id="163"/>
      <w:bookmarkStart w:id="164" w:name="_Toc184308044"/>
      <w:bookmarkEnd w:id="164"/>
      <w:bookmarkStart w:id="165" w:name="_Toc184310324"/>
      <w:bookmarkEnd w:id="165"/>
      <w:bookmarkStart w:id="166" w:name="_Toc184314446"/>
      <w:bookmarkEnd w:id="166"/>
      <w:bookmarkStart w:id="167" w:name="_Toc184314443"/>
      <w:bookmarkEnd w:id="167"/>
      <w:bookmarkStart w:id="168" w:name="_Toc184313252"/>
      <w:bookmarkEnd w:id="168"/>
      <w:bookmarkStart w:id="169" w:name="_Toc184314440"/>
      <w:bookmarkEnd w:id="169"/>
      <w:bookmarkStart w:id="170" w:name="_Toc184312135"/>
      <w:bookmarkEnd w:id="170"/>
      <w:bookmarkStart w:id="171" w:name="_Toc184313282"/>
      <w:bookmarkEnd w:id="171"/>
      <w:bookmarkStart w:id="172" w:name="_Toc184308078"/>
      <w:bookmarkEnd w:id="172"/>
      <w:bookmarkStart w:id="173" w:name="_Toc184314415"/>
      <w:bookmarkEnd w:id="173"/>
      <w:bookmarkStart w:id="174" w:name="_Toc184308095"/>
      <w:bookmarkEnd w:id="174"/>
      <w:bookmarkStart w:id="175" w:name="_Toc184310296"/>
      <w:bookmarkEnd w:id="175"/>
      <w:bookmarkStart w:id="176" w:name="_Toc184312105"/>
      <w:bookmarkEnd w:id="176"/>
      <w:bookmarkStart w:id="177" w:name="_Toc184310322"/>
      <w:bookmarkEnd w:id="177"/>
      <w:bookmarkStart w:id="178" w:name="_Toc184314420"/>
      <w:bookmarkEnd w:id="178"/>
      <w:bookmarkStart w:id="179" w:name="_Toc184308053"/>
      <w:bookmarkEnd w:id="179"/>
      <w:bookmarkStart w:id="180" w:name="_Toc184313292"/>
      <w:bookmarkEnd w:id="180"/>
      <w:bookmarkStart w:id="181" w:name="_Toc184310338"/>
      <w:bookmarkEnd w:id="181"/>
      <w:bookmarkStart w:id="182" w:name="_Toc184313266"/>
      <w:bookmarkEnd w:id="182"/>
      <w:bookmarkStart w:id="183" w:name="_Toc184308081"/>
      <w:bookmarkEnd w:id="183"/>
      <w:bookmarkStart w:id="184" w:name="_Toc184308089"/>
      <w:bookmarkEnd w:id="184"/>
      <w:bookmarkStart w:id="185" w:name="_Toc184314412"/>
      <w:bookmarkEnd w:id="185"/>
      <w:bookmarkStart w:id="186" w:name="_Toc184314464"/>
      <w:bookmarkEnd w:id="186"/>
      <w:bookmarkStart w:id="187" w:name="_Toc184314417"/>
      <w:bookmarkEnd w:id="187"/>
      <w:bookmarkStart w:id="188" w:name="_Toc184310342"/>
      <w:bookmarkEnd w:id="188"/>
      <w:bookmarkStart w:id="189" w:name="_Toc184312095"/>
      <w:bookmarkEnd w:id="189"/>
      <w:bookmarkStart w:id="190" w:name="_Toc184313286"/>
      <w:bookmarkEnd w:id="190"/>
      <w:bookmarkStart w:id="191" w:name="_Toc184308069"/>
      <w:bookmarkEnd w:id="191"/>
      <w:bookmarkStart w:id="192" w:name="_Toc184313300"/>
      <w:bookmarkEnd w:id="192"/>
      <w:bookmarkStart w:id="193" w:name="_Toc184314459"/>
      <w:bookmarkEnd w:id="193"/>
      <w:bookmarkStart w:id="194" w:name="_Toc184310289"/>
      <w:bookmarkEnd w:id="194"/>
      <w:bookmarkStart w:id="195" w:name="_Toc184308054"/>
      <w:bookmarkEnd w:id="195"/>
      <w:bookmarkStart w:id="196" w:name="_Toc184312097"/>
      <w:bookmarkEnd w:id="196"/>
      <w:bookmarkStart w:id="197" w:name="_Toc184312098"/>
      <w:bookmarkEnd w:id="197"/>
      <w:bookmarkStart w:id="198" w:name="_Toc184314474"/>
      <w:bookmarkEnd w:id="198"/>
      <w:bookmarkStart w:id="199" w:name="_Toc184314465"/>
      <w:bookmarkEnd w:id="199"/>
      <w:bookmarkStart w:id="200" w:name="_Toc184308090"/>
      <w:bookmarkEnd w:id="200"/>
      <w:bookmarkStart w:id="201" w:name="_Toc184308102"/>
      <w:bookmarkEnd w:id="201"/>
      <w:bookmarkStart w:id="202" w:name="_Toc184313280"/>
      <w:bookmarkEnd w:id="202"/>
      <w:bookmarkStart w:id="203" w:name="_Toc184312114"/>
      <w:bookmarkEnd w:id="203"/>
      <w:bookmarkStart w:id="204" w:name="_Toc184308091"/>
      <w:bookmarkEnd w:id="204"/>
      <w:bookmarkStart w:id="205" w:name="_Toc184312081"/>
      <w:bookmarkEnd w:id="205"/>
      <w:bookmarkStart w:id="206" w:name="_Toc184312132"/>
      <w:bookmarkEnd w:id="206"/>
      <w:bookmarkStart w:id="207" w:name="_Toc184310295"/>
      <w:bookmarkEnd w:id="207"/>
      <w:bookmarkStart w:id="208" w:name="_Toc184308085"/>
      <w:bookmarkEnd w:id="208"/>
      <w:bookmarkStart w:id="209" w:name="_Toc184313247"/>
      <w:bookmarkEnd w:id="209"/>
      <w:bookmarkStart w:id="210" w:name="_Toc184313242"/>
      <w:bookmarkEnd w:id="210"/>
      <w:bookmarkStart w:id="211" w:name="_Toc184313241"/>
      <w:bookmarkEnd w:id="211"/>
      <w:bookmarkStart w:id="212" w:name="_Toc184312078"/>
      <w:bookmarkEnd w:id="212"/>
      <w:bookmarkStart w:id="213" w:name="_Toc184312130"/>
      <w:bookmarkEnd w:id="213"/>
      <w:bookmarkStart w:id="214" w:name="_Toc184308059"/>
      <w:bookmarkEnd w:id="214"/>
      <w:bookmarkStart w:id="215" w:name="_Toc184310303"/>
      <w:bookmarkEnd w:id="215"/>
      <w:bookmarkStart w:id="216" w:name="_Toc184312076"/>
      <w:bookmarkEnd w:id="216"/>
      <w:bookmarkStart w:id="217" w:name="_Toc184313239"/>
      <w:bookmarkEnd w:id="217"/>
      <w:bookmarkStart w:id="218" w:name="_Toc184312069"/>
      <w:bookmarkEnd w:id="218"/>
      <w:bookmarkStart w:id="219" w:name="_Toc184310344"/>
      <w:bookmarkEnd w:id="219"/>
      <w:bookmarkStart w:id="220" w:name="_Toc184314478"/>
      <w:bookmarkEnd w:id="220"/>
      <w:bookmarkStart w:id="221" w:name="_Toc184310325"/>
      <w:bookmarkEnd w:id="221"/>
      <w:bookmarkStart w:id="222" w:name="_Toc184308064"/>
      <w:bookmarkEnd w:id="222"/>
      <w:bookmarkStart w:id="223" w:name="_Toc184313258"/>
      <w:bookmarkEnd w:id="223"/>
      <w:bookmarkStart w:id="224" w:name="_Toc184312088"/>
      <w:bookmarkEnd w:id="224"/>
      <w:bookmarkStart w:id="225" w:name="_Toc184312101"/>
      <w:bookmarkEnd w:id="225"/>
      <w:bookmarkStart w:id="226" w:name="_Toc184310285"/>
      <w:bookmarkEnd w:id="226"/>
      <w:bookmarkStart w:id="227" w:name="_Toc184313271"/>
      <w:bookmarkEnd w:id="227"/>
      <w:bookmarkStart w:id="228" w:name="_Toc184313267"/>
      <w:bookmarkEnd w:id="228"/>
      <w:bookmarkStart w:id="229" w:name="_Toc184314466"/>
      <w:bookmarkEnd w:id="229"/>
      <w:bookmarkStart w:id="230" w:name="_Toc184310329"/>
      <w:bookmarkEnd w:id="230"/>
      <w:bookmarkStart w:id="231" w:name="_Toc184312094"/>
      <w:bookmarkEnd w:id="231"/>
      <w:bookmarkStart w:id="232" w:name="_Toc184308082"/>
      <w:bookmarkEnd w:id="232"/>
      <w:bookmarkStart w:id="233" w:name="_Toc184308077"/>
      <w:bookmarkEnd w:id="233"/>
      <w:bookmarkStart w:id="234" w:name="_Toc184308038"/>
      <w:bookmarkEnd w:id="234"/>
      <w:bookmarkStart w:id="235" w:name="_Toc184310331"/>
      <w:bookmarkEnd w:id="235"/>
      <w:bookmarkStart w:id="236" w:name="_Toc184312087"/>
      <w:bookmarkEnd w:id="236"/>
      <w:bookmarkStart w:id="237" w:name="_Toc184313287"/>
      <w:bookmarkEnd w:id="237"/>
      <w:bookmarkStart w:id="238" w:name="_Toc184308104"/>
      <w:bookmarkEnd w:id="238"/>
      <w:bookmarkStart w:id="239" w:name="_Toc184313238"/>
      <w:bookmarkEnd w:id="239"/>
      <w:bookmarkStart w:id="240" w:name="_Toc184313240"/>
      <w:bookmarkEnd w:id="240"/>
      <w:bookmarkStart w:id="241" w:name="_Toc184308058"/>
      <w:bookmarkEnd w:id="241"/>
      <w:bookmarkStart w:id="242" w:name="_Toc184310286"/>
      <w:bookmarkEnd w:id="242"/>
      <w:bookmarkStart w:id="243" w:name="_Toc184310272"/>
      <w:bookmarkEnd w:id="243"/>
      <w:bookmarkStart w:id="244" w:name="_Toc184313294"/>
      <w:bookmarkEnd w:id="244"/>
      <w:bookmarkStart w:id="245" w:name="_Toc184313264"/>
      <w:bookmarkEnd w:id="245"/>
      <w:bookmarkStart w:id="246" w:name="_Toc184314452"/>
      <w:bookmarkEnd w:id="246"/>
      <w:bookmarkStart w:id="247" w:name="_Toc184308072"/>
      <w:bookmarkEnd w:id="247"/>
      <w:bookmarkStart w:id="248" w:name="_Toc184312089"/>
      <w:bookmarkEnd w:id="248"/>
      <w:bookmarkStart w:id="249" w:name="_Toc184313296"/>
      <w:bookmarkEnd w:id="249"/>
      <w:bookmarkStart w:id="250" w:name="_Toc184312125"/>
      <w:bookmarkEnd w:id="250"/>
      <w:bookmarkStart w:id="251" w:name="_Toc184313290"/>
      <w:bookmarkEnd w:id="251"/>
      <w:bookmarkStart w:id="252" w:name="_Toc184312120"/>
      <w:bookmarkEnd w:id="252"/>
      <w:bookmarkStart w:id="253" w:name="_Toc184313279"/>
      <w:bookmarkEnd w:id="253"/>
      <w:bookmarkStart w:id="254" w:name="_Toc184310301"/>
      <w:bookmarkEnd w:id="254"/>
      <w:bookmarkStart w:id="255" w:name="_Toc184310298"/>
      <w:bookmarkEnd w:id="255"/>
      <w:bookmarkStart w:id="256" w:name="_Toc184312086"/>
      <w:bookmarkEnd w:id="256"/>
      <w:bookmarkStart w:id="257" w:name="_Toc184310273"/>
      <w:bookmarkEnd w:id="257"/>
      <w:bookmarkStart w:id="258" w:name="_Toc184308049"/>
      <w:bookmarkEnd w:id="258"/>
      <w:bookmarkStart w:id="259" w:name="_Toc184312079"/>
      <w:bookmarkEnd w:id="259"/>
      <w:bookmarkStart w:id="260" w:name="_Toc184314449"/>
      <w:bookmarkEnd w:id="260"/>
      <w:bookmarkStart w:id="261" w:name="_Toc184308040"/>
      <w:bookmarkEnd w:id="261"/>
      <w:bookmarkStart w:id="262" w:name="_Toc184308073"/>
      <w:bookmarkEnd w:id="262"/>
      <w:bookmarkStart w:id="263" w:name="_Toc184310312"/>
      <w:bookmarkEnd w:id="263"/>
      <w:bookmarkStart w:id="264" w:name="_Toc184310307"/>
      <w:bookmarkEnd w:id="264"/>
      <w:bookmarkStart w:id="265" w:name="_Toc184314454"/>
      <w:bookmarkEnd w:id="265"/>
      <w:bookmarkStart w:id="266" w:name="_Toc184313281"/>
      <w:bookmarkEnd w:id="266"/>
      <w:bookmarkStart w:id="267" w:name="_Toc184310311"/>
      <w:bookmarkEnd w:id="267"/>
      <w:bookmarkStart w:id="268" w:name="_Toc184314455"/>
      <w:bookmarkEnd w:id="268"/>
      <w:bookmarkStart w:id="269" w:name="_Toc184312100"/>
      <w:bookmarkEnd w:id="269"/>
      <w:bookmarkStart w:id="270" w:name="_Toc184310337"/>
      <w:bookmarkEnd w:id="270"/>
      <w:bookmarkStart w:id="271" w:name="_Toc184314422"/>
      <w:bookmarkEnd w:id="271"/>
      <w:bookmarkStart w:id="272" w:name="_Toc184314450"/>
      <w:bookmarkEnd w:id="272"/>
      <w:bookmarkStart w:id="273" w:name="_Toc184314423"/>
      <w:bookmarkEnd w:id="273"/>
      <w:bookmarkStart w:id="274" w:name="_Toc184310309"/>
      <w:bookmarkEnd w:id="274"/>
      <w:bookmarkStart w:id="275" w:name="_Toc184312115"/>
      <w:bookmarkEnd w:id="275"/>
      <w:bookmarkStart w:id="276" w:name="_Toc184312139"/>
      <w:bookmarkEnd w:id="276"/>
      <w:bookmarkStart w:id="277" w:name="_Toc184313244"/>
      <w:bookmarkEnd w:id="277"/>
      <w:bookmarkStart w:id="278" w:name="_Toc184308062"/>
      <w:bookmarkEnd w:id="278"/>
      <w:bookmarkStart w:id="279" w:name="_Toc184313250"/>
      <w:bookmarkEnd w:id="279"/>
      <w:bookmarkStart w:id="280" w:name="_Toc184313304"/>
      <w:bookmarkEnd w:id="280"/>
      <w:bookmarkStart w:id="281" w:name="_Toc184312119"/>
      <w:bookmarkEnd w:id="281"/>
      <w:bookmarkStart w:id="282" w:name="_Toc184312106"/>
      <w:bookmarkEnd w:id="282"/>
      <w:bookmarkStart w:id="283" w:name="_Toc184312109"/>
      <w:bookmarkEnd w:id="283"/>
      <w:bookmarkStart w:id="284" w:name="_Toc184308063"/>
      <w:bookmarkEnd w:id="284"/>
      <w:bookmarkStart w:id="285" w:name="_Toc184313276"/>
      <w:bookmarkEnd w:id="285"/>
      <w:bookmarkStart w:id="286" w:name="_Toc184314433"/>
      <w:bookmarkEnd w:id="286"/>
      <w:bookmarkStart w:id="287" w:name="_Toc184308086"/>
      <w:bookmarkEnd w:id="287"/>
      <w:bookmarkStart w:id="288" w:name="_Toc184308051"/>
      <w:bookmarkEnd w:id="288"/>
      <w:bookmarkStart w:id="289" w:name="_Toc184313265"/>
      <w:bookmarkEnd w:id="289"/>
      <w:bookmarkStart w:id="290" w:name="_Toc184312118"/>
      <w:bookmarkEnd w:id="290"/>
      <w:bookmarkStart w:id="291" w:name="_Toc184313251"/>
      <w:bookmarkEnd w:id="291"/>
      <w:bookmarkStart w:id="292" w:name="_Toc184308068"/>
      <w:bookmarkEnd w:id="292"/>
      <w:bookmarkStart w:id="293" w:name="_Toc184313305"/>
      <w:bookmarkEnd w:id="293"/>
      <w:bookmarkStart w:id="294" w:name="_Toc184310326"/>
      <w:bookmarkEnd w:id="294"/>
      <w:bookmarkStart w:id="295" w:name="_Toc184308087"/>
      <w:bookmarkEnd w:id="295"/>
      <w:bookmarkStart w:id="296" w:name="_Toc184312068"/>
      <w:bookmarkEnd w:id="296"/>
      <w:bookmarkStart w:id="297" w:name="_Toc184310336"/>
      <w:bookmarkEnd w:id="297"/>
      <w:bookmarkStart w:id="298" w:name="_Toc184313270"/>
      <w:bookmarkEnd w:id="298"/>
      <w:bookmarkStart w:id="299" w:name="_Toc184308052"/>
      <w:bookmarkEnd w:id="299"/>
      <w:bookmarkStart w:id="300" w:name="_Toc184308037"/>
      <w:bookmarkEnd w:id="300"/>
      <w:bookmarkStart w:id="301" w:name="_Toc184314473"/>
      <w:bookmarkEnd w:id="301"/>
      <w:bookmarkStart w:id="302" w:name="_Toc184308057"/>
      <w:bookmarkEnd w:id="302"/>
      <w:bookmarkStart w:id="303" w:name="_Toc184314413"/>
      <w:bookmarkEnd w:id="303"/>
      <w:bookmarkStart w:id="304" w:name="_Toc184313261"/>
      <w:bookmarkEnd w:id="304"/>
      <w:bookmarkStart w:id="305" w:name="_Toc184313273"/>
      <w:bookmarkEnd w:id="305"/>
      <w:bookmarkStart w:id="306" w:name="_Toc184310277"/>
      <w:bookmarkEnd w:id="306"/>
      <w:bookmarkStart w:id="307" w:name="_Toc184310279"/>
      <w:bookmarkEnd w:id="307"/>
      <w:bookmarkStart w:id="308" w:name="_Toc184314453"/>
      <w:bookmarkEnd w:id="308"/>
      <w:bookmarkStart w:id="309" w:name="_Toc184312127"/>
      <w:bookmarkEnd w:id="309"/>
      <w:bookmarkStart w:id="310" w:name="_Toc184308060"/>
      <w:bookmarkEnd w:id="310"/>
      <w:bookmarkStart w:id="311" w:name="_Toc184313263"/>
      <w:bookmarkEnd w:id="311"/>
      <w:bookmarkStart w:id="312" w:name="_Toc184313301"/>
      <w:bookmarkEnd w:id="312"/>
      <w:bookmarkStart w:id="313" w:name="_Toc184313293"/>
      <w:bookmarkEnd w:id="313"/>
      <w:bookmarkStart w:id="314" w:name="_Toc184313291"/>
      <w:bookmarkEnd w:id="314"/>
      <w:bookmarkStart w:id="315" w:name="_Toc184308046"/>
      <w:bookmarkEnd w:id="315"/>
      <w:bookmarkStart w:id="316" w:name="_Toc184308099"/>
      <w:bookmarkEnd w:id="316"/>
      <w:bookmarkStart w:id="317" w:name="_Toc184310316"/>
      <w:bookmarkEnd w:id="317"/>
      <w:bookmarkStart w:id="318" w:name="_Toc184312070"/>
      <w:bookmarkEnd w:id="318"/>
      <w:bookmarkStart w:id="319" w:name="_Toc184310297"/>
      <w:bookmarkEnd w:id="319"/>
      <w:bookmarkStart w:id="320" w:name="_Toc184308079"/>
      <w:bookmarkEnd w:id="320"/>
      <w:bookmarkStart w:id="321" w:name="_Toc184310305"/>
      <w:bookmarkEnd w:id="321"/>
      <w:bookmarkStart w:id="322" w:name="_Toc184313277"/>
      <w:bookmarkEnd w:id="322"/>
      <w:bookmarkStart w:id="323" w:name="_Toc184314426"/>
      <w:bookmarkEnd w:id="323"/>
      <w:bookmarkStart w:id="324" w:name="_Toc184310275"/>
      <w:bookmarkEnd w:id="324"/>
      <w:bookmarkStart w:id="325" w:name="_Toc184312084"/>
      <w:bookmarkEnd w:id="325"/>
      <w:bookmarkStart w:id="326" w:name="_Toc184314480"/>
      <w:bookmarkEnd w:id="326"/>
      <w:bookmarkStart w:id="327" w:name="_Toc184314469"/>
      <w:bookmarkEnd w:id="327"/>
      <w:bookmarkStart w:id="328" w:name="_Toc184310323"/>
      <w:bookmarkEnd w:id="328"/>
      <w:bookmarkStart w:id="329" w:name="_Toc184312082"/>
      <w:bookmarkEnd w:id="329"/>
      <w:bookmarkStart w:id="330" w:name="_Toc184310320"/>
      <w:bookmarkEnd w:id="330"/>
      <w:bookmarkStart w:id="331" w:name="_Toc184314432"/>
      <w:bookmarkEnd w:id="331"/>
      <w:bookmarkStart w:id="332" w:name="_Toc184308108"/>
      <w:bookmarkEnd w:id="332"/>
      <w:bookmarkStart w:id="333" w:name="_Toc184314444"/>
      <w:bookmarkEnd w:id="333"/>
      <w:bookmarkStart w:id="334" w:name="_Toc184308056"/>
      <w:bookmarkEnd w:id="334"/>
      <w:bookmarkStart w:id="335" w:name="_Toc184308075"/>
      <w:bookmarkEnd w:id="335"/>
      <w:bookmarkStart w:id="336" w:name="_Toc184313288"/>
      <w:bookmarkEnd w:id="336"/>
      <w:bookmarkStart w:id="337" w:name="_Toc184314470"/>
      <w:bookmarkEnd w:id="337"/>
      <w:bookmarkStart w:id="338" w:name="_Toc184314425"/>
      <w:bookmarkEnd w:id="338"/>
      <w:bookmarkStart w:id="339" w:name="_Toc184314477"/>
      <w:bookmarkEnd w:id="339"/>
      <w:bookmarkStart w:id="340" w:name="_Toc184312104"/>
      <w:bookmarkEnd w:id="340"/>
      <w:bookmarkStart w:id="341" w:name="_Toc184312134"/>
      <w:bookmarkEnd w:id="341"/>
      <w:bookmarkStart w:id="342" w:name="_Toc184308100"/>
      <w:bookmarkEnd w:id="342"/>
      <w:bookmarkStart w:id="343" w:name="_Toc184308092"/>
      <w:bookmarkEnd w:id="343"/>
      <w:bookmarkStart w:id="344" w:name="_Toc184312107"/>
      <w:bookmarkEnd w:id="344"/>
      <w:bookmarkStart w:id="345" w:name="_Toc184314436"/>
      <w:bookmarkEnd w:id="345"/>
      <w:bookmarkStart w:id="346" w:name="_Toc184308070"/>
      <w:bookmarkEnd w:id="346"/>
      <w:bookmarkStart w:id="347" w:name="_Toc184310288"/>
      <w:bookmarkEnd w:id="347"/>
      <w:bookmarkStart w:id="348" w:name="_Toc184308041"/>
      <w:bookmarkEnd w:id="348"/>
      <w:bookmarkStart w:id="349" w:name="_Toc184314482"/>
      <w:bookmarkEnd w:id="349"/>
      <w:bookmarkStart w:id="350" w:name="_Toc184310328"/>
      <w:bookmarkEnd w:id="350"/>
      <w:bookmarkStart w:id="351" w:name="_Toc184314442"/>
      <w:bookmarkEnd w:id="351"/>
      <w:bookmarkStart w:id="352" w:name="_Toc184313275"/>
      <w:bookmarkEnd w:id="352"/>
      <w:bookmarkStart w:id="353" w:name="_Toc184310293"/>
      <w:bookmarkEnd w:id="353"/>
      <w:bookmarkStart w:id="354" w:name="_Toc184310274"/>
      <w:bookmarkEnd w:id="354"/>
      <w:bookmarkStart w:id="355" w:name="_Toc184313309"/>
      <w:bookmarkEnd w:id="355"/>
      <w:bookmarkStart w:id="356" w:name="_Toc184308083"/>
      <w:bookmarkEnd w:id="356"/>
      <w:bookmarkStart w:id="357" w:name="_Toc184314458"/>
      <w:bookmarkEnd w:id="357"/>
      <w:bookmarkStart w:id="358" w:name="_Toc184308042"/>
      <w:bookmarkEnd w:id="358"/>
      <w:bookmarkStart w:id="359" w:name="_Toc184310334"/>
      <w:bookmarkEnd w:id="359"/>
      <w:bookmarkStart w:id="360" w:name="_Toc184314476"/>
      <w:bookmarkEnd w:id="360"/>
      <w:bookmarkStart w:id="361" w:name="_Toc184313257"/>
      <w:bookmarkEnd w:id="361"/>
      <w:bookmarkStart w:id="362" w:name="_Toc184314438"/>
      <w:bookmarkEnd w:id="362"/>
      <w:bookmarkStart w:id="363" w:name="_Toc184308080"/>
      <w:bookmarkEnd w:id="363"/>
      <w:bookmarkStart w:id="364" w:name="_Toc184312112"/>
      <w:bookmarkEnd w:id="364"/>
      <w:bookmarkStart w:id="365" w:name="_Toc184310302"/>
      <w:bookmarkEnd w:id="365"/>
      <w:bookmarkStart w:id="366" w:name="_Toc184308045"/>
      <w:bookmarkEnd w:id="366"/>
      <w:bookmarkStart w:id="367" w:name="_Toc184310318"/>
      <w:bookmarkEnd w:id="367"/>
      <w:bookmarkStart w:id="368" w:name="_Toc184308105"/>
      <w:bookmarkEnd w:id="368"/>
      <w:bookmarkStart w:id="369" w:name="_Toc184312075"/>
      <w:bookmarkEnd w:id="369"/>
      <w:bookmarkStart w:id="370" w:name="_Toc184308047"/>
      <w:bookmarkEnd w:id="370"/>
      <w:bookmarkStart w:id="371" w:name="_Toc184313256"/>
      <w:bookmarkEnd w:id="371"/>
      <w:bookmarkStart w:id="372" w:name="_Toc184314481"/>
      <w:bookmarkEnd w:id="372"/>
      <w:bookmarkStart w:id="373" w:name="_Toc184312072"/>
      <w:bookmarkEnd w:id="373"/>
      <w:bookmarkStart w:id="374" w:name="_Toc184310292"/>
      <w:bookmarkEnd w:id="374"/>
      <w:bookmarkStart w:id="375" w:name="_Toc184314451"/>
      <w:bookmarkEnd w:id="375"/>
      <w:bookmarkStart w:id="376" w:name="_Toc184310330"/>
      <w:bookmarkEnd w:id="376"/>
      <w:bookmarkStart w:id="377" w:name="_Toc184310284"/>
      <w:bookmarkEnd w:id="377"/>
      <w:bookmarkStart w:id="378" w:name="_Toc184312128"/>
      <w:bookmarkEnd w:id="378"/>
      <w:bookmarkStart w:id="379" w:name="_Toc184308065"/>
      <w:bookmarkEnd w:id="379"/>
      <w:bookmarkStart w:id="380" w:name="_Toc184312071"/>
      <w:bookmarkEnd w:id="380"/>
      <w:bookmarkStart w:id="381" w:name="_Toc184314445"/>
      <w:bookmarkEnd w:id="381"/>
      <w:bookmarkStart w:id="382" w:name="_Toc184313245"/>
      <w:bookmarkEnd w:id="382"/>
      <w:bookmarkStart w:id="383" w:name="_Toc184308084"/>
      <w:bookmarkEnd w:id="383"/>
      <w:bookmarkStart w:id="384" w:name="_Toc184310317"/>
      <w:bookmarkEnd w:id="384"/>
      <w:bookmarkStart w:id="385" w:name="_Toc184310290"/>
      <w:bookmarkEnd w:id="385"/>
      <w:bookmarkStart w:id="386" w:name="_Toc184313268"/>
      <w:bookmarkEnd w:id="386"/>
      <w:bookmarkStart w:id="387" w:name="_Toc184312102"/>
      <w:bookmarkEnd w:id="387"/>
      <w:bookmarkStart w:id="388" w:name="_Toc184312137"/>
      <w:bookmarkEnd w:id="388"/>
      <w:bookmarkStart w:id="389" w:name="_Toc184313274"/>
      <w:bookmarkEnd w:id="389"/>
      <w:bookmarkStart w:id="390" w:name="_Toc184313269"/>
      <w:bookmarkEnd w:id="390"/>
      <w:bookmarkStart w:id="391" w:name="_Toc184313262"/>
      <w:bookmarkEnd w:id="391"/>
      <w:bookmarkStart w:id="392" w:name="_Toc184314430"/>
      <w:bookmarkEnd w:id="392"/>
      <w:bookmarkStart w:id="393" w:name="_Toc184314434"/>
      <w:bookmarkEnd w:id="393"/>
      <w:bookmarkStart w:id="394" w:name="_Toc184313243"/>
      <w:bookmarkEnd w:id="394"/>
      <w:bookmarkStart w:id="395" w:name="_Toc184310299"/>
      <w:bookmarkEnd w:id="395"/>
      <w:bookmarkStart w:id="396" w:name="_Toc184312085"/>
      <w:bookmarkEnd w:id="396"/>
      <w:bookmarkStart w:id="397" w:name="_Toc184313298"/>
      <w:bookmarkEnd w:id="397"/>
      <w:bookmarkStart w:id="398" w:name="_Toc184308066"/>
      <w:bookmarkEnd w:id="398"/>
      <w:bookmarkStart w:id="399" w:name="_Toc184310283"/>
      <w:bookmarkEnd w:id="399"/>
      <w:bookmarkStart w:id="400" w:name="_Toc184314414"/>
      <w:bookmarkEnd w:id="400"/>
      <w:bookmarkStart w:id="401" w:name="_Toc184310291"/>
      <w:bookmarkEnd w:id="401"/>
      <w:bookmarkStart w:id="402" w:name="_Toc184312133"/>
      <w:bookmarkEnd w:id="402"/>
      <w:bookmarkStart w:id="403" w:name="_Toc184310310"/>
      <w:bookmarkEnd w:id="403"/>
      <w:bookmarkStart w:id="404" w:name="_Toc184310294"/>
      <w:bookmarkEnd w:id="404"/>
      <w:bookmarkStart w:id="405" w:name="_Toc184310341"/>
      <w:bookmarkEnd w:id="405"/>
      <w:bookmarkStart w:id="406" w:name="_Toc184310313"/>
      <w:bookmarkEnd w:id="406"/>
      <w:bookmarkStart w:id="407" w:name="_Toc184314462"/>
      <w:bookmarkEnd w:id="407"/>
      <w:bookmarkStart w:id="408" w:name="_Toc184314419"/>
      <w:bookmarkEnd w:id="408"/>
      <w:bookmarkStart w:id="409" w:name="_Toc184314441"/>
      <w:bookmarkEnd w:id="409"/>
      <w:bookmarkStart w:id="410" w:name="_Toc184313295"/>
      <w:bookmarkEnd w:id="410"/>
      <w:bookmarkStart w:id="411" w:name="_Toc184314471"/>
      <w:bookmarkEnd w:id="411"/>
      <w:bookmarkStart w:id="412" w:name="_Toc184313302"/>
      <w:bookmarkEnd w:id="412"/>
      <w:bookmarkStart w:id="413" w:name="_Toc184313272"/>
      <w:bookmarkEnd w:id="413"/>
      <w:bookmarkStart w:id="414" w:name="_Toc184312131"/>
      <w:bookmarkEnd w:id="414"/>
      <w:bookmarkStart w:id="415" w:name="_Toc184308050"/>
      <w:bookmarkEnd w:id="415"/>
      <w:r>
        <w:rPr>
          <w:rStyle w:val="22"/>
          <w:rFonts w:hint="eastAsia" w:ascii="宋体" w:hAnsi="宋体" w:eastAsia="宋体" w:cs="宋体"/>
          <w:color w:val="auto"/>
          <w:highlight w:val="none"/>
          <w:lang w:val="en-US"/>
        </w:rPr>
        <w:t xml:space="preserve"> </w:t>
      </w:r>
      <w:r>
        <w:rPr>
          <w:rStyle w:val="22"/>
          <w:rFonts w:hint="eastAsia" w:ascii="宋体" w:hAnsi="宋体" w:eastAsia="宋体" w:cs="宋体"/>
          <w:color w:val="auto"/>
          <w:highlight w:val="none"/>
        </w:rPr>
        <w:t>评标办法</w:t>
      </w:r>
      <w:bookmarkEnd w:id="50"/>
    </w:p>
    <w:p w14:paraId="63C4EC39">
      <w:pPr>
        <w:snapToGrid w:val="0"/>
        <w:spacing w:line="400" w:lineRule="exact"/>
        <w:jc w:val="center"/>
        <w:rPr>
          <w:rStyle w:val="22"/>
          <w:rFonts w:hint="eastAsia" w:ascii="宋体" w:hAnsi="宋体" w:eastAsia="宋体" w:cs="宋体"/>
          <w:color w:val="auto"/>
          <w:highlight w:val="none"/>
        </w:rPr>
      </w:pPr>
      <w:bookmarkStart w:id="416" w:name="_Hlk93170489"/>
      <w:bookmarkStart w:id="417" w:name="_Toc18573"/>
      <w:r>
        <w:rPr>
          <w:rStyle w:val="22"/>
          <w:rFonts w:hint="eastAsia" w:ascii="宋体" w:hAnsi="宋体" w:eastAsia="宋体" w:cs="宋体"/>
          <w:color w:val="auto"/>
          <w:highlight w:val="none"/>
        </w:rPr>
        <w:t>评标办法前附表</w:t>
      </w:r>
    </w:p>
    <w:tbl>
      <w:tblPr>
        <w:tblStyle w:val="17"/>
        <w:tblW w:w="9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881"/>
        <w:gridCol w:w="682"/>
        <w:gridCol w:w="6090"/>
        <w:gridCol w:w="657"/>
        <w:gridCol w:w="956"/>
      </w:tblGrid>
      <w:tr w14:paraId="22EB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noWrap w:val="0"/>
            <w:vAlign w:val="center"/>
          </w:tcPr>
          <w:p w14:paraId="64537D26">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9266" w:type="dxa"/>
            <w:gridSpan w:val="5"/>
            <w:noWrap w:val="0"/>
            <w:vAlign w:val="center"/>
          </w:tcPr>
          <w:p w14:paraId="71956881">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评标标准</w:t>
            </w:r>
          </w:p>
        </w:tc>
      </w:tr>
      <w:tr w14:paraId="57A2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noWrap w:val="0"/>
            <w:vAlign w:val="center"/>
          </w:tcPr>
          <w:p w14:paraId="3A1FF99B">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563" w:type="dxa"/>
            <w:gridSpan w:val="2"/>
            <w:noWrap w:val="0"/>
            <w:vAlign w:val="center"/>
          </w:tcPr>
          <w:p w14:paraId="472C71BC">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分值权重构成</w:t>
            </w:r>
          </w:p>
        </w:tc>
        <w:tc>
          <w:tcPr>
            <w:tcW w:w="7703" w:type="dxa"/>
            <w:gridSpan w:val="3"/>
            <w:noWrap w:val="0"/>
            <w:vAlign w:val="center"/>
          </w:tcPr>
          <w:p w14:paraId="2952A381">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评标委员会将对各投标人的投标报价、技术或服务水平、履约能力、售后服务等和业绩情况等方面进行综合评审，评标委员会各成员应当独立对每个有效投标人的投标文件进行评价、打分。</w:t>
            </w:r>
          </w:p>
          <w:p w14:paraId="2C16E07E">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各投标人的综合得分为：投标报价得分+商务技术得分之和，总和为100分，其中商务技术70分（商务技术权值70%），报价30分（价格权值30%）。</w:t>
            </w:r>
          </w:p>
        </w:tc>
      </w:tr>
      <w:tr w14:paraId="7F30E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vMerge w:val="restart"/>
            <w:noWrap w:val="0"/>
            <w:vAlign w:val="center"/>
          </w:tcPr>
          <w:p w14:paraId="60A0018D">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881" w:type="dxa"/>
            <w:vMerge w:val="restart"/>
            <w:noWrap w:val="0"/>
            <w:vAlign w:val="center"/>
          </w:tcPr>
          <w:p w14:paraId="6B0F0C69">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商务技术评分标准</w:t>
            </w:r>
          </w:p>
        </w:tc>
        <w:tc>
          <w:tcPr>
            <w:tcW w:w="682" w:type="dxa"/>
            <w:noWrap w:val="0"/>
            <w:vAlign w:val="center"/>
          </w:tcPr>
          <w:p w14:paraId="0CB3D101">
            <w:pPr>
              <w:tabs>
                <w:tab w:val="left" w:pos="0"/>
              </w:tabs>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6090" w:type="dxa"/>
            <w:noWrap w:val="0"/>
            <w:vAlign w:val="center"/>
          </w:tcPr>
          <w:p w14:paraId="7B49BC59">
            <w:pPr>
              <w:tabs>
                <w:tab w:val="left" w:pos="0"/>
              </w:tabs>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评审标准</w:t>
            </w:r>
          </w:p>
        </w:tc>
        <w:tc>
          <w:tcPr>
            <w:tcW w:w="657" w:type="dxa"/>
            <w:noWrap w:val="0"/>
            <w:vAlign w:val="center"/>
          </w:tcPr>
          <w:p w14:paraId="760F6CE8">
            <w:pPr>
              <w:tabs>
                <w:tab w:val="left" w:pos="0"/>
              </w:tabs>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tc>
        <w:tc>
          <w:tcPr>
            <w:tcW w:w="956" w:type="dxa"/>
            <w:noWrap w:val="0"/>
            <w:vAlign w:val="center"/>
          </w:tcPr>
          <w:p w14:paraId="5B71C459">
            <w:pPr>
              <w:tabs>
                <w:tab w:val="left" w:pos="0"/>
              </w:tabs>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466C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vMerge w:val="continue"/>
            <w:noWrap w:val="0"/>
            <w:vAlign w:val="center"/>
          </w:tcPr>
          <w:p w14:paraId="004B36EE">
            <w:pPr>
              <w:spacing w:line="400" w:lineRule="exact"/>
              <w:jc w:val="center"/>
              <w:rPr>
                <w:rFonts w:hint="eastAsia" w:ascii="宋体" w:hAnsi="宋体" w:eastAsia="宋体" w:cs="宋体"/>
                <w:color w:val="auto"/>
                <w:sz w:val="22"/>
                <w:szCs w:val="22"/>
                <w:highlight w:val="none"/>
              </w:rPr>
            </w:pPr>
          </w:p>
        </w:tc>
        <w:tc>
          <w:tcPr>
            <w:tcW w:w="881" w:type="dxa"/>
            <w:vMerge w:val="continue"/>
            <w:noWrap w:val="0"/>
            <w:vAlign w:val="center"/>
          </w:tcPr>
          <w:p w14:paraId="1F7D4ECF">
            <w:pPr>
              <w:spacing w:line="400" w:lineRule="exact"/>
              <w:jc w:val="center"/>
              <w:rPr>
                <w:rFonts w:hint="eastAsia" w:ascii="宋体" w:hAnsi="宋体" w:eastAsia="宋体" w:cs="宋体"/>
                <w:color w:val="auto"/>
                <w:sz w:val="22"/>
                <w:szCs w:val="22"/>
                <w:highlight w:val="none"/>
              </w:rPr>
            </w:pPr>
          </w:p>
        </w:tc>
        <w:tc>
          <w:tcPr>
            <w:tcW w:w="682" w:type="dxa"/>
            <w:noWrap w:val="0"/>
            <w:vAlign w:val="center"/>
          </w:tcPr>
          <w:p w14:paraId="1BF5B608">
            <w:pPr>
              <w:tabs>
                <w:tab w:val="left" w:pos="0"/>
              </w:tabs>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6090" w:type="dxa"/>
            <w:noWrap w:val="0"/>
            <w:vAlign w:val="center"/>
          </w:tcPr>
          <w:p w14:paraId="26FA7D7B">
            <w:pPr>
              <w:snapToGrid w:val="0"/>
              <w:spacing w:line="40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自202</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年01月01日以来（以合同签订时间为准）与投标产品同品牌同型号的合同销售业绩（以提供的合同为准）：每提供1份合同业绩得1分，最高得</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w:t>
            </w:r>
          </w:p>
        </w:tc>
        <w:tc>
          <w:tcPr>
            <w:tcW w:w="657" w:type="dxa"/>
            <w:noWrap w:val="0"/>
            <w:vAlign w:val="center"/>
          </w:tcPr>
          <w:p w14:paraId="44B1E53C">
            <w:pPr>
              <w:autoSpaceDE w:val="0"/>
              <w:autoSpaceDN w:val="0"/>
              <w:spacing w:line="4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p>
        </w:tc>
        <w:tc>
          <w:tcPr>
            <w:tcW w:w="956" w:type="dxa"/>
            <w:noWrap w:val="0"/>
            <w:vAlign w:val="center"/>
          </w:tcPr>
          <w:p w14:paraId="4BBD104A">
            <w:pPr>
              <w:autoSpaceDE w:val="0"/>
              <w:autoSpaceDN w:val="0"/>
              <w:spacing w:line="40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客观分</w:t>
            </w:r>
          </w:p>
        </w:tc>
      </w:tr>
      <w:tr w14:paraId="0CF4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vMerge w:val="continue"/>
            <w:noWrap w:val="0"/>
            <w:vAlign w:val="center"/>
          </w:tcPr>
          <w:p w14:paraId="2785EF1E">
            <w:pPr>
              <w:spacing w:line="400" w:lineRule="exact"/>
              <w:jc w:val="center"/>
              <w:rPr>
                <w:rFonts w:hint="eastAsia" w:ascii="宋体" w:hAnsi="宋体" w:eastAsia="宋体" w:cs="宋体"/>
                <w:color w:val="auto"/>
                <w:sz w:val="22"/>
                <w:szCs w:val="22"/>
                <w:highlight w:val="none"/>
              </w:rPr>
            </w:pPr>
          </w:p>
        </w:tc>
        <w:tc>
          <w:tcPr>
            <w:tcW w:w="881" w:type="dxa"/>
            <w:vMerge w:val="continue"/>
            <w:noWrap w:val="0"/>
            <w:vAlign w:val="center"/>
          </w:tcPr>
          <w:p w14:paraId="1AB570BC">
            <w:pPr>
              <w:spacing w:line="400" w:lineRule="exact"/>
              <w:jc w:val="center"/>
              <w:rPr>
                <w:rFonts w:hint="eastAsia" w:ascii="宋体" w:hAnsi="宋体" w:eastAsia="宋体" w:cs="宋体"/>
                <w:color w:val="auto"/>
                <w:sz w:val="22"/>
                <w:szCs w:val="22"/>
                <w:highlight w:val="none"/>
              </w:rPr>
            </w:pPr>
          </w:p>
        </w:tc>
        <w:tc>
          <w:tcPr>
            <w:tcW w:w="682" w:type="dxa"/>
            <w:noWrap w:val="0"/>
            <w:vAlign w:val="center"/>
          </w:tcPr>
          <w:p w14:paraId="34259EEC">
            <w:pPr>
              <w:tabs>
                <w:tab w:val="left" w:pos="0"/>
              </w:tabs>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6090" w:type="dxa"/>
            <w:noWrap w:val="0"/>
            <w:vAlign w:val="center"/>
          </w:tcPr>
          <w:p w14:paraId="1FF17C0E">
            <w:pPr>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响应产品属于品目清单范围且提供国家确定的认证机构出具的处于有效期之内的节能产品认证证书或出具的处于有效期之内的环境标志产品认证证书的，每提供1个的0.5分，最高得1分。（强制节能产品除外）</w:t>
            </w:r>
          </w:p>
        </w:tc>
        <w:tc>
          <w:tcPr>
            <w:tcW w:w="657" w:type="dxa"/>
            <w:noWrap w:val="0"/>
            <w:vAlign w:val="center"/>
          </w:tcPr>
          <w:p w14:paraId="1125F5FB">
            <w:pPr>
              <w:autoSpaceDE w:val="0"/>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956" w:type="dxa"/>
            <w:noWrap w:val="0"/>
            <w:vAlign w:val="center"/>
          </w:tcPr>
          <w:p w14:paraId="35731343">
            <w:pPr>
              <w:autoSpaceDE w:val="0"/>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14:paraId="7033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vMerge w:val="continue"/>
            <w:noWrap w:val="0"/>
            <w:vAlign w:val="center"/>
          </w:tcPr>
          <w:p w14:paraId="45298E6B">
            <w:pPr>
              <w:spacing w:line="400" w:lineRule="exact"/>
              <w:jc w:val="center"/>
              <w:rPr>
                <w:rFonts w:hint="eastAsia" w:ascii="宋体" w:hAnsi="宋体" w:eastAsia="宋体" w:cs="宋体"/>
                <w:color w:val="auto"/>
                <w:sz w:val="22"/>
                <w:szCs w:val="22"/>
                <w:highlight w:val="none"/>
              </w:rPr>
            </w:pPr>
          </w:p>
        </w:tc>
        <w:tc>
          <w:tcPr>
            <w:tcW w:w="881" w:type="dxa"/>
            <w:vMerge w:val="continue"/>
            <w:noWrap w:val="0"/>
            <w:vAlign w:val="center"/>
          </w:tcPr>
          <w:p w14:paraId="11B4D32D">
            <w:pPr>
              <w:spacing w:line="400" w:lineRule="exact"/>
              <w:jc w:val="center"/>
              <w:rPr>
                <w:rFonts w:hint="eastAsia" w:ascii="宋体" w:hAnsi="宋体" w:eastAsia="宋体" w:cs="宋体"/>
                <w:color w:val="auto"/>
                <w:sz w:val="22"/>
                <w:szCs w:val="22"/>
                <w:highlight w:val="none"/>
              </w:rPr>
            </w:pPr>
          </w:p>
        </w:tc>
        <w:tc>
          <w:tcPr>
            <w:tcW w:w="682" w:type="dxa"/>
            <w:noWrap w:val="0"/>
            <w:vAlign w:val="center"/>
          </w:tcPr>
          <w:p w14:paraId="76FB1481">
            <w:pPr>
              <w:tabs>
                <w:tab w:val="left" w:pos="0"/>
              </w:tabs>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6090" w:type="dxa"/>
            <w:noWrap w:val="0"/>
            <w:vAlign w:val="center"/>
          </w:tcPr>
          <w:p w14:paraId="49F25A55">
            <w:pPr>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质保期在满足招标文件最低要求的基础上每延长一年得1分，最多得2分，延长时间不足一年的不计入得分。</w:t>
            </w:r>
          </w:p>
        </w:tc>
        <w:tc>
          <w:tcPr>
            <w:tcW w:w="657" w:type="dxa"/>
            <w:noWrap w:val="0"/>
            <w:vAlign w:val="center"/>
          </w:tcPr>
          <w:p w14:paraId="6536EBFB">
            <w:pPr>
              <w:autoSpaceDE w:val="0"/>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956" w:type="dxa"/>
            <w:noWrap w:val="0"/>
            <w:vAlign w:val="center"/>
          </w:tcPr>
          <w:p w14:paraId="00E9A2AA">
            <w:pPr>
              <w:autoSpaceDE w:val="0"/>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14:paraId="299B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vMerge w:val="continue"/>
            <w:noWrap w:val="0"/>
            <w:vAlign w:val="center"/>
          </w:tcPr>
          <w:p w14:paraId="74E3F71F">
            <w:pPr>
              <w:spacing w:line="400" w:lineRule="exact"/>
              <w:jc w:val="center"/>
              <w:rPr>
                <w:rFonts w:hint="eastAsia" w:ascii="宋体" w:hAnsi="宋体" w:eastAsia="宋体" w:cs="宋体"/>
                <w:color w:val="auto"/>
                <w:sz w:val="22"/>
                <w:szCs w:val="22"/>
                <w:highlight w:val="none"/>
              </w:rPr>
            </w:pPr>
          </w:p>
        </w:tc>
        <w:tc>
          <w:tcPr>
            <w:tcW w:w="881" w:type="dxa"/>
            <w:vMerge w:val="continue"/>
            <w:noWrap w:val="0"/>
            <w:vAlign w:val="center"/>
          </w:tcPr>
          <w:p w14:paraId="430F485E">
            <w:pPr>
              <w:spacing w:line="400" w:lineRule="exact"/>
              <w:jc w:val="center"/>
              <w:rPr>
                <w:rFonts w:hint="eastAsia" w:ascii="宋体" w:hAnsi="宋体" w:eastAsia="宋体" w:cs="宋体"/>
                <w:color w:val="auto"/>
                <w:sz w:val="22"/>
                <w:szCs w:val="22"/>
                <w:highlight w:val="none"/>
              </w:rPr>
            </w:pPr>
          </w:p>
        </w:tc>
        <w:tc>
          <w:tcPr>
            <w:tcW w:w="682" w:type="dxa"/>
            <w:noWrap w:val="0"/>
            <w:vAlign w:val="center"/>
          </w:tcPr>
          <w:p w14:paraId="79FB3DA4">
            <w:pPr>
              <w:tabs>
                <w:tab w:val="left" w:pos="0"/>
              </w:tabs>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6090" w:type="dxa"/>
            <w:noWrap w:val="0"/>
            <w:vAlign w:val="center"/>
          </w:tcPr>
          <w:p w14:paraId="45D2F515">
            <w:pPr>
              <w:snapToGrid w:val="0"/>
              <w:spacing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针对招标文件第三部分采购需求中技术要求中带★的条款打分。</w:t>
            </w:r>
          </w:p>
          <w:p w14:paraId="3042677E">
            <w:pPr>
              <w:snapToGrid w:val="0"/>
              <w:spacing w:line="40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每有一项（以最小序号为一项）不满足（负偏离）技术要求的扣3分，15分扣完为止。</w:t>
            </w:r>
          </w:p>
        </w:tc>
        <w:tc>
          <w:tcPr>
            <w:tcW w:w="657" w:type="dxa"/>
            <w:noWrap w:val="0"/>
            <w:vAlign w:val="center"/>
          </w:tcPr>
          <w:p w14:paraId="5DEBE426">
            <w:pPr>
              <w:snapToGrid w:val="0"/>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15</w:t>
            </w:r>
          </w:p>
        </w:tc>
        <w:tc>
          <w:tcPr>
            <w:tcW w:w="956" w:type="dxa"/>
            <w:noWrap w:val="0"/>
            <w:vAlign w:val="center"/>
          </w:tcPr>
          <w:p w14:paraId="59A2B44F">
            <w:pPr>
              <w:snapToGrid w:val="0"/>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客观分</w:t>
            </w:r>
          </w:p>
        </w:tc>
      </w:tr>
      <w:tr w14:paraId="6979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vMerge w:val="continue"/>
            <w:noWrap w:val="0"/>
            <w:vAlign w:val="center"/>
          </w:tcPr>
          <w:p w14:paraId="1EC98CF4">
            <w:pPr>
              <w:spacing w:line="400" w:lineRule="exact"/>
              <w:jc w:val="center"/>
              <w:rPr>
                <w:rFonts w:hint="eastAsia" w:ascii="宋体" w:hAnsi="宋体" w:eastAsia="宋体" w:cs="宋体"/>
                <w:color w:val="auto"/>
                <w:sz w:val="22"/>
                <w:szCs w:val="22"/>
                <w:highlight w:val="none"/>
              </w:rPr>
            </w:pPr>
          </w:p>
        </w:tc>
        <w:tc>
          <w:tcPr>
            <w:tcW w:w="881" w:type="dxa"/>
            <w:vMerge w:val="continue"/>
            <w:noWrap w:val="0"/>
            <w:vAlign w:val="center"/>
          </w:tcPr>
          <w:p w14:paraId="7DD5FD2D">
            <w:pPr>
              <w:spacing w:line="400" w:lineRule="exact"/>
              <w:jc w:val="center"/>
              <w:rPr>
                <w:rFonts w:hint="eastAsia" w:ascii="宋体" w:hAnsi="宋体" w:eastAsia="宋体" w:cs="宋体"/>
                <w:color w:val="auto"/>
                <w:sz w:val="22"/>
                <w:szCs w:val="22"/>
                <w:highlight w:val="none"/>
              </w:rPr>
            </w:pPr>
          </w:p>
        </w:tc>
        <w:tc>
          <w:tcPr>
            <w:tcW w:w="682" w:type="dxa"/>
            <w:noWrap w:val="0"/>
            <w:vAlign w:val="center"/>
          </w:tcPr>
          <w:p w14:paraId="63C6BC35">
            <w:pPr>
              <w:tabs>
                <w:tab w:val="left" w:pos="0"/>
              </w:tabs>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5</w:t>
            </w:r>
          </w:p>
        </w:tc>
        <w:tc>
          <w:tcPr>
            <w:tcW w:w="6090" w:type="dxa"/>
            <w:noWrap w:val="0"/>
            <w:vAlign w:val="center"/>
          </w:tcPr>
          <w:p w14:paraId="63B96EF4">
            <w:pPr>
              <w:snapToGrid w:val="0"/>
              <w:spacing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针对招标文件第三部分采购需求中技术要求中未做标记的一般性条款打分。</w:t>
            </w:r>
          </w:p>
          <w:p w14:paraId="326907E9">
            <w:pPr>
              <w:snapToGrid w:val="0"/>
              <w:spacing w:line="40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每有一项（以最小序号为一项）不满足（负偏离）技术要求的：项数在19项（含）以内的每项扣1分，项数超过19项的本项得0分。</w:t>
            </w:r>
          </w:p>
        </w:tc>
        <w:tc>
          <w:tcPr>
            <w:tcW w:w="657" w:type="dxa"/>
            <w:noWrap w:val="0"/>
            <w:vAlign w:val="center"/>
          </w:tcPr>
          <w:p w14:paraId="2FD89A75">
            <w:pPr>
              <w:snapToGrid w:val="0"/>
              <w:spacing w:line="40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19</w:t>
            </w:r>
          </w:p>
        </w:tc>
        <w:tc>
          <w:tcPr>
            <w:tcW w:w="956" w:type="dxa"/>
            <w:noWrap w:val="0"/>
            <w:vAlign w:val="center"/>
          </w:tcPr>
          <w:p w14:paraId="0769EADB">
            <w:pPr>
              <w:snapToGrid w:val="0"/>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客观分</w:t>
            </w:r>
          </w:p>
        </w:tc>
      </w:tr>
      <w:tr w14:paraId="1A55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vMerge w:val="continue"/>
            <w:noWrap w:val="0"/>
            <w:vAlign w:val="center"/>
          </w:tcPr>
          <w:p w14:paraId="0E25BE4B">
            <w:pPr>
              <w:spacing w:line="400" w:lineRule="exact"/>
              <w:jc w:val="center"/>
              <w:rPr>
                <w:rFonts w:hint="eastAsia" w:ascii="宋体" w:hAnsi="宋体" w:eastAsia="宋体" w:cs="宋体"/>
                <w:color w:val="auto"/>
                <w:sz w:val="22"/>
                <w:szCs w:val="22"/>
                <w:highlight w:val="none"/>
              </w:rPr>
            </w:pPr>
          </w:p>
        </w:tc>
        <w:tc>
          <w:tcPr>
            <w:tcW w:w="881" w:type="dxa"/>
            <w:vMerge w:val="continue"/>
            <w:noWrap w:val="0"/>
            <w:vAlign w:val="center"/>
          </w:tcPr>
          <w:p w14:paraId="31A97C82">
            <w:pPr>
              <w:spacing w:line="400" w:lineRule="exact"/>
              <w:jc w:val="center"/>
              <w:rPr>
                <w:rFonts w:hint="eastAsia" w:ascii="宋体" w:hAnsi="宋体" w:eastAsia="宋体" w:cs="宋体"/>
                <w:color w:val="auto"/>
                <w:sz w:val="22"/>
                <w:szCs w:val="22"/>
                <w:highlight w:val="none"/>
              </w:rPr>
            </w:pPr>
          </w:p>
        </w:tc>
        <w:tc>
          <w:tcPr>
            <w:tcW w:w="682" w:type="dxa"/>
            <w:noWrap w:val="0"/>
            <w:vAlign w:val="center"/>
          </w:tcPr>
          <w:p w14:paraId="3A3BE4ED">
            <w:pPr>
              <w:tabs>
                <w:tab w:val="left" w:pos="0"/>
              </w:tabs>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6</w:t>
            </w:r>
          </w:p>
        </w:tc>
        <w:tc>
          <w:tcPr>
            <w:tcW w:w="6090" w:type="dxa"/>
            <w:noWrap w:val="0"/>
            <w:vAlign w:val="center"/>
          </w:tcPr>
          <w:p w14:paraId="77874983">
            <w:pPr>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设备性能：根据投标人设备配套的合理性、设备的总体性能的先进性情况打分（评分范围：5；4；3；2；1；0）</w:t>
            </w:r>
          </w:p>
        </w:tc>
        <w:tc>
          <w:tcPr>
            <w:tcW w:w="657" w:type="dxa"/>
            <w:noWrap w:val="0"/>
            <w:vAlign w:val="center"/>
          </w:tcPr>
          <w:p w14:paraId="7DFE970C">
            <w:pPr>
              <w:autoSpaceDE w:val="0"/>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956" w:type="dxa"/>
            <w:noWrap w:val="0"/>
            <w:vAlign w:val="center"/>
          </w:tcPr>
          <w:p w14:paraId="60D7E08D">
            <w:pPr>
              <w:autoSpaceDE w:val="0"/>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621D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vMerge w:val="continue"/>
            <w:noWrap w:val="0"/>
            <w:vAlign w:val="center"/>
          </w:tcPr>
          <w:p w14:paraId="65028FCA">
            <w:pPr>
              <w:spacing w:line="400" w:lineRule="exact"/>
              <w:jc w:val="center"/>
              <w:rPr>
                <w:rFonts w:hint="eastAsia" w:ascii="宋体" w:hAnsi="宋体" w:eastAsia="宋体" w:cs="宋体"/>
                <w:color w:val="auto"/>
                <w:sz w:val="22"/>
                <w:szCs w:val="22"/>
                <w:highlight w:val="none"/>
              </w:rPr>
            </w:pPr>
          </w:p>
        </w:tc>
        <w:tc>
          <w:tcPr>
            <w:tcW w:w="881" w:type="dxa"/>
            <w:vMerge w:val="continue"/>
            <w:noWrap w:val="0"/>
            <w:vAlign w:val="center"/>
          </w:tcPr>
          <w:p w14:paraId="64416D95">
            <w:pPr>
              <w:spacing w:line="400" w:lineRule="exact"/>
              <w:jc w:val="center"/>
              <w:rPr>
                <w:rFonts w:hint="eastAsia" w:ascii="宋体" w:hAnsi="宋体" w:eastAsia="宋体" w:cs="宋体"/>
                <w:color w:val="auto"/>
                <w:sz w:val="22"/>
                <w:szCs w:val="22"/>
                <w:highlight w:val="none"/>
              </w:rPr>
            </w:pPr>
          </w:p>
        </w:tc>
        <w:tc>
          <w:tcPr>
            <w:tcW w:w="682" w:type="dxa"/>
            <w:noWrap w:val="0"/>
            <w:vAlign w:val="center"/>
          </w:tcPr>
          <w:p w14:paraId="542FA42D">
            <w:pPr>
              <w:tabs>
                <w:tab w:val="left" w:pos="0"/>
              </w:tabs>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7</w:t>
            </w:r>
          </w:p>
        </w:tc>
        <w:tc>
          <w:tcPr>
            <w:tcW w:w="6090" w:type="dxa"/>
            <w:noWrap w:val="0"/>
            <w:vAlign w:val="center"/>
          </w:tcPr>
          <w:p w14:paraId="48E2DA16">
            <w:pPr>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投标产品技术路线（原理、核心）：包括产品背后的技术理念、核心原理以及技术实现路径等。（评分范围：5；4；3；2；1；0）</w:t>
            </w:r>
          </w:p>
        </w:tc>
        <w:tc>
          <w:tcPr>
            <w:tcW w:w="657" w:type="dxa"/>
            <w:noWrap w:val="0"/>
            <w:vAlign w:val="center"/>
          </w:tcPr>
          <w:p w14:paraId="54EA7B5C">
            <w:pPr>
              <w:autoSpaceDE w:val="0"/>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956" w:type="dxa"/>
            <w:noWrap w:val="0"/>
            <w:vAlign w:val="center"/>
          </w:tcPr>
          <w:p w14:paraId="2BE8283F">
            <w:pPr>
              <w:autoSpaceDE w:val="0"/>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51D9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vMerge w:val="continue"/>
            <w:noWrap w:val="0"/>
            <w:vAlign w:val="center"/>
          </w:tcPr>
          <w:p w14:paraId="19B4DB49">
            <w:pPr>
              <w:spacing w:line="400" w:lineRule="exact"/>
              <w:jc w:val="center"/>
              <w:rPr>
                <w:rFonts w:hint="eastAsia" w:ascii="宋体" w:hAnsi="宋体" w:eastAsia="宋体" w:cs="宋体"/>
                <w:color w:val="auto"/>
                <w:sz w:val="22"/>
                <w:szCs w:val="22"/>
                <w:highlight w:val="none"/>
              </w:rPr>
            </w:pPr>
          </w:p>
        </w:tc>
        <w:tc>
          <w:tcPr>
            <w:tcW w:w="881" w:type="dxa"/>
            <w:vMerge w:val="continue"/>
            <w:noWrap w:val="0"/>
            <w:vAlign w:val="center"/>
          </w:tcPr>
          <w:p w14:paraId="4B2B5635">
            <w:pPr>
              <w:spacing w:line="400" w:lineRule="exact"/>
              <w:jc w:val="center"/>
              <w:rPr>
                <w:rFonts w:hint="eastAsia" w:ascii="宋体" w:hAnsi="宋体" w:eastAsia="宋体" w:cs="宋体"/>
                <w:color w:val="auto"/>
                <w:sz w:val="22"/>
                <w:szCs w:val="22"/>
                <w:highlight w:val="none"/>
              </w:rPr>
            </w:pPr>
          </w:p>
        </w:tc>
        <w:tc>
          <w:tcPr>
            <w:tcW w:w="682" w:type="dxa"/>
            <w:noWrap w:val="0"/>
            <w:vAlign w:val="center"/>
          </w:tcPr>
          <w:p w14:paraId="22E4F61D">
            <w:pPr>
              <w:tabs>
                <w:tab w:val="left" w:pos="0"/>
              </w:tabs>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8</w:t>
            </w:r>
          </w:p>
        </w:tc>
        <w:tc>
          <w:tcPr>
            <w:tcW w:w="6090" w:type="dxa"/>
            <w:noWrap w:val="0"/>
            <w:vAlign w:val="center"/>
          </w:tcPr>
          <w:p w14:paraId="27B69B30">
            <w:pPr>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产品质量保证：确保产品质量的保证措施(提供质量保证体系、质量监控手段、质量水平说明、质量保证承诺及措施等相关证明资料)（评分范围：4；3；2；1；0）</w:t>
            </w:r>
          </w:p>
        </w:tc>
        <w:tc>
          <w:tcPr>
            <w:tcW w:w="657" w:type="dxa"/>
            <w:noWrap w:val="0"/>
            <w:vAlign w:val="center"/>
          </w:tcPr>
          <w:p w14:paraId="3C4A7533">
            <w:pPr>
              <w:autoSpaceDE w:val="0"/>
              <w:autoSpaceDN w:val="0"/>
              <w:spacing w:line="4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4</w:t>
            </w:r>
          </w:p>
        </w:tc>
        <w:tc>
          <w:tcPr>
            <w:tcW w:w="956" w:type="dxa"/>
            <w:noWrap w:val="0"/>
            <w:vAlign w:val="center"/>
          </w:tcPr>
          <w:p w14:paraId="67B08DF6">
            <w:pPr>
              <w:autoSpaceDE w:val="0"/>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4FF6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vMerge w:val="continue"/>
            <w:noWrap w:val="0"/>
            <w:vAlign w:val="center"/>
          </w:tcPr>
          <w:p w14:paraId="33F8DF02">
            <w:pPr>
              <w:spacing w:line="400" w:lineRule="exact"/>
              <w:jc w:val="center"/>
              <w:rPr>
                <w:rFonts w:hint="eastAsia" w:ascii="宋体" w:hAnsi="宋体" w:eastAsia="宋体" w:cs="宋体"/>
                <w:color w:val="auto"/>
                <w:sz w:val="22"/>
                <w:szCs w:val="22"/>
                <w:highlight w:val="none"/>
              </w:rPr>
            </w:pPr>
          </w:p>
        </w:tc>
        <w:tc>
          <w:tcPr>
            <w:tcW w:w="881" w:type="dxa"/>
            <w:vMerge w:val="continue"/>
            <w:noWrap w:val="0"/>
            <w:vAlign w:val="center"/>
          </w:tcPr>
          <w:p w14:paraId="36490A6B">
            <w:pPr>
              <w:spacing w:line="400" w:lineRule="exact"/>
              <w:jc w:val="center"/>
              <w:rPr>
                <w:rFonts w:hint="eastAsia" w:ascii="宋体" w:hAnsi="宋体" w:eastAsia="宋体" w:cs="宋体"/>
                <w:color w:val="auto"/>
                <w:sz w:val="22"/>
                <w:szCs w:val="22"/>
                <w:highlight w:val="none"/>
              </w:rPr>
            </w:pPr>
          </w:p>
        </w:tc>
        <w:tc>
          <w:tcPr>
            <w:tcW w:w="682" w:type="dxa"/>
            <w:noWrap w:val="0"/>
            <w:vAlign w:val="center"/>
          </w:tcPr>
          <w:p w14:paraId="4784E187">
            <w:pPr>
              <w:tabs>
                <w:tab w:val="left" w:pos="0"/>
              </w:tabs>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9</w:t>
            </w:r>
          </w:p>
        </w:tc>
        <w:tc>
          <w:tcPr>
            <w:tcW w:w="6090" w:type="dxa"/>
            <w:noWrap w:val="0"/>
            <w:vAlign w:val="center"/>
          </w:tcPr>
          <w:p w14:paraId="6EC425FD">
            <w:pPr>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实施方案：包括产品供货时间安排、运输方式、场地环境的了解、验货方案、安装调试方案、现场安全措施、风险应对措施、应急预案等。（评分范围：4；3；2；1；0）</w:t>
            </w:r>
          </w:p>
        </w:tc>
        <w:tc>
          <w:tcPr>
            <w:tcW w:w="657" w:type="dxa"/>
            <w:noWrap w:val="0"/>
            <w:vAlign w:val="center"/>
          </w:tcPr>
          <w:p w14:paraId="6D2FC4EF">
            <w:pPr>
              <w:autoSpaceDE w:val="0"/>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956" w:type="dxa"/>
            <w:noWrap w:val="0"/>
            <w:vAlign w:val="center"/>
          </w:tcPr>
          <w:p w14:paraId="79D005DF">
            <w:pPr>
              <w:autoSpaceDE w:val="0"/>
              <w:autoSpaceDN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5000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vMerge w:val="continue"/>
            <w:noWrap w:val="0"/>
            <w:vAlign w:val="center"/>
          </w:tcPr>
          <w:p w14:paraId="403C8B97">
            <w:pPr>
              <w:spacing w:line="400" w:lineRule="exact"/>
              <w:jc w:val="center"/>
              <w:rPr>
                <w:rFonts w:hint="eastAsia" w:ascii="宋体" w:hAnsi="宋体" w:eastAsia="宋体" w:cs="宋体"/>
                <w:color w:val="auto"/>
                <w:sz w:val="22"/>
                <w:szCs w:val="22"/>
                <w:highlight w:val="none"/>
              </w:rPr>
            </w:pPr>
          </w:p>
        </w:tc>
        <w:tc>
          <w:tcPr>
            <w:tcW w:w="881" w:type="dxa"/>
            <w:vMerge w:val="continue"/>
            <w:noWrap w:val="0"/>
            <w:vAlign w:val="center"/>
          </w:tcPr>
          <w:p w14:paraId="3DCE545F">
            <w:pPr>
              <w:spacing w:line="400" w:lineRule="exact"/>
              <w:jc w:val="center"/>
              <w:rPr>
                <w:rFonts w:hint="eastAsia" w:ascii="宋体" w:hAnsi="宋体" w:eastAsia="宋体" w:cs="宋体"/>
                <w:color w:val="auto"/>
                <w:sz w:val="22"/>
                <w:szCs w:val="22"/>
                <w:highlight w:val="none"/>
              </w:rPr>
            </w:pPr>
          </w:p>
        </w:tc>
        <w:tc>
          <w:tcPr>
            <w:tcW w:w="682" w:type="dxa"/>
            <w:noWrap w:val="0"/>
            <w:vAlign w:val="center"/>
          </w:tcPr>
          <w:p w14:paraId="33344A7D">
            <w:pPr>
              <w:tabs>
                <w:tab w:val="left" w:pos="0"/>
              </w:tabs>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10</w:t>
            </w:r>
          </w:p>
        </w:tc>
        <w:tc>
          <w:tcPr>
            <w:tcW w:w="6090" w:type="dxa"/>
            <w:noWrap w:val="0"/>
            <w:vAlign w:val="center"/>
          </w:tcPr>
          <w:p w14:paraId="3E682D2F">
            <w:pPr>
              <w:snapToGrid w:val="0"/>
              <w:spacing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售后服务方案：包括针对本项目提供的售后服务机构及备品备件储备情况、人员设置、售后服务计划、配送服务、退换服务、故障响应修复时间、故障无法修复时提供的应急措施等方面打分。（评分范围：4；3；2；1；0）</w:t>
            </w:r>
          </w:p>
        </w:tc>
        <w:tc>
          <w:tcPr>
            <w:tcW w:w="657" w:type="dxa"/>
            <w:noWrap w:val="0"/>
            <w:vAlign w:val="center"/>
          </w:tcPr>
          <w:p w14:paraId="0E2E20DA">
            <w:pPr>
              <w:autoSpaceDE w:val="0"/>
              <w:autoSpaceDN w:val="0"/>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4</w:t>
            </w:r>
          </w:p>
        </w:tc>
        <w:tc>
          <w:tcPr>
            <w:tcW w:w="956" w:type="dxa"/>
            <w:noWrap w:val="0"/>
            <w:vAlign w:val="center"/>
          </w:tcPr>
          <w:p w14:paraId="271D7C50">
            <w:pPr>
              <w:autoSpaceDE w:val="0"/>
              <w:autoSpaceDN w:val="0"/>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主观分</w:t>
            </w:r>
          </w:p>
        </w:tc>
      </w:tr>
      <w:tr w14:paraId="56CA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vMerge w:val="continue"/>
            <w:noWrap w:val="0"/>
            <w:vAlign w:val="center"/>
          </w:tcPr>
          <w:p w14:paraId="70D02846">
            <w:pPr>
              <w:spacing w:line="400" w:lineRule="exact"/>
              <w:jc w:val="center"/>
              <w:rPr>
                <w:rFonts w:hint="eastAsia" w:ascii="宋体" w:hAnsi="宋体" w:eastAsia="宋体" w:cs="宋体"/>
                <w:color w:val="auto"/>
                <w:sz w:val="22"/>
                <w:szCs w:val="22"/>
                <w:highlight w:val="none"/>
              </w:rPr>
            </w:pPr>
          </w:p>
        </w:tc>
        <w:tc>
          <w:tcPr>
            <w:tcW w:w="881" w:type="dxa"/>
            <w:vMerge w:val="continue"/>
            <w:noWrap w:val="0"/>
            <w:vAlign w:val="center"/>
          </w:tcPr>
          <w:p w14:paraId="12A7872A">
            <w:pPr>
              <w:spacing w:line="400" w:lineRule="exact"/>
              <w:jc w:val="center"/>
              <w:rPr>
                <w:rFonts w:hint="eastAsia" w:ascii="宋体" w:hAnsi="宋体" w:eastAsia="宋体" w:cs="宋体"/>
                <w:color w:val="auto"/>
                <w:sz w:val="22"/>
                <w:szCs w:val="22"/>
                <w:highlight w:val="none"/>
              </w:rPr>
            </w:pPr>
          </w:p>
        </w:tc>
        <w:tc>
          <w:tcPr>
            <w:tcW w:w="682" w:type="dxa"/>
            <w:noWrap w:val="0"/>
            <w:vAlign w:val="center"/>
          </w:tcPr>
          <w:p w14:paraId="4D96C00A">
            <w:pPr>
              <w:tabs>
                <w:tab w:val="left" w:pos="0"/>
              </w:tabs>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11</w:t>
            </w:r>
          </w:p>
        </w:tc>
        <w:tc>
          <w:tcPr>
            <w:tcW w:w="6090" w:type="dxa"/>
            <w:noWrap w:val="0"/>
            <w:vAlign w:val="center"/>
          </w:tcPr>
          <w:p w14:paraId="6732C709">
            <w:pPr>
              <w:snapToGrid w:val="0"/>
              <w:spacing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根据投标人提供的消耗品或易耗品价格、主要配件价格、对其后期运行维护成本进行打分。（</w:t>
            </w:r>
            <w:r>
              <w:rPr>
                <w:rFonts w:hint="eastAsia" w:ascii="宋体" w:hAnsi="宋体" w:eastAsia="宋体" w:cs="宋体"/>
                <w:color w:val="auto"/>
                <w:sz w:val="22"/>
                <w:szCs w:val="22"/>
                <w:highlight w:val="none"/>
                <w:lang w:val="zh-CN"/>
              </w:rPr>
              <w:t>评分范围：</w:t>
            </w:r>
            <w:r>
              <w:rPr>
                <w:rFonts w:hint="eastAsia" w:ascii="宋体" w:hAnsi="宋体" w:eastAsia="宋体" w:cs="宋体"/>
                <w:color w:val="auto"/>
                <w:sz w:val="22"/>
                <w:szCs w:val="22"/>
                <w:highlight w:val="none"/>
              </w:rPr>
              <w:t>4；3；2；1；0）</w:t>
            </w:r>
          </w:p>
        </w:tc>
        <w:tc>
          <w:tcPr>
            <w:tcW w:w="657" w:type="dxa"/>
            <w:noWrap w:val="0"/>
            <w:vAlign w:val="center"/>
          </w:tcPr>
          <w:p w14:paraId="39609EBC">
            <w:pPr>
              <w:autoSpaceDE w:val="0"/>
              <w:autoSpaceDN w:val="0"/>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4</w:t>
            </w:r>
          </w:p>
        </w:tc>
        <w:tc>
          <w:tcPr>
            <w:tcW w:w="956" w:type="dxa"/>
            <w:noWrap w:val="0"/>
            <w:vAlign w:val="center"/>
          </w:tcPr>
          <w:p w14:paraId="50E5C347">
            <w:pPr>
              <w:autoSpaceDE w:val="0"/>
              <w:autoSpaceDN w:val="0"/>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主观分</w:t>
            </w:r>
          </w:p>
        </w:tc>
      </w:tr>
      <w:tr w14:paraId="134F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31" w:type="dxa"/>
            <w:vMerge w:val="continue"/>
            <w:noWrap w:val="0"/>
            <w:vAlign w:val="center"/>
          </w:tcPr>
          <w:p w14:paraId="05E44058">
            <w:pPr>
              <w:spacing w:line="400" w:lineRule="exact"/>
              <w:jc w:val="center"/>
              <w:rPr>
                <w:rFonts w:hint="eastAsia" w:ascii="宋体" w:hAnsi="宋体" w:eastAsia="宋体" w:cs="宋体"/>
                <w:color w:val="auto"/>
                <w:sz w:val="22"/>
                <w:szCs w:val="22"/>
                <w:highlight w:val="none"/>
              </w:rPr>
            </w:pPr>
          </w:p>
        </w:tc>
        <w:tc>
          <w:tcPr>
            <w:tcW w:w="881" w:type="dxa"/>
            <w:vMerge w:val="continue"/>
            <w:noWrap w:val="0"/>
            <w:vAlign w:val="center"/>
          </w:tcPr>
          <w:p w14:paraId="5AEB3A33">
            <w:pPr>
              <w:spacing w:line="400" w:lineRule="exact"/>
              <w:jc w:val="center"/>
              <w:rPr>
                <w:rFonts w:hint="eastAsia" w:ascii="宋体" w:hAnsi="宋体" w:eastAsia="宋体" w:cs="宋体"/>
                <w:color w:val="auto"/>
                <w:sz w:val="22"/>
                <w:szCs w:val="22"/>
                <w:highlight w:val="none"/>
              </w:rPr>
            </w:pPr>
          </w:p>
        </w:tc>
        <w:tc>
          <w:tcPr>
            <w:tcW w:w="682" w:type="dxa"/>
            <w:noWrap w:val="0"/>
            <w:vAlign w:val="center"/>
          </w:tcPr>
          <w:p w14:paraId="5C30C7EC">
            <w:pPr>
              <w:tabs>
                <w:tab w:val="left" w:pos="0"/>
              </w:tabs>
              <w:spacing w:line="400" w:lineRule="exact"/>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w:t>
            </w:r>
          </w:p>
        </w:tc>
        <w:tc>
          <w:tcPr>
            <w:tcW w:w="6090" w:type="dxa"/>
            <w:noWrap w:val="0"/>
            <w:vAlign w:val="center"/>
          </w:tcPr>
          <w:p w14:paraId="60FE5B63">
            <w:pPr>
              <w:snapToGrid w:val="0"/>
              <w:spacing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培训方案：包括培训的使用对象、课时内容安排、时间安排、师资力量安排等打分。（评分范围：4；3；2；1；0）</w:t>
            </w:r>
          </w:p>
        </w:tc>
        <w:tc>
          <w:tcPr>
            <w:tcW w:w="657" w:type="dxa"/>
            <w:noWrap w:val="0"/>
            <w:vAlign w:val="center"/>
          </w:tcPr>
          <w:p w14:paraId="267D5DA1">
            <w:pPr>
              <w:autoSpaceDE w:val="0"/>
              <w:autoSpaceDN w:val="0"/>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4</w:t>
            </w:r>
          </w:p>
        </w:tc>
        <w:tc>
          <w:tcPr>
            <w:tcW w:w="956" w:type="dxa"/>
            <w:noWrap w:val="0"/>
            <w:vAlign w:val="center"/>
          </w:tcPr>
          <w:p w14:paraId="0BC31E62">
            <w:pPr>
              <w:autoSpaceDE w:val="0"/>
              <w:autoSpaceDN w:val="0"/>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主观分</w:t>
            </w:r>
          </w:p>
        </w:tc>
      </w:tr>
      <w:tr w14:paraId="4BF1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vMerge w:val="continue"/>
            <w:noWrap w:val="0"/>
            <w:vAlign w:val="center"/>
          </w:tcPr>
          <w:p w14:paraId="7D4B8EDF">
            <w:pPr>
              <w:spacing w:line="400" w:lineRule="exact"/>
              <w:jc w:val="center"/>
              <w:rPr>
                <w:rFonts w:hint="eastAsia" w:ascii="宋体" w:hAnsi="宋体" w:eastAsia="宋体" w:cs="宋体"/>
                <w:color w:val="auto"/>
                <w:sz w:val="22"/>
                <w:szCs w:val="22"/>
                <w:highlight w:val="none"/>
              </w:rPr>
            </w:pPr>
          </w:p>
        </w:tc>
        <w:tc>
          <w:tcPr>
            <w:tcW w:w="881" w:type="dxa"/>
            <w:vMerge w:val="continue"/>
            <w:noWrap w:val="0"/>
            <w:vAlign w:val="center"/>
          </w:tcPr>
          <w:p w14:paraId="18982A59">
            <w:pPr>
              <w:spacing w:line="400" w:lineRule="exact"/>
              <w:jc w:val="center"/>
              <w:rPr>
                <w:rFonts w:hint="eastAsia" w:ascii="宋体" w:hAnsi="宋体" w:eastAsia="宋体" w:cs="宋体"/>
                <w:color w:val="auto"/>
                <w:sz w:val="22"/>
                <w:szCs w:val="22"/>
                <w:highlight w:val="none"/>
              </w:rPr>
            </w:pPr>
          </w:p>
        </w:tc>
        <w:tc>
          <w:tcPr>
            <w:tcW w:w="8385" w:type="dxa"/>
            <w:gridSpan w:val="4"/>
            <w:noWrap w:val="0"/>
            <w:vAlign w:val="top"/>
          </w:tcPr>
          <w:p w14:paraId="4C16B8AB">
            <w:pPr>
              <w:tabs>
                <w:tab w:val="left" w:pos="0"/>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说明：各评审因素注明“主观分”或“客观分”</w:t>
            </w:r>
          </w:p>
          <w:p w14:paraId="0B46F716">
            <w:pPr>
              <w:tabs>
                <w:tab w:val="left" w:pos="0"/>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评审小组成员按以上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tc>
      </w:tr>
      <w:tr w14:paraId="7920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noWrap w:val="0"/>
            <w:vAlign w:val="center"/>
          </w:tcPr>
          <w:p w14:paraId="7DABCC30">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881" w:type="dxa"/>
            <w:noWrap w:val="0"/>
            <w:vAlign w:val="center"/>
          </w:tcPr>
          <w:p w14:paraId="076E1666">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报价评分标准</w:t>
            </w:r>
          </w:p>
        </w:tc>
        <w:tc>
          <w:tcPr>
            <w:tcW w:w="8385" w:type="dxa"/>
            <w:gridSpan w:val="4"/>
            <w:noWrap w:val="0"/>
            <w:vAlign w:val="center"/>
          </w:tcPr>
          <w:p w14:paraId="325B0348">
            <w:pPr>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（1）满足采购文件要求且报价最低的投标报价为评标基准价，其价格分为满分30分。</w:t>
            </w:r>
          </w:p>
          <w:p w14:paraId="4F8A5F3B">
            <w:pPr>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（2）其他投标人的投标价格得分按以下公式计算：</w:t>
            </w:r>
          </w:p>
          <w:p w14:paraId="515F39DD">
            <w:pPr>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投标报价得分=（评标基准价/</w:t>
            </w:r>
            <w:r>
              <w:rPr>
                <w:rFonts w:hint="eastAsia" w:ascii="宋体" w:hAnsi="宋体" w:eastAsia="宋体" w:cs="宋体"/>
                <w:color w:val="auto"/>
                <w:sz w:val="22"/>
                <w:szCs w:val="22"/>
                <w:highlight w:val="none"/>
                <w:lang w:val="zh-CN"/>
              </w:rPr>
              <w:t>有效投标报价</w:t>
            </w:r>
            <w:r>
              <w:rPr>
                <w:rFonts w:hint="eastAsia" w:ascii="宋体" w:hAnsi="宋体" w:eastAsia="宋体" w:cs="宋体"/>
                <w:color w:val="auto"/>
                <w:sz w:val="22"/>
                <w:szCs w:val="22"/>
                <w:highlight w:val="none"/>
              </w:rPr>
              <w:t>）× 价格权值 ×100（四舍五入，保留小数点后2位）</w:t>
            </w:r>
          </w:p>
        </w:tc>
      </w:tr>
    </w:tbl>
    <w:p w14:paraId="73088C4A">
      <w:pPr>
        <w:widowControl/>
        <w:adjustRightInd/>
        <w:spacing w:line="40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r>
        <w:rPr>
          <w:rFonts w:hint="eastAsia" w:ascii="宋体" w:hAnsi="宋体" w:eastAsia="宋体" w:cs="宋体"/>
          <w:color w:val="auto"/>
          <w:sz w:val="22"/>
          <w:szCs w:val="22"/>
          <w:highlight w:val="none"/>
        </w:rPr>
        <w:t>投标人编制投标文件（商务技术文件部分）时，建议按此目录（序号和内容）提供评标标准相应的商务技术资料。 </w:t>
      </w:r>
    </w:p>
    <w:p w14:paraId="35DB6D08">
      <w:pPr>
        <w:snapToGrid w:val="0"/>
        <w:spacing w:line="400" w:lineRule="exact"/>
        <w:jc w:val="left"/>
        <w:rPr>
          <w:rStyle w:val="22"/>
          <w:rFonts w:hint="eastAsia" w:ascii="宋体" w:hAnsi="宋体" w:eastAsia="宋体" w:cs="宋体"/>
          <w:color w:val="auto"/>
          <w:sz w:val="22"/>
          <w:szCs w:val="22"/>
          <w:highlight w:val="none"/>
        </w:rPr>
      </w:pPr>
      <w:bookmarkStart w:id="418" w:name="_Toc63189375"/>
      <w:bookmarkStart w:id="419" w:name="_Toc55302373"/>
      <w:r>
        <w:rPr>
          <w:rStyle w:val="22"/>
          <w:rFonts w:hint="eastAsia" w:ascii="宋体" w:hAnsi="宋体" w:eastAsia="宋体" w:cs="宋体"/>
          <w:color w:val="auto"/>
          <w:sz w:val="22"/>
          <w:szCs w:val="22"/>
          <w:highlight w:val="none"/>
        </w:rPr>
        <w:t>1.评标方法</w:t>
      </w:r>
      <w:bookmarkEnd w:id="418"/>
      <w:bookmarkEnd w:id="419"/>
    </w:p>
    <w:p w14:paraId="288879AA">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本项目采用</w:t>
      </w:r>
      <w:r>
        <w:rPr>
          <w:rFonts w:hint="eastAsia" w:ascii="宋体" w:hAnsi="宋体" w:eastAsia="宋体" w:cs="宋体"/>
          <w:color w:val="auto"/>
          <w:sz w:val="22"/>
          <w:szCs w:val="22"/>
          <w:highlight w:val="none"/>
        </w:rPr>
        <w:t>综合评分法。综合评分法，</w:t>
      </w:r>
      <w:r>
        <w:rPr>
          <w:rFonts w:hint="eastAsia" w:ascii="宋体" w:hAnsi="宋体" w:eastAsia="宋体" w:cs="宋体"/>
          <w:color w:val="auto"/>
          <w:kern w:val="0"/>
          <w:sz w:val="22"/>
          <w:szCs w:val="22"/>
          <w:highlight w:val="none"/>
        </w:rPr>
        <w:t>是指投标文件满足招标文件全部实质性要求，且按照评审因素的量化指标评审得分最高的投标人为中标候选人的评标方法</w:t>
      </w:r>
      <w:r>
        <w:rPr>
          <w:rFonts w:hint="eastAsia" w:ascii="宋体" w:hAnsi="宋体" w:eastAsia="宋体" w:cs="宋体"/>
          <w:color w:val="auto"/>
          <w:sz w:val="22"/>
          <w:szCs w:val="22"/>
          <w:highlight w:val="none"/>
        </w:rPr>
        <w:t>。</w:t>
      </w:r>
    </w:p>
    <w:p w14:paraId="48A530F2">
      <w:pPr>
        <w:adjustRightInd/>
        <w:spacing w:line="360" w:lineRule="auto"/>
        <w:outlineLvl w:val="1"/>
        <w:rPr>
          <w:rFonts w:hint="eastAsia" w:ascii="宋体" w:hAnsi="宋体" w:eastAsia="宋体" w:cs="宋体"/>
          <w:color w:val="auto"/>
          <w:kern w:val="0"/>
          <w:sz w:val="22"/>
          <w:szCs w:val="22"/>
          <w:highlight w:val="none"/>
        </w:rPr>
      </w:pPr>
      <w:bookmarkStart w:id="420" w:name="_Toc30314"/>
      <w:bookmarkStart w:id="421" w:name="_Toc55302374"/>
      <w:bookmarkStart w:id="422" w:name="_Toc63189376"/>
      <w:r>
        <w:rPr>
          <w:rStyle w:val="22"/>
          <w:rFonts w:hint="eastAsia" w:ascii="宋体" w:hAnsi="宋体" w:eastAsia="宋体" w:cs="宋体"/>
          <w:color w:val="auto"/>
          <w:sz w:val="22"/>
          <w:szCs w:val="22"/>
          <w:highlight w:val="none"/>
        </w:rPr>
        <w:t>2.</w:t>
      </w:r>
      <w:r>
        <w:rPr>
          <w:rFonts w:hint="eastAsia" w:ascii="宋体" w:hAnsi="宋体" w:eastAsia="宋体" w:cs="宋体"/>
          <w:b/>
          <w:color w:val="auto"/>
          <w:sz w:val="22"/>
          <w:szCs w:val="22"/>
          <w:highlight w:val="none"/>
        </w:rPr>
        <w:t>评标标准</w:t>
      </w:r>
      <w:bookmarkEnd w:id="420"/>
    </w:p>
    <w:p w14:paraId="7D4B0512">
      <w:pPr>
        <w:spacing w:line="360" w:lineRule="auto"/>
        <w:ind w:firstLine="431" w:firstLineChars="196"/>
        <w:rPr>
          <w:rStyle w:val="22"/>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见评标办法前附表。</w:t>
      </w:r>
    </w:p>
    <w:p w14:paraId="283AA970">
      <w:pPr>
        <w:snapToGrid w:val="0"/>
        <w:spacing w:line="360" w:lineRule="auto"/>
        <w:jc w:val="left"/>
        <w:rPr>
          <w:rStyle w:val="22"/>
          <w:rFonts w:hint="eastAsia" w:ascii="宋体" w:hAnsi="宋体" w:eastAsia="宋体" w:cs="宋体"/>
          <w:color w:val="auto"/>
          <w:sz w:val="22"/>
          <w:szCs w:val="22"/>
          <w:highlight w:val="none"/>
        </w:rPr>
      </w:pPr>
      <w:r>
        <w:rPr>
          <w:rStyle w:val="22"/>
          <w:rFonts w:hint="eastAsia" w:ascii="宋体" w:hAnsi="宋体" w:eastAsia="宋体" w:cs="宋体"/>
          <w:color w:val="auto"/>
          <w:sz w:val="22"/>
          <w:szCs w:val="22"/>
          <w:highlight w:val="none"/>
          <w:lang w:val="en-US"/>
        </w:rPr>
        <w:t>3.</w:t>
      </w:r>
      <w:r>
        <w:rPr>
          <w:rStyle w:val="22"/>
          <w:rFonts w:hint="eastAsia" w:ascii="宋体" w:hAnsi="宋体" w:eastAsia="宋体" w:cs="宋体"/>
          <w:color w:val="auto"/>
          <w:sz w:val="22"/>
          <w:szCs w:val="22"/>
          <w:highlight w:val="none"/>
        </w:rPr>
        <w:t>评标程序</w:t>
      </w:r>
      <w:bookmarkEnd w:id="421"/>
      <w:bookmarkEnd w:id="422"/>
    </w:p>
    <w:p w14:paraId="3ABEEBC4">
      <w:pPr>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3.1资格审查</w:t>
      </w:r>
    </w:p>
    <w:p w14:paraId="1A92B053">
      <w:pPr>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开标后，采购人或采购代理机构对各投标人按照</w:t>
      </w:r>
      <w:r>
        <w:rPr>
          <w:rFonts w:hint="eastAsia" w:ascii="宋体" w:hAnsi="宋体" w:eastAsia="宋体" w:cs="宋体"/>
          <w:bCs/>
          <w:color w:val="auto"/>
          <w:kern w:val="0"/>
          <w:sz w:val="22"/>
          <w:szCs w:val="22"/>
          <w:highlight w:val="none"/>
        </w:rPr>
        <w:t>第二部分“</w:t>
      </w:r>
      <w:r>
        <w:rPr>
          <w:rFonts w:hint="eastAsia" w:ascii="宋体" w:hAnsi="宋体" w:eastAsia="宋体" w:cs="宋体"/>
          <w:color w:val="auto"/>
          <w:sz w:val="22"/>
          <w:szCs w:val="22"/>
          <w:highlight w:val="none"/>
          <w:lang w:val="zh-CN"/>
        </w:rPr>
        <w:t>投标人须知</w:t>
      </w:r>
      <w:r>
        <w:rPr>
          <w:rFonts w:hint="eastAsia" w:ascii="宋体" w:hAnsi="宋体" w:eastAsia="宋体" w:cs="宋体"/>
          <w:bCs/>
          <w:color w:val="auto"/>
          <w:kern w:val="0"/>
          <w:sz w:val="22"/>
          <w:szCs w:val="22"/>
          <w:highlight w:val="none"/>
        </w:rPr>
        <w:t>”</w:t>
      </w:r>
      <w:r>
        <w:rPr>
          <w:rFonts w:hint="eastAsia" w:ascii="宋体" w:hAnsi="宋体" w:eastAsia="宋体" w:cs="宋体"/>
          <w:color w:val="auto"/>
          <w:sz w:val="22"/>
          <w:szCs w:val="22"/>
          <w:highlight w:val="none"/>
          <w:lang w:val="zh-CN"/>
        </w:rPr>
        <w:t>第</w:t>
      </w:r>
      <w:r>
        <w:rPr>
          <w:rFonts w:hint="eastAsia" w:ascii="宋体" w:hAnsi="宋体" w:eastAsia="宋体" w:cs="宋体"/>
          <w:color w:val="auto"/>
          <w:sz w:val="22"/>
          <w:szCs w:val="22"/>
          <w:highlight w:val="none"/>
        </w:rPr>
        <w:t>12.1</w:t>
      </w:r>
      <w:r>
        <w:rPr>
          <w:rFonts w:hint="eastAsia" w:ascii="宋体" w:hAnsi="宋体" w:eastAsia="宋体" w:cs="宋体"/>
          <w:color w:val="auto"/>
          <w:sz w:val="22"/>
          <w:szCs w:val="22"/>
          <w:highlight w:val="none"/>
          <w:lang w:val="zh-CN"/>
        </w:rPr>
        <w:t>款</w:t>
      </w:r>
      <w:r>
        <w:rPr>
          <w:rFonts w:hint="eastAsia" w:ascii="宋体" w:hAnsi="宋体" w:eastAsia="宋体" w:cs="宋体"/>
          <w:color w:val="auto"/>
          <w:sz w:val="22"/>
          <w:szCs w:val="22"/>
          <w:highlight w:val="none"/>
        </w:rPr>
        <w:t>进行资格审查，有一项不符合评审标准的，投标无效；</w:t>
      </w:r>
    </w:p>
    <w:p w14:paraId="47289654">
      <w:pPr>
        <w:snapToGrid w:val="0"/>
        <w:spacing w:line="360" w:lineRule="auto"/>
        <w:ind w:firstLine="442" w:firstLineChars="20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3.2符合性审查</w:t>
      </w:r>
    </w:p>
    <w:p w14:paraId="268980FD">
      <w:pPr>
        <w:snapToGrid w:val="0"/>
        <w:spacing w:line="360" w:lineRule="auto"/>
        <w:ind w:firstLine="440" w:firstLineChars="200"/>
        <w:jc w:val="left"/>
        <w:rPr>
          <w:rFonts w:hint="eastAsia" w:ascii="宋体" w:hAnsi="宋体" w:eastAsia="宋体" w:cs="宋体"/>
          <w:b/>
          <w:color w:val="auto"/>
          <w:sz w:val="22"/>
          <w:szCs w:val="22"/>
          <w:highlight w:val="none"/>
        </w:rPr>
      </w:pPr>
      <w:r>
        <w:rPr>
          <w:rFonts w:hint="eastAsia" w:ascii="宋体" w:hAnsi="宋体" w:eastAsia="宋体" w:cs="宋体"/>
          <w:color w:val="auto"/>
          <w:kern w:val="0"/>
          <w:sz w:val="22"/>
          <w:szCs w:val="22"/>
          <w:highlight w:val="none"/>
        </w:rPr>
        <w:t>评标委员会应当对符合资格的投标人的投标文件进行符合性审查，以确定其是否满足招标文件的实质性要求。不满足招标文件的实质性要求的，投标无效</w:t>
      </w:r>
      <w:r>
        <w:rPr>
          <w:rFonts w:hint="eastAsia" w:ascii="宋体" w:hAnsi="宋体" w:eastAsia="宋体" w:cs="宋体"/>
          <w:b/>
          <w:color w:val="auto"/>
          <w:sz w:val="22"/>
          <w:szCs w:val="22"/>
          <w:highlight w:val="none"/>
        </w:rPr>
        <w:t>：</w:t>
      </w:r>
    </w:p>
    <w:p w14:paraId="4F6966B4">
      <w:pPr>
        <w:snapToGrid w:val="0"/>
        <w:spacing w:line="360" w:lineRule="auto"/>
        <w:ind w:firstLine="442" w:firstLineChars="20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u w:val="single"/>
        </w:rPr>
        <w:t>▲3.2.1投标人存在下列情况之一的，投标无效：</w:t>
      </w:r>
    </w:p>
    <w:p w14:paraId="5170103B">
      <w:pPr>
        <w:numPr>
          <w:ilvl w:val="0"/>
          <w:numId w:val="7"/>
        </w:numPr>
        <w:snapToGrid w:val="0"/>
        <w:spacing w:line="360" w:lineRule="auto"/>
        <w:ind w:left="0" w:firstLine="442" w:firstLineChars="200"/>
        <w:jc w:val="left"/>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投标人仅提交备份投标文件，没有在电子交易平台传输递交投标文件的；</w:t>
      </w:r>
    </w:p>
    <w:p w14:paraId="117F6925">
      <w:pPr>
        <w:numPr>
          <w:ilvl w:val="0"/>
          <w:numId w:val="7"/>
        </w:numPr>
        <w:snapToGrid w:val="0"/>
        <w:spacing w:line="360" w:lineRule="auto"/>
        <w:ind w:left="0" w:firstLine="442" w:firstLineChars="20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不具备招标文件中规定的资格要求的；</w:t>
      </w:r>
    </w:p>
    <w:p w14:paraId="21476095">
      <w:pPr>
        <w:numPr>
          <w:ilvl w:val="0"/>
          <w:numId w:val="7"/>
        </w:numPr>
        <w:snapToGrid w:val="0"/>
        <w:spacing w:line="360" w:lineRule="auto"/>
        <w:ind w:left="0" w:firstLine="442" w:firstLineChars="20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投标文件未按招标文件要求签署、盖章的；</w:t>
      </w:r>
    </w:p>
    <w:p w14:paraId="6435934A">
      <w:pPr>
        <w:numPr>
          <w:ilvl w:val="0"/>
          <w:numId w:val="7"/>
        </w:numPr>
        <w:snapToGrid w:val="0"/>
        <w:spacing w:line="360" w:lineRule="auto"/>
        <w:ind w:left="0" w:firstLine="442" w:firstLineChars="20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预留份额专门面向中小企业采购的项目（包括整体、联合体、分包形式），投标人提供《中小企业声明函》内容不实的；《中小企业声明函》填写不全（从业人员、营业收入、资产总额在中小企业划型标准规定中不涉及的除外），或未按照《中小企业声明函》要求填写。</w:t>
      </w:r>
    </w:p>
    <w:p w14:paraId="4F7A83F4">
      <w:pPr>
        <w:numPr>
          <w:ilvl w:val="0"/>
          <w:numId w:val="7"/>
        </w:numPr>
        <w:snapToGrid w:val="0"/>
        <w:spacing w:line="360" w:lineRule="auto"/>
        <w:ind w:left="0" w:firstLine="442" w:firstLineChars="20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明显不符合招标文件中标注“▲”且加下划线的实质性要求和条件（主要技术规格、商务技术标准或服务要求）的；</w:t>
      </w:r>
    </w:p>
    <w:p w14:paraId="1A8429DA">
      <w:pPr>
        <w:numPr>
          <w:ilvl w:val="0"/>
          <w:numId w:val="7"/>
        </w:numPr>
        <w:snapToGrid w:val="0"/>
        <w:spacing w:line="360" w:lineRule="auto"/>
        <w:ind w:left="0" w:firstLine="442" w:firstLineChars="200"/>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未提供采购需求偏离表的；</w:t>
      </w:r>
    </w:p>
    <w:p w14:paraId="030EB22D">
      <w:pPr>
        <w:numPr>
          <w:ilvl w:val="0"/>
          <w:numId w:val="7"/>
        </w:numPr>
        <w:snapToGrid w:val="0"/>
        <w:spacing w:line="360" w:lineRule="auto"/>
        <w:ind w:left="0" w:firstLine="442" w:firstLineChars="200"/>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采购人拟采购的产品属于政府强制采购的节能产品品目清单范围的，投标人未按招标文件要求提供国家确定的认证机构出具的、处于有效期之内的节能产品认证证书的；</w:t>
      </w:r>
    </w:p>
    <w:p w14:paraId="65C1F8DF">
      <w:pPr>
        <w:numPr>
          <w:ilvl w:val="0"/>
          <w:numId w:val="7"/>
        </w:numPr>
        <w:snapToGrid w:val="0"/>
        <w:spacing w:line="360" w:lineRule="auto"/>
        <w:ind w:left="0" w:firstLine="442" w:firstLineChars="200"/>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投标文件中承诺的投标有效期少于招标文件中载明的投标有效期的；</w:t>
      </w:r>
    </w:p>
    <w:p w14:paraId="4F798281">
      <w:pPr>
        <w:numPr>
          <w:ilvl w:val="0"/>
          <w:numId w:val="7"/>
        </w:numPr>
        <w:snapToGrid w:val="0"/>
        <w:spacing w:line="360" w:lineRule="auto"/>
        <w:ind w:left="0" w:firstLine="442" w:firstLineChars="20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投标文件实质性内容不全或关键字迹模糊无法辨认的；</w:t>
      </w:r>
    </w:p>
    <w:p w14:paraId="05B68DDB">
      <w:pPr>
        <w:numPr>
          <w:ilvl w:val="0"/>
          <w:numId w:val="7"/>
        </w:numPr>
        <w:snapToGrid w:val="0"/>
        <w:spacing w:line="360" w:lineRule="auto"/>
        <w:ind w:left="0" w:firstLine="442" w:firstLineChars="200"/>
        <w:jc w:val="left"/>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sz w:val="22"/>
          <w:szCs w:val="22"/>
          <w:highlight w:val="none"/>
          <w:u w:val="single"/>
        </w:rPr>
        <w:t>投标报价超过采购预算或最高限价；</w:t>
      </w:r>
    </w:p>
    <w:p w14:paraId="09557B03">
      <w:pPr>
        <w:numPr>
          <w:ilvl w:val="0"/>
          <w:numId w:val="7"/>
        </w:numPr>
        <w:snapToGrid w:val="0"/>
        <w:spacing w:line="360" w:lineRule="auto"/>
        <w:ind w:left="0" w:firstLine="442" w:firstLineChars="200"/>
        <w:jc w:val="left"/>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投标文件出现不是唯一的、有选择性投标报价的；</w:t>
      </w:r>
    </w:p>
    <w:p w14:paraId="460DE5F4">
      <w:pPr>
        <w:numPr>
          <w:ilvl w:val="0"/>
          <w:numId w:val="7"/>
        </w:numPr>
        <w:snapToGrid w:val="0"/>
        <w:spacing w:line="360" w:lineRule="auto"/>
        <w:ind w:left="0" w:firstLine="442" w:firstLineChars="200"/>
        <w:jc w:val="left"/>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投标人对根据修正原则修正后的报价不确认的；</w:t>
      </w:r>
    </w:p>
    <w:p w14:paraId="6B9F3333">
      <w:pPr>
        <w:numPr>
          <w:ilvl w:val="0"/>
          <w:numId w:val="7"/>
        </w:numPr>
        <w:snapToGrid w:val="0"/>
        <w:spacing w:line="360" w:lineRule="auto"/>
        <w:ind w:left="0" w:firstLine="442" w:firstLineChars="20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投标文件有采购人不能接受的附加条件的；</w:t>
      </w:r>
    </w:p>
    <w:p w14:paraId="16821282">
      <w:pPr>
        <w:numPr>
          <w:ilvl w:val="0"/>
          <w:numId w:val="7"/>
        </w:numPr>
        <w:snapToGrid w:val="0"/>
        <w:spacing w:line="360" w:lineRule="auto"/>
        <w:ind w:left="0" w:firstLine="442" w:firstLineChars="20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投标人提供虚假材料投标的；</w:t>
      </w:r>
    </w:p>
    <w:p w14:paraId="1DE9A997">
      <w:pPr>
        <w:numPr>
          <w:ilvl w:val="0"/>
          <w:numId w:val="7"/>
        </w:numPr>
        <w:snapToGrid w:val="0"/>
        <w:spacing w:line="360" w:lineRule="auto"/>
        <w:ind w:left="0" w:firstLine="442" w:firstLineChars="20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kern w:val="0"/>
          <w:sz w:val="22"/>
          <w:szCs w:val="22"/>
          <w:highlight w:val="none"/>
          <w:u w:val="single"/>
        </w:rPr>
        <w:t>商务技术文件中出现投标报价的；</w:t>
      </w:r>
    </w:p>
    <w:p w14:paraId="4174452B">
      <w:pPr>
        <w:numPr>
          <w:ilvl w:val="0"/>
          <w:numId w:val="7"/>
        </w:numPr>
        <w:spacing w:line="360" w:lineRule="auto"/>
        <w:ind w:left="0" w:firstLine="442" w:firstLineChars="200"/>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评审小组认为报价明显低于其他通过符合性审查投标人的报价，有可能影响产品质量或者不能诚信履约的，投标人未能按要求提供书面说明或者提交相关证明材料，不能证明其报价合理性的；</w:t>
      </w:r>
    </w:p>
    <w:p w14:paraId="0B561CCA">
      <w:pPr>
        <w:numPr>
          <w:ilvl w:val="0"/>
          <w:numId w:val="7"/>
        </w:numPr>
        <w:spacing w:line="360" w:lineRule="auto"/>
        <w:ind w:left="0" w:firstLine="442" w:firstLineChars="200"/>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投标人有恶意串通、妨碍其他投标人的竞争行为、损害采购人或者其他投标人的合法权益情形的；</w:t>
      </w:r>
    </w:p>
    <w:p w14:paraId="3E9A72E4">
      <w:pPr>
        <w:numPr>
          <w:ilvl w:val="0"/>
          <w:numId w:val="7"/>
        </w:numPr>
        <w:spacing w:line="360" w:lineRule="auto"/>
        <w:ind w:left="0" w:firstLine="442" w:firstLineChars="200"/>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投标文件不满足采购文件的其它实质性要求的；</w:t>
      </w:r>
    </w:p>
    <w:p w14:paraId="4EFD3DF6">
      <w:pPr>
        <w:numPr>
          <w:ilvl w:val="0"/>
          <w:numId w:val="7"/>
        </w:numPr>
        <w:spacing w:line="360" w:lineRule="auto"/>
        <w:ind w:left="0" w:firstLine="442" w:firstLineChars="200"/>
        <w:rPr>
          <w:rFonts w:hint="eastAsia" w:ascii="宋体" w:hAnsi="宋体" w:eastAsia="宋体" w:cs="宋体"/>
          <w:b/>
          <w:color w:val="auto"/>
          <w:kern w:val="0"/>
          <w:sz w:val="22"/>
          <w:szCs w:val="22"/>
          <w:highlight w:val="none"/>
          <w:u w:val="single"/>
          <w:lang w:eastAsia="zh-CN"/>
        </w:rPr>
      </w:pPr>
      <w:r>
        <w:rPr>
          <w:rFonts w:hint="eastAsia" w:ascii="宋体" w:hAnsi="宋体" w:eastAsia="宋体" w:cs="宋体"/>
          <w:b/>
          <w:color w:val="auto"/>
          <w:kern w:val="0"/>
          <w:sz w:val="22"/>
          <w:szCs w:val="22"/>
          <w:highlight w:val="none"/>
          <w:u w:val="single"/>
          <w:lang w:eastAsia="zh-CN"/>
        </w:rPr>
        <w:t>投标人报价低于项目预算50%（含）的，未在在报价文件中详细阐述不影响产品质量或者诚信履约的具体原因的（包括项目具体成本测算与报价合理性相关的说明、材料等）或阐述了具体原因评审小组认为不能证明其报价合理性的；</w:t>
      </w:r>
    </w:p>
    <w:p w14:paraId="7A67D157">
      <w:pPr>
        <w:numPr>
          <w:ilvl w:val="0"/>
          <w:numId w:val="7"/>
        </w:numPr>
        <w:spacing w:line="360" w:lineRule="auto"/>
        <w:ind w:left="0" w:firstLine="442" w:firstLineChars="200"/>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lang w:val="en-US" w:eastAsia="zh-CN"/>
        </w:rPr>
        <w:t>评审现场，</w:t>
      </w:r>
      <w:r>
        <w:rPr>
          <w:rFonts w:hint="eastAsia" w:ascii="宋体" w:hAnsi="宋体" w:eastAsia="宋体" w:cs="宋体"/>
          <w:b/>
          <w:color w:val="auto"/>
          <w:kern w:val="0"/>
          <w:sz w:val="22"/>
          <w:szCs w:val="22"/>
          <w:highlight w:val="none"/>
          <w:u w:val="single"/>
        </w:rPr>
        <w:t>评审小组认为投标人的报价明显低于其他通过符合性审查投标人的报价，有可能影响产品质量或者不能诚信履约的，应当要求其在评标现场</w:t>
      </w:r>
      <w:r>
        <w:rPr>
          <w:rFonts w:hint="eastAsia" w:ascii="宋体" w:hAnsi="宋体" w:eastAsia="宋体" w:cs="宋体"/>
          <w:b/>
          <w:color w:val="auto"/>
          <w:kern w:val="0"/>
          <w:sz w:val="22"/>
          <w:szCs w:val="22"/>
          <w:highlight w:val="none"/>
          <w:u w:val="single"/>
          <w:lang w:val="en-US" w:eastAsia="zh-CN"/>
        </w:rPr>
        <w:t>规定</w:t>
      </w:r>
      <w:r>
        <w:rPr>
          <w:rFonts w:hint="eastAsia" w:ascii="宋体" w:hAnsi="宋体" w:eastAsia="宋体" w:cs="宋体"/>
          <w:b/>
          <w:color w:val="auto"/>
          <w:kern w:val="0"/>
          <w:sz w:val="22"/>
          <w:szCs w:val="22"/>
          <w:highlight w:val="none"/>
          <w:u w:val="single"/>
        </w:rPr>
        <w:t>的时间内提供书面说明</w:t>
      </w:r>
      <w:r>
        <w:rPr>
          <w:rFonts w:hint="eastAsia" w:ascii="宋体" w:hAnsi="宋体" w:eastAsia="宋体" w:cs="宋体"/>
          <w:b/>
          <w:color w:val="auto"/>
          <w:kern w:val="0"/>
          <w:sz w:val="22"/>
          <w:szCs w:val="22"/>
          <w:highlight w:val="none"/>
          <w:u w:val="single"/>
          <w:lang w:val="en-US" w:eastAsia="zh-CN"/>
        </w:rPr>
        <w:t>及必要的</w:t>
      </w:r>
      <w:r>
        <w:rPr>
          <w:rFonts w:hint="eastAsia" w:ascii="宋体" w:hAnsi="宋体" w:eastAsia="宋体" w:cs="宋体"/>
          <w:b/>
          <w:color w:val="auto"/>
          <w:kern w:val="0"/>
          <w:sz w:val="22"/>
          <w:szCs w:val="22"/>
          <w:highlight w:val="none"/>
          <w:u w:val="single"/>
        </w:rPr>
        <w:t>相关证明材料</w:t>
      </w:r>
      <w:r>
        <w:rPr>
          <w:rFonts w:hint="eastAsia" w:ascii="宋体" w:hAnsi="宋体" w:eastAsia="宋体" w:cs="宋体"/>
          <w:b/>
          <w:color w:val="auto"/>
          <w:kern w:val="0"/>
          <w:sz w:val="22"/>
          <w:szCs w:val="22"/>
          <w:highlight w:val="none"/>
          <w:u w:val="single"/>
          <w:lang w:eastAsia="zh-CN"/>
        </w:rPr>
        <w:t>（</w:t>
      </w:r>
      <w:r>
        <w:rPr>
          <w:rFonts w:hint="eastAsia" w:ascii="宋体" w:hAnsi="宋体" w:eastAsia="宋体" w:cs="宋体"/>
          <w:b/>
          <w:color w:val="auto"/>
          <w:kern w:val="0"/>
          <w:sz w:val="22"/>
          <w:szCs w:val="22"/>
          <w:highlight w:val="none"/>
          <w:u w:val="single"/>
        </w:rPr>
        <w:t>书面说明、证明材料主要是项目具体成本测算等与报价合理性相关的说明、材料</w:t>
      </w:r>
      <w:r>
        <w:rPr>
          <w:rFonts w:hint="eastAsia" w:ascii="宋体" w:hAnsi="宋体" w:eastAsia="宋体" w:cs="宋体"/>
          <w:b/>
          <w:color w:val="auto"/>
          <w:kern w:val="0"/>
          <w:sz w:val="22"/>
          <w:szCs w:val="22"/>
          <w:highlight w:val="none"/>
          <w:u w:val="single"/>
          <w:lang w:eastAsia="zh-CN"/>
        </w:rPr>
        <w:t>），</w:t>
      </w:r>
      <w:r>
        <w:rPr>
          <w:rFonts w:hint="eastAsia" w:ascii="宋体" w:hAnsi="宋体" w:eastAsia="宋体" w:cs="宋体"/>
          <w:b/>
          <w:color w:val="auto"/>
          <w:kern w:val="0"/>
          <w:sz w:val="22"/>
          <w:szCs w:val="22"/>
          <w:highlight w:val="none"/>
          <w:u w:val="single"/>
        </w:rPr>
        <w:t>对投标价格作出解释。投标</w:t>
      </w:r>
      <w:r>
        <w:rPr>
          <w:rFonts w:hint="eastAsia" w:ascii="宋体" w:hAnsi="宋体" w:eastAsia="宋体" w:cs="宋体"/>
          <w:b/>
          <w:color w:val="auto"/>
          <w:kern w:val="0"/>
          <w:sz w:val="22"/>
          <w:szCs w:val="22"/>
          <w:highlight w:val="none"/>
          <w:u w:val="single"/>
          <w:lang w:val="en-US" w:eastAsia="zh-CN"/>
        </w:rPr>
        <w:t>人</w:t>
      </w:r>
      <w:r>
        <w:rPr>
          <w:rFonts w:hint="eastAsia" w:ascii="宋体" w:hAnsi="宋体" w:eastAsia="宋体" w:cs="宋体"/>
          <w:b/>
          <w:color w:val="auto"/>
          <w:kern w:val="0"/>
          <w:sz w:val="22"/>
          <w:szCs w:val="22"/>
          <w:highlight w:val="none"/>
          <w:u w:val="single"/>
        </w:rPr>
        <w:t>不提供书面说明、证明材料，或者提供的书面说明、证明材料不能证明其报价合理性的，应当将其作为无效投标处理</w:t>
      </w:r>
      <w:r>
        <w:rPr>
          <w:rFonts w:hint="eastAsia" w:ascii="宋体" w:hAnsi="宋体" w:eastAsia="宋体" w:cs="宋体"/>
          <w:b/>
          <w:color w:val="auto"/>
          <w:kern w:val="0"/>
          <w:sz w:val="22"/>
          <w:szCs w:val="22"/>
          <w:highlight w:val="none"/>
          <w:u w:val="single"/>
          <w:lang w:eastAsia="zh-CN"/>
        </w:rPr>
        <w:t>。</w:t>
      </w:r>
    </w:p>
    <w:p w14:paraId="578D59CF">
      <w:pPr>
        <w:numPr>
          <w:ilvl w:val="0"/>
          <w:numId w:val="7"/>
        </w:numPr>
        <w:spacing w:line="360" w:lineRule="auto"/>
        <w:ind w:left="0" w:firstLine="442" w:firstLineChars="200"/>
        <w:rPr>
          <w:rFonts w:hint="eastAsia" w:ascii="宋体" w:hAnsi="宋体" w:eastAsia="宋体" w:cs="宋体"/>
          <w:b/>
          <w:color w:val="auto"/>
          <w:sz w:val="22"/>
          <w:szCs w:val="22"/>
          <w:highlight w:val="none"/>
          <w:u w:val="single"/>
        </w:rPr>
      </w:pPr>
      <w:r>
        <w:rPr>
          <w:rFonts w:hint="eastAsia" w:ascii="宋体" w:hAnsi="宋体" w:eastAsia="宋体" w:cs="宋体"/>
          <w:b/>
          <w:color w:val="auto"/>
          <w:kern w:val="0"/>
          <w:sz w:val="22"/>
          <w:szCs w:val="22"/>
          <w:highlight w:val="none"/>
          <w:u w:val="single"/>
        </w:rPr>
        <w:t>法律、法规、规章（适用本市的）及省级以上规范性文件（适用本市的）规定的其他无效情形。</w:t>
      </w:r>
    </w:p>
    <w:p w14:paraId="37950468">
      <w:pPr>
        <w:snapToGrid w:val="0"/>
        <w:spacing w:line="360" w:lineRule="auto"/>
        <w:ind w:firstLine="442"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
          <w:color w:val="auto"/>
          <w:sz w:val="22"/>
          <w:szCs w:val="22"/>
          <w:highlight w:val="none"/>
          <w:u w:val="single"/>
        </w:rPr>
        <w:t>▲3.2.2有下列情形之一的，属于恶意串通，对投标人依照政府采购法第七十七条第一款的规定追究法律责任，对采购人、采购代理机构及其工作人员依照政府采购法第七十二条的规定追究法律责任：</w:t>
      </w:r>
    </w:p>
    <w:p w14:paraId="348D80AF">
      <w:pPr>
        <w:snapToGrid w:val="0"/>
        <w:spacing w:line="360"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（1）投标人直接或者间接从采购人或者采购代理机构处获得其他投标人的相关情况并修改其投标文件的；</w:t>
      </w:r>
    </w:p>
    <w:p w14:paraId="596BF61A">
      <w:pPr>
        <w:snapToGrid w:val="0"/>
        <w:spacing w:line="360"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（2）投标人按照采购人或者采购代理机构的授意撤换、修改投标文件的；</w:t>
      </w:r>
    </w:p>
    <w:p w14:paraId="16D33392">
      <w:pPr>
        <w:snapToGrid w:val="0"/>
        <w:spacing w:line="360"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（3）投标人之间协商报价、技术方案等投标文件或者投标文件的实质性内容；</w:t>
      </w:r>
    </w:p>
    <w:p w14:paraId="5248CEEA">
      <w:pPr>
        <w:snapToGrid w:val="0"/>
        <w:spacing w:line="360"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（4）属于同一集团、协会、商会等组织成员的投标人按照该组织要求协同参加政府采购活动；</w:t>
      </w:r>
    </w:p>
    <w:p w14:paraId="18928862">
      <w:pPr>
        <w:snapToGrid w:val="0"/>
        <w:spacing w:line="360"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（5）投标人之间事先约定由某一特定投标人中标、成交；</w:t>
      </w:r>
    </w:p>
    <w:p w14:paraId="35E55383">
      <w:pPr>
        <w:snapToGrid w:val="0"/>
        <w:spacing w:line="360"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（6）投标人之间商定部分投标人放弃参加政府采购活动或者放弃中标、成交；</w:t>
      </w:r>
    </w:p>
    <w:p w14:paraId="5E40BD5A">
      <w:pPr>
        <w:snapToGrid w:val="0"/>
        <w:spacing w:line="360"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（7）投标人与采购人或者采购代理机构之间、投标人相互之间，为谋求特定投标人中标、成交或者排斥其他投标人的其他串通行为。</w:t>
      </w:r>
    </w:p>
    <w:p w14:paraId="17CAACF4">
      <w:pPr>
        <w:snapToGrid w:val="0"/>
        <w:spacing w:line="360" w:lineRule="auto"/>
        <w:ind w:firstLine="442" w:firstLineChars="20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▲3.2.3有下列情形之一的，视为投标人串通投标，其投标无效：</w:t>
      </w:r>
    </w:p>
    <w:p w14:paraId="5572E108">
      <w:pPr>
        <w:snapToGrid w:val="0"/>
        <w:spacing w:line="360"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（1）不同投标人的投标文件由同一单位或者个人编制；</w:t>
      </w:r>
    </w:p>
    <w:p w14:paraId="37A55C60">
      <w:pPr>
        <w:snapToGrid w:val="0"/>
        <w:spacing w:line="360"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（2）不同投标人委托同一单位或者个人办理投标事宜；</w:t>
      </w:r>
    </w:p>
    <w:p w14:paraId="4FFFDE44">
      <w:pPr>
        <w:snapToGrid w:val="0"/>
        <w:spacing w:line="360"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（3）不同投标人的投标文件载明的项目管理成员或者联系人员为同一人；</w:t>
      </w:r>
    </w:p>
    <w:p w14:paraId="201D5577">
      <w:pPr>
        <w:snapToGrid w:val="0"/>
        <w:spacing w:line="360"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（4）不同投标人的投标文件异常一致或者投标报价呈规律性差异；</w:t>
      </w:r>
    </w:p>
    <w:p w14:paraId="704A02AF">
      <w:pPr>
        <w:snapToGrid w:val="0"/>
        <w:spacing w:line="360"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（5）不同投标人的投标文件相互混装；</w:t>
      </w:r>
    </w:p>
    <w:p w14:paraId="33FAAFCA">
      <w:pPr>
        <w:snapToGrid w:val="0"/>
        <w:spacing w:line="360" w:lineRule="auto"/>
        <w:ind w:firstLine="442" w:firstLineChars="200"/>
        <w:jc w:val="left"/>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lang w:val="zh-CN"/>
        </w:rPr>
        <w:t>▲</w:t>
      </w:r>
      <w:r>
        <w:rPr>
          <w:rFonts w:hint="eastAsia" w:ascii="宋体" w:hAnsi="宋体" w:eastAsia="宋体" w:cs="宋体"/>
          <w:b/>
          <w:color w:val="auto"/>
          <w:sz w:val="22"/>
          <w:szCs w:val="22"/>
          <w:highlight w:val="none"/>
          <w:u w:val="single"/>
        </w:rPr>
        <w:t>3.2.</w:t>
      </w:r>
      <w:r>
        <w:rPr>
          <w:rFonts w:hint="eastAsia" w:ascii="宋体" w:hAnsi="宋体" w:eastAsia="宋体" w:cs="宋体"/>
          <w:b/>
          <w:color w:val="auto"/>
          <w:sz w:val="22"/>
          <w:szCs w:val="22"/>
          <w:highlight w:val="none"/>
          <w:u w:val="single"/>
          <w:lang w:val="en-US" w:eastAsia="zh-CN"/>
        </w:rPr>
        <w:t>4</w:t>
      </w:r>
      <w:r>
        <w:rPr>
          <w:rFonts w:hint="eastAsia" w:ascii="宋体" w:hAnsi="宋体" w:eastAsia="宋体" w:cs="宋体"/>
          <w:b/>
          <w:color w:val="auto"/>
          <w:sz w:val="22"/>
          <w:szCs w:val="22"/>
          <w:highlight w:val="none"/>
          <w:u w:val="single"/>
          <w:lang w:val="zh-CN"/>
        </w:rPr>
        <w:t>除法定串通之外，参与同一个采购包（标项）的投标人存在下列情形之一的，其投标无效：</w:t>
      </w:r>
    </w:p>
    <w:p w14:paraId="7A42770F">
      <w:pPr>
        <w:snapToGrid w:val="0"/>
        <w:spacing w:line="360" w:lineRule="auto"/>
        <w:ind w:firstLine="440" w:firstLineChars="200"/>
        <w:jc w:val="left"/>
        <w:rPr>
          <w:rFonts w:hint="eastAsia" w:ascii="宋体" w:hAnsi="宋体" w:eastAsia="宋体" w:cs="宋体"/>
          <w:bCs/>
          <w:color w:val="auto"/>
          <w:sz w:val="22"/>
          <w:szCs w:val="22"/>
          <w:highlight w:val="none"/>
          <w:u w:val="single"/>
          <w:lang w:val="zh-CN"/>
        </w:rPr>
      </w:pPr>
      <w:r>
        <w:rPr>
          <w:rFonts w:hint="eastAsia" w:ascii="宋体" w:hAnsi="宋体" w:eastAsia="宋体" w:cs="宋体"/>
          <w:bCs/>
          <w:color w:val="auto"/>
          <w:sz w:val="22"/>
          <w:szCs w:val="22"/>
          <w:highlight w:val="none"/>
          <w:u w:val="single"/>
          <w:lang w:eastAsia="zh-CN"/>
        </w:rPr>
        <w:t>（</w:t>
      </w:r>
      <w:r>
        <w:rPr>
          <w:rFonts w:hint="eastAsia" w:ascii="宋体" w:hAnsi="宋体" w:eastAsia="宋体" w:cs="宋体"/>
          <w:bCs/>
          <w:color w:val="auto"/>
          <w:sz w:val="22"/>
          <w:szCs w:val="22"/>
          <w:highlight w:val="none"/>
          <w:u w:val="single"/>
          <w:lang w:val="en-US" w:eastAsia="zh-CN"/>
        </w:rPr>
        <w:t>1</w:t>
      </w:r>
      <w:r>
        <w:rPr>
          <w:rFonts w:hint="eastAsia" w:ascii="宋体" w:hAnsi="宋体" w:eastAsia="宋体" w:cs="宋体"/>
          <w:bCs/>
          <w:color w:val="auto"/>
          <w:sz w:val="22"/>
          <w:szCs w:val="22"/>
          <w:highlight w:val="none"/>
          <w:u w:val="single"/>
          <w:lang w:eastAsia="zh-CN"/>
        </w:rPr>
        <w:t>）</w:t>
      </w:r>
      <w:r>
        <w:rPr>
          <w:rFonts w:hint="eastAsia" w:ascii="宋体" w:hAnsi="宋体" w:eastAsia="宋体" w:cs="宋体"/>
          <w:bCs/>
          <w:color w:val="auto"/>
          <w:sz w:val="22"/>
          <w:szCs w:val="22"/>
          <w:highlight w:val="none"/>
          <w:u w:val="single"/>
        </w:rPr>
        <w:t>不同供应商的电子投标（响应）文件上传计算机的网卡MAC地址或硬盘序列号等硬件信息相同的；</w:t>
      </w:r>
    </w:p>
    <w:p w14:paraId="38546E32">
      <w:pPr>
        <w:snapToGrid w:val="0"/>
        <w:spacing w:line="360"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lang w:eastAsia="zh-CN"/>
        </w:rPr>
        <w:t>（</w:t>
      </w:r>
      <w:r>
        <w:rPr>
          <w:rFonts w:hint="eastAsia" w:ascii="宋体" w:hAnsi="宋体" w:eastAsia="宋体" w:cs="宋体"/>
          <w:bCs/>
          <w:color w:val="auto"/>
          <w:sz w:val="22"/>
          <w:szCs w:val="22"/>
          <w:highlight w:val="none"/>
          <w:u w:val="single"/>
          <w:lang w:val="en-US" w:eastAsia="zh-CN"/>
        </w:rPr>
        <w:t>2</w:t>
      </w:r>
      <w:r>
        <w:rPr>
          <w:rFonts w:hint="eastAsia" w:ascii="宋体" w:hAnsi="宋体" w:eastAsia="宋体" w:cs="宋体"/>
          <w:bCs/>
          <w:color w:val="auto"/>
          <w:sz w:val="22"/>
          <w:szCs w:val="22"/>
          <w:highlight w:val="none"/>
          <w:u w:val="single"/>
          <w:lang w:eastAsia="zh-CN"/>
        </w:rPr>
        <w:t>）</w:t>
      </w:r>
      <w:r>
        <w:rPr>
          <w:rFonts w:hint="eastAsia" w:ascii="宋体" w:hAnsi="宋体" w:eastAsia="宋体" w:cs="宋体"/>
          <w:bCs/>
          <w:color w:val="auto"/>
          <w:sz w:val="22"/>
          <w:szCs w:val="22"/>
          <w:highlight w:val="none"/>
          <w:u w:val="single"/>
        </w:rPr>
        <w:t>上传的电子投标（响应）文件若出现使用本项目其他投标（响应）供应商的数字证书加密的，或者加盖本项目其他投标（响应）供应商的电子印章的；</w:t>
      </w:r>
    </w:p>
    <w:p w14:paraId="337D5E20">
      <w:pPr>
        <w:snapToGrid w:val="0"/>
        <w:spacing w:line="360" w:lineRule="auto"/>
        <w:ind w:firstLine="440" w:firstLineChars="200"/>
        <w:jc w:val="left"/>
        <w:rPr>
          <w:rFonts w:hint="eastAsia" w:ascii="宋体" w:hAnsi="宋体" w:eastAsia="宋体" w:cs="宋体"/>
          <w:bCs/>
          <w:color w:val="auto"/>
          <w:sz w:val="22"/>
          <w:szCs w:val="22"/>
          <w:highlight w:val="none"/>
          <w:u w:val="single"/>
          <w:lang w:val="zh-CN"/>
        </w:rPr>
      </w:pPr>
      <w:r>
        <w:rPr>
          <w:rFonts w:hint="eastAsia" w:ascii="宋体" w:hAnsi="宋体" w:eastAsia="宋体" w:cs="宋体"/>
          <w:bCs/>
          <w:color w:val="auto"/>
          <w:sz w:val="22"/>
          <w:szCs w:val="22"/>
          <w:highlight w:val="none"/>
          <w:u w:val="single"/>
          <w:lang w:eastAsia="zh-CN"/>
        </w:rPr>
        <w:t>（</w:t>
      </w:r>
      <w:r>
        <w:rPr>
          <w:rFonts w:hint="eastAsia" w:ascii="宋体" w:hAnsi="宋体" w:eastAsia="宋体" w:cs="宋体"/>
          <w:bCs/>
          <w:color w:val="auto"/>
          <w:sz w:val="22"/>
          <w:szCs w:val="22"/>
          <w:highlight w:val="none"/>
          <w:u w:val="single"/>
          <w:lang w:val="en-US" w:eastAsia="zh-CN"/>
        </w:rPr>
        <w:t>3</w:t>
      </w:r>
      <w:r>
        <w:rPr>
          <w:rFonts w:hint="eastAsia" w:ascii="宋体" w:hAnsi="宋体" w:eastAsia="宋体" w:cs="宋体"/>
          <w:bCs/>
          <w:color w:val="auto"/>
          <w:sz w:val="22"/>
          <w:szCs w:val="22"/>
          <w:highlight w:val="none"/>
          <w:u w:val="single"/>
          <w:lang w:eastAsia="zh-CN"/>
        </w:rPr>
        <w:t>）</w:t>
      </w:r>
      <w:r>
        <w:rPr>
          <w:rFonts w:hint="eastAsia" w:ascii="宋体" w:hAnsi="宋体" w:eastAsia="宋体" w:cs="宋体"/>
          <w:bCs/>
          <w:color w:val="auto"/>
          <w:sz w:val="22"/>
          <w:szCs w:val="22"/>
          <w:highlight w:val="none"/>
          <w:u w:val="single"/>
        </w:rPr>
        <w:t>不同供应商的投标（响应）文件的内容存在</w:t>
      </w:r>
      <w:r>
        <w:rPr>
          <w:rFonts w:hint="eastAsia" w:ascii="宋体" w:hAnsi="宋体" w:eastAsia="宋体" w:cs="宋体"/>
          <w:bCs/>
          <w:color w:val="auto"/>
          <w:sz w:val="22"/>
          <w:szCs w:val="22"/>
          <w:highlight w:val="none"/>
          <w:u w:val="single"/>
          <w:lang w:eastAsia="zh"/>
        </w:rPr>
        <w:t>3</w:t>
      </w:r>
      <w:r>
        <w:rPr>
          <w:rFonts w:hint="eastAsia" w:ascii="宋体" w:hAnsi="宋体" w:eastAsia="宋体" w:cs="宋体"/>
          <w:bCs/>
          <w:color w:val="auto"/>
          <w:sz w:val="22"/>
          <w:szCs w:val="22"/>
          <w:highlight w:val="none"/>
          <w:u w:val="single"/>
        </w:rPr>
        <w:t>处（含）以上错误一致的；</w:t>
      </w:r>
    </w:p>
    <w:p w14:paraId="1A769C1F">
      <w:pPr>
        <w:snapToGrid w:val="0"/>
        <w:spacing w:line="360" w:lineRule="auto"/>
        <w:ind w:firstLine="440" w:firstLineChars="200"/>
        <w:jc w:val="left"/>
        <w:rPr>
          <w:rFonts w:hint="eastAsia" w:ascii="宋体" w:hAnsi="宋体" w:eastAsia="宋体" w:cs="宋体"/>
          <w:bCs/>
          <w:color w:val="auto"/>
          <w:sz w:val="22"/>
          <w:szCs w:val="22"/>
          <w:highlight w:val="none"/>
          <w:u w:val="single"/>
          <w:lang w:val="zh-CN"/>
        </w:rPr>
      </w:pPr>
      <w:r>
        <w:rPr>
          <w:rFonts w:hint="eastAsia" w:ascii="宋体" w:hAnsi="宋体" w:eastAsia="宋体" w:cs="宋体"/>
          <w:bCs/>
          <w:color w:val="auto"/>
          <w:sz w:val="22"/>
          <w:szCs w:val="22"/>
          <w:highlight w:val="none"/>
          <w:u w:val="single"/>
          <w:lang w:val="zh-CN"/>
        </w:rPr>
        <w:t>（</w:t>
      </w:r>
      <w:r>
        <w:rPr>
          <w:rFonts w:hint="eastAsia" w:ascii="宋体" w:hAnsi="宋体" w:eastAsia="宋体" w:cs="宋体"/>
          <w:bCs/>
          <w:color w:val="auto"/>
          <w:sz w:val="22"/>
          <w:szCs w:val="22"/>
          <w:highlight w:val="none"/>
          <w:u w:val="single"/>
          <w:lang w:val="en-US" w:eastAsia="zh-CN"/>
        </w:rPr>
        <w:t>4</w:t>
      </w:r>
      <w:r>
        <w:rPr>
          <w:rFonts w:hint="eastAsia" w:ascii="宋体" w:hAnsi="宋体" w:eastAsia="宋体" w:cs="宋体"/>
          <w:bCs/>
          <w:color w:val="auto"/>
          <w:sz w:val="22"/>
          <w:szCs w:val="22"/>
          <w:highlight w:val="none"/>
          <w:u w:val="single"/>
          <w:lang w:val="zh-CN"/>
        </w:rPr>
        <w:t>）不同供应商联系人为同一人或不同联系人的联系电话一致的。</w:t>
      </w:r>
    </w:p>
    <w:p w14:paraId="0D5F04CF">
      <w:pPr>
        <w:snapToGrid w:val="0"/>
        <w:spacing w:line="360"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3.2.</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符合性审查其他要求见评标办法前附表。</w:t>
      </w:r>
    </w:p>
    <w:p w14:paraId="34BC1FDB">
      <w:pPr>
        <w:snapToGrid w:val="0"/>
        <w:spacing w:line="360"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3.2.</w:t>
      </w:r>
      <w:r>
        <w:rPr>
          <w:rFonts w:hint="eastAsia" w:ascii="宋体" w:hAnsi="宋体" w:eastAsia="宋体" w:cs="宋体"/>
          <w:bCs/>
          <w:color w:val="auto"/>
          <w:sz w:val="22"/>
          <w:szCs w:val="22"/>
          <w:highlight w:val="none"/>
          <w:lang w:val="en-US" w:eastAsia="zh-CN"/>
        </w:rPr>
        <w:t>6</w:t>
      </w:r>
      <w:r>
        <w:rPr>
          <w:rFonts w:hint="eastAsia" w:ascii="宋体" w:hAnsi="宋体" w:eastAsia="宋体" w:cs="宋体"/>
          <w:bCs/>
          <w:color w:val="auto"/>
          <w:sz w:val="22"/>
          <w:szCs w:val="22"/>
          <w:highlight w:val="none"/>
        </w:rPr>
        <w:t>实质上没有响应招标文件要求的投标将被否决，投标人不得通过修正或撤消不合要求的偏离或保留从而使其投标成为实质上响应的投标。</w:t>
      </w:r>
    </w:p>
    <w:p w14:paraId="4434646B">
      <w:pPr>
        <w:widowControl/>
        <w:tabs>
          <w:tab w:val="left" w:pos="900"/>
        </w:tabs>
        <w:snapToGrid w:val="0"/>
        <w:spacing w:line="360" w:lineRule="auto"/>
        <w:ind w:firstLine="440" w:firstLineChars="200"/>
        <w:jc w:val="left"/>
        <w:rPr>
          <w:rFonts w:hint="eastAsia" w:ascii="宋体" w:hAnsi="宋体" w:eastAsia="宋体" w:cs="宋体"/>
          <w:color w:val="auto"/>
          <w:sz w:val="22"/>
          <w:szCs w:val="22"/>
          <w:highlight w:val="none"/>
        </w:rPr>
      </w:pPr>
      <w:bookmarkStart w:id="423" w:name="_Toc31606"/>
      <w:bookmarkStart w:id="424" w:name="_Toc55375024"/>
      <w:bookmarkStart w:id="425" w:name="_Toc63189379"/>
      <w:bookmarkStart w:id="426" w:name="_Toc55302377"/>
      <w:bookmarkStart w:id="427" w:name="_Toc5724"/>
      <w:r>
        <w:rPr>
          <w:rFonts w:hint="eastAsia" w:ascii="宋体" w:hAnsi="宋体" w:eastAsia="宋体" w:cs="宋体"/>
          <w:color w:val="auto"/>
          <w:sz w:val="22"/>
          <w:szCs w:val="22"/>
          <w:highlight w:val="none"/>
        </w:rPr>
        <w:t>3.3比较与评价（适用于综合评分法）</w:t>
      </w:r>
      <w:bookmarkEnd w:id="423"/>
    </w:p>
    <w:bookmarkEnd w:id="424"/>
    <w:bookmarkEnd w:id="425"/>
    <w:bookmarkEnd w:id="426"/>
    <w:bookmarkEnd w:id="427"/>
    <w:p w14:paraId="01A9489B">
      <w:pPr>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3.3.1分值权重构成，见评标办法前附表。</w:t>
      </w:r>
    </w:p>
    <w:p w14:paraId="401030D6">
      <w:pPr>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3.3.2商务技术评分标准，见评标办法前附表。</w:t>
      </w:r>
    </w:p>
    <w:p w14:paraId="40548BE2">
      <w:pPr>
        <w:pStyle w:val="16"/>
        <w:snapToGrid w:val="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3</w:t>
      </w:r>
      <w:r>
        <w:rPr>
          <w:rFonts w:hint="eastAsia" w:ascii="宋体" w:hAnsi="宋体" w:eastAsia="宋体" w:cs="宋体"/>
          <w:color w:val="auto"/>
          <w:sz w:val="22"/>
          <w:szCs w:val="22"/>
          <w:highlight w:val="none"/>
        </w:rPr>
        <w:t>.3.3报价评分标准，见评标办法前附表。</w:t>
      </w:r>
    </w:p>
    <w:p w14:paraId="0911D59D">
      <w:pPr>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3.3.4评分分值计算保留小数点后两位，小数点后第三位“四舍五入”。</w:t>
      </w:r>
    </w:p>
    <w:p w14:paraId="67BEFF19">
      <w:pPr>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3.3.5投标人综合得分=商务技术得分+报价得分。</w:t>
      </w:r>
    </w:p>
    <w:p w14:paraId="2BF5B978">
      <w:pPr>
        <w:widowControl/>
        <w:tabs>
          <w:tab w:val="left" w:pos="900"/>
        </w:tabs>
        <w:snapToGrid w:val="0"/>
        <w:spacing w:line="360" w:lineRule="auto"/>
        <w:ind w:firstLine="442" w:firstLineChars="200"/>
        <w:jc w:val="left"/>
        <w:rPr>
          <w:rFonts w:hint="eastAsia" w:ascii="宋体" w:hAnsi="宋体" w:eastAsia="宋体" w:cs="宋体"/>
          <w:b/>
          <w:color w:val="auto"/>
          <w:sz w:val="22"/>
          <w:szCs w:val="22"/>
          <w:highlight w:val="none"/>
        </w:rPr>
      </w:pPr>
      <w:bookmarkStart w:id="428" w:name="_Toc63189380"/>
      <w:bookmarkStart w:id="429" w:name="_Toc55302378"/>
      <w:bookmarkStart w:id="430" w:name="_Toc11195"/>
      <w:bookmarkStart w:id="431" w:name="_Toc5272"/>
      <w:bookmarkStart w:id="432" w:name="_Toc55375025"/>
      <w:r>
        <w:rPr>
          <w:rFonts w:hint="eastAsia" w:ascii="宋体" w:hAnsi="宋体" w:eastAsia="宋体" w:cs="宋体"/>
          <w:b/>
          <w:color w:val="auto"/>
          <w:sz w:val="22"/>
          <w:szCs w:val="22"/>
          <w:highlight w:val="none"/>
        </w:rPr>
        <w:t>3.4投标文件的澄清</w:t>
      </w:r>
      <w:bookmarkEnd w:id="428"/>
      <w:bookmarkEnd w:id="429"/>
      <w:bookmarkEnd w:id="430"/>
      <w:bookmarkEnd w:id="431"/>
      <w:bookmarkEnd w:id="432"/>
    </w:p>
    <w:p w14:paraId="0ABC28B4">
      <w:pPr>
        <w:snapToGrid w:val="0"/>
        <w:spacing w:line="360"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3.4.1为有助于投标文件的审查、评价和比较，评标委员会可以在“政采云平台”在线询标或其他有效形式要求投标人对同一份投标文件含义不明确或同类问题表述不一致的内容（招标文件另有规定处理方法的除外）作必要的澄清或说明，投标人应采用在线回复或其他有效形式在询标规定时间内进行澄清或说明（需盖电子签名或公章）。</w:t>
      </w:r>
    </w:p>
    <w:p w14:paraId="5F4CB0E7">
      <w:pPr>
        <w:pStyle w:val="24"/>
        <w:snapToGrid w:val="0"/>
        <w:spacing w:before="0"/>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3.4.2投标文件报价出现前后不一致的，按照下列规定修正：</w:t>
      </w:r>
    </w:p>
    <w:p w14:paraId="0A1026AF">
      <w:pPr>
        <w:pStyle w:val="24"/>
        <w:snapToGrid w:val="0"/>
        <w:spacing w:before="0"/>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（1）投标文件中开标一览表(报价表)内容与投标文件中相应内容不一致的，以开标一览表(报价表)为准；</w:t>
      </w:r>
    </w:p>
    <w:p w14:paraId="16689D35">
      <w:pPr>
        <w:pStyle w:val="24"/>
        <w:snapToGrid w:val="0"/>
        <w:spacing w:before="0"/>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（2）大写金额和小写金额不一致的，以大写金额为准；</w:t>
      </w:r>
    </w:p>
    <w:p w14:paraId="4A63BD26">
      <w:pPr>
        <w:pStyle w:val="24"/>
        <w:snapToGrid w:val="0"/>
        <w:spacing w:before="0"/>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（3）单价金额小数点或者百分比有明显错位的，以开标一览表的总价为准，并修改单价；</w:t>
      </w:r>
    </w:p>
    <w:p w14:paraId="7B8FD590">
      <w:pPr>
        <w:pStyle w:val="24"/>
        <w:snapToGrid w:val="0"/>
        <w:spacing w:before="0"/>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（4）总价金额与按单价汇总金额不一致的，以单价金额计算结果为准。</w:t>
      </w:r>
    </w:p>
    <w:p w14:paraId="564186D2">
      <w:pPr>
        <w:pStyle w:val="24"/>
        <w:snapToGrid w:val="0"/>
        <w:spacing w:before="0"/>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r>
        <w:rPr>
          <w:rFonts w:hint="eastAsia" w:ascii="宋体" w:hAnsi="宋体" w:eastAsia="宋体" w:cs="宋体"/>
          <w:color w:val="auto"/>
          <w:sz w:val="22"/>
          <w:highlight w:val="none"/>
        </w:rPr>
        <w:t>客户端填写的报价与以pdf格式上传文件中的报价不一致的，应以Pdf格式上传文件中的报价为准。</w:t>
      </w:r>
    </w:p>
    <w:p w14:paraId="599EEFAC">
      <w:pPr>
        <w:snapToGrid w:val="0"/>
        <w:spacing w:line="360" w:lineRule="auto"/>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kern w:val="0"/>
          <w:sz w:val="22"/>
          <w:szCs w:val="22"/>
          <w:highlight w:val="none"/>
        </w:rPr>
        <w:t>（6）同时出现两种以上不一致的，按照上述规定的顺序修正。</w:t>
      </w:r>
      <w:r>
        <w:rPr>
          <w:rFonts w:hint="eastAsia" w:ascii="宋体" w:hAnsi="宋体" w:eastAsia="宋体" w:cs="宋体"/>
          <w:color w:val="auto"/>
          <w:sz w:val="22"/>
          <w:szCs w:val="22"/>
          <w:highlight w:val="none"/>
        </w:rPr>
        <w:t>修正后的报价经投标人确认后产生约束力，投标人不确认的，其投标无效</w:t>
      </w:r>
      <w:r>
        <w:rPr>
          <w:rFonts w:hint="eastAsia" w:ascii="宋体" w:hAnsi="宋体" w:eastAsia="宋体" w:cs="宋体"/>
          <w:color w:val="auto"/>
          <w:kern w:val="0"/>
          <w:sz w:val="22"/>
          <w:szCs w:val="22"/>
          <w:highlight w:val="none"/>
        </w:rPr>
        <w:t>。</w:t>
      </w:r>
    </w:p>
    <w:p w14:paraId="6988D284">
      <w:pPr>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3.4.3澄清、说明或补正不得超出投标文件的范围且不得改变投标文件的实质性内容，并构成投标文件的组成部分。</w:t>
      </w:r>
    </w:p>
    <w:p w14:paraId="1EE73C16">
      <w:pPr>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3.4.4评标委员会对投标人提交的澄清、说明或补正有疑问的，可以要求投标人进一步澄清、说明或补正，直至满足评标委员会的要求。</w:t>
      </w:r>
    </w:p>
    <w:p w14:paraId="7918BA3F">
      <w:pPr>
        <w:snapToGrid w:val="0"/>
        <w:spacing w:line="360" w:lineRule="auto"/>
        <w:jc w:val="left"/>
        <w:rPr>
          <w:rStyle w:val="22"/>
          <w:rFonts w:hint="eastAsia" w:ascii="宋体" w:hAnsi="宋体" w:eastAsia="宋体" w:cs="宋体"/>
          <w:color w:val="auto"/>
          <w:sz w:val="22"/>
          <w:szCs w:val="22"/>
          <w:highlight w:val="none"/>
        </w:rPr>
      </w:pPr>
      <w:bookmarkStart w:id="433" w:name="_Toc63189381"/>
      <w:bookmarkStart w:id="434" w:name="_Toc11850"/>
      <w:bookmarkStart w:id="435" w:name="_Toc55302379"/>
      <w:r>
        <w:rPr>
          <w:rStyle w:val="22"/>
          <w:rFonts w:hint="eastAsia" w:ascii="宋体" w:hAnsi="宋体" w:eastAsia="宋体" w:cs="宋体"/>
          <w:color w:val="auto"/>
          <w:sz w:val="22"/>
          <w:szCs w:val="22"/>
          <w:highlight w:val="none"/>
          <w:lang w:val="en-US"/>
        </w:rPr>
        <w:t>4</w:t>
      </w:r>
      <w:r>
        <w:rPr>
          <w:rStyle w:val="22"/>
          <w:rFonts w:hint="eastAsia" w:ascii="宋体" w:hAnsi="宋体" w:eastAsia="宋体" w:cs="宋体"/>
          <w:color w:val="auto"/>
          <w:sz w:val="22"/>
          <w:szCs w:val="22"/>
          <w:highlight w:val="none"/>
        </w:rPr>
        <w:t>.评标结果</w:t>
      </w:r>
      <w:bookmarkEnd w:id="433"/>
      <w:bookmarkEnd w:id="434"/>
      <w:bookmarkEnd w:id="435"/>
    </w:p>
    <w:p w14:paraId="3CC9502B">
      <w:pPr>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4.1采用综合评分法的，评标委员会按照投标人综合得分由高到低的顺序</w:t>
      </w:r>
      <w:r>
        <w:rPr>
          <w:rFonts w:hint="eastAsia" w:ascii="宋体" w:hAnsi="宋体" w:eastAsia="宋体" w:cs="宋体"/>
          <w:color w:val="auto"/>
          <w:sz w:val="22"/>
          <w:highlight w:val="none"/>
        </w:rPr>
        <w:t>推荐不少于2名中标候选人</w:t>
      </w:r>
      <w:r>
        <w:rPr>
          <w:rFonts w:hint="eastAsia" w:ascii="宋体" w:hAnsi="宋体" w:eastAsia="宋体" w:cs="宋体"/>
          <w:color w:val="auto"/>
          <w:sz w:val="22"/>
          <w:szCs w:val="22"/>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14:paraId="40EDD383">
      <w:pPr>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 xml:space="preserve">4.2 </w:t>
      </w:r>
      <w:r>
        <w:rPr>
          <w:rFonts w:hint="eastAsia" w:ascii="宋体" w:hAnsi="宋体" w:eastAsia="宋体" w:cs="宋体"/>
          <w:color w:val="auto"/>
          <w:kern w:val="0"/>
          <w:sz w:val="22"/>
          <w:szCs w:val="22"/>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5169524">
      <w:pPr>
        <w:snapToGrid w:val="0"/>
        <w:spacing w:line="360" w:lineRule="auto"/>
        <w:jc w:val="left"/>
        <w:rPr>
          <w:rStyle w:val="22"/>
          <w:rFonts w:hint="eastAsia" w:ascii="宋体" w:hAnsi="宋体" w:eastAsia="宋体" w:cs="宋体"/>
          <w:color w:val="auto"/>
          <w:sz w:val="22"/>
          <w:szCs w:val="22"/>
          <w:highlight w:val="none"/>
        </w:rPr>
      </w:pPr>
      <w:r>
        <w:rPr>
          <w:rStyle w:val="22"/>
          <w:rFonts w:hint="eastAsia" w:ascii="宋体" w:hAnsi="宋体" w:eastAsia="宋体" w:cs="宋体"/>
          <w:color w:val="auto"/>
          <w:sz w:val="22"/>
          <w:szCs w:val="22"/>
          <w:highlight w:val="none"/>
          <w:lang w:val="en-US"/>
        </w:rPr>
        <w:t>5.</w:t>
      </w:r>
      <w:r>
        <w:rPr>
          <w:rStyle w:val="22"/>
          <w:rFonts w:hint="eastAsia" w:ascii="宋体" w:hAnsi="宋体" w:eastAsia="宋体" w:cs="宋体"/>
          <w:color w:val="auto"/>
          <w:sz w:val="22"/>
          <w:szCs w:val="22"/>
          <w:highlight w:val="none"/>
        </w:rPr>
        <w:t>其他</w:t>
      </w:r>
    </w:p>
    <w:p w14:paraId="6D025DEF">
      <w:pPr>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5.1废标</w:t>
      </w:r>
    </w:p>
    <w:p w14:paraId="58A31C2B">
      <w:pPr>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根据《中华人民共和国政府采购法》第三十六条之规定，在采购中，出现下列情形之一的，应予废标：</w:t>
      </w:r>
    </w:p>
    <w:p w14:paraId="1ADAE8AC">
      <w:pPr>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（1）符合专业条件的投标人或者对招标文件作实质响应的投标人不足3家的；</w:t>
      </w:r>
    </w:p>
    <w:p w14:paraId="7CD86947">
      <w:pPr>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（2）出现影响采购公正的违法、违规行为的；</w:t>
      </w:r>
    </w:p>
    <w:p w14:paraId="20F2772F">
      <w:pPr>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（3）投标人的报价均超过了采购预算，采购人不能支付的；</w:t>
      </w:r>
    </w:p>
    <w:p w14:paraId="083D679D">
      <w:pPr>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（4）因重大变故，采购任务取消的。</w:t>
      </w:r>
    </w:p>
    <w:p w14:paraId="39FDDF28">
      <w:pPr>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废标后，采购机构应当将废标理由通知所有投标人。</w:t>
      </w:r>
    </w:p>
    <w:p w14:paraId="1717FA14">
      <w:pPr>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5.2修改招标文件，重新组织采购活动。</w:t>
      </w:r>
    </w:p>
    <w:p w14:paraId="69CC4DB2">
      <w:pPr>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bookmarkEnd w:id="416"/>
    </w:p>
    <w:bookmarkEnd w:id="417"/>
    <w:p w14:paraId="4A12B263">
      <w:pPr>
        <w:pStyle w:val="6"/>
        <w:snapToGrid w:val="0"/>
        <w:spacing w:line="360" w:lineRule="auto"/>
        <w:ind w:firstLine="0" w:firstLineChars="0"/>
        <w:rPr>
          <w:rFonts w:hint="eastAsia" w:ascii="宋体" w:hAnsi="宋体" w:eastAsia="宋体" w:cs="宋体"/>
          <w:color w:val="auto"/>
          <w:highlight w:val="none"/>
        </w:rPr>
      </w:pPr>
    </w:p>
    <w:bookmarkEnd w:id="48"/>
    <w:p w14:paraId="7A499C6F">
      <w:pPr>
        <w:pStyle w:val="2"/>
        <w:ind w:left="852"/>
        <w:jc w:val="center"/>
        <w:rPr>
          <w:rFonts w:hint="eastAsia" w:ascii="宋体" w:hAnsi="宋体" w:eastAsia="宋体" w:cs="宋体"/>
          <w:color w:val="auto"/>
          <w:highlight w:val="none"/>
        </w:rPr>
      </w:pPr>
      <w:bookmarkStart w:id="436" w:name="第五部分"/>
      <w:bookmarkStart w:id="437" w:name="_Toc86217003"/>
      <w:r>
        <w:rPr>
          <w:rFonts w:hint="eastAsia" w:ascii="宋体" w:hAnsi="宋体" w:eastAsia="宋体" w:cs="宋体"/>
          <w:color w:val="auto"/>
          <w:highlight w:val="none"/>
        </w:rPr>
        <w:br w:type="page"/>
      </w:r>
      <w:bookmarkStart w:id="438" w:name="_Toc15516"/>
      <w:r>
        <w:rPr>
          <w:rFonts w:hint="eastAsia" w:ascii="宋体" w:hAnsi="宋体" w:eastAsia="宋体" w:cs="宋体"/>
          <w:color w:val="auto"/>
          <w:highlight w:val="none"/>
        </w:rPr>
        <w:t>第五部分 拟签订的合同文本</w:t>
      </w:r>
      <w:bookmarkEnd w:id="438"/>
    </w:p>
    <w:p w14:paraId="776D69FA">
      <w:pPr>
        <w:spacing w:line="480" w:lineRule="auto"/>
        <w:jc w:val="center"/>
        <w:rPr>
          <w:rFonts w:hint="default" w:ascii="宋体" w:hAnsi="宋体" w:eastAsia="宋体" w:cs="宋体"/>
          <w:b/>
          <w:color w:val="auto"/>
          <w:sz w:val="36"/>
          <w:szCs w:val="36"/>
          <w:highlight w:val="none"/>
          <w:lang w:val="en-US"/>
        </w:rPr>
      </w:pPr>
      <w:r>
        <w:rPr>
          <w:rFonts w:hint="eastAsia" w:ascii="宋体" w:hAnsi="宋体" w:eastAsia="宋体" w:cs="宋体"/>
          <w:b/>
          <w:color w:val="auto"/>
          <w:sz w:val="36"/>
          <w:szCs w:val="36"/>
          <w:highlight w:val="none"/>
          <w:lang w:val="en-US" w:eastAsia="zh-CN"/>
        </w:rPr>
        <w:t>浙江农林大学元素分析仪合同</w:t>
      </w:r>
    </w:p>
    <w:p w14:paraId="3F69DCA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国产合同</w:t>
      </w:r>
      <w:r>
        <w:rPr>
          <w:rFonts w:hint="eastAsia" w:ascii="宋体" w:hAnsi="宋体" w:eastAsia="宋体" w:cs="宋体"/>
          <w:b/>
          <w:color w:val="auto"/>
          <w:sz w:val="28"/>
          <w:szCs w:val="28"/>
          <w:highlight w:val="none"/>
        </w:rPr>
        <w:t>）</w:t>
      </w:r>
    </w:p>
    <w:p w14:paraId="3E9E90A2">
      <w:pPr>
        <w:snapToGrid w:val="0"/>
        <w:spacing w:line="400" w:lineRule="exact"/>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采购编号：                                                          合同编号：</w:t>
      </w:r>
    </w:p>
    <w:p w14:paraId="42E9F8F7">
      <w:pPr>
        <w:snapToGrid w:val="0"/>
        <w:spacing w:line="400" w:lineRule="exact"/>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确认书号：</w:t>
      </w:r>
    </w:p>
    <w:p w14:paraId="21560219">
      <w:pPr>
        <w:snapToGrid w:val="0"/>
        <w:spacing w:line="400" w:lineRule="exact"/>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甲方：</w:t>
      </w:r>
      <w:r>
        <w:rPr>
          <w:rFonts w:hint="eastAsia" w:ascii="宋体" w:hAnsi="宋体" w:eastAsia="宋体" w:cs="宋体"/>
          <w:color w:val="auto"/>
          <w:sz w:val="22"/>
          <w:szCs w:val="22"/>
          <w:highlight w:val="none"/>
          <w:u w:val="none"/>
        </w:rPr>
        <w:t>浙江农林大学</w:t>
      </w:r>
    </w:p>
    <w:p w14:paraId="415A1E17">
      <w:pPr>
        <w:snapToGrid w:val="0"/>
        <w:spacing w:line="400" w:lineRule="exact"/>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乙方：</w:t>
      </w:r>
    </w:p>
    <w:p w14:paraId="6D2EC29C">
      <w:pPr>
        <w:snapToGrid w:val="0"/>
        <w:spacing w:line="400" w:lineRule="exact"/>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采购代理机构：浙江乐诚工程咨询有限公司</w:t>
      </w:r>
    </w:p>
    <w:p w14:paraId="5922CB1F">
      <w:pPr>
        <w:snapToGrid w:val="0"/>
        <w:spacing w:line="400" w:lineRule="exact"/>
        <w:rPr>
          <w:rFonts w:hint="default"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签约时间、地点：2025年  月   日、浙江农林大学</w:t>
      </w:r>
    </w:p>
    <w:p w14:paraId="1E6B0140">
      <w:pPr>
        <w:pageBreakBefore w:val="0"/>
        <w:widowControl w:val="0"/>
        <w:kinsoku/>
        <w:wordWrap/>
        <w:overflowPunct/>
        <w:topLinePunct w:val="0"/>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b/>
          <w:color w:val="auto"/>
          <w:spacing w:val="-6"/>
          <w:sz w:val="22"/>
          <w:szCs w:val="22"/>
          <w:highlight w:val="none"/>
        </w:rPr>
        <w:t xml:space="preserve">    </w:t>
      </w:r>
      <w:r>
        <w:rPr>
          <w:rFonts w:hint="eastAsia" w:ascii="宋体" w:hAnsi="宋体" w:eastAsia="宋体" w:cs="宋体"/>
          <w:color w:val="auto"/>
          <w:sz w:val="22"/>
          <w:szCs w:val="22"/>
          <w:highlight w:val="none"/>
          <w:u w:val="single"/>
          <w:lang w:eastAsia="zh-CN"/>
        </w:rPr>
        <w:t>2025</w:t>
      </w:r>
      <w:r>
        <w:rPr>
          <w:rFonts w:hint="eastAsia" w:ascii="宋体" w:hAnsi="宋体" w:eastAsia="宋体" w:cs="宋体"/>
          <w:color w:val="auto"/>
          <w:sz w:val="22"/>
          <w:szCs w:val="22"/>
          <w:highlight w:val="none"/>
          <w:lang w:val="zh-CN"/>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lang w:val="zh-CN"/>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lang w:val="zh-CN"/>
        </w:rPr>
        <w:t>日</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浙江农林大学 </w:t>
      </w:r>
      <w:r>
        <w:rPr>
          <w:rFonts w:hint="eastAsia" w:ascii="宋体" w:hAnsi="宋体" w:eastAsia="宋体" w:cs="宋体"/>
          <w:color w:val="auto"/>
          <w:sz w:val="22"/>
          <w:szCs w:val="22"/>
          <w:highlight w:val="none"/>
        </w:rPr>
        <w:t>以</w:t>
      </w:r>
      <w:r>
        <w:rPr>
          <w:rFonts w:hint="eastAsia" w:ascii="宋体" w:hAnsi="宋体" w:eastAsia="宋体" w:cs="宋体"/>
          <w:color w:val="auto"/>
          <w:sz w:val="22"/>
          <w:szCs w:val="22"/>
          <w:highlight w:val="none"/>
          <w:u w:val="single"/>
        </w:rPr>
        <w:t xml:space="preserve">公开招标 </w:t>
      </w: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u w:val="single"/>
          <w:lang w:eastAsia="zh-CN"/>
        </w:rPr>
        <w:t>元素分析仪</w:t>
      </w:r>
      <w:r>
        <w:rPr>
          <w:rFonts w:hint="eastAsia" w:ascii="宋体" w:hAnsi="宋体" w:eastAsia="宋体" w:cs="宋体"/>
          <w:color w:val="auto"/>
          <w:sz w:val="22"/>
          <w:szCs w:val="22"/>
          <w:highlight w:val="none"/>
          <w:u w:val="single"/>
        </w:rPr>
        <w:t>（项目编号：</w:t>
      </w:r>
      <w:r>
        <w:rPr>
          <w:rFonts w:hint="eastAsia" w:ascii="宋体" w:hAnsi="宋体" w:eastAsia="宋体" w:cs="宋体"/>
          <w:color w:val="auto"/>
          <w:sz w:val="22"/>
          <w:szCs w:val="22"/>
          <w:highlight w:val="none"/>
          <w:u w:val="single"/>
          <w:lang w:eastAsia="zh-CN"/>
        </w:rPr>
        <w:t>ZJYC2025103(GK)</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rPr>
        <w:t>项目进行了采购。经</w:t>
      </w:r>
      <w:r>
        <w:rPr>
          <w:rFonts w:hint="eastAsia" w:ascii="宋体" w:hAnsi="宋体" w:eastAsia="宋体" w:cs="宋体"/>
          <w:color w:val="auto"/>
          <w:sz w:val="22"/>
          <w:szCs w:val="22"/>
          <w:highlight w:val="none"/>
          <w:u w:val="single"/>
        </w:rPr>
        <w:t xml:space="preserve">  评审小组  </w:t>
      </w:r>
      <w:r>
        <w:rPr>
          <w:rFonts w:hint="eastAsia" w:ascii="宋体" w:hAnsi="宋体" w:eastAsia="宋体" w:cs="宋体"/>
          <w:color w:val="auto"/>
          <w:sz w:val="22"/>
          <w:szCs w:val="22"/>
          <w:highlight w:val="none"/>
        </w:rPr>
        <w:t>评定，</w:t>
      </w:r>
      <w:r>
        <w:rPr>
          <w:rFonts w:hint="eastAsia" w:ascii="宋体" w:hAnsi="宋体" w:eastAsia="宋体" w:cs="宋体"/>
          <w:color w:val="auto"/>
          <w:sz w:val="22"/>
          <w:szCs w:val="22"/>
          <w:highlight w:val="none"/>
          <w:u w:val="single"/>
        </w:rPr>
        <w:t xml:space="preserve"> （中标人名称）</w:t>
      </w:r>
      <w:r>
        <w:rPr>
          <w:rFonts w:hint="eastAsia" w:ascii="宋体" w:hAnsi="宋体" w:eastAsia="宋体" w:cs="宋体"/>
          <w:color w:val="auto"/>
          <w:sz w:val="22"/>
          <w:szCs w:val="22"/>
          <w:highlight w:val="none"/>
        </w:rPr>
        <w:t>为该项目中标人。现于中标通知书发出之日起30日内，按照采购文件确定的事项签订本合同。</w:t>
      </w:r>
    </w:p>
    <w:p w14:paraId="5DBABA54">
      <w:pPr>
        <w:pageBreakBefore w:val="0"/>
        <w:widowControl w:val="0"/>
        <w:kinsoku/>
        <w:wordWrap/>
        <w:overflowPunct/>
        <w:topLinePunct w:val="0"/>
        <w:bidi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2"/>
          <w:szCs w:val="22"/>
          <w:highlight w:val="none"/>
          <w:u w:val="single"/>
        </w:rPr>
        <w:t xml:space="preserve">浙江农林大学 </w:t>
      </w:r>
      <w:r>
        <w:rPr>
          <w:rFonts w:hint="eastAsia" w:ascii="宋体" w:hAnsi="宋体" w:eastAsia="宋体" w:cs="宋体"/>
          <w:color w:val="auto"/>
          <w:sz w:val="22"/>
          <w:szCs w:val="22"/>
          <w:highlight w:val="none"/>
          <w:lang w:val="zh-CN"/>
        </w:rPr>
        <w:t>(以下简称：甲方)和</w:t>
      </w:r>
      <w:r>
        <w:rPr>
          <w:rFonts w:hint="eastAsia" w:ascii="宋体" w:hAnsi="宋体" w:eastAsia="宋体" w:cs="宋体"/>
          <w:color w:val="auto"/>
          <w:sz w:val="22"/>
          <w:szCs w:val="22"/>
          <w:highlight w:val="none"/>
          <w:u w:val="single"/>
        </w:rPr>
        <w:t xml:space="preserve">  （中标人名称）</w:t>
      </w:r>
      <w:r>
        <w:rPr>
          <w:rFonts w:hint="eastAsia" w:ascii="宋体" w:hAnsi="宋体" w:eastAsia="宋体" w:cs="宋体"/>
          <w:color w:val="auto"/>
          <w:sz w:val="22"/>
          <w:szCs w:val="22"/>
          <w:highlight w:val="none"/>
          <w:lang w:val="zh-CN"/>
        </w:rPr>
        <w:t>(以下简称：乙方)协商一致，约定以下合同</w:t>
      </w:r>
      <w:r>
        <w:rPr>
          <w:rFonts w:hint="eastAsia" w:ascii="宋体" w:hAnsi="宋体" w:eastAsia="宋体" w:cs="宋体"/>
          <w:color w:val="auto"/>
          <w:sz w:val="22"/>
          <w:szCs w:val="22"/>
          <w:highlight w:val="none"/>
        </w:rPr>
        <w:t>条款，以兹共同遵守、全面履行。</w:t>
      </w:r>
    </w:p>
    <w:p w14:paraId="45A29984">
      <w:pPr>
        <w:pageBreakBefore w:val="0"/>
        <w:widowControl w:val="0"/>
        <w:kinsoku/>
        <w:wordWrap/>
        <w:overflowPunct/>
        <w:topLinePunct w:val="0"/>
        <w:bidi w:val="0"/>
        <w:spacing w:line="400" w:lineRule="exact"/>
        <w:textAlignment w:val="auto"/>
        <w:outlineLvl w:val="0"/>
        <w:rPr>
          <w:rFonts w:hint="eastAsia" w:ascii="宋体" w:hAnsi="宋体" w:eastAsia="宋体" w:cs="宋体"/>
          <w:color w:val="auto"/>
          <w:sz w:val="22"/>
          <w:szCs w:val="22"/>
          <w:highlight w:val="none"/>
        </w:rPr>
      </w:pPr>
      <w:bookmarkStart w:id="439" w:name="_Toc22967"/>
      <w:bookmarkStart w:id="440" w:name="_Toc15367"/>
      <w:bookmarkStart w:id="441" w:name="_Toc28855"/>
      <w:bookmarkStart w:id="442" w:name="_Toc19273"/>
      <w:bookmarkStart w:id="443" w:name="_Toc25639"/>
      <w:bookmarkStart w:id="444" w:name="_Toc20421"/>
      <w:r>
        <w:rPr>
          <w:rFonts w:hint="eastAsia" w:ascii="宋体" w:hAnsi="宋体" w:eastAsia="宋体" w:cs="宋体"/>
          <w:b/>
          <w:color w:val="auto"/>
          <w:sz w:val="22"/>
          <w:szCs w:val="22"/>
          <w:highlight w:val="none"/>
        </w:rPr>
        <w:t>第一条：合同组成部分</w:t>
      </w:r>
      <w:bookmarkEnd w:id="439"/>
      <w:bookmarkEnd w:id="440"/>
      <w:bookmarkEnd w:id="441"/>
      <w:bookmarkEnd w:id="442"/>
      <w:bookmarkEnd w:id="443"/>
      <w:bookmarkEnd w:id="444"/>
    </w:p>
    <w:p w14:paraId="5752C4A5">
      <w:pPr>
        <w:pageBreakBefore w:val="0"/>
        <w:widowControl w:val="0"/>
        <w:kinsoku/>
        <w:wordWrap/>
        <w:overflowPunct/>
        <w:topLinePunct w:val="0"/>
        <w:bidi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3E4E754">
      <w:pPr>
        <w:pageBreakBefore w:val="0"/>
        <w:widowControl w:val="0"/>
        <w:kinsoku/>
        <w:wordWrap/>
        <w:overflowPunct/>
        <w:topLinePunct w:val="0"/>
        <w:bidi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1.本合同及其补充合同、变更协议；</w:t>
      </w:r>
    </w:p>
    <w:p w14:paraId="1B105FE1">
      <w:pPr>
        <w:pageBreakBefore w:val="0"/>
        <w:widowControl w:val="0"/>
        <w:kinsoku/>
        <w:wordWrap/>
        <w:overflowPunct/>
        <w:topLinePunct w:val="0"/>
        <w:bidi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2.中标通知书；</w:t>
      </w:r>
    </w:p>
    <w:p w14:paraId="67C73985">
      <w:pPr>
        <w:pageBreakBefore w:val="0"/>
        <w:widowControl w:val="0"/>
        <w:kinsoku/>
        <w:wordWrap/>
        <w:overflowPunct/>
        <w:topLinePunct w:val="0"/>
        <w:bidi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3.投标或者响应文件（含澄清或者说明文件）；</w:t>
      </w:r>
    </w:p>
    <w:p w14:paraId="1608C97F">
      <w:pPr>
        <w:pageBreakBefore w:val="0"/>
        <w:widowControl w:val="0"/>
        <w:kinsoku/>
        <w:wordWrap/>
        <w:overflowPunct/>
        <w:topLinePunct w:val="0"/>
        <w:bidi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4.采购文件（含澄清或者修改文件）；</w:t>
      </w:r>
    </w:p>
    <w:p w14:paraId="6A74D20B">
      <w:pPr>
        <w:pageBreakBefore w:val="0"/>
        <w:widowControl w:val="0"/>
        <w:kinsoku/>
        <w:wordWrap/>
        <w:overflowPunct/>
        <w:topLinePunct w:val="0"/>
        <w:bidi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5.其他相关采购文件。</w:t>
      </w:r>
    </w:p>
    <w:p w14:paraId="4C9A7C2F">
      <w:pPr>
        <w:pageBreakBefore w:val="0"/>
        <w:widowControl w:val="0"/>
        <w:kinsoku/>
        <w:wordWrap/>
        <w:overflowPunct/>
        <w:topLinePunct w:val="0"/>
        <w:bidi w:val="0"/>
        <w:spacing w:line="400" w:lineRule="exac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pacing w:val="-6"/>
          <w:sz w:val="22"/>
          <w:szCs w:val="22"/>
          <w:highlight w:val="none"/>
        </w:rPr>
        <w:t>第二条：</w:t>
      </w:r>
      <w:r>
        <w:rPr>
          <w:rFonts w:hint="eastAsia" w:ascii="宋体" w:hAnsi="宋体" w:eastAsia="宋体" w:cs="宋体"/>
          <w:b/>
          <w:color w:val="auto"/>
          <w:sz w:val="22"/>
          <w:szCs w:val="22"/>
          <w:highlight w:val="none"/>
        </w:rPr>
        <w:t>采购产品内容及合同价格</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67"/>
        <w:gridCol w:w="1941"/>
        <w:gridCol w:w="477"/>
        <w:gridCol w:w="1049"/>
        <w:gridCol w:w="855"/>
        <w:gridCol w:w="1755"/>
        <w:gridCol w:w="1812"/>
      </w:tblGrid>
      <w:tr w14:paraId="3A6A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noWrap w:val="0"/>
            <w:vAlign w:val="center"/>
          </w:tcPr>
          <w:p w14:paraId="0C2B716B">
            <w:pPr>
              <w:pageBreakBefore w:val="0"/>
              <w:widowControl w:val="0"/>
              <w:kinsoku/>
              <w:wordWrap/>
              <w:overflowPunct/>
              <w:topLinePunct w:val="0"/>
              <w:bidi w:val="0"/>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167" w:type="dxa"/>
            <w:noWrap w:val="0"/>
            <w:vAlign w:val="center"/>
          </w:tcPr>
          <w:p w14:paraId="6601B726">
            <w:pPr>
              <w:pageBreakBefore w:val="0"/>
              <w:widowControl w:val="0"/>
              <w:kinsoku/>
              <w:wordWrap/>
              <w:overflowPunct/>
              <w:topLinePunct w:val="0"/>
              <w:bidi w:val="0"/>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设备名称</w:t>
            </w:r>
          </w:p>
        </w:tc>
        <w:tc>
          <w:tcPr>
            <w:tcW w:w="1941" w:type="dxa"/>
            <w:noWrap w:val="0"/>
            <w:vAlign w:val="center"/>
          </w:tcPr>
          <w:p w14:paraId="3832CE59">
            <w:pPr>
              <w:pageBreakBefore w:val="0"/>
              <w:widowControl w:val="0"/>
              <w:kinsoku/>
              <w:wordWrap/>
              <w:overflowPunct/>
              <w:topLinePunct w:val="0"/>
              <w:bidi w:val="0"/>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型号和规格</w:t>
            </w:r>
          </w:p>
        </w:tc>
        <w:tc>
          <w:tcPr>
            <w:tcW w:w="477" w:type="dxa"/>
            <w:noWrap w:val="0"/>
            <w:vAlign w:val="center"/>
          </w:tcPr>
          <w:p w14:paraId="2EBD4445">
            <w:pPr>
              <w:pageBreakBefore w:val="0"/>
              <w:widowControl w:val="0"/>
              <w:kinsoku/>
              <w:wordWrap/>
              <w:overflowPunct/>
              <w:topLinePunct w:val="0"/>
              <w:bidi w:val="0"/>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1049" w:type="dxa"/>
            <w:noWrap w:val="0"/>
            <w:vAlign w:val="center"/>
          </w:tcPr>
          <w:p w14:paraId="0FB5D439">
            <w:pPr>
              <w:pageBreakBefore w:val="0"/>
              <w:widowControl w:val="0"/>
              <w:kinsoku/>
              <w:wordWrap/>
              <w:overflowPunct/>
              <w:topLinePunct w:val="0"/>
              <w:bidi w:val="0"/>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品牌及厂家</w:t>
            </w:r>
          </w:p>
        </w:tc>
        <w:tc>
          <w:tcPr>
            <w:tcW w:w="855" w:type="dxa"/>
            <w:noWrap w:val="0"/>
            <w:vAlign w:val="center"/>
          </w:tcPr>
          <w:p w14:paraId="2C240037">
            <w:pPr>
              <w:pageBreakBefore w:val="0"/>
              <w:widowControl w:val="0"/>
              <w:kinsoku/>
              <w:wordWrap/>
              <w:overflowPunct/>
              <w:topLinePunct w:val="0"/>
              <w:bidi w:val="0"/>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产地</w:t>
            </w:r>
          </w:p>
        </w:tc>
        <w:tc>
          <w:tcPr>
            <w:tcW w:w="1755" w:type="dxa"/>
            <w:noWrap w:val="0"/>
            <w:vAlign w:val="center"/>
          </w:tcPr>
          <w:p w14:paraId="5DE0B727">
            <w:pPr>
              <w:pageBreakBefore w:val="0"/>
              <w:widowControl w:val="0"/>
              <w:kinsoku/>
              <w:wordWrap/>
              <w:overflowPunct/>
              <w:topLinePunct w:val="0"/>
              <w:bidi w:val="0"/>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人民币</w:t>
            </w:r>
          </w:p>
          <w:p w14:paraId="58A4D6ED">
            <w:pPr>
              <w:pageBreakBefore w:val="0"/>
              <w:widowControl w:val="0"/>
              <w:kinsoku/>
              <w:wordWrap/>
              <w:overflowPunct/>
              <w:topLinePunct w:val="0"/>
              <w:bidi w:val="0"/>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单价</w:t>
            </w:r>
          </w:p>
        </w:tc>
        <w:tc>
          <w:tcPr>
            <w:tcW w:w="1812" w:type="dxa"/>
            <w:noWrap w:val="0"/>
            <w:vAlign w:val="center"/>
          </w:tcPr>
          <w:p w14:paraId="10C6F0A3">
            <w:pPr>
              <w:pageBreakBefore w:val="0"/>
              <w:widowControl w:val="0"/>
              <w:kinsoku/>
              <w:wordWrap/>
              <w:overflowPunct/>
              <w:topLinePunct w:val="0"/>
              <w:bidi w:val="0"/>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人民币小计</w:t>
            </w:r>
          </w:p>
        </w:tc>
      </w:tr>
      <w:tr w14:paraId="053F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72" w:type="dxa"/>
            <w:noWrap w:val="0"/>
            <w:vAlign w:val="center"/>
          </w:tcPr>
          <w:p w14:paraId="4F36877A">
            <w:pPr>
              <w:pageBreakBefore w:val="0"/>
              <w:widowControl w:val="0"/>
              <w:kinsoku/>
              <w:wordWrap/>
              <w:overflowPunct/>
              <w:topLinePunct w:val="0"/>
              <w:bidi w:val="0"/>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167" w:type="dxa"/>
            <w:noWrap w:val="0"/>
            <w:vAlign w:val="center"/>
          </w:tcPr>
          <w:p w14:paraId="5E087F26">
            <w:pPr>
              <w:pageBreakBefore w:val="0"/>
              <w:widowControl w:val="0"/>
              <w:kinsoku/>
              <w:wordWrap/>
              <w:overflowPunct/>
              <w:topLinePunct w:val="0"/>
              <w:bidi w:val="0"/>
              <w:spacing w:line="400" w:lineRule="exact"/>
              <w:jc w:val="center"/>
              <w:textAlignment w:val="auto"/>
              <w:rPr>
                <w:rFonts w:hint="eastAsia" w:ascii="宋体" w:hAnsi="宋体" w:eastAsia="宋体" w:cs="宋体"/>
                <w:color w:val="auto"/>
                <w:sz w:val="22"/>
                <w:szCs w:val="22"/>
                <w:highlight w:val="none"/>
              </w:rPr>
            </w:pPr>
          </w:p>
        </w:tc>
        <w:tc>
          <w:tcPr>
            <w:tcW w:w="1941" w:type="dxa"/>
            <w:noWrap w:val="0"/>
            <w:vAlign w:val="center"/>
          </w:tcPr>
          <w:p w14:paraId="1767E391">
            <w:pPr>
              <w:pageBreakBefore w:val="0"/>
              <w:widowControl w:val="0"/>
              <w:kinsoku/>
              <w:wordWrap/>
              <w:overflowPunct/>
              <w:topLinePunct w:val="0"/>
              <w:bidi w:val="0"/>
              <w:spacing w:line="400" w:lineRule="exact"/>
              <w:ind w:firstLine="220" w:firstLineChars="100"/>
              <w:textAlignment w:val="auto"/>
              <w:rPr>
                <w:rFonts w:hint="eastAsia" w:ascii="宋体" w:hAnsi="宋体" w:eastAsia="宋体" w:cs="宋体"/>
                <w:color w:val="auto"/>
                <w:sz w:val="22"/>
                <w:szCs w:val="22"/>
                <w:highlight w:val="none"/>
              </w:rPr>
            </w:pPr>
          </w:p>
        </w:tc>
        <w:tc>
          <w:tcPr>
            <w:tcW w:w="477" w:type="dxa"/>
            <w:noWrap w:val="0"/>
            <w:vAlign w:val="center"/>
          </w:tcPr>
          <w:p w14:paraId="40E34E1E">
            <w:pPr>
              <w:pageBreakBefore w:val="0"/>
              <w:widowControl w:val="0"/>
              <w:kinsoku/>
              <w:wordWrap/>
              <w:overflowPunct/>
              <w:topLinePunct w:val="0"/>
              <w:bidi w:val="0"/>
              <w:spacing w:line="400" w:lineRule="exact"/>
              <w:ind w:firstLine="110" w:firstLineChars="50"/>
              <w:jc w:val="center"/>
              <w:textAlignment w:val="auto"/>
              <w:rPr>
                <w:rFonts w:hint="eastAsia" w:ascii="宋体" w:hAnsi="宋体" w:eastAsia="宋体" w:cs="宋体"/>
                <w:color w:val="auto"/>
                <w:sz w:val="22"/>
                <w:szCs w:val="22"/>
                <w:highlight w:val="none"/>
              </w:rPr>
            </w:pPr>
          </w:p>
        </w:tc>
        <w:tc>
          <w:tcPr>
            <w:tcW w:w="1049" w:type="dxa"/>
            <w:noWrap w:val="0"/>
            <w:vAlign w:val="center"/>
          </w:tcPr>
          <w:p w14:paraId="1BE8D03C">
            <w:pPr>
              <w:pageBreakBefore w:val="0"/>
              <w:widowControl w:val="0"/>
              <w:kinsoku/>
              <w:wordWrap/>
              <w:overflowPunct/>
              <w:topLinePunct w:val="0"/>
              <w:bidi w:val="0"/>
              <w:spacing w:line="400" w:lineRule="exact"/>
              <w:ind w:firstLine="220" w:firstLineChars="100"/>
              <w:textAlignment w:val="auto"/>
              <w:rPr>
                <w:rFonts w:hint="eastAsia" w:ascii="宋体" w:hAnsi="宋体" w:eastAsia="宋体" w:cs="宋体"/>
                <w:color w:val="auto"/>
                <w:sz w:val="22"/>
                <w:szCs w:val="22"/>
                <w:highlight w:val="none"/>
              </w:rPr>
            </w:pPr>
          </w:p>
        </w:tc>
        <w:tc>
          <w:tcPr>
            <w:tcW w:w="855" w:type="dxa"/>
            <w:noWrap w:val="0"/>
            <w:vAlign w:val="center"/>
          </w:tcPr>
          <w:p w14:paraId="44960562">
            <w:pPr>
              <w:pageBreakBefore w:val="0"/>
              <w:widowControl w:val="0"/>
              <w:kinsoku/>
              <w:wordWrap/>
              <w:overflowPunct/>
              <w:topLinePunct w:val="0"/>
              <w:bidi w:val="0"/>
              <w:spacing w:line="400" w:lineRule="exact"/>
              <w:jc w:val="center"/>
              <w:textAlignment w:val="auto"/>
              <w:rPr>
                <w:rFonts w:hint="eastAsia" w:ascii="宋体" w:hAnsi="宋体" w:eastAsia="宋体" w:cs="宋体"/>
                <w:color w:val="auto"/>
                <w:sz w:val="22"/>
                <w:szCs w:val="22"/>
                <w:highlight w:val="none"/>
              </w:rPr>
            </w:pPr>
          </w:p>
        </w:tc>
        <w:tc>
          <w:tcPr>
            <w:tcW w:w="1755" w:type="dxa"/>
            <w:noWrap w:val="0"/>
            <w:vAlign w:val="center"/>
          </w:tcPr>
          <w:p w14:paraId="518C67BF">
            <w:pPr>
              <w:pageBreakBefore w:val="0"/>
              <w:widowControl w:val="0"/>
              <w:kinsoku/>
              <w:wordWrap/>
              <w:overflowPunct/>
              <w:topLinePunct w:val="0"/>
              <w:bidi w:val="0"/>
              <w:spacing w:line="400" w:lineRule="exact"/>
              <w:ind w:firstLine="110" w:firstLineChars="50"/>
              <w:textAlignment w:val="auto"/>
              <w:rPr>
                <w:rFonts w:hint="eastAsia" w:ascii="宋体" w:hAnsi="宋体" w:eastAsia="宋体" w:cs="宋体"/>
                <w:color w:val="auto"/>
                <w:sz w:val="22"/>
                <w:szCs w:val="22"/>
                <w:highlight w:val="none"/>
              </w:rPr>
            </w:pPr>
          </w:p>
        </w:tc>
        <w:tc>
          <w:tcPr>
            <w:tcW w:w="1812" w:type="dxa"/>
            <w:noWrap w:val="0"/>
            <w:vAlign w:val="center"/>
          </w:tcPr>
          <w:p w14:paraId="456F333D">
            <w:pPr>
              <w:pageBreakBefore w:val="0"/>
              <w:widowControl w:val="0"/>
              <w:kinsoku/>
              <w:wordWrap/>
              <w:overflowPunct/>
              <w:topLinePunct w:val="0"/>
              <w:bidi w:val="0"/>
              <w:spacing w:line="400" w:lineRule="exact"/>
              <w:ind w:firstLine="110" w:firstLineChars="50"/>
              <w:jc w:val="center"/>
              <w:textAlignment w:val="auto"/>
              <w:rPr>
                <w:rFonts w:hint="eastAsia" w:ascii="宋体" w:hAnsi="宋体" w:eastAsia="宋体" w:cs="宋体"/>
                <w:color w:val="auto"/>
                <w:sz w:val="22"/>
                <w:szCs w:val="22"/>
                <w:highlight w:val="none"/>
              </w:rPr>
            </w:pPr>
          </w:p>
        </w:tc>
      </w:tr>
      <w:tr w14:paraId="3374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noWrap w:val="0"/>
            <w:vAlign w:val="center"/>
          </w:tcPr>
          <w:p w14:paraId="0929D4DA">
            <w:pPr>
              <w:pageBreakBefore w:val="0"/>
              <w:widowControl w:val="0"/>
              <w:kinsoku/>
              <w:wordWrap/>
              <w:overflowPunct/>
              <w:topLinePunct w:val="0"/>
              <w:bidi w:val="0"/>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167" w:type="dxa"/>
            <w:noWrap w:val="0"/>
            <w:vAlign w:val="center"/>
          </w:tcPr>
          <w:p w14:paraId="2D05188E">
            <w:pPr>
              <w:pageBreakBefore w:val="0"/>
              <w:widowControl w:val="0"/>
              <w:kinsoku/>
              <w:wordWrap/>
              <w:overflowPunct/>
              <w:topLinePunct w:val="0"/>
              <w:bidi w:val="0"/>
              <w:spacing w:line="400" w:lineRule="exact"/>
              <w:jc w:val="center"/>
              <w:textAlignment w:val="auto"/>
              <w:rPr>
                <w:rFonts w:hint="eastAsia" w:ascii="宋体" w:hAnsi="宋体" w:eastAsia="宋体" w:cs="宋体"/>
                <w:color w:val="auto"/>
                <w:sz w:val="22"/>
                <w:szCs w:val="22"/>
                <w:highlight w:val="none"/>
              </w:rPr>
            </w:pPr>
          </w:p>
        </w:tc>
        <w:tc>
          <w:tcPr>
            <w:tcW w:w="1941" w:type="dxa"/>
            <w:noWrap w:val="0"/>
            <w:vAlign w:val="center"/>
          </w:tcPr>
          <w:p w14:paraId="0ED9D9A3">
            <w:pPr>
              <w:pageBreakBefore w:val="0"/>
              <w:widowControl w:val="0"/>
              <w:kinsoku/>
              <w:wordWrap/>
              <w:overflowPunct/>
              <w:topLinePunct w:val="0"/>
              <w:bidi w:val="0"/>
              <w:spacing w:line="400" w:lineRule="exact"/>
              <w:ind w:firstLine="220" w:firstLineChars="100"/>
              <w:textAlignment w:val="auto"/>
              <w:rPr>
                <w:rFonts w:hint="eastAsia" w:ascii="宋体" w:hAnsi="宋体" w:eastAsia="宋体" w:cs="宋体"/>
                <w:color w:val="auto"/>
                <w:sz w:val="22"/>
                <w:szCs w:val="22"/>
                <w:highlight w:val="none"/>
              </w:rPr>
            </w:pPr>
          </w:p>
        </w:tc>
        <w:tc>
          <w:tcPr>
            <w:tcW w:w="477" w:type="dxa"/>
            <w:noWrap w:val="0"/>
            <w:vAlign w:val="center"/>
          </w:tcPr>
          <w:p w14:paraId="141AD038">
            <w:pPr>
              <w:pageBreakBefore w:val="0"/>
              <w:widowControl w:val="0"/>
              <w:kinsoku/>
              <w:wordWrap/>
              <w:overflowPunct/>
              <w:topLinePunct w:val="0"/>
              <w:bidi w:val="0"/>
              <w:spacing w:line="400" w:lineRule="exact"/>
              <w:ind w:firstLine="110" w:firstLineChars="50"/>
              <w:jc w:val="center"/>
              <w:textAlignment w:val="auto"/>
              <w:rPr>
                <w:rFonts w:hint="eastAsia" w:ascii="宋体" w:hAnsi="宋体" w:eastAsia="宋体" w:cs="宋体"/>
                <w:color w:val="auto"/>
                <w:sz w:val="22"/>
                <w:szCs w:val="22"/>
                <w:highlight w:val="none"/>
              </w:rPr>
            </w:pPr>
          </w:p>
        </w:tc>
        <w:tc>
          <w:tcPr>
            <w:tcW w:w="1049" w:type="dxa"/>
            <w:noWrap w:val="0"/>
            <w:vAlign w:val="center"/>
          </w:tcPr>
          <w:p w14:paraId="3D1192E9">
            <w:pPr>
              <w:pageBreakBefore w:val="0"/>
              <w:widowControl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p>
        </w:tc>
        <w:tc>
          <w:tcPr>
            <w:tcW w:w="855" w:type="dxa"/>
            <w:noWrap w:val="0"/>
            <w:vAlign w:val="center"/>
          </w:tcPr>
          <w:p w14:paraId="2080A7C9">
            <w:pPr>
              <w:pageBreakBefore w:val="0"/>
              <w:widowControl w:val="0"/>
              <w:kinsoku/>
              <w:wordWrap/>
              <w:overflowPunct/>
              <w:topLinePunct w:val="0"/>
              <w:bidi w:val="0"/>
              <w:spacing w:line="400" w:lineRule="exact"/>
              <w:jc w:val="center"/>
              <w:textAlignment w:val="auto"/>
              <w:rPr>
                <w:rFonts w:hint="eastAsia" w:ascii="宋体" w:hAnsi="宋体" w:eastAsia="宋体" w:cs="宋体"/>
                <w:color w:val="auto"/>
                <w:sz w:val="22"/>
                <w:szCs w:val="22"/>
                <w:highlight w:val="none"/>
              </w:rPr>
            </w:pPr>
          </w:p>
        </w:tc>
        <w:tc>
          <w:tcPr>
            <w:tcW w:w="1755" w:type="dxa"/>
            <w:noWrap w:val="0"/>
            <w:vAlign w:val="center"/>
          </w:tcPr>
          <w:p w14:paraId="3A141050">
            <w:pPr>
              <w:pageBreakBefore w:val="0"/>
              <w:widowControl w:val="0"/>
              <w:kinsoku/>
              <w:wordWrap/>
              <w:overflowPunct/>
              <w:topLinePunct w:val="0"/>
              <w:bidi w:val="0"/>
              <w:spacing w:line="400" w:lineRule="exact"/>
              <w:ind w:firstLine="110" w:firstLineChars="50"/>
              <w:textAlignment w:val="auto"/>
              <w:rPr>
                <w:rFonts w:hint="eastAsia" w:ascii="宋体" w:hAnsi="宋体" w:eastAsia="宋体" w:cs="宋体"/>
                <w:color w:val="auto"/>
                <w:sz w:val="22"/>
                <w:szCs w:val="22"/>
                <w:highlight w:val="none"/>
              </w:rPr>
            </w:pPr>
          </w:p>
        </w:tc>
        <w:tc>
          <w:tcPr>
            <w:tcW w:w="1812" w:type="dxa"/>
            <w:noWrap w:val="0"/>
            <w:vAlign w:val="center"/>
          </w:tcPr>
          <w:p w14:paraId="09F71BA0">
            <w:pPr>
              <w:pageBreakBefore w:val="0"/>
              <w:widowControl w:val="0"/>
              <w:kinsoku/>
              <w:wordWrap/>
              <w:overflowPunct/>
              <w:topLinePunct w:val="0"/>
              <w:bidi w:val="0"/>
              <w:spacing w:line="400" w:lineRule="exact"/>
              <w:ind w:firstLine="110" w:firstLineChars="50"/>
              <w:jc w:val="center"/>
              <w:textAlignment w:val="auto"/>
              <w:rPr>
                <w:rFonts w:hint="eastAsia" w:ascii="宋体" w:hAnsi="宋体" w:eastAsia="宋体" w:cs="宋体"/>
                <w:color w:val="auto"/>
                <w:sz w:val="22"/>
                <w:szCs w:val="22"/>
                <w:highlight w:val="none"/>
              </w:rPr>
            </w:pPr>
          </w:p>
        </w:tc>
      </w:tr>
      <w:tr w14:paraId="258E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noWrap w:val="0"/>
            <w:vAlign w:val="center"/>
          </w:tcPr>
          <w:p w14:paraId="3D3DC879">
            <w:pPr>
              <w:pageBreakBefore w:val="0"/>
              <w:widowControl w:val="0"/>
              <w:kinsoku/>
              <w:wordWrap/>
              <w:overflowPunct/>
              <w:topLinePunct w:val="0"/>
              <w:bidi w:val="0"/>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167" w:type="dxa"/>
            <w:noWrap w:val="0"/>
            <w:vAlign w:val="center"/>
          </w:tcPr>
          <w:p w14:paraId="2AB505B2">
            <w:pPr>
              <w:pageBreakBefore w:val="0"/>
              <w:widowControl w:val="0"/>
              <w:kinsoku/>
              <w:wordWrap/>
              <w:overflowPunct/>
              <w:topLinePunct w:val="0"/>
              <w:bidi w:val="0"/>
              <w:spacing w:line="400" w:lineRule="exact"/>
              <w:jc w:val="center"/>
              <w:textAlignment w:val="auto"/>
              <w:rPr>
                <w:rFonts w:hint="eastAsia" w:ascii="宋体" w:hAnsi="宋体" w:eastAsia="宋体" w:cs="宋体"/>
                <w:color w:val="auto"/>
                <w:sz w:val="22"/>
                <w:szCs w:val="22"/>
                <w:highlight w:val="none"/>
              </w:rPr>
            </w:pPr>
          </w:p>
        </w:tc>
        <w:tc>
          <w:tcPr>
            <w:tcW w:w="1941" w:type="dxa"/>
            <w:noWrap w:val="0"/>
            <w:vAlign w:val="center"/>
          </w:tcPr>
          <w:p w14:paraId="061C5F4F">
            <w:pPr>
              <w:pageBreakBefore w:val="0"/>
              <w:widowControl w:val="0"/>
              <w:kinsoku/>
              <w:wordWrap/>
              <w:overflowPunct/>
              <w:topLinePunct w:val="0"/>
              <w:bidi w:val="0"/>
              <w:spacing w:line="400" w:lineRule="exact"/>
              <w:ind w:firstLine="220" w:firstLineChars="100"/>
              <w:textAlignment w:val="auto"/>
              <w:rPr>
                <w:rFonts w:hint="eastAsia" w:ascii="宋体" w:hAnsi="宋体" w:eastAsia="宋体" w:cs="宋体"/>
                <w:color w:val="auto"/>
                <w:sz w:val="22"/>
                <w:szCs w:val="22"/>
                <w:highlight w:val="none"/>
              </w:rPr>
            </w:pPr>
          </w:p>
        </w:tc>
        <w:tc>
          <w:tcPr>
            <w:tcW w:w="477" w:type="dxa"/>
            <w:noWrap w:val="0"/>
            <w:vAlign w:val="center"/>
          </w:tcPr>
          <w:p w14:paraId="3C952B28">
            <w:pPr>
              <w:pageBreakBefore w:val="0"/>
              <w:widowControl w:val="0"/>
              <w:kinsoku/>
              <w:wordWrap/>
              <w:overflowPunct/>
              <w:topLinePunct w:val="0"/>
              <w:bidi w:val="0"/>
              <w:spacing w:line="400" w:lineRule="exact"/>
              <w:ind w:firstLine="110" w:firstLineChars="50"/>
              <w:jc w:val="center"/>
              <w:textAlignment w:val="auto"/>
              <w:rPr>
                <w:rFonts w:hint="eastAsia" w:ascii="宋体" w:hAnsi="宋体" w:eastAsia="宋体" w:cs="宋体"/>
                <w:color w:val="auto"/>
                <w:sz w:val="22"/>
                <w:szCs w:val="22"/>
                <w:highlight w:val="none"/>
              </w:rPr>
            </w:pPr>
          </w:p>
        </w:tc>
        <w:tc>
          <w:tcPr>
            <w:tcW w:w="1049" w:type="dxa"/>
            <w:noWrap w:val="0"/>
            <w:vAlign w:val="center"/>
          </w:tcPr>
          <w:p w14:paraId="0183FCB8">
            <w:pPr>
              <w:pageBreakBefore w:val="0"/>
              <w:widowControl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p>
        </w:tc>
        <w:tc>
          <w:tcPr>
            <w:tcW w:w="855" w:type="dxa"/>
            <w:noWrap w:val="0"/>
            <w:vAlign w:val="center"/>
          </w:tcPr>
          <w:p w14:paraId="30313409">
            <w:pPr>
              <w:pageBreakBefore w:val="0"/>
              <w:widowControl w:val="0"/>
              <w:kinsoku/>
              <w:wordWrap/>
              <w:overflowPunct/>
              <w:topLinePunct w:val="0"/>
              <w:bidi w:val="0"/>
              <w:spacing w:line="400" w:lineRule="exact"/>
              <w:jc w:val="center"/>
              <w:textAlignment w:val="auto"/>
              <w:rPr>
                <w:rFonts w:hint="eastAsia" w:ascii="宋体" w:hAnsi="宋体" w:eastAsia="宋体" w:cs="宋体"/>
                <w:color w:val="auto"/>
                <w:sz w:val="22"/>
                <w:szCs w:val="22"/>
                <w:highlight w:val="none"/>
              </w:rPr>
            </w:pPr>
          </w:p>
        </w:tc>
        <w:tc>
          <w:tcPr>
            <w:tcW w:w="1755" w:type="dxa"/>
            <w:noWrap w:val="0"/>
            <w:vAlign w:val="center"/>
          </w:tcPr>
          <w:p w14:paraId="166D923B">
            <w:pPr>
              <w:pageBreakBefore w:val="0"/>
              <w:widowControl w:val="0"/>
              <w:kinsoku/>
              <w:wordWrap/>
              <w:overflowPunct/>
              <w:topLinePunct w:val="0"/>
              <w:bidi w:val="0"/>
              <w:spacing w:line="400" w:lineRule="exact"/>
              <w:ind w:firstLine="110" w:firstLineChars="50"/>
              <w:textAlignment w:val="auto"/>
              <w:rPr>
                <w:rFonts w:hint="eastAsia" w:ascii="宋体" w:hAnsi="宋体" w:eastAsia="宋体" w:cs="宋体"/>
                <w:color w:val="auto"/>
                <w:sz w:val="22"/>
                <w:szCs w:val="22"/>
                <w:highlight w:val="none"/>
              </w:rPr>
            </w:pPr>
          </w:p>
        </w:tc>
        <w:tc>
          <w:tcPr>
            <w:tcW w:w="1812" w:type="dxa"/>
            <w:noWrap w:val="0"/>
            <w:vAlign w:val="center"/>
          </w:tcPr>
          <w:p w14:paraId="447DE746">
            <w:pPr>
              <w:pageBreakBefore w:val="0"/>
              <w:widowControl w:val="0"/>
              <w:kinsoku/>
              <w:wordWrap/>
              <w:overflowPunct/>
              <w:topLinePunct w:val="0"/>
              <w:bidi w:val="0"/>
              <w:spacing w:line="400" w:lineRule="exact"/>
              <w:ind w:firstLine="110" w:firstLineChars="50"/>
              <w:jc w:val="center"/>
              <w:textAlignment w:val="auto"/>
              <w:rPr>
                <w:rFonts w:hint="eastAsia" w:ascii="宋体" w:hAnsi="宋体" w:eastAsia="宋体" w:cs="宋体"/>
                <w:color w:val="auto"/>
                <w:sz w:val="22"/>
                <w:szCs w:val="22"/>
                <w:highlight w:val="none"/>
              </w:rPr>
            </w:pPr>
          </w:p>
        </w:tc>
      </w:tr>
      <w:tr w14:paraId="7910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noWrap w:val="0"/>
            <w:vAlign w:val="center"/>
          </w:tcPr>
          <w:p w14:paraId="586791C3">
            <w:pPr>
              <w:pageBreakBefore w:val="0"/>
              <w:widowControl w:val="0"/>
              <w:kinsoku/>
              <w:wordWrap/>
              <w:overflowPunct/>
              <w:topLinePunct w:val="0"/>
              <w:bidi w:val="0"/>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167" w:type="dxa"/>
            <w:noWrap w:val="0"/>
            <w:vAlign w:val="center"/>
          </w:tcPr>
          <w:p w14:paraId="0C7B4921">
            <w:pPr>
              <w:pageBreakBefore w:val="0"/>
              <w:widowControl w:val="0"/>
              <w:kinsoku/>
              <w:wordWrap/>
              <w:overflowPunct/>
              <w:topLinePunct w:val="0"/>
              <w:bidi w:val="0"/>
              <w:spacing w:line="400" w:lineRule="exact"/>
              <w:jc w:val="center"/>
              <w:textAlignment w:val="auto"/>
              <w:rPr>
                <w:rFonts w:hint="eastAsia" w:ascii="宋体" w:hAnsi="宋体" w:eastAsia="宋体" w:cs="宋体"/>
                <w:color w:val="auto"/>
                <w:sz w:val="22"/>
                <w:szCs w:val="22"/>
                <w:highlight w:val="none"/>
              </w:rPr>
            </w:pPr>
          </w:p>
        </w:tc>
        <w:tc>
          <w:tcPr>
            <w:tcW w:w="1941" w:type="dxa"/>
            <w:noWrap w:val="0"/>
            <w:vAlign w:val="center"/>
          </w:tcPr>
          <w:p w14:paraId="049BBC3C">
            <w:pPr>
              <w:pageBreakBefore w:val="0"/>
              <w:widowControl w:val="0"/>
              <w:kinsoku/>
              <w:wordWrap/>
              <w:overflowPunct/>
              <w:topLinePunct w:val="0"/>
              <w:bidi w:val="0"/>
              <w:spacing w:line="400" w:lineRule="exact"/>
              <w:ind w:firstLine="220" w:firstLineChars="100"/>
              <w:textAlignment w:val="auto"/>
              <w:rPr>
                <w:rFonts w:hint="eastAsia" w:ascii="宋体" w:hAnsi="宋体" w:eastAsia="宋体" w:cs="宋体"/>
                <w:color w:val="auto"/>
                <w:sz w:val="22"/>
                <w:szCs w:val="22"/>
                <w:highlight w:val="none"/>
              </w:rPr>
            </w:pPr>
          </w:p>
        </w:tc>
        <w:tc>
          <w:tcPr>
            <w:tcW w:w="477" w:type="dxa"/>
            <w:noWrap w:val="0"/>
            <w:vAlign w:val="center"/>
          </w:tcPr>
          <w:p w14:paraId="2AB45FA0">
            <w:pPr>
              <w:pageBreakBefore w:val="0"/>
              <w:widowControl w:val="0"/>
              <w:kinsoku/>
              <w:wordWrap/>
              <w:overflowPunct/>
              <w:topLinePunct w:val="0"/>
              <w:bidi w:val="0"/>
              <w:spacing w:line="400" w:lineRule="exact"/>
              <w:ind w:firstLine="110" w:firstLineChars="50"/>
              <w:jc w:val="center"/>
              <w:textAlignment w:val="auto"/>
              <w:rPr>
                <w:rFonts w:hint="eastAsia" w:ascii="宋体" w:hAnsi="宋体" w:eastAsia="宋体" w:cs="宋体"/>
                <w:color w:val="auto"/>
                <w:sz w:val="22"/>
                <w:szCs w:val="22"/>
                <w:highlight w:val="none"/>
              </w:rPr>
            </w:pPr>
          </w:p>
        </w:tc>
        <w:tc>
          <w:tcPr>
            <w:tcW w:w="1049" w:type="dxa"/>
            <w:noWrap w:val="0"/>
            <w:vAlign w:val="center"/>
          </w:tcPr>
          <w:p w14:paraId="09611E58">
            <w:pPr>
              <w:pageBreakBefore w:val="0"/>
              <w:widowControl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p>
        </w:tc>
        <w:tc>
          <w:tcPr>
            <w:tcW w:w="855" w:type="dxa"/>
            <w:noWrap w:val="0"/>
            <w:vAlign w:val="center"/>
          </w:tcPr>
          <w:p w14:paraId="610B0E73">
            <w:pPr>
              <w:pageBreakBefore w:val="0"/>
              <w:widowControl w:val="0"/>
              <w:kinsoku/>
              <w:wordWrap/>
              <w:overflowPunct/>
              <w:topLinePunct w:val="0"/>
              <w:bidi w:val="0"/>
              <w:spacing w:line="400" w:lineRule="exact"/>
              <w:jc w:val="center"/>
              <w:textAlignment w:val="auto"/>
              <w:rPr>
                <w:rFonts w:hint="eastAsia" w:ascii="宋体" w:hAnsi="宋体" w:eastAsia="宋体" w:cs="宋体"/>
                <w:color w:val="auto"/>
                <w:sz w:val="22"/>
                <w:szCs w:val="22"/>
                <w:highlight w:val="none"/>
              </w:rPr>
            </w:pPr>
          </w:p>
        </w:tc>
        <w:tc>
          <w:tcPr>
            <w:tcW w:w="1755" w:type="dxa"/>
            <w:noWrap w:val="0"/>
            <w:vAlign w:val="center"/>
          </w:tcPr>
          <w:p w14:paraId="1F430032">
            <w:pPr>
              <w:pageBreakBefore w:val="0"/>
              <w:widowControl w:val="0"/>
              <w:kinsoku/>
              <w:wordWrap/>
              <w:overflowPunct/>
              <w:topLinePunct w:val="0"/>
              <w:bidi w:val="0"/>
              <w:spacing w:line="400" w:lineRule="exact"/>
              <w:ind w:firstLine="110" w:firstLineChars="50"/>
              <w:textAlignment w:val="auto"/>
              <w:rPr>
                <w:rFonts w:hint="eastAsia" w:ascii="宋体" w:hAnsi="宋体" w:eastAsia="宋体" w:cs="宋体"/>
                <w:color w:val="auto"/>
                <w:sz w:val="22"/>
                <w:szCs w:val="22"/>
                <w:highlight w:val="none"/>
              </w:rPr>
            </w:pPr>
          </w:p>
        </w:tc>
        <w:tc>
          <w:tcPr>
            <w:tcW w:w="1812" w:type="dxa"/>
            <w:noWrap w:val="0"/>
            <w:vAlign w:val="center"/>
          </w:tcPr>
          <w:p w14:paraId="0ECAB6F8">
            <w:pPr>
              <w:pageBreakBefore w:val="0"/>
              <w:widowControl w:val="0"/>
              <w:kinsoku/>
              <w:wordWrap/>
              <w:overflowPunct/>
              <w:topLinePunct w:val="0"/>
              <w:bidi w:val="0"/>
              <w:spacing w:line="400" w:lineRule="exact"/>
              <w:ind w:firstLine="110" w:firstLineChars="50"/>
              <w:jc w:val="center"/>
              <w:textAlignment w:val="auto"/>
              <w:rPr>
                <w:rFonts w:hint="eastAsia" w:ascii="宋体" w:hAnsi="宋体" w:eastAsia="宋体" w:cs="宋体"/>
                <w:color w:val="auto"/>
                <w:sz w:val="22"/>
                <w:szCs w:val="22"/>
                <w:highlight w:val="none"/>
              </w:rPr>
            </w:pPr>
          </w:p>
        </w:tc>
      </w:tr>
      <w:tr w14:paraId="5368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center"/>
          </w:tcPr>
          <w:p w14:paraId="14FAED3D">
            <w:pPr>
              <w:pageBreakBefore w:val="0"/>
              <w:widowControl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合计：人民币           元整（￥          ）</w:t>
            </w:r>
          </w:p>
        </w:tc>
      </w:tr>
    </w:tbl>
    <w:p w14:paraId="6B7CF695">
      <w:pPr>
        <w:pageBreakBefore w:val="0"/>
        <w:widowControl w:val="0"/>
        <w:kinsoku/>
        <w:wordWrap/>
        <w:overflowPunct/>
        <w:topLinePunct w:val="0"/>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w:t>
      </w:r>
      <w:r>
        <w:rPr>
          <w:rFonts w:hint="eastAsia" w:ascii="宋体" w:hAnsi="宋体" w:eastAsia="宋体" w:cs="宋体"/>
          <w:color w:val="auto"/>
          <w:spacing w:val="-6"/>
          <w:sz w:val="22"/>
          <w:szCs w:val="22"/>
          <w:highlight w:val="none"/>
        </w:rPr>
        <w:t>.</w:t>
      </w:r>
      <w:r>
        <w:rPr>
          <w:rFonts w:hint="eastAsia" w:ascii="宋体" w:hAnsi="宋体" w:eastAsia="宋体" w:cs="宋体"/>
          <w:color w:val="auto"/>
          <w:sz w:val="22"/>
          <w:szCs w:val="22"/>
          <w:highlight w:val="none"/>
        </w:rPr>
        <w:t>详细配置清单详见投标文件和承诺表。</w:t>
      </w:r>
    </w:p>
    <w:p w14:paraId="105D28D6">
      <w:pPr>
        <w:pageBreakBefore w:val="0"/>
        <w:widowControl w:val="0"/>
        <w:kinsoku/>
        <w:wordWrap/>
        <w:overflowPunct/>
        <w:topLinePunct w:val="0"/>
        <w:bidi w:val="0"/>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pacing w:val="-6"/>
          <w:sz w:val="22"/>
          <w:szCs w:val="22"/>
          <w:highlight w:val="none"/>
        </w:rPr>
        <w:t>.</w:t>
      </w:r>
      <w:r>
        <w:rPr>
          <w:rFonts w:hint="eastAsia" w:ascii="宋体" w:hAnsi="宋体" w:eastAsia="宋体" w:cs="宋体"/>
          <w:color w:val="auto"/>
          <w:sz w:val="22"/>
          <w:szCs w:val="22"/>
          <w:highlight w:val="none"/>
        </w:rPr>
        <w:t>以上合同总价包括将货物运抵浙江农林大学校区指定地点的运费及安装调试等一切费用。</w:t>
      </w:r>
    </w:p>
    <w:p w14:paraId="57B33422">
      <w:pPr>
        <w:pageBreakBefore w:val="0"/>
        <w:widowControl w:val="0"/>
        <w:kinsoku/>
        <w:wordWrap/>
        <w:overflowPunct/>
        <w:topLinePunct w:val="0"/>
        <w:bidi w:val="0"/>
        <w:snapToGrid w:val="0"/>
        <w:spacing w:line="400" w:lineRule="exact"/>
        <w:textAlignment w:val="auto"/>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第三条：质量保证及售后服务</w:t>
      </w:r>
    </w:p>
    <w:p w14:paraId="495FB814">
      <w:pPr>
        <w:pageBreakBefore w:val="0"/>
        <w:widowControl w:val="0"/>
        <w:kinsoku/>
        <w:wordWrap/>
        <w:overflowPunct/>
        <w:topLinePunct w:val="0"/>
        <w:bidi w:val="0"/>
        <w:snapToGrid w:val="0"/>
        <w:spacing w:line="40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1.乙方应按公开招标文件规定的货物性能、技术要求、质量标准向甲方提供未经使用的全新产品，符合国家法律规定和技术规格、质量标准的出厂原装合格产品。</w:t>
      </w:r>
    </w:p>
    <w:p w14:paraId="7568DAAE">
      <w:pPr>
        <w:pageBreakBefore w:val="0"/>
        <w:widowControl w:val="0"/>
        <w:kinsoku/>
        <w:wordWrap/>
        <w:overflowPunct/>
        <w:topLinePunct w:val="0"/>
        <w:bidi w:val="0"/>
        <w:snapToGrid w:val="0"/>
        <w:spacing w:line="40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2.乙方提供的货物在质保期内因货物本身的质量问题发生故障，乙方应负责更换。对达不到技术要求者，根据实际情况，经双方协商，可按以下办法处理：</w:t>
      </w:r>
    </w:p>
    <w:p w14:paraId="780BCA91">
      <w:pPr>
        <w:pageBreakBefore w:val="0"/>
        <w:widowControl w:val="0"/>
        <w:kinsoku/>
        <w:wordWrap/>
        <w:overflowPunct/>
        <w:topLinePunct w:val="0"/>
        <w:bidi w:val="0"/>
        <w:snapToGrid w:val="0"/>
        <w:spacing w:line="40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⑴更换：由乙方承担所发生的全部费用。</w:t>
      </w:r>
    </w:p>
    <w:p w14:paraId="5F6E6004">
      <w:pPr>
        <w:pageBreakBefore w:val="0"/>
        <w:widowControl w:val="0"/>
        <w:kinsoku/>
        <w:wordWrap/>
        <w:overflowPunct/>
        <w:topLinePunct w:val="0"/>
        <w:bidi w:val="0"/>
        <w:snapToGrid w:val="0"/>
        <w:spacing w:line="40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⑵贬值处理：由甲乙双方合议定价。</w:t>
      </w:r>
    </w:p>
    <w:p w14:paraId="799C3F3D">
      <w:pPr>
        <w:pageBreakBefore w:val="0"/>
        <w:widowControl w:val="0"/>
        <w:kinsoku/>
        <w:wordWrap/>
        <w:overflowPunct/>
        <w:topLinePunct w:val="0"/>
        <w:bidi w:val="0"/>
        <w:snapToGrid w:val="0"/>
        <w:spacing w:line="40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⑶退货处理：乙方应退还甲方支付的合同款，同时应承担该货物的直接费用（运输、保险、检验、货款利息及银行手续费等）。</w:t>
      </w:r>
    </w:p>
    <w:p w14:paraId="5E325D66">
      <w:pPr>
        <w:pageBreakBefore w:val="0"/>
        <w:widowControl w:val="0"/>
        <w:kinsoku/>
        <w:wordWrap/>
        <w:overflowPunct/>
        <w:topLinePunct w:val="0"/>
        <w:bidi w:val="0"/>
        <w:snapToGrid w:val="0"/>
        <w:spacing w:line="40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3.在质保期内，乙方应对货物出现的质量及安全问题负责处理解决并承担一切费用。人为破坏因素、自然因素等不可抗拒因素除外。</w:t>
      </w:r>
    </w:p>
    <w:p w14:paraId="2D3C6277">
      <w:pPr>
        <w:pageBreakBefore w:val="0"/>
        <w:widowControl w:val="0"/>
        <w:kinsoku/>
        <w:wordWrap/>
        <w:overflowPunct/>
        <w:topLinePunct w:val="0"/>
        <w:bidi w:val="0"/>
        <w:snapToGrid w:val="0"/>
        <w:spacing w:line="40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4.上述的货物中原厂售后质量保证期为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年，从交货验收合格之日起计算，且在质保期内每年对仪器进行一次全面检查、维护，并出具正式报告，质保期内因不能排除的故障而影响工作的情况每发生一次，其质保期相应延长60天，质保期内因货物本身缺陷造成各种故障应由乙方免费予以更换。</w:t>
      </w:r>
    </w:p>
    <w:p w14:paraId="34B89D35">
      <w:pPr>
        <w:pageBreakBefore w:val="0"/>
        <w:widowControl w:val="0"/>
        <w:kinsoku/>
        <w:wordWrap/>
        <w:overflowPunct/>
        <w:topLinePunct w:val="0"/>
        <w:bidi w:val="0"/>
        <w:snapToGrid w:val="0"/>
        <w:spacing w:line="40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在质保期内，当设备或软件遭到损坏或出现故障时，要在甲方报修之时起乙方应在1小时内响应并提出解决方案，2小时内到现场进行故障处理，维修过程中所需材料在接到通知后应及时提供，最多不超过4小时。若（设备）短期无法修复，应提供相应备件并负责安装调试。质保期内因设备设计、质量出现问题，均由乙方即时无偿解决（包括更换器件），易损件除外（仅收取合理成本费用）；因操作不当或不可抗拒的原因产生的问题，由乙方提供技术服务，如需收费，只收取成本费和差旅费。质保期过后，乙方仍有义务提供技术服务（包括提供设备维护、备件等）。</w:t>
      </w:r>
    </w:p>
    <w:p w14:paraId="6563F21E">
      <w:pPr>
        <w:pageBreakBefore w:val="0"/>
        <w:widowControl w:val="0"/>
        <w:kinsoku/>
        <w:wordWrap/>
        <w:overflowPunct/>
        <w:topLinePunct w:val="0"/>
        <w:bidi w:val="0"/>
        <w:snapToGrid w:val="0"/>
        <w:spacing w:line="400" w:lineRule="exact"/>
        <w:ind w:firstLine="440"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乙方应提供指定专人和专有联系方式，保证信息联系顺畅，为甲方提供方便。乙方须在售后服务过程中建立不同的工程组，有序的投入到项目之中，并在每个环节均实施质量控制，有售后服务文档记录，保证实施过程中所有的细节均有案可查，做到实施过程可追朔；乙方应制定项目回访制度，检查设备运行状况，解决使用者遇到的问题，对项目的实施提供参考意见和建议；当设备出现故障，需要到现场进行抢修处理时，将安排进行应急抢修，彻底解决排除故障。</w:t>
      </w:r>
      <w:r>
        <w:rPr>
          <w:rFonts w:hint="eastAsia" w:ascii="宋体" w:hAnsi="宋体" w:eastAsia="宋体" w:cs="宋体"/>
          <w:color w:val="auto"/>
          <w:spacing w:val="-6"/>
          <w:sz w:val="22"/>
          <w:szCs w:val="22"/>
          <w:highlight w:val="none"/>
        </w:rPr>
        <w:t>其余保修条款详见投标文件和承诺表。</w:t>
      </w:r>
    </w:p>
    <w:p w14:paraId="13AA4594">
      <w:pPr>
        <w:pageBreakBefore w:val="0"/>
        <w:widowControl w:val="0"/>
        <w:kinsoku/>
        <w:wordWrap/>
        <w:overflowPunct/>
        <w:topLinePunct w:val="0"/>
        <w:bidi w:val="0"/>
        <w:snapToGrid w:val="0"/>
        <w:spacing w:line="40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5.</w:t>
      </w:r>
      <w:r>
        <w:rPr>
          <w:rFonts w:hint="eastAsia" w:ascii="宋体" w:hAnsi="宋体" w:eastAsia="宋体" w:cs="宋体"/>
          <w:color w:val="auto"/>
          <w:sz w:val="22"/>
          <w:szCs w:val="22"/>
          <w:highlight w:val="none"/>
        </w:rPr>
        <w:t>乙方自货物交付并验收合格之日起5年内，须免费提供一次仪器搬迁、安装及调试服务。</w:t>
      </w:r>
    </w:p>
    <w:p w14:paraId="7E830A66">
      <w:pPr>
        <w:pageBreakBefore w:val="0"/>
        <w:widowControl w:val="0"/>
        <w:kinsoku/>
        <w:wordWrap/>
        <w:overflowPunct/>
        <w:topLinePunct w:val="0"/>
        <w:bidi w:val="0"/>
        <w:snapToGrid w:val="0"/>
        <w:spacing w:line="400" w:lineRule="exact"/>
        <w:textAlignment w:val="auto"/>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第四条：技术资料</w:t>
      </w:r>
    </w:p>
    <w:p w14:paraId="0CECDA5B">
      <w:pPr>
        <w:pageBreakBefore w:val="0"/>
        <w:widowControl w:val="0"/>
        <w:numPr>
          <w:ilvl w:val="0"/>
          <w:numId w:val="8"/>
        </w:numPr>
        <w:kinsoku/>
        <w:wordWrap/>
        <w:overflowPunct/>
        <w:topLinePunct w:val="0"/>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乙方应按公开招标文件规定的时间向甲方提供使用货物的有关技术资料。</w:t>
      </w:r>
    </w:p>
    <w:p w14:paraId="3B85916F">
      <w:pPr>
        <w:pageBreakBefore w:val="0"/>
        <w:widowControl w:val="0"/>
        <w:numPr>
          <w:ilvl w:val="0"/>
          <w:numId w:val="8"/>
        </w:numPr>
        <w:kinsoku/>
        <w:wordWrap/>
        <w:overflowPunct/>
        <w:topLinePunct w:val="0"/>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8A3C307">
      <w:pPr>
        <w:pageBreakBefore w:val="0"/>
        <w:widowControl w:val="0"/>
        <w:numPr>
          <w:ilvl w:val="0"/>
          <w:numId w:val="8"/>
        </w:numPr>
        <w:kinsoku/>
        <w:wordWrap/>
        <w:overflowPunct/>
        <w:topLinePunct w:val="0"/>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乙方应保证所提供的货物或其任何一部分均不会侵犯任何第三方的知识产权。</w:t>
      </w:r>
    </w:p>
    <w:p w14:paraId="11803FCD">
      <w:pPr>
        <w:pageBreakBefore w:val="0"/>
        <w:widowControl w:val="0"/>
        <w:kinsoku/>
        <w:wordWrap/>
        <w:overflowPunct/>
        <w:topLinePunct w:val="0"/>
        <w:bidi w:val="0"/>
        <w:snapToGrid w:val="0"/>
        <w:spacing w:line="400" w:lineRule="exact"/>
        <w:textAlignment w:val="auto"/>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第五条：交货时间、地点</w:t>
      </w:r>
    </w:p>
    <w:p w14:paraId="65524727">
      <w:pPr>
        <w:pageBreakBefore w:val="0"/>
        <w:widowControl w:val="0"/>
        <w:kinsoku/>
        <w:wordWrap/>
        <w:overflowPunct/>
        <w:topLinePunct w:val="0"/>
        <w:bidi w:val="0"/>
        <w:snapToGrid w:val="0"/>
        <w:spacing w:line="40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乙</w:t>
      </w:r>
      <w:r>
        <w:rPr>
          <w:rFonts w:hint="eastAsia" w:ascii="宋体" w:hAnsi="宋体" w:eastAsia="宋体" w:cs="宋体"/>
          <w:color w:val="auto"/>
          <w:sz w:val="22"/>
          <w:szCs w:val="22"/>
          <w:highlight w:val="none"/>
        </w:rPr>
        <w:t>方应于签订合同后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天内完成供货、安装、调试。</w:t>
      </w:r>
    </w:p>
    <w:p w14:paraId="51EF0B00">
      <w:pPr>
        <w:pageBreakBefore w:val="0"/>
        <w:widowControl w:val="0"/>
        <w:kinsoku/>
        <w:wordWrap/>
        <w:overflowPunct/>
        <w:topLinePunct w:val="0"/>
        <w:bidi w:val="0"/>
        <w:snapToGrid w:val="0"/>
        <w:spacing w:line="400" w:lineRule="exact"/>
        <w:textAlignment w:val="auto"/>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第六条：培训、安装调试与验收</w:t>
      </w:r>
    </w:p>
    <w:p w14:paraId="6FF20760">
      <w:pPr>
        <w:pageBreakBefore w:val="0"/>
        <w:widowControl w:val="0"/>
        <w:kinsoku/>
        <w:wordWrap/>
        <w:overflowPunct/>
        <w:topLinePunct w:val="0"/>
        <w:bidi w:val="0"/>
        <w:spacing w:line="400" w:lineRule="exact"/>
        <w:ind w:firstLine="440" w:firstLineChars="200"/>
        <w:textAlignment w:val="auto"/>
        <w:outlineLvl w:val="0"/>
        <w:rPr>
          <w:rFonts w:hint="eastAsia" w:ascii="宋体" w:hAnsi="宋体" w:eastAsia="宋体" w:cs="宋体"/>
          <w:color w:val="auto"/>
          <w:sz w:val="22"/>
          <w:szCs w:val="22"/>
          <w:highlight w:val="none"/>
        </w:rPr>
      </w:pPr>
      <w:bookmarkStart w:id="445" w:name="_Toc32593"/>
      <w:r>
        <w:rPr>
          <w:rFonts w:hint="eastAsia" w:ascii="宋体" w:hAnsi="宋体" w:eastAsia="宋体" w:cs="宋体"/>
          <w:color w:val="auto"/>
          <w:sz w:val="22"/>
          <w:szCs w:val="22"/>
          <w:highlight w:val="none"/>
        </w:rPr>
        <w:t>1.培训：</w:t>
      </w:r>
      <w:bookmarkEnd w:id="445"/>
    </w:p>
    <w:p w14:paraId="2391CAA2">
      <w:pPr>
        <w:pageBreakBefore w:val="0"/>
        <w:widowControl w:val="0"/>
        <w:kinsoku/>
        <w:wordWrap/>
        <w:overflowPunct/>
        <w:topLinePunct w:val="0"/>
        <w:bidi w:val="0"/>
        <w:spacing w:line="400" w:lineRule="exact"/>
        <w:ind w:firstLine="440" w:firstLineChars="200"/>
        <w:textAlignment w:val="auto"/>
        <w:outlineLvl w:val="0"/>
        <w:rPr>
          <w:rFonts w:hint="eastAsia" w:ascii="宋体" w:hAnsi="宋体" w:eastAsia="宋体" w:cs="宋体"/>
          <w:color w:val="auto"/>
          <w:sz w:val="22"/>
          <w:szCs w:val="22"/>
          <w:highlight w:val="none"/>
        </w:rPr>
      </w:pPr>
      <w:bookmarkStart w:id="446" w:name="_Toc14311"/>
      <w:r>
        <w:rPr>
          <w:rFonts w:hint="eastAsia" w:ascii="宋体" w:hAnsi="宋体" w:eastAsia="宋体" w:cs="宋体"/>
          <w:color w:val="auto"/>
          <w:sz w:val="22"/>
          <w:szCs w:val="22"/>
          <w:highlight w:val="none"/>
        </w:rPr>
        <w:t>1.1 乙方应对甲方的操作人员、维修人员免费进行培训。</w:t>
      </w:r>
      <w:bookmarkEnd w:id="446"/>
    </w:p>
    <w:p w14:paraId="0B468844">
      <w:pPr>
        <w:pageBreakBefore w:val="0"/>
        <w:widowControl w:val="0"/>
        <w:kinsoku/>
        <w:wordWrap/>
        <w:overflowPunct/>
        <w:topLinePunct w:val="0"/>
        <w:bidi w:val="0"/>
        <w:spacing w:line="400" w:lineRule="exact"/>
        <w:ind w:firstLine="440" w:firstLineChars="200"/>
        <w:textAlignment w:val="auto"/>
        <w:outlineLvl w:val="0"/>
        <w:rPr>
          <w:rFonts w:hint="eastAsia" w:ascii="宋体" w:hAnsi="宋体" w:eastAsia="宋体" w:cs="宋体"/>
          <w:color w:val="auto"/>
          <w:sz w:val="22"/>
          <w:szCs w:val="22"/>
          <w:highlight w:val="none"/>
        </w:rPr>
      </w:pPr>
      <w:bookmarkStart w:id="447" w:name="_Toc29079"/>
      <w:r>
        <w:rPr>
          <w:rFonts w:hint="eastAsia" w:ascii="宋体" w:hAnsi="宋体" w:eastAsia="宋体" w:cs="宋体"/>
          <w:color w:val="auto"/>
          <w:sz w:val="22"/>
          <w:szCs w:val="22"/>
          <w:highlight w:val="none"/>
        </w:rPr>
        <w:t>1.2 乙方应提供相应的培训计划。</w:t>
      </w:r>
      <w:bookmarkEnd w:id="447"/>
    </w:p>
    <w:p w14:paraId="51403821">
      <w:pPr>
        <w:pageBreakBefore w:val="0"/>
        <w:widowControl w:val="0"/>
        <w:kinsoku/>
        <w:wordWrap/>
        <w:overflowPunct/>
        <w:topLinePunct w:val="0"/>
        <w:bidi w:val="0"/>
        <w:spacing w:line="400" w:lineRule="exact"/>
        <w:ind w:firstLine="440" w:firstLineChars="200"/>
        <w:textAlignment w:val="auto"/>
        <w:outlineLvl w:val="0"/>
        <w:rPr>
          <w:rFonts w:hint="eastAsia" w:ascii="宋体" w:hAnsi="宋体" w:eastAsia="宋体" w:cs="宋体"/>
          <w:color w:val="auto"/>
          <w:sz w:val="22"/>
          <w:szCs w:val="22"/>
          <w:highlight w:val="none"/>
        </w:rPr>
      </w:pPr>
      <w:bookmarkStart w:id="448" w:name="_Toc21792"/>
      <w:r>
        <w:rPr>
          <w:rFonts w:hint="eastAsia" w:ascii="宋体" w:hAnsi="宋体" w:eastAsia="宋体" w:cs="宋体"/>
          <w:color w:val="auto"/>
          <w:sz w:val="22"/>
          <w:szCs w:val="22"/>
          <w:highlight w:val="none"/>
        </w:rPr>
        <w:t>1.3 乙方应对上述内容的实现方式、地点、人数、时间在投标文件中详细说明。</w:t>
      </w:r>
      <w:bookmarkEnd w:id="448"/>
    </w:p>
    <w:p w14:paraId="41B7B644">
      <w:pPr>
        <w:pageBreakBefore w:val="0"/>
        <w:widowControl w:val="0"/>
        <w:kinsoku/>
        <w:wordWrap/>
        <w:overflowPunct/>
        <w:topLinePunct w:val="0"/>
        <w:bidi w:val="0"/>
        <w:spacing w:line="400" w:lineRule="exact"/>
        <w:ind w:firstLine="440" w:firstLineChars="200"/>
        <w:textAlignment w:val="auto"/>
        <w:outlineLvl w:val="0"/>
        <w:rPr>
          <w:rFonts w:hint="eastAsia" w:ascii="宋体" w:hAnsi="宋体" w:eastAsia="宋体" w:cs="宋体"/>
          <w:color w:val="auto"/>
          <w:sz w:val="22"/>
          <w:szCs w:val="22"/>
          <w:highlight w:val="none"/>
        </w:rPr>
      </w:pPr>
      <w:bookmarkStart w:id="449" w:name="_Toc2023"/>
      <w:r>
        <w:rPr>
          <w:rFonts w:hint="eastAsia" w:ascii="宋体" w:hAnsi="宋体" w:eastAsia="宋体" w:cs="宋体"/>
          <w:color w:val="auto"/>
          <w:sz w:val="22"/>
          <w:szCs w:val="22"/>
          <w:highlight w:val="none"/>
        </w:rPr>
        <w:t>2.技术支持：</w:t>
      </w:r>
      <w:bookmarkEnd w:id="449"/>
    </w:p>
    <w:p w14:paraId="5F022766">
      <w:pPr>
        <w:pageBreakBefore w:val="0"/>
        <w:widowControl w:val="0"/>
        <w:kinsoku/>
        <w:wordWrap/>
        <w:overflowPunct/>
        <w:topLinePunct w:val="0"/>
        <w:bidi w:val="0"/>
        <w:spacing w:line="400" w:lineRule="exact"/>
        <w:ind w:firstLine="440" w:firstLineChars="200"/>
        <w:textAlignment w:val="auto"/>
        <w:outlineLvl w:val="0"/>
        <w:rPr>
          <w:rFonts w:hint="eastAsia" w:ascii="宋体" w:hAnsi="宋体" w:eastAsia="宋体" w:cs="宋体"/>
          <w:color w:val="auto"/>
          <w:sz w:val="22"/>
          <w:szCs w:val="22"/>
          <w:highlight w:val="none"/>
        </w:rPr>
      </w:pPr>
      <w:bookmarkStart w:id="450" w:name="_Toc27100"/>
      <w:r>
        <w:rPr>
          <w:rFonts w:hint="eastAsia" w:ascii="宋体" w:hAnsi="宋体" w:eastAsia="宋体" w:cs="宋体"/>
          <w:color w:val="auto"/>
          <w:sz w:val="22"/>
          <w:szCs w:val="22"/>
          <w:highlight w:val="none"/>
        </w:rPr>
        <w:t>乙方应及时免费提供合同货物软件的升级，免费提供合同货物新功能和应用的资料。</w:t>
      </w:r>
      <w:bookmarkEnd w:id="450"/>
    </w:p>
    <w:p w14:paraId="03E2262D">
      <w:pPr>
        <w:pageBreakBefore w:val="0"/>
        <w:widowControl w:val="0"/>
        <w:kinsoku/>
        <w:wordWrap/>
        <w:overflowPunct/>
        <w:topLinePunct w:val="0"/>
        <w:bidi w:val="0"/>
        <w:spacing w:line="400" w:lineRule="exact"/>
        <w:ind w:firstLine="440" w:firstLineChars="200"/>
        <w:textAlignment w:val="auto"/>
        <w:outlineLvl w:val="0"/>
        <w:rPr>
          <w:rFonts w:hint="eastAsia" w:ascii="宋体" w:hAnsi="宋体" w:eastAsia="宋体" w:cs="宋体"/>
          <w:color w:val="auto"/>
          <w:sz w:val="22"/>
          <w:szCs w:val="22"/>
          <w:highlight w:val="none"/>
        </w:rPr>
      </w:pPr>
      <w:bookmarkStart w:id="451" w:name="_Toc24015"/>
      <w:r>
        <w:rPr>
          <w:rFonts w:hint="eastAsia" w:ascii="宋体" w:hAnsi="宋体" w:eastAsia="宋体" w:cs="宋体"/>
          <w:color w:val="auto"/>
          <w:sz w:val="22"/>
          <w:szCs w:val="22"/>
          <w:highlight w:val="none"/>
        </w:rPr>
        <w:t>3.安装调试（若需要安装调试）：乙方在规定时间内安装、调试仪器，费用由乙方承担。</w:t>
      </w:r>
      <w:bookmarkEnd w:id="451"/>
    </w:p>
    <w:p w14:paraId="09FEDA41">
      <w:pPr>
        <w:pageBreakBefore w:val="0"/>
        <w:widowControl w:val="0"/>
        <w:kinsoku/>
        <w:wordWrap/>
        <w:overflowPunct/>
        <w:topLinePunct w:val="0"/>
        <w:bidi w:val="0"/>
        <w:spacing w:line="400" w:lineRule="exact"/>
        <w:ind w:firstLine="440" w:firstLineChars="200"/>
        <w:textAlignment w:val="auto"/>
        <w:outlineLvl w:val="0"/>
        <w:rPr>
          <w:rFonts w:hint="eastAsia" w:ascii="宋体" w:hAnsi="宋体" w:eastAsia="宋体" w:cs="宋体"/>
          <w:color w:val="auto"/>
          <w:sz w:val="22"/>
          <w:szCs w:val="22"/>
          <w:highlight w:val="none"/>
        </w:rPr>
      </w:pPr>
      <w:bookmarkStart w:id="452" w:name="_Toc23154"/>
      <w:r>
        <w:rPr>
          <w:rFonts w:hint="eastAsia" w:ascii="宋体" w:hAnsi="宋体" w:eastAsia="宋体" w:cs="宋体"/>
          <w:color w:val="auto"/>
          <w:sz w:val="22"/>
          <w:szCs w:val="22"/>
          <w:highlight w:val="none"/>
        </w:rPr>
        <w:t>3.1 安装地点：甲方指定地点。</w:t>
      </w:r>
      <w:bookmarkEnd w:id="452"/>
    </w:p>
    <w:p w14:paraId="57DB4D88">
      <w:pPr>
        <w:pageBreakBefore w:val="0"/>
        <w:widowControl w:val="0"/>
        <w:kinsoku/>
        <w:wordWrap/>
        <w:overflowPunct/>
        <w:topLinePunct w:val="0"/>
        <w:bidi w:val="0"/>
        <w:spacing w:line="400" w:lineRule="exact"/>
        <w:ind w:firstLine="440" w:firstLineChars="200"/>
        <w:textAlignment w:val="auto"/>
        <w:outlineLvl w:val="0"/>
        <w:rPr>
          <w:rFonts w:hint="eastAsia" w:ascii="宋体" w:hAnsi="宋体" w:eastAsia="宋体" w:cs="宋体"/>
          <w:color w:val="auto"/>
          <w:sz w:val="22"/>
          <w:szCs w:val="22"/>
          <w:highlight w:val="none"/>
        </w:rPr>
      </w:pPr>
      <w:bookmarkStart w:id="453" w:name="_Toc10560"/>
      <w:r>
        <w:rPr>
          <w:rFonts w:hint="eastAsia" w:ascii="宋体" w:hAnsi="宋体" w:eastAsia="宋体" w:cs="宋体"/>
          <w:color w:val="auto"/>
          <w:sz w:val="22"/>
          <w:szCs w:val="22"/>
          <w:highlight w:val="none"/>
        </w:rPr>
        <w:t>3.2 安装完成时间：接到甲方通知后在7日内完成安装和调试，如在规定的时间内由于乙方的原因不能完成安装和调试，乙方应承担由此给甲方造成的损失。</w:t>
      </w:r>
      <w:bookmarkEnd w:id="453"/>
    </w:p>
    <w:p w14:paraId="4D986E8D">
      <w:pPr>
        <w:pageBreakBefore w:val="0"/>
        <w:widowControl w:val="0"/>
        <w:kinsoku/>
        <w:wordWrap/>
        <w:overflowPunct/>
        <w:topLinePunct w:val="0"/>
        <w:bidi w:val="0"/>
        <w:spacing w:line="400" w:lineRule="exact"/>
        <w:ind w:firstLine="440" w:firstLineChars="200"/>
        <w:textAlignment w:val="auto"/>
        <w:outlineLvl w:val="0"/>
        <w:rPr>
          <w:rFonts w:hint="eastAsia" w:ascii="宋体" w:hAnsi="宋体" w:eastAsia="宋体" w:cs="宋体"/>
          <w:color w:val="auto"/>
          <w:sz w:val="22"/>
          <w:szCs w:val="22"/>
          <w:highlight w:val="none"/>
        </w:rPr>
      </w:pPr>
      <w:bookmarkStart w:id="454" w:name="_Toc17444"/>
      <w:r>
        <w:rPr>
          <w:rFonts w:hint="eastAsia" w:ascii="宋体" w:hAnsi="宋体" w:eastAsia="宋体" w:cs="宋体"/>
          <w:color w:val="auto"/>
          <w:sz w:val="22"/>
          <w:szCs w:val="22"/>
          <w:highlight w:val="none"/>
        </w:rPr>
        <w:t>3.3 安装标准：符合我国国家有关技术规范要求和技术标准，所有的软件和硬件必须保证同时安装到位。</w:t>
      </w:r>
      <w:bookmarkEnd w:id="454"/>
    </w:p>
    <w:p w14:paraId="1296DCEF">
      <w:pPr>
        <w:pageBreakBefore w:val="0"/>
        <w:widowControl w:val="0"/>
        <w:kinsoku/>
        <w:wordWrap/>
        <w:overflowPunct/>
        <w:topLinePunct w:val="0"/>
        <w:bidi w:val="0"/>
        <w:spacing w:line="400" w:lineRule="exact"/>
        <w:ind w:firstLine="440" w:firstLineChars="200"/>
        <w:textAlignment w:val="auto"/>
        <w:outlineLvl w:val="0"/>
        <w:rPr>
          <w:rFonts w:hint="eastAsia" w:ascii="宋体" w:hAnsi="宋体" w:eastAsia="宋体" w:cs="宋体"/>
          <w:color w:val="auto"/>
          <w:sz w:val="22"/>
          <w:szCs w:val="22"/>
          <w:highlight w:val="none"/>
        </w:rPr>
      </w:pPr>
      <w:bookmarkStart w:id="455" w:name="_Toc7490"/>
      <w:r>
        <w:rPr>
          <w:rFonts w:hint="eastAsia" w:ascii="宋体" w:hAnsi="宋体" w:eastAsia="宋体" w:cs="宋体"/>
          <w:color w:val="auto"/>
          <w:sz w:val="22"/>
          <w:szCs w:val="22"/>
          <w:highlight w:val="none"/>
        </w:rPr>
        <w:t>3.4 乙方免费提供合同货物的安装服务。</w:t>
      </w:r>
      <w:bookmarkEnd w:id="455"/>
    </w:p>
    <w:p w14:paraId="6ED6E35C">
      <w:pPr>
        <w:pageBreakBefore w:val="0"/>
        <w:widowControl w:val="0"/>
        <w:kinsoku/>
        <w:wordWrap/>
        <w:overflowPunct/>
        <w:topLinePunct w:val="0"/>
        <w:bidi w:val="0"/>
        <w:spacing w:line="400" w:lineRule="exact"/>
        <w:ind w:firstLine="440" w:firstLineChars="200"/>
        <w:textAlignment w:val="auto"/>
        <w:outlineLvl w:val="0"/>
        <w:rPr>
          <w:rFonts w:hint="eastAsia" w:ascii="宋体" w:hAnsi="宋体" w:eastAsia="宋体" w:cs="宋体"/>
          <w:color w:val="auto"/>
          <w:sz w:val="22"/>
          <w:szCs w:val="22"/>
          <w:highlight w:val="none"/>
        </w:rPr>
      </w:pPr>
      <w:bookmarkStart w:id="456" w:name="_Toc5495"/>
      <w:r>
        <w:rPr>
          <w:rFonts w:hint="eastAsia" w:ascii="宋体" w:hAnsi="宋体" w:eastAsia="宋体" w:cs="宋体"/>
          <w:color w:val="auto"/>
          <w:sz w:val="22"/>
          <w:szCs w:val="22"/>
          <w:highlight w:val="none"/>
        </w:rPr>
        <w:t>3.5 乙方在投标文件中应提供安装调试计划、对安装场地和环境的要求。</w:t>
      </w:r>
      <w:bookmarkEnd w:id="456"/>
    </w:p>
    <w:p w14:paraId="47E83CF2">
      <w:pPr>
        <w:pageBreakBefore w:val="0"/>
        <w:widowControl w:val="0"/>
        <w:kinsoku/>
        <w:wordWrap/>
        <w:overflowPunct/>
        <w:topLinePunct w:val="0"/>
        <w:bidi w:val="0"/>
        <w:spacing w:line="400" w:lineRule="exact"/>
        <w:ind w:firstLine="440" w:firstLineChars="200"/>
        <w:textAlignment w:val="auto"/>
        <w:outlineLvl w:val="0"/>
        <w:rPr>
          <w:rFonts w:hint="eastAsia" w:ascii="宋体" w:hAnsi="宋体" w:eastAsia="宋体" w:cs="宋体"/>
          <w:color w:val="auto"/>
          <w:sz w:val="22"/>
          <w:szCs w:val="22"/>
          <w:highlight w:val="none"/>
        </w:rPr>
      </w:pPr>
      <w:bookmarkStart w:id="457" w:name="_Toc24415"/>
      <w:r>
        <w:rPr>
          <w:rFonts w:hint="eastAsia" w:ascii="宋体" w:hAnsi="宋体" w:eastAsia="宋体" w:cs="宋体"/>
          <w:color w:val="auto"/>
          <w:sz w:val="22"/>
          <w:szCs w:val="22"/>
          <w:highlight w:val="none"/>
        </w:rPr>
        <w:t>4.甲方对乙方提交的货物依据公开招标文件上的技术规格要求和国家有关质量标准进行现场初步验收，外观、说明书符合公开招标文件技术要求的，给予签收，初步验收不合格的不予签收。</w:t>
      </w:r>
      <w:bookmarkEnd w:id="457"/>
    </w:p>
    <w:p w14:paraId="661ED146">
      <w:pPr>
        <w:pageBreakBefore w:val="0"/>
        <w:widowControl w:val="0"/>
        <w:kinsoku/>
        <w:wordWrap/>
        <w:overflowPunct/>
        <w:topLinePunct w:val="0"/>
        <w:bidi w:val="0"/>
        <w:spacing w:line="400" w:lineRule="exact"/>
        <w:ind w:firstLine="440" w:firstLineChars="200"/>
        <w:textAlignment w:val="auto"/>
        <w:outlineLvl w:val="0"/>
        <w:rPr>
          <w:rFonts w:hint="eastAsia" w:ascii="宋体" w:hAnsi="宋体" w:eastAsia="宋体" w:cs="宋体"/>
          <w:color w:val="auto"/>
          <w:sz w:val="22"/>
          <w:szCs w:val="22"/>
          <w:highlight w:val="none"/>
        </w:rPr>
      </w:pPr>
      <w:bookmarkStart w:id="458" w:name="_Toc29311"/>
      <w:r>
        <w:rPr>
          <w:rFonts w:hint="eastAsia" w:ascii="宋体" w:hAnsi="宋体" w:eastAsia="宋体" w:cs="宋体"/>
          <w:color w:val="auto"/>
          <w:sz w:val="22"/>
          <w:szCs w:val="22"/>
          <w:highlight w:val="none"/>
        </w:rPr>
        <w:t>5.乙方应提供合同货物的有效检验文件，经甲方认可后，与合同的性能指标一起作为合同货物验收标准。甲方对样品（如有）验收合格后，双方共同签署验收样品合格证书，在合同期限内甲方将对乙方提供的货物进行抽检验收，验收中发现合同货物达不到样品验收标准或合同规定的性能指标，乙方必须更换合同货物，并负担由此给甲方造成的损失，直到验收合格为止。</w:t>
      </w:r>
      <w:bookmarkEnd w:id="458"/>
    </w:p>
    <w:p w14:paraId="58E396CC">
      <w:pPr>
        <w:pageBreakBefore w:val="0"/>
        <w:widowControl w:val="0"/>
        <w:kinsoku/>
        <w:wordWrap/>
        <w:overflowPunct/>
        <w:topLinePunct w:val="0"/>
        <w:bidi w:val="0"/>
        <w:spacing w:line="400" w:lineRule="exact"/>
        <w:ind w:firstLine="440" w:firstLineChars="200"/>
        <w:textAlignment w:val="auto"/>
        <w:outlineLvl w:val="0"/>
        <w:rPr>
          <w:rFonts w:hint="eastAsia" w:ascii="宋体" w:hAnsi="宋体" w:eastAsia="宋体" w:cs="宋体"/>
          <w:color w:val="auto"/>
          <w:sz w:val="22"/>
          <w:szCs w:val="22"/>
          <w:highlight w:val="none"/>
        </w:rPr>
      </w:pPr>
      <w:bookmarkStart w:id="459" w:name="_Toc3394"/>
      <w:r>
        <w:rPr>
          <w:rFonts w:hint="eastAsia" w:ascii="宋体" w:hAnsi="宋体" w:eastAsia="宋体" w:cs="宋体"/>
          <w:color w:val="auto"/>
          <w:sz w:val="22"/>
          <w:szCs w:val="22"/>
          <w:highlight w:val="none"/>
        </w:rPr>
        <w:t>6.乙方应于投标文件中提供合同货物的验收标准和检测办法，并在验收中提供甲方认可的相应检测手段，验收标准应符合中国有关的国家、地方、行业的标准，如若中标，经甲方确认后作为验收的依据，乙方交货前应对产品作出全面检查和对验收文件进行整理，并列出清单，作为甲方收货验收和使用的技术条件依据，检验的结果应随货物交甲方。</w:t>
      </w:r>
      <w:bookmarkEnd w:id="459"/>
    </w:p>
    <w:p w14:paraId="23BB89A8">
      <w:pPr>
        <w:pageBreakBefore w:val="0"/>
        <w:widowControl w:val="0"/>
        <w:kinsoku/>
        <w:wordWrap/>
        <w:overflowPunct/>
        <w:topLinePunct w:val="0"/>
        <w:bidi w:val="0"/>
        <w:spacing w:line="400" w:lineRule="exact"/>
        <w:ind w:firstLine="440" w:firstLineChars="200"/>
        <w:textAlignment w:val="auto"/>
        <w:outlineLvl w:val="0"/>
        <w:rPr>
          <w:rFonts w:hint="eastAsia" w:ascii="宋体" w:hAnsi="宋体" w:eastAsia="宋体" w:cs="宋体"/>
          <w:color w:val="auto"/>
          <w:sz w:val="22"/>
          <w:szCs w:val="22"/>
          <w:highlight w:val="none"/>
        </w:rPr>
      </w:pPr>
      <w:bookmarkStart w:id="460" w:name="_Toc3203"/>
      <w:r>
        <w:rPr>
          <w:rFonts w:hint="eastAsia" w:ascii="宋体" w:hAnsi="宋体" w:eastAsia="宋体" w:cs="宋体"/>
          <w:color w:val="auto"/>
          <w:sz w:val="22"/>
          <w:szCs w:val="22"/>
          <w:highlight w:val="none"/>
        </w:rPr>
        <w:t>7.如乙方委托国内代理（或其他机构）负责安装或配合安装，应在签约时指明，但乙方仍要对合同货物及其安装质量负全部责任。</w:t>
      </w:r>
      <w:bookmarkEnd w:id="460"/>
    </w:p>
    <w:p w14:paraId="72A1275F">
      <w:pPr>
        <w:pageBreakBefore w:val="0"/>
        <w:widowControl w:val="0"/>
        <w:kinsoku/>
        <w:wordWrap/>
        <w:overflowPunct/>
        <w:topLinePunct w:val="0"/>
        <w:bidi w:val="0"/>
        <w:spacing w:line="400" w:lineRule="exact"/>
        <w:ind w:firstLine="440" w:firstLineChars="200"/>
        <w:textAlignment w:val="auto"/>
        <w:outlineLvl w:val="0"/>
        <w:rPr>
          <w:rFonts w:hint="eastAsia" w:ascii="宋体" w:hAnsi="宋体" w:eastAsia="宋体" w:cs="宋体"/>
          <w:color w:val="auto"/>
          <w:sz w:val="22"/>
          <w:szCs w:val="22"/>
          <w:highlight w:val="none"/>
        </w:rPr>
      </w:pPr>
      <w:bookmarkStart w:id="461" w:name="_Toc31829"/>
      <w:r>
        <w:rPr>
          <w:rFonts w:hint="eastAsia" w:ascii="宋体" w:hAnsi="宋体" w:eastAsia="宋体" w:cs="宋体"/>
          <w:color w:val="auto"/>
          <w:sz w:val="22"/>
          <w:szCs w:val="22"/>
          <w:highlight w:val="none"/>
        </w:rPr>
        <w:t>8.甲方对乙方提供的货物在使用前进行调试时，乙方需负责安装并培训甲方的使用操作人员，并协助甲方一起调试，直到符合技术要求，甲方才做最终验收。</w:t>
      </w:r>
      <w:bookmarkEnd w:id="461"/>
    </w:p>
    <w:p w14:paraId="54892AD2">
      <w:pPr>
        <w:pageBreakBefore w:val="0"/>
        <w:widowControl w:val="0"/>
        <w:kinsoku/>
        <w:wordWrap/>
        <w:overflowPunct/>
        <w:topLinePunct w:val="0"/>
        <w:bidi w:val="0"/>
        <w:spacing w:line="400" w:lineRule="exact"/>
        <w:ind w:firstLine="440" w:firstLineChars="200"/>
        <w:textAlignment w:val="auto"/>
        <w:outlineLvl w:val="0"/>
        <w:rPr>
          <w:rFonts w:hint="eastAsia" w:ascii="宋体" w:hAnsi="宋体" w:eastAsia="宋体" w:cs="宋体"/>
          <w:color w:val="auto"/>
          <w:sz w:val="22"/>
          <w:szCs w:val="22"/>
          <w:highlight w:val="none"/>
        </w:rPr>
      </w:pPr>
      <w:bookmarkStart w:id="462" w:name="_Toc3987"/>
      <w:r>
        <w:rPr>
          <w:rFonts w:hint="eastAsia" w:ascii="宋体" w:hAnsi="宋体" w:eastAsia="宋体" w:cs="宋体"/>
          <w:color w:val="auto"/>
          <w:sz w:val="22"/>
          <w:szCs w:val="22"/>
          <w:highlight w:val="none"/>
        </w:rPr>
        <w:t>9.对技术复杂的货物，甲方应请国家认可的专业检测机构参与初步验收及最终验收，并由其出具质量检测报告。</w:t>
      </w:r>
      <w:bookmarkEnd w:id="462"/>
    </w:p>
    <w:p w14:paraId="6A51F720">
      <w:pPr>
        <w:pageBreakBefore w:val="0"/>
        <w:widowControl w:val="0"/>
        <w:kinsoku/>
        <w:wordWrap/>
        <w:overflowPunct/>
        <w:topLinePunct w:val="0"/>
        <w:bidi w:val="0"/>
        <w:spacing w:line="400" w:lineRule="exact"/>
        <w:ind w:firstLine="440" w:firstLineChars="200"/>
        <w:textAlignment w:val="auto"/>
        <w:outlineLvl w:val="0"/>
        <w:rPr>
          <w:rFonts w:hint="eastAsia" w:ascii="宋体" w:hAnsi="宋体" w:eastAsia="宋体" w:cs="宋体"/>
          <w:color w:val="auto"/>
          <w:sz w:val="22"/>
          <w:szCs w:val="22"/>
          <w:highlight w:val="none"/>
        </w:rPr>
      </w:pPr>
      <w:bookmarkStart w:id="463" w:name="_Toc27502"/>
      <w:r>
        <w:rPr>
          <w:rFonts w:hint="eastAsia" w:ascii="宋体" w:hAnsi="宋体" w:eastAsia="宋体" w:cs="宋体"/>
          <w:color w:val="auto"/>
          <w:sz w:val="22"/>
          <w:szCs w:val="22"/>
          <w:highlight w:val="none"/>
        </w:rPr>
        <w:t>10.验收时乙方必须在现场，验收完毕后作出验收结果报告。</w:t>
      </w:r>
      <w:bookmarkEnd w:id="463"/>
    </w:p>
    <w:p w14:paraId="4424EC74">
      <w:pPr>
        <w:pageBreakBefore w:val="0"/>
        <w:widowControl w:val="0"/>
        <w:kinsoku/>
        <w:wordWrap/>
        <w:overflowPunct/>
        <w:topLinePunct w:val="0"/>
        <w:bidi w:val="0"/>
        <w:spacing w:line="400" w:lineRule="exact"/>
        <w:ind w:firstLine="440" w:firstLineChars="200"/>
        <w:textAlignment w:val="auto"/>
        <w:outlineLvl w:val="0"/>
        <w:rPr>
          <w:rFonts w:hint="eastAsia" w:ascii="宋体" w:hAnsi="宋体" w:eastAsia="宋体" w:cs="宋体"/>
          <w:color w:val="auto"/>
          <w:sz w:val="22"/>
          <w:szCs w:val="22"/>
          <w:highlight w:val="none"/>
        </w:rPr>
      </w:pPr>
      <w:bookmarkStart w:id="464" w:name="_Toc7694"/>
      <w:r>
        <w:rPr>
          <w:rFonts w:hint="eastAsia" w:ascii="宋体" w:hAnsi="宋体" w:eastAsia="宋体" w:cs="宋体"/>
          <w:color w:val="auto"/>
          <w:sz w:val="22"/>
          <w:szCs w:val="22"/>
          <w:highlight w:val="none"/>
        </w:rPr>
        <w:t>11.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bookmarkEnd w:id="464"/>
    </w:p>
    <w:p w14:paraId="5A8BEB95">
      <w:pPr>
        <w:pageBreakBefore w:val="0"/>
        <w:widowControl w:val="0"/>
        <w:kinsoku/>
        <w:wordWrap/>
        <w:overflowPunct/>
        <w:topLinePunct w:val="0"/>
        <w:bidi w:val="0"/>
        <w:snapToGrid w:val="0"/>
        <w:spacing w:line="400" w:lineRule="exact"/>
        <w:textAlignment w:val="auto"/>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第七条：货款的支付</w:t>
      </w:r>
    </w:p>
    <w:p w14:paraId="0662CDE4">
      <w:pPr>
        <w:pageBreakBefore w:val="0"/>
        <w:widowControl w:val="0"/>
        <w:kinsoku/>
        <w:wordWrap/>
        <w:overflowPunct/>
        <w:topLinePunct w:val="0"/>
        <w:bidi w:val="0"/>
        <w:spacing w:line="400" w:lineRule="exact"/>
        <w:ind w:firstLine="418" w:firstLineChars="200"/>
        <w:textAlignment w:val="auto"/>
        <w:outlineLvl w:val="0"/>
        <w:rPr>
          <w:rFonts w:hint="eastAsia" w:ascii="宋体" w:hAnsi="宋体" w:eastAsia="宋体" w:cs="宋体"/>
          <w:b/>
          <w:color w:val="auto"/>
          <w:spacing w:val="-6"/>
          <w:sz w:val="22"/>
          <w:szCs w:val="22"/>
          <w:highlight w:val="none"/>
        </w:rPr>
      </w:pPr>
      <w:bookmarkStart w:id="465" w:name="_Toc24266"/>
      <w:r>
        <w:rPr>
          <w:rFonts w:hint="eastAsia" w:ascii="宋体" w:hAnsi="宋体" w:eastAsia="宋体" w:cs="宋体"/>
          <w:b/>
          <w:color w:val="auto"/>
          <w:spacing w:val="-6"/>
          <w:sz w:val="22"/>
          <w:szCs w:val="22"/>
          <w:highlight w:val="none"/>
        </w:rPr>
        <w:t>1.履约保证金：</w:t>
      </w:r>
      <w:bookmarkEnd w:id="465"/>
    </w:p>
    <w:p w14:paraId="378DFEB7">
      <w:pPr>
        <w:pageBreakBefore w:val="0"/>
        <w:widowControl w:val="0"/>
        <w:kinsoku/>
        <w:wordWrap/>
        <w:overflowPunct/>
        <w:topLinePunct w:val="0"/>
        <w:bidi w:val="0"/>
        <w:spacing w:line="400" w:lineRule="exact"/>
        <w:ind w:firstLine="416" w:firstLineChars="200"/>
        <w:textAlignment w:val="auto"/>
        <w:outlineLvl w:val="0"/>
        <w:rPr>
          <w:rFonts w:hint="eastAsia" w:ascii="宋体" w:hAnsi="宋体" w:eastAsia="宋体" w:cs="宋体"/>
          <w:color w:val="auto"/>
          <w:kern w:val="0"/>
          <w:sz w:val="22"/>
          <w:szCs w:val="22"/>
          <w:highlight w:val="none"/>
        </w:rPr>
      </w:pPr>
      <w:bookmarkStart w:id="466" w:name="_Toc20784"/>
      <w:r>
        <w:rPr>
          <w:rFonts w:hint="eastAsia" w:ascii="宋体" w:hAnsi="宋体" w:eastAsia="宋体" w:cs="宋体"/>
          <w:color w:val="auto"/>
          <w:spacing w:val="-6"/>
          <w:sz w:val="22"/>
          <w:szCs w:val="22"/>
          <w:highlight w:val="none"/>
        </w:rPr>
        <w:t>履约保证金金额：</w:t>
      </w:r>
      <w:r>
        <w:rPr>
          <w:rFonts w:hint="eastAsia" w:ascii="宋体" w:hAnsi="宋体" w:eastAsia="宋体" w:cs="宋体"/>
          <w:color w:val="auto"/>
          <w:kern w:val="0"/>
          <w:sz w:val="22"/>
          <w:szCs w:val="22"/>
          <w:highlight w:val="none"/>
        </w:rPr>
        <w:t>合同金额的</w:t>
      </w:r>
      <w:r>
        <w:rPr>
          <w:rFonts w:hint="eastAsia" w:ascii="宋体" w:hAnsi="宋体" w:eastAsia="宋体" w:cs="宋体"/>
          <w:color w:val="auto"/>
          <w:kern w:val="0"/>
          <w:sz w:val="22"/>
          <w:szCs w:val="22"/>
          <w:highlight w:val="none"/>
          <w:u w:val="single"/>
        </w:rPr>
        <w:t xml:space="preserve"> 1  </w:t>
      </w:r>
      <w:r>
        <w:rPr>
          <w:rFonts w:hint="eastAsia" w:ascii="宋体" w:hAnsi="宋体" w:eastAsia="宋体" w:cs="宋体"/>
          <w:color w:val="auto"/>
          <w:kern w:val="0"/>
          <w:sz w:val="22"/>
          <w:szCs w:val="22"/>
          <w:highlight w:val="none"/>
        </w:rPr>
        <w:t>%；</w:t>
      </w:r>
      <w:bookmarkEnd w:id="466"/>
    </w:p>
    <w:p w14:paraId="38D4FFC7">
      <w:pPr>
        <w:pageBreakBefore w:val="0"/>
        <w:widowControl w:val="0"/>
        <w:kinsoku/>
        <w:wordWrap/>
        <w:overflowPunct/>
        <w:topLinePunct w:val="0"/>
        <w:bidi w:val="0"/>
        <w:spacing w:line="400" w:lineRule="exact"/>
        <w:ind w:firstLine="440" w:firstLineChars="200"/>
        <w:textAlignment w:val="auto"/>
        <w:outlineLvl w:val="0"/>
        <w:rPr>
          <w:rFonts w:hint="eastAsia" w:ascii="宋体" w:hAnsi="宋体" w:eastAsia="宋体" w:cs="宋体"/>
          <w:b/>
          <w:bCs/>
          <w:color w:val="auto"/>
          <w:spacing w:val="-6"/>
          <w:sz w:val="22"/>
          <w:szCs w:val="22"/>
          <w:highlight w:val="none"/>
        </w:rPr>
      </w:pPr>
      <w:bookmarkStart w:id="467" w:name="_Toc24800"/>
      <w:r>
        <w:rPr>
          <w:rFonts w:hint="eastAsia" w:ascii="宋体" w:hAnsi="宋体" w:eastAsia="宋体" w:cs="宋体"/>
          <w:color w:val="auto"/>
          <w:kern w:val="0"/>
          <w:sz w:val="22"/>
          <w:szCs w:val="22"/>
          <w:highlight w:val="none"/>
        </w:rPr>
        <w:t>履约保证金支付方式：由乙方在</w:t>
      </w:r>
      <w:r>
        <w:rPr>
          <w:rFonts w:hint="eastAsia" w:ascii="宋体" w:hAnsi="宋体" w:eastAsia="宋体" w:cs="宋体"/>
          <w:color w:val="auto"/>
          <w:spacing w:val="-6"/>
          <w:sz w:val="22"/>
          <w:szCs w:val="22"/>
          <w:highlight w:val="none"/>
        </w:rPr>
        <w:t>合同签订后5个工作日内，</w:t>
      </w:r>
      <w:r>
        <w:rPr>
          <w:rFonts w:hint="eastAsia" w:ascii="宋体" w:hAnsi="宋体" w:eastAsia="宋体" w:cs="宋体"/>
          <w:color w:val="auto"/>
          <w:sz w:val="22"/>
          <w:szCs w:val="22"/>
          <w:highlight w:val="none"/>
        </w:rPr>
        <w:t>以支票、汇票、本票或者金融机构、担保机构出具的保函等非现金形式</w:t>
      </w:r>
      <w:r>
        <w:rPr>
          <w:rFonts w:hint="eastAsia" w:ascii="宋体" w:hAnsi="宋体" w:eastAsia="宋体" w:cs="宋体"/>
          <w:color w:val="auto"/>
          <w:kern w:val="0"/>
          <w:sz w:val="22"/>
          <w:szCs w:val="22"/>
          <w:highlight w:val="none"/>
        </w:rPr>
        <w:t>向甲方缴纳。</w:t>
      </w:r>
      <w:bookmarkEnd w:id="467"/>
    </w:p>
    <w:p w14:paraId="7ADE65AB">
      <w:pPr>
        <w:pageBreakBefore w:val="0"/>
        <w:widowControl w:val="0"/>
        <w:kinsoku/>
        <w:wordWrap/>
        <w:overflowPunct/>
        <w:topLinePunct w:val="0"/>
        <w:bidi w:val="0"/>
        <w:spacing w:line="400" w:lineRule="exact"/>
        <w:ind w:firstLine="416" w:firstLineChars="200"/>
        <w:textAlignment w:val="auto"/>
        <w:outlineLvl w:val="0"/>
        <w:rPr>
          <w:rFonts w:hint="eastAsia" w:ascii="宋体" w:hAnsi="宋体" w:eastAsia="宋体" w:cs="宋体"/>
          <w:color w:val="auto"/>
          <w:kern w:val="0"/>
          <w:sz w:val="22"/>
          <w:szCs w:val="22"/>
          <w:highlight w:val="none"/>
        </w:rPr>
      </w:pPr>
      <w:bookmarkStart w:id="468" w:name="_Toc12053"/>
      <w:r>
        <w:rPr>
          <w:rFonts w:hint="eastAsia" w:ascii="宋体" w:hAnsi="宋体" w:eastAsia="宋体" w:cs="宋体"/>
          <w:color w:val="auto"/>
          <w:spacing w:val="-6"/>
          <w:sz w:val="22"/>
          <w:szCs w:val="22"/>
          <w:highlight w:val="none"/>
        </w:rPr>
        <w:t>履约保证金退还：</w:t>
      </w:r>
      <w:r>
        <w:rPr>
          <w:rFonts w:hint="eastAsia" w:ascii="宋体" w:hAnsi="宋体" w:eastAsia="宋体" w:cs="宋体"/>
          <w:color w:val="auto"/>
          <w:kern w:val="0"/>
          <w:sz w:val="22"/>
          <w:szCs w:val="22"/>
          <w:highlight w:val="none"/>
        </w:rPr>
        <w:t>甲方在项目验收结束后及时退还履约保证金。甲方在项目通过验收之日起</w:t>
      </w:r>
      <w:r>
        <w:rPr>
          <w:rFonts w:hint="eastAsia" w:ascii="宋体" w:hAnsi="宋体" w:eastAsia="宋体" w:cs="宋体"/>
          <w:color w:val="auto"/>
          <w:kern w:val="0"/>
          <w:sz w:val="22"/>
          <w:szCs w:val="22"/>
          <w:highlight w:val="none"/>
          <w:u w:val="single"/>
        </w:rPr>
        <w:t xml:space="preserve"> 7 </w:t>
      </w:r>
      <w:r>
        <w:rPr>
          <w:rFonts w:hint="eastAsia" w:ascii="宋体" w:hAnsi="宋体" w:eastAsia="宋体" w:cs="宋体"/>
          <w:color w:val="auto"/>
          <w:kern w:val="0"/>
          <w:sz w:val="22"/>
          <w:szCs w:val="22"/>
          <w:highlight w:val="none"/>
        </w:rPr>
        <w:t>个工作日内将履约保证金无息退还乙方，逾期退还的，</w:t>
      </w:r>
      <w:r>
        <w:rPr>
          <w:rFonts w:hint="eastAsia" w:ascii="宋体" w:hAnsi="宋体" w:eastAsia="宋体" w:cs="宋体"/>
          <w:color w:val="auto"/>
          <w:sz w:val="22"/>
          <w:szCs w:val="22"/>
          <w:highlight w:val="none"/>
        </w:rPr>
        <w:t>乙方有权向甲方提出赔偿，赔偿金额按照中国人民银行规定的金融机构计收逾期利息的标准计算</w:t>
      </w:r>
      <w:r>
        <w:rPr>
          <w:rFonts w:hint="eastAsia" w:ascii="宋体" w:hAnsi="宋体" w:eastAsia="宋体" w:cs="宋体"/>
          <w:color w:val="auto"/>
          <w:kern w:val="0"/>
          <w:sz w:val="22"/>
          <w:szCs w:val="22"/>
          <w:highlight w:val="none"/>
        </w:rPr>
        <w:t>。</w:t>
      </w:r>
      <w:bookmarkEnd w:id="468"/>
    </w:p>
    <w:p w14:paraId="31CDD80E">
      <w:pPr>
        <w:pStyle w:val="2"/>
        <w:pageBreakBefore w:val="0"/>
        <w:widowControl w:val="0"/>
        <w:tabs>
          <w:tab w:val="left" w:pos="0"/>
        </w:tabs>
        <w:kinsoku/>
        <w:wordWrap/>
        <w:overflowPunct/>
        <w:topLinePunct w:val="0"/>
        <w:bidi w:val="0"/>
        <w:spacing w:line="400" w:lineRule="exact"/>
        <w:ind w:left="0" w:firstLine="440" w:firstLineChars="200"/>
        <w:textAlignment w:val="auto"/>
        <w:rPr>
          <w:rFonts w:hint="eastAsia" w:ascii="宋体" w:hAnsi="宋体" w:eastAsia="宋体" w:cs="宋体"/>
          <w:color w:val="auto"/>
          <w:sz w:val="22"/>
          <w:szCs w:val="22"/>
          <w:highlight w:val="none"/>
        </w:rPr>
      </w:pPr>
      <w:bookmarkStart w:id="469" w:name="_Toc30425"/>
      <w:r>
        <w:rPr>
          <w:rFonts w:hint="eastAsia" w:ascii="宋体" w:hAnsi="宋体" w:eastAsia="宋体" w:cs="宋体"/>
          <w:b w:val="0"/>
          <w:bCs/>
          <w:color w:val="auto"/>
          <w:sz w:val="22"/>
          <w:szCs w:val="22"/>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bookmarkEnd w:id="469"/>
    </w:p>
    <w:p w14:paraId="33A2AAA1">
      <w:pPr>
        <w:pageBreakBefore w:val="0"/>
        <w:widowControl w:val="0"/>
        <w:kinsoku/>
        <w:wordWrap/>
        <w:overflowPunct/>
        <w:topLinePunct w:val="0"/>
        <w:bidi w:val="0"/>
        <w:spacing w:line="400" w:lineRule="exact"/>
        <w:ind w:firstLine="418" w:firstLineChars="200"/>
        <w:textAlignment w:val="auto"/>
        <w:outlineLvl w:val="0"/>
        <w:rPr>
          <w:rFonts w:hint="eastAsia" w:ascii="宋体" w:hAnsi="宋体" w:eastAsia="宋体" w:cs="宋体"/>
          <w:color w:val="auto"/>
          <w:kern w:val="0"/>
          <w:sz w:val="22"/>
          <w:szCs w:val="22"/>
          <w:highlight w:val="none"/>
        </w:rPr>
      </w:pPr>
      <w:bookmarkStart w:id="470" w:name="_Toc18904"/>
      <w:r>
        <w:rPr>
          <w:rFonts w:hint="eastAsia" w:ascii="宋体" w:hAnsi="宋体" w:eastAsia="宋体" w:cs="宋体"/>
          <w:b/>
          <w:color w:val="auto"/>
          <w:spacing w:val="-6"/>
          <w:sz w:val="22"/>
          <w:szCs w:val="22"/>
          <w:highlight w:val="none"/>
        </w:rPr>
        <w:t>2.付款方式：</w:t>
      </w:r>
      <w:r>
        <w:rPr>
          <w:rFonts w:hint="eastAsia" w:ascii="宋体" w:hAnsi="宋体" w:eastAsia="宋体" w:cs="宋体"/>
          <w:color w:val="auto"/>
          <w:kern w:val="0"/>
          <w:sz w:val="22"/>
          <w:szCs w:val="22"/>
          <w:highlight w:val="none"/>
        </w:rPr>
        <w:t>合同生效以及具备实施条件后7个工作日内，且乙方已向甲方提交银行、保险公司等金融机构出具的预付款保函的，甲方向乙方支付合同总价40%的预付款，合同尾款在</w:t>
      </w:r>
      <w:r>
        <w:rPr>
          <w:rFonts w:hint="eastAsia" w:ascii="宋体" w:hAnsi="宋体" w:eastAsia="宋体" w:cs="宋体"/>
          <w:color w:val="auto"/>
          <w:sz w:val="22"/>
          <w:szCs w:val="22"/>
          <w:highlight w:val="none"/>
          <w:lang w:val="zh-CN"/>
        </w:rPr>
        <w:t>乙方完成全部供货及安装、调试、培训</w:t>
      </w:r>
      <w:r>
        <w:rPr>
          <w:rFonts w:hint="eastAsia" w:ascii="宋体" w:hAnsi="宋体" w:eastAsia="宋体" w:cs="宋体"/>
          <w:color w:val="auto"/>
          <w:kern w:val="0"/>
          <w:sz w:val="22"/>
          <w:szCs w:val="22"/>
          <w:highlight w:val="none"/>
        </w:rPr>
        <w:t>且经甲方验收合格后支付并退还预付款保函</w:t>
      </w:r>
      <w:r>
        <w:rPr>
          <w:rFonts w:hint="eastAsia" w:ascii="宋体" w:hAnsi="宋体" w:eastAsia="宋体" w:cs="宋体"/>
          <w:color w:val="auto"/>
          <w:kern w:val="0"/>
          <w:sz w:val="22"/>
          <w:szCs w:val="22"/>
          <w:highlight w:val="none"/>
          <w:lang w:val="zh-CN"/>
        </w:rPr>
        <w:t>。</w:t>
      </w:r>
      <w:bookmarkEnd w:id="470"/>
    </w:p>
    <w:p w14:paraId="7283257B">
      <w:pPr>
        <w:pageBreakBefore w:val="0"/>
        <w:widowControl w:val="0"/>
        <w:kinsoku/>
        <w:wordWrap/>
        <w:overflowPunct/>
        <w:topLinePunct w:val="0"/>
        <w:bidi w:val="0"/>
        <w:spacing w:line="400" w:lineRule="exact"/>
        <w:ind w:firstLine="440" w:firstLineChars="200"/>
        <w:textAlignment w:val="auto"/>
        <w:outlineLvl w:val="0"/>
        <w:rPr>
          <w:rFonts w:hint="eastAsia" w:ascii="宋体" w:hAnsi="宋体" w:eastAsia="宋体" w:cs="宋体"/>
          <w:b/>
          <w:color w:val="auto"/>
          <w:spacing w:val="-6"/>
          <w:sz w:val="22"/>
          <w:szCs w:val="22"/>
          <w:highlight w:val="none"/>
        </w:rPr>
      </w:pPr>
      <w:bookmarkStart w:id="471" w:name="_Toc19880"/>
      <w:r>
        <w:rPr>
          <w:rFonts w:hint="eastAsia" w:ascii="宋体" w:hAnsi="宋体" w:eastAsia="宋体" w:cs="宋体"/>
          <w:color w:val="auto"/>
          <w:kern w:val="0"/>
          <w:sz w:val="22"/>
          <w:szCs w:val="22"/>
          <w:highlight w:val="none"/>
        </w:rPr>
        <w:t>注：在合同签订时，乙方明确表示无需预付款或者主动要求降低预付款比例的，按实际比例计（预付款保函同步调整）。甲方对于满足合同约定支付条件的，自收到发票后7个工作日内将资金支付到合同约定的乙方账户。</w:t>
      </w:r>
      <w:bookmarkEnd w:id="471"/>
    </w:p>
    <w:p w14:paraId="49E6B24A">
      <w:pPr>
        <w:pageBreakBefore w:val="0"/>
        <w:widowControl w:val="0"/>
        <w:kinsoku/>
        <w:wordWrap/>
        <w:overflowPunct/>
        <w:topLinePunct w:val="0"/>
        <w:bidi w:val="0"/>
        <w:snapToGrid w:val="0"/>
        <w:spacing w:line="400" w:lineRule="exact"/>
        <w:textAlignment w:val="auto"/>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第八条：违约责任</w:t>
      </w:r>
    </w:p>
    <w:p w14:paraId="06457C1C">
      <w:pPr>
        <w:pageBreakBefore w:val="0"/>
        <w:widowControl w:val="0"/>
        <w:kinsoku/>
        <w:wordWrap/>
        <w:overflowPunct/>
        <w:topLinePunct w:val="0"/>
        <w:bidi w:val="0"/>
        <w:snapToGrid w:val="0"/>
        <w:spacing w:line="40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1．乙方逾期履行合同的，自逾期之日起，向甲方每周偿付合同总价千分之五的滞纳金。</w:t>
      </w:r>
    </w:p>
    <w:p w14:paraId="32BDDDF8">
      <w:pPr>
        <w:pageBreakBefore w:val="0"/>
        <w:widowControl w:val="0"/>
        <w:kinsoku/>
        <w:wordWrap/>
        <w:overflowPunct/>
        <w:topLinePunct w:val="0"/>
        <w:bidi w:val="0"/>
        <w:snapToGrid w:val="0"/>
        <w:spacing w:line="40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2．甲方逾期支付货款的，自逾期之日起，向乙方每周偿付未付价款千分之五的滞纳金。</w:t>
      </w:r>
    </w:p>
    <w:p w14:paraId="4A4908E1">
      <w:pPr>
        <w:pageBreakBefore w:val="0"/>
        <w:widowControl w:val="0"/>
        <w:kinsoku/>
        <w:wordWrap/>
        <w:overflowPunct/>
        <w:topLinePunct w:val="0"/>
        <w:bidi w:val="0"/>
        <w:snapToGrid w:val="0"/>
        <w:spacing w:line="40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3.如验收不能达到质量功能（性能）标准，应及时处理直至验收合格，所需费用由乙方承担。如二次验收不合格，甲方有权退货，甲方在此期间保留对乙方的索赔权利。</w:t>
      </w:r>
    </w:p>
    <w:p w14:paraId="69A10055">
      <w:pPr>
        <w:pageBreakBefore w:val="0"/>
        <w:widowControl w:val="0"/>
        <w:kinsoku/>
        <w:wordWrap/>
        <w:overflowPunct/>
        <w:topLinePunct w:val="0"/>
        <w:bidi w:val="0"/>
        <w:snapToGrid w:val="0"/>
        <w:spacing w:line="40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4.乙方所交的货物品种、型号、规格、技术参数、质量不符合合同规定及公开招标文件规定标准的，甲方有权拒收该货物，乙方愿意更换货物但逾期交货的，按乙方逾期交货处理。乙方拒绝更换货物的，甲方可单方面解除合同。</w:t>
      </w:r>
    </w:p>
    <w:p w14:paraId="1E50F5FD">
      <w:pPr>
        <w:pageBreakBefore w:val="0"/>
        <w:widowControl w:val="0"/>
        <w:kinsoku/>
        <w:wordWrap/>
        <w:overflowPunct/>
        <w:topLinePunct w:val="0"/>
        <w:bidi w:val="0"/>
        <w:snapToGrid w:val="0"/>
        <w:spacing w:line="400" w:lineRule="exact"/>
        <w:textAlignment w:val="auto"/>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第九条：不可抗力事件处理</w:t>
      </w:r>
    </w:p>
    <w:p w14:paraId="10365C1A">
      <w:pPr>
        <w:pageBreakBefore w:val="0"/>
        <w:widowControl w:val="0"/>
        <w:kinsoku/>
        <w:wordWrap/>
        <w:overflowPunct/>
        <w:topLinePunct w:val="0"/>
        <w:bidi w:val="0"/>
        <w:snapToGrid w:val="0"/>
        <w:spacing w:line="40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1.在合同有效期内，任何一方因不可抗力事件导致不能履行合同，则合同履行期可延长，其延长期与不可抗力影响期相同。</w:t>
      </w:r>
    </w:p>
    <w:p w14:paraId="37864D02">
      <w:pPr>
        <w:pageBreakBefore w:val="0"/>
        <w:widowControl w:val="0"/>
        <w:kinsoku/>
        <w:wordWrap/>
        <w:overflowPunct/>
        <w:topLinePunct w:val="0"/>
        <w:bidi w:val="0"/>
        <w:snapToGrid w:val="0"/>
        <w:spacing w:line="40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2.不可抗力事件发生后，应立即通知对方，并寄送有关权威机构出具的证明。</w:t>
      </w:r>
    </w:p>
    <w:p w14:paraId="1EF61FF6">
      <w:pPr>
        <w:pageBreakBefore w:val="0"/>
        <w:widowControl w:val="0"/>
        <w:kinsoku/>
        <w:wordWrap/>
        <w:overflowPunct/>
        <w:topLinePunct w:val="0"/>
        <w:bidi w:val="0"/>
        <w:snapToGrid w:val="0"/>
        <w:spacing w:line="40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3.不可抗力事件延续120天以上，双方应通过友好协商，确定是否继续履行合同。</w:t>
      </w:r>
    </w:p>
    <w:p w14:paraId="3070668D">
      <w:pPr>
        <w:pageBreakBefore w:val="0"/>
        <w:widowControl w:val="0"/>
        <w:kinsoku/>
        <w:wordWrap/>
        <w:overflowPunct/>
        <w:topLinePunct w:val="0"/>
        <w:bidi w:val="0"/>
        <w:snapToGrid w:val="0"/>
        <w:spacing w:line="400" w:lineRule="exact"/>
        <w:textAlignment w:val="auto"/>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第十条：争议解决</w:t>
      </w:r>
    </w:p>
    <w:p w14:paraId="272D2C96">
      <w:pPr>
        <w:pageBreakBefore w:val="0"/>
        <w:widowControl w:val="0"/>
        <w:kinsoku/>
        <w:wordWrap/>
        <w:overflowPunct/>
        <w:topLinePunct w:val="0"/>
        <w:bidi w:val="0"/>
        <w:snapToGrid w:val="0"/>
        <w:spacing w:line="40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本合同未尽事宜由三方协商解决，如协商不成，三方同意将本合同引起的争议提交杭州仲裁委员会仲裁解决，仲裁为终局。</w:t>
      </w:r>
    </w:p>
    <w:p w14:paraId="0906A0C7">
      <w:pPr>
        <w:pageBreakBefore w:val="0"/>
        <w:widowControl w:val="0"/>
        <w:kinsoku/>
        <w:wordWrap/>
        <w:overflowPunct/>
        <w:topLinePunct w:val="0"/>
        <w:bidi w:val="0"/>
        <w:snapToGrid w:val="0"/>
        <w:spacing w:line="400" w:lineRule="exact"/>
        <w:textAlignment w:val="auto"/>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第十一条：合同生效</w:t>
      </w:r>
    </w:p>
    <w:p w14:paraId="1C0ECD92">
      <w:pPr>
        <w:pageBreakBefore w:val="0"/>
        <w:widowControl w:val="0"/>
        <w:kinsoku/>
        <w:wordWrap/>
        <w:overflowPunct/>
        <w:topLinePunct w:val="0"/>
        <w:bidi w:val="0"/>
        <w:snapToGrid w:val="0"/>
        <w:spacing w:line="40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1. 合同经双方法定代表人或授权代表签字并加盖单位公章后生效。</w:t>
      </w:r>
    </w:p>
    <w:p w14:paraId="29F2177D">
      <w:pPr>
        <w:pageBreakBefore w:val="0"/>
        <w:widowControl w:val="0"/>
        <w:kinsoku/>
        <w:wordWrap/>
        <w:overflowPunct/>
        <w:topLinePunct w:val="0"/>
        <w:bidi w:val="0"/>
        <w:snapToGrid w:val="0"/>
        <w:spacing w:line="40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 合同执行中涉及采购资金和采购内容修改或补充的，须经财政部门审批，并签书面补充协议报政府采购监督管理部门备案，方可作为主合同不可分割的一部分。</w:t>
      </w:r>
    </w:p>
    <w:p w14:paraId="628E3435">
      <w:pPr>
        <w:pageBreakBefore w:val="0"/>
        <w:widowControl w:val="0"/>
        <w:kinsoku/>
        <w:wordWrap/>
        <w:overflowPunct/>
        <w:topLinePunct w:val="0"/>
        <w:bidi w:val="0"/>
        <w:snapToGrid w:val="0"/>
        <w:spacing w:line="40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3. 本合同未尽事宜，遵照《民法典》有关条文执行。</w:t>
      </w:r>
    </w:p>
    <w:p w14:paraId="164E39AE">
      <w:pPr>
        <w:pageBreakBefore w:val="0"/>
        <w:widowControl w:val="0"/>
        <w:kinsoku/>
        <w:wordWrap/>
        <w:overflowPunct/>
        <w:topLinePunct w:val="0"/>
        <w:bidi w:val="0"/>
        <w:snapToGrid w:val="0"/>
        <w:spacing w:line="40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4. 本合同一式柒份，乙方、</w:t>
      </w:r>
      <w:r>
        <w:rPr>
          <w:rFonts w:hint="eastAsia" w:ascii="宋体" w:hAnsi="宋体" w:eastAsia="宋体" w:cs="宋体"/>
          <w:color w:val="auto"/>
          <w:spacing w:val="-6"/>
          <w:sz w:val="22"/>
          <w:szCs w:val="22"/>
          <w:highlight w:val="none"/>
          <w:lang w:val="zh-CN"/>
        </w:rPr>
        <w:t>合同鉴证方</w:t>
      </w:r>
      <w:r>
        <w:rPr>
          <w:rFonts w:hint="eastAsia" w:ascii="宋体" w:hAnsi="宋体" w:eastAsia="宋体" w:cs="宋体"/>
          <w:color w:val="auto"/>
          <w:spacing w:val="-6"/>
          <w:sz w:val="22"/>
          <w:szCs w:val="22"/>
          <w:highlight w:val="none"/>
        </w:rPr>
        <w:t>各执壹份，甲方执伍份，经三方签字盖章后生效。</w:t>
      </w:r>
    </w:p>
    <w:p w14:paraId="263E8F4E">
      <w:pPr>
        <w:pageBreakBefore w:val="0"/>
        <w:widowControl w:val="0"/>
        <w:kinsoku/>
        <w:wordWrap/>
        <w:overflowPunct/>
        <w:topLinePunct w:val="0"/>
        <w:bidi w:val="0"/>
        <w:snapToGrid w:val="0"/>
        <w:spacing w:line="40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5. 相关招标文件、投标文件、询标承诺等与本合同具有同等法律效力。</w:t>
      </w:r>
    </w:p>
    <w:p w14:paraId="61BD6064">
      <w:pPr>
        <w:pageBreakBefore w:val="0"/>
        <w:widowControl w:val="0"/>
        <w:kinsoku/>
        <w:wordWrap/>
        <w:overflowPunct/>
        <w:topLinePunct w:val="0"/>
        <w:bidi w:val="0"/>
        <w:spacing w:line="400" w:lineRule="exact"/>
        <w:jc w:val="center"/>
        <w:textAlignment w:val="auto"/>
        <w:rPr>
          <w:rFonts w:hint="eastAsia" w:ascii="宋体" w:hAnsi="宋体" w:eastAsia="宋体" w:cs="宋体"/>
          <w:b/>
          <w:color w:val="auto"/>
          <w:spacing w:val="20"/>
          <w:sz w:val="22"/>
          <w:szCs w:val="22"/>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9"/>
        <w:gridCol w:w="4781"/>
      </w:tblGrid>
      <w:tr w14:paraId="7AB1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9" w:type="dxa"/>
            <w:noWrap w:val="0"/>
            <w:vAlign w:val="top"/>
          </w:tcPr>
          <w:p w14:paraId="5EC53732">
            <w:pPr>
              <w:pageBreakBefore w:val="0"/>
              <w:widowControl w:val="0"/>
              <w:kinsoku/>
              <w:wordWrap/>
              <w:overflowPunct/>
              <w:topLinePunct w:val="0"/>
              <w:autoSpaceDE w:val="0"/>
              <w:autoSpaceDN w:val="0"/>
              <w:bidi w:val="0"/>
              <w:spacing w:line="400" w:lineRule="exact"/>
              <w:textAlignment w:val="auto"/>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2"/>
                <w:szCs w:val="22"/>
                <w:highlight w:val="none"/>
                <w:lang w:val="zh-CN"/>
              </w:rPr>
              <w:t>甲方：浙江农林大学</w:t>
            </w:r>
          </w:p>
          <w:p w14:paraId="29AE52B2">
            <w:pPr>
              <w:pageBreakBefore w:val="0"/>
              <w:widowControl w:val="0"/>
              <w:kinsoku/>
              <w:wordWrap/>
              <w:overflowPunct/>
              <w:topLinePunct w:val="0"/>
              <w:autoSpaceDE w:val="0"/>
              <w:autoSpaceDN w:val="0"/>
              <w:bidi w:val="0"/>
              <w:spacing w:line="400" w:lineRule="exac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法定代表人或授权代表（签字）： </w:t>
            </w:r>
          </w:p>
          <w:p w14:paraId="0D70D46D">
            <w:pPr>
              <w:pageBreakBefore w:val="0"/>
              <w:widowControl w:val="0"/>
              <w:kinsoku/>
              <w:wordWrap/>
              <w:overflowPunct/>
              <w:topLinePunct w:val="0"/>
              <w:autoSpaceDE w:val="0"/>
              <w:autoSpaceDN w:val="0"/>
              <w:bidi w:val="0"/>
              <w:spacing w:line="400" w:lineRule="exac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地址：浙江省杭州市临安区武肃街066号</w:t>
            </w:r>
          </w:p>
          <w:p w14:paraId="6F106653">
            <w:pPr>
              <w:pageBreakBefore w:val="0"/>
              <w:widowControl w:val="0"/>
              <w:kinsoku/>
              <w:wordWrap/>
              <w:overflowPunct/>
              <w:topLinePunct w:val="0"/>
              <w:autoSpaceDE w:val="0"/>
              <w:autoSpaceDN w:val="0"/>
              <w:bidi w:val="0"/>
              <w:spacing w:line="400" w:lineRule="exac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邮政编码：311300 </w:t>
            </w:r>
          </w:p>
          <w:p w14:paraId="668DCFBB">
            <w:pPr>
              <w:pageBreakBefore w:val="0"/>
              <w:widowControl w:val="0"/>
              <w:kinsoku/>
              <w:wordWrap/>
              <w:overflowPunct/>
              <w:topLinePunct w:val="0"/>
              <w:autoSpaceDE w:val="0"/>
              <w:autoSpaceDN w:val="0"/>
              <w:bidi w:val="0"/>
              <w:spacing w:line="400" w:lineRule="exac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电话：0571-63740897</w:t>
            </w:r>
          </w:p>
          <w:p w14:paraId="01704869">
            <w:pPr>
              <w:pageBreakBefore w:val="0"/>
              <w:widowControl w:val="0"/>
              <w:kinsoku/>
              <w:wordWrap/>
              <w:overflowPunct/>
              <w:topLinePunct w:val="0"/>
              <w:autoSpaceDE w:val="0"/>
              <w:autoSpaceDN w:val="0"/>
              <w:bidi w:val="0"/>
              <w:spacing w:line="400" w:lineRule="exac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户名：浙江农林大学</w:t>
            </w:r>
          </w:p>
          <w:p w14:paraId="3E65408C">
            <w:pPr>
              <w:pageBreakBefore w:val="0"/>
              <w:widowControl w:val="0"/>
              <w:kinsoku/>
              <w:wordWrap/>
              <w:overflowPunct/>
              <w:topLinePunct w:val="0"/>
              <w:autoSpaceDE w:val="0"/>
              <w:autoSpaceDN w:val="0"/>
              <w:bidi w:val="0"/>
              <w:spacing w:line="400" w:lineRule="exac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开户银行：建行临安支行(行号：105331024007 )</w:t>
            </w:r>
          </w:p>
          <w:p w14:paraId="48CE009B">
            <w:pPr>
              <w:pageBreakBefore w:val="0"/>
              <w:widowControl w:val="0"/>
              <w:kinsoku/>
              <w:wordWrap/>
              <w:overflowPunct/>
              <w:topLinePunct w:val="0"/>
              <w:autoSpaceDE w:val="0"/>
              <w:autoSpaceDN w:val="0"/>
              <w:bidi w:val="0"/>
              <w:spacing w:line="400" w:lineRule="exac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开户账号：3300 1617 3350 5001 8761      </w:t>
            </w:r>
          </w:p>
        </w:tc>
        <w:tc>
          <w:tcPr>
            <w:tcW w:w="4781" w:type="dxa"/>
            <w:noWrap w:val="0"/>
            <w:vAlign w:val="top"/>
          </w:tcPr>
          <w:p w14:paraId="0B9BA286">
            <w:pPr>
              <w:pageBreakBefore w:val="0"/>
              <w:widowControl w:val="0"/>
              <w:kinsoku/>
              <w:wordWrap/>
              <w:overflowPunct/>
              <w:topLinePunct w:val="0"/>
              <w:autoSpaceDE w:val="0"/>
              <w:autoSpaceDN w:val="0"/>
              <w:bidi w:val="0"/>
              <w:spacing w:line="400" w:lineRule="exac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zh-CN"/>
              </w:rPr>
              <w:t>乙方：</w:t>
            </w:r>
          </w:p>
          <w:p w14:paraId="078153A0">
            <w:pPr>
              <w:pageBreakBefore w:val="0"/>
              <w:widowControl w:val="0"/>
              <w:kinsoku/>
              <w:wordWrap/>
              <w:overflowPunct/>
              <w:topLinePunct w:val="0"/>
              <w:autoSpaceDE w:val="0"/>
              <w:autoSpaceDN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统一社会信用代码：</w:t>
            </w:r>
          </w:p>
          <w:p w14:paraId="613EC27A">
            <w:pPr>
              <w:pageBreakBefore w:val="0"/>
              <w:widowControl w:val="0"/>
              <w:kinsoku/>
              <w:wordWrap/>
              <w:overflowPunct/>
              <w:topLinePunct w:val="0"/>
              <w:autoSpaceDE w:val="0"/>
              <w:autoSpaceDN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法定代表人或授权代表（签字）：</w:t>
            </w:r>
          </w:p>
          <w:p w14:paraId="50E63AEA">
            <w:pPr>
              <w:pageBreakBefore w:val="0"/>
              <w:widowControl w:val="0"/>
              <w:kinsoku/>
              <w:wordWrap/>
              <w:overflowPunct/>
              <w:topLinePunct w:val="0"/>
              <w:autoSpaceDE w:val="0"/>
              <w:autoSpaceDN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地址：</w:t>
            </w:r>
          </w:p>
          <w:p w14:paraId="6BFF1C3E">
            <w:pPr>
              <w:pageBreakBefore w:val="0"/>
              <w:widowControl w:val="0"/>
              <w:kinsoku/>
              <w:wordWrap/>
              <w:overflowPunct/>
              <w:topLinePunct w:val="0"/>
              <w:autoSpaceDE w:val="0"/>
              <w:autoSpaceDN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邮政编码：</w:t>
            </w:r>
          </w:p>
          <w:p w14:paraId="607A04AF">
            <w:pPr>
              <w:pageBreakBefore w:val="0"/>
              <w:widowControl w:val="0"/>
              <w:kinsoku/>
              <w:wordWrap/>
              <w:overflowPunct/>
              <w:topLinePunct w:val="0"/>
              <w:autoSpaceDE w:val="0"/>
              <w:autoSpaceDN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联系人</w:t>
            </w:r>
            <w:r>
              <w:rPr>
                <w:rFonts w:hint="eastAsia" w:ascii="宋体" w:hAnsi="宋体" w:eastAsia="宋体" w:cs="宋体"/>
                <w:color w:val="auto"/>
                <w:sz w:val="22"/>
                <w:szCs w:val="22"/>
                <w:highlight w:val="none"/>
              </w:rPr>
              <w:t>及</w:t>
            </w:r>
            <w:r>
              <w:rPr>
                <w:rFonts w:hint="eastAsia" w:ascii="宋体" w:hAnsi="宋体" w:eastAsia="宋体" w:cs="宋体"/>
                <w:color w:val="auto"/>
                <w:sz w:val="22"/>
                <w:szCs w:val="22"/>
                <w:highlight w:val="none"/>
                <w:lang w:val="zh-CN"/>
              </w:rPr>
              <w:t>电话：</w:t>
            </w:r>
          </w:p>
          <w:p w14:paraId="307C91C4">
            <w:pPr>
              <w:pageBreakBefore w:val="0"/>
              <w:widowControl w:val="0"/>
              <w:kinsoku/>
              <w:wordWrap/>
              <w:overflowPunct/>
              <w:topLinePunct w:val="0"/>
              <w:autoSpaceDE w:val="0"/>
              <w:autoSpaceDN w:val="0"/>
              <w:bidi w:val="0"/>
              <w:spacing w:line="400" w:lineRule="exac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户名：</w:t>
            </w:r>
          </w:p>
          <w:p w14:paraId="7187F906">
            <w:pPr>
              <w:pageBreakBefore w:val="0"/>
              <w:widowControl w:val="0"/>
              <w:kinsoku/>
              <w:wordWrap/>
              <w:overflowPunct/>
              <w:topLinePunct w:val="0"/>
              <w:autoSpaceDE w:val="0"/>
              <w:autoSpaceDN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开户银行：</w:t>
            </w:r>
          </w:p>
          <w:p w14:paraId="6E19193F">
            <w:pPr>
              <w:pageBreakBefore w:val="0"/>
              <w:widowControl w:val="0"/>
              <w:kinsoku/>
              <w:wordWrap/>
              <w:overflowPunct/>
              <w:topLinePunct w:val="0"/>
              <w:autoSpaceDE w:val="0"/>
              <w:autoSpaceDN w:val="0"/>
              <w:bidi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开户账号：</w:t>
            </w:r>
          </w:p>
        </w:tc>
      </w:tr>
      <w:tr w14:paraId="1EBF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9260" w:type="dxa"/>
            <w:gridSpan w:val="2"/>
            <w:noWrap w:val="0"/>
            <w:vAlign w:val="top"/>
          </w:tcPr>
          <w:p w14:paraId="585B3363">
            <w:pPr>
              <w:pageBreakBefore w:val="0"/>
              <w:widowControl w:val="0"/>
              <w:kinsoku/>
              <w:wordWrap/>
              <w:overflowPunct/>
              <w:topLinePunct w:val="0"/>
              <w:autoSpaceDE w:val="0"/>
              <w:autoSpaceDN w:val="0"/>
              <w:bidi w:val="0"/>
              <w:spacing w:line="400" w:lineRule="exac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合同鉴证方：浙江乐诚工程咨询有限公司</w:t>
            </w:r>
          </w:p>
          <w:p w14:paraId="04D46698">
            <w:pPr>
              <w:pageBreakBefore w:val="0"/>
              <w:widowControl w:val="0"/>
              <w:kinsoku/>
              <w:wordWrap/>
              <w:overflowPunct/>
              <w:topLinePunct w:val="0"/>
              <w:autoSpaceDE w:val="0"/>
              <w:autoSpaceDN w:val="0"/>
              <w:bidi w:val="0"/>
              <w:spacing w:line="400" w:lineRule="exac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统一社会信用代码：91330103MA2AYJQP7X</w:t>
            </w:r>
          </w:p>
          <w:p w14:paraId="6616A420">
            <w:pPr>
              <w:pageBreakBefore w:val="0"/>
              <w:widowControl w:val="0"/>
              <w:kinsoku/>
              <w:wordWrap/>
              <w:overflowPunct/>
              <w:topLinePunct w:val="0"/>
              <w:autoSpaceDE w:val="0"/>
              <w:autoSpaceDN w:val="0"/>
              <w:bidi w:val="0"/>
              <w:spacing w:line="400" w:lineRule="exac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法定代表人或授权代表（签字）： </w:t>
            </w:r>
          </w:p>
        </w:tc>
      </w:tr>
    </w:tbl>
    <w:p w14:paraId="56B5AF91">
      <w:pPr>
        <w:pageBreakBefore w:val="0"/>
        <w:widowControl w:val="0"/>
        <w:kinsoku/>
        <w:wordWrap/>
        <w:overflowPunct/>
        <w:topLinePunct w:val="0"/>
        <w:bidi w:val="0"/>
        <w:spacing w:line="400" w:lineRule="exact"/>
        <w:textAlignment w:val="auto"/>
        <w:rPr>
          <w:rFonts w:hint="eastAsia" w:ascii="宋体" w:hAnsi="宋体" w:eastAsia="宋体" w:cs="宋体"/>
          <w:color w:val="auto"/>
          <w:sz w:val="22"/>
          <w:szCs w:val="22"/>
          <w:highlight w:val="none"/>
        </w:rPr>
      </w:pPr>
    </w:p>
    <w:p w14:paraId="295AEE5E">
      <w:pPr>
        <w:pStyle w:val="2"/>
        <w:ind w:left="0" w:firstLine="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472" w:name="_Toc30607"/>
      <w:r>
        <w:rPr>
          <w:rFonts w:hint="eastAsia" w:ascii="宋体" w:hAnsi="宋体" w:eastAsia="宋体" w:cs="宋体"/>
          <w:color w:val="auto"/>
          <w:highlight w:val="none"/>
        </w:rPr>
        <w:t>第六部分</w:t>
      </w:r>
      <w:bookmarkEnd w:id="436"/>
      <w:r>
        <w:rPr>
          <w:rFonts w:hint="eastAsia" w:ascii="宋体" w:hAnsi="宋体" w:eastAsia="宋体" w:cs="宋体"/>
          <w:color w:val="auto"/>
          <w:highlight w:val="none"/>
        </w:rPr>
        <w:t xml:space="preserve"> </w:t>
      </w:r>
      <w:bookmarkEnd w:id="437"/>
      <w:r>
        <w:rPr>
          <w:rFonts w:hint="eastAsia" w:ascii="宋体" w:hAnsi="宋体" w:eastAsia="宋体" w:cs="宋体"/>
          <w:color w:val="auto"/>
          <w:highlight w:val="none"/>
        </w:rPr>
        <w:t>应提交的有关格式范例</w:t>
      </w:r>
      <w:bookmarkEnd w:id="472"/>
    </w:p>
    <w:p w14:paraId="4075376C">
      <w:pPr>
        <w:pStyle w:val="2"/>
        <w:ind w:left="852"/>
        <w:jc w:val="center"/>
        <w:rPr>
          <w:rFonts w:hint="eastAsia" w:ascii="宋体" w:hAnsi="宋体" w:eastAsia="宋体" w:cs="宋体"/>
          <w:b w:val="0"/>
          <w:color w:val="auto"/>
          <w:szCs w:val="36"/>
          <w:highlight w:val="none"/>
        </w:rPr>
      </w:pPr>
      <w:bookmarkStart w:id="473" w:name="_Toc1699"/>
      <w:r>
        <w:rPr>
          <w:rFonts w:hint="eastAsia" w:ascii="宋体" w:hAnsi="宋体" w:eastAsia="宋体" w:cs="宋体"/>
          <w:color w:val="auto"/>
          <w:highlight w:val="none"/>
        </w:rPr>
        <w:t>资格文件部分</w:t>
      </w:r>
      <w:bookmarkEnd w:id="473"/>
    </w:p>
    <w:p w14:paraId="24CE445B">
      <w:pPr>
        <w:spacing w:line="360" w:lineRule="auto"/>
        <w:jc w:val="center"/>
        <w:rPr>
          <w:rFonts w:hint="eastAsia" w:ascii="宋体" w:hAnsi="宋体" w:eastAsia="宋体" w:cs="宋体"/>
          <w:b/>
          <w:color w:val="auto"/>
          <w:kern w:val="0"/>
          <w:sz w:val="36"/>
          <w:szCs w:val="36"/>
          <w:highlight w:val="none"/>
        </w:rPr>
      </w:pPr>
      <w:bookmarkStart w:id="474" w:name="_Toc19552"/>
      <w:bookmarkStart w:id="475" w:name="_Toc22497"/>
      <w:bookmarkStart w:id="476" w:name="_Toc3652"/>
      <w:r>
        <w:rPr>
          <w:rFonts w:hint="eastAsia" w:ascii="宋体" w:hAnsi="宋体" w:eastAsia="宋体" w:cs="宋体"/>
          <w:b/>
          <w:color w:val="auto"/>
          <w:kern w:val="0"/>
          <w:sz w:val="36"/>
          <w:szCs w:val="36"/>
          <w:highlight w:val="none"/>
        </w:rPr>
        <w:t>目录</w:t>
      </w:r>
      <w:bookmarkEnd w:id="474"/>
      <w:bookmarkEnd w:id="475"/>
      <w:bookmarkEnd w:id="476"/>
    </w:p>
    <w:p w14:paraId="1DECC5C5">
      <w:pPr>
        <w:pStyle w:val="23"/>
        <w:numPr>
          <w:ilvl w:val="0"/>
          <w:numId w:val="9"/>
        </w:numPr>
        <w:spacing w:line="360" w:lineRule="auto"/>
        <w:rPr>
          <w:rFonts w:hint="eastAsia" w:ascii="宋体" w:hAnsi="宋体" w:eastAsia="宋体" w:cs="宋体"/>
          <w:color w:val="auto"/>
          <w:highlight w:val="none"/>
        </w:rPr>
      </w:pPr>
      <w:r>
        <w:rPr>
          <w:rFonts w:hint="eastAsia" w:ascii="宋体" w:hAnsi="宋体" w:eastAsia="宋体" w:cs="宋体"/>
          <w:color w:val="auto"/>
          <w:szCs w:val="24"/>
          <w:highlight w:val="none"/>
        </w:rPr>
        <w:t>提供符合参加政府采购活动应当具备的一般条件的承诺函</w:t>
      </w:r>
      <w:r>
        <w:rPr>
          <w:rFonts w:hint="eastAsia" w:ascii="宋体" w:hAnsi="宋体" w:eastAsia="宋体" w:cs="宋体"/>
          <w:b/>
          <w:bCs/>
          <w:color w:val="auto"/>
          <w:szCs w:val="24"/>
          <w:highlight w:val="none"/>
        </w:rPr>
        <w:t>（若联合体参加投标的，联合体各方分别提供、分别盖电子签名或公章）</w:t>
      </w:r>
    </w:p>
    <w:p w14:paraId="3CC7575B">
      <w:pPr>
        <w:pStyle w:val="23"/>
        <w:numPr>
          <w:ilvl w:val="0"/>
          <w:numId w:val="9"/>
        </w:numPr>
        <w:spacing w:line="360" w:lineRule="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有效的企业营业执照（或事业法人登记证书或其它工商等登记证明材料，自然人提供身份证)复制件（五选一）</w:t>
      </w:r>
      <w:r>
        <w:rPr>
          <w:rFonts w:hint="eastAsia" w:ascii="宋体" w:hAnsi="宋体" w:eastAsia="宋体" w:cs="宋体"/>
          <w:b/>
          <w:bCs/>
          <w:color w:val="auto"/>
          <w:szCs w:val="24"/>
          <w:highlight w:val="none"/>
        </w:rPr>
        <w:t>（若联合体参加投标的，联合体各方分别提供）</w:t>
      </w:r>
    </w:p>
    <w:p w14:paraId="395705C6">
      <w:pPr>
        <w:numPr>
          <w:ilvl w:val="0"/>
          <w:numId w:val="9"/>
        </w:num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落实政府采购政策需满足的资格要求</w:t>
      </w:r>
      <w:r>
        <w:rPr>
          <w:rFonts w:hint="eastAsia" w:ascii="宋体" w:hAnsi="宋体" w:eastAsia="宋体" w:cs="宋体"/>
          <w:color w:val="auto"/>
          <w:kern w:val="0"/>
          <w:sz w:val="24"/>
          <w:highlight w:val="none"/>
          <w:lang w:val="zh-CN"/>
        </w:rPr>
        <w:t>证明材料</w:t>
      </w:r>
      <w:r>
        <w:rPr>
          <w:rFonts w:hint="eastAsia" w:ascii="宋体" w:hAnsi="宋体" w:eastAsia="宋体" w:cs="宋体"/>
          <w:color w:val="auto"/>
          <w:kern w:val="0"/>
          <w:sz w:val="24"/>
          <w:highlight w:val="none"/>
        </w:rPr>
        <w:t>；</w:t>
      </w:r>
    </w:p>
    <w:p w14:paraId="270A85F1">
      <w:pPr>
        <w:numPr>
          <w:ilvl w:val="0"/>
          <w:numId w:val="9"/>
        </w:num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联合协议；</w:t>
      </w:r>
    </w:p>
    <w:p w14:paraId="7408D159">
      <w:pPr>
        <w:numPr>
          <w:ilvl w:val="0"/>
          <w:numId w:val="9"/>
        </w:num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分包意向协议；</w:t>
      </w:r>
    </w:p>
    <w:p w14:paraId="7BF00DBF">
      <w:pPr>
        <w:numPr>
          <w:ilvl w:val="0"/>
          <w:numId w:val="9"/>
        </w:num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本项目的特定资格</w:t>
      </w:r>
      <w:r>
        <w:rPr>
          <w:rFonts w:hint="eastAsia" w:ascii="宋体" w:hAnsi="宋体" w:eastAsia="宋体" w:cs="宋体"/>
          <w:color w:val="auto"/>
          <w:kern w:val="0"/>
          <w:sz w:val="24"/>
          <w:highlight w:val="none"/>
          <w:lang w:val="zh-CN"/>
        </w:rPr>
        <w:t>证明材料。</w:t>
      </w:r>
    </w:p>
    <w:p w14:paraId="0F64F082">
      <w:pPr>
        <w:shd w:val="clear" w:color="auto" w:fill="FFFFFF"/>
        <w:snapToGrid w:val="0"/>
        <w:spacing w:line="440" w:lineRule="exact"/>
        <w:jc w:val="center"/>
        <w:rPr>
          <w:rFonts w:hint="eastAsia" w:ascii="宋体" w:hAnsi="宋体" w:eastAsia="宋体" w:cs="宋体"/>
          <w:color w:val="auto"/>
          <w:sz w:val="28"/>
          <w:szCs w:val="36"/>
          <w:highlight w:val="none"/>
        </w:rPr>
      </w:pPr>
      <w:r>
        <w:rPr>
          <w:rFonts w:hint="eastAsia" w:ascii="宋体" w:hAnsi="宋体" w:eastAsia="宋体" w:cs="宋体"/>
          <w:color w:val="auto"/>
          <w:highlight w:val="none"/>
          <w:lang w:val="zh-CN"/>
        </w:rPr>
        <w:br w:type="page"/>
      </w:r>
      <w:r>
        <w:rPr>
          <w:rFonts w:hint="eastAsia" w:ascii="宋体" w:hAnsi="宋体" w:eastAsia="宋体" w:cs="宋体"/>
          <w:b/>
          <w:color w:val="auto"/>
          <w:sz w:val="32"/>
          <w:szCs w:val="32"/>
          <w:highlight w:val="none"/>
        </w:rPr>
        <w:t>一、</w:t>
      </w:r>
      <w:r>
        <w:rPr>
          <w:rFonts w:hint="eastAsia" w:ascii="宋体" w:hAnsi="宋体" w:eastAsia="宋体" w:cs="宋体"/>
          <w:b/>
          <w:color w:val="auto"/>
          <w:kern w:val="0"/>
          <w:sz w:val="32"/>
          <w:szCs w:val="32"/>
          <w:highlight w:val="none"/>
        </w:rPr>
        <w:t>符合参加政府采购活动应当具备的一般条件的承诺函</w:t>
      </w:r>
    </w:p>
    <w:p w14:paraId="5DF147B7">
      <w:pPr>
        <w:shd w:val="clear" w:color="auto" w:fill="FFFFFF"/>
        <w:snapToGrid w:val="0"/>
        <w:spacing w:line="44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（若联合体参加投标的，联合体各方分别提供、分别盖电子签名或公章）</w:t>
      </w:r>
    </w:p>
    <w:p w14:paraId="365D66CB">
      <w:pPr>
        <w:shd w:val="clear" w:color="auto" w:fill="FFFFFF"/>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浙江农林大学</w:t>
      </w:r>
    </w:p>
    <w:p w14:paraId="66206275">
      <w:pPr>
        <w:shd w:val="clear" w:color="auto" w:fill="FFFFFF"/>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浙江乐诚工程咨询有限公司：</w:t>
      </w:r>
    </w:p>
    <w:p w14:paraId="3688ADE6">
      <w:pPr>
        <w:widowControl/>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（采购项目名称、编号）投标，现郑重承诺：</w:t>
      </w:r>
    </w:p>
    <w:p w14:paraId="44A9D738">
      <w:pPr>
        <w:widowControl/>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1、我方符合《中华人民共和国政府采购法》第22条规定的资格条件：</w:t>
      </w:r>
    </w:p>
    <w:p w14:paraId="553E9773">
      <w:pPr>
        <w:widowControl/>
        <w:snapToGrid w:val="0"/>
        <w:spacing w:line="40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（1）我方具有独立承担民事责任的能力；</w:t>
      </w:r>
    </w:p>
    <w:p w14:paraId="7C28C73F">
      <w:pPr>
        <w:widowControl/>
        <w:snapToGrid w:val="0"/>
        <w:spacing w:line="40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（2）我方具有良好的商业信誉和健全的财务会计制度；</w:t>
      </w:r>
    </w:p>
    <w:p w14:paraId="55645A3B">
      <w:pPr>
        <w:widowControl/>
        <w:snapToGrid w:val="0"/>
        <w:spacing w:line="40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（3）我方具有履行合同所必需的设备和专业技术能力；</w:t>
      </w:r>
    </w:p>
    <w:p w14:paraId="4EE2DECA">
      <w:pPr>
        <w:widowControl/>
        <w:snapToGrid w:val="0"/>
        <w:spacing w:line="40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（4）我方有依法缴纳税收和社会保障资金的良好记录；</w:t>
      </w:r>
    </w:p>
    <w:p w14:paraId="13D3965D">
      <w:pPr>
        <w:widowControl/>
        <w:snapToGrid w:val="0"/>
        <w:spacing w:line="40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3B4D4F4C">
      <w:pPr>
        <w:widowControl/>
        <w:snapToGrid w:val="0"/>
        <w:spacing w:line="40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（6）我方具有法律、行政法规规定的其他条件。</w:t>
      </w:r>
    </w:p>
    <w:p w14:paraId="029F8970">
      <w:pPr>
        <w:widowControl/>
        <w:snapToGrid w:val="0"/>
        <w:spacing w:line="40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2、到本项目投标截止时间为止，我方未被“信用中国（</w:t>
      </w: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HYPERLINK "http://www.creditchina.gov.cn）、" </w:instrText>
      </w:r>
      <w:r>
        <w:rPr>
          <w:rFonts w:hint="eastAsia" w:ascii="宋体" w:hAnsi="宋体" w:eastAsia="宋体" w:cs="宋体"/>
          <w:color w:val="auto"/>
          <w:kern w:val="0"/>
          <w:sz w:val="22"/>
          <w:szCs w:val="22"/>
          <w:highlight w:val="none"/>
        </w:rPr>
        <w:fldChar w:fldCharType="separate"/>
      </w:r>
      <w:r>
        <w:rPr>
          <w:rFonts w:hint="eastAsia" w:ascii="宋体" w:hAnsi="宋体" w:eastAsia="宋体" w:cs="宋体"/>
          <w:color w:val="auto"/>
          <w:kern w:val="0"/>
          <w:sz w:val="22"/>
          <w:szCs w:val="22"/>
          <w:highlight w:val="none"/>
        </w:rPr>
        <w:t>www.creditchina.gov.cn）、</w: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28B4DB65">
      <w:pPr>
        <w:snapToGrid w:val="0"/>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我方</w:t>
      </w:r>
      <w:r>
        <w:rPr>
          <w:rFonts w:hint="eastAsia" w:ascii="宋体" w:hAnsi="宋体" w:eastAsia="宋体" w:cs="宋体"/>
          <w:color w:val="auto"/>
          <w:sz w:val="22"/>
          <w:szCs w:val="22"/>
          <w:highlight w:val="none"/>
        </w:rPr>
        <w:t>不存在以下情况：</w:t>
      </w:r>
    </w:p>
    <w:p w14:paraId="24A56FD9">
      <w:pPr>
        <w:widowControl/>
        <w:snapToGrid w:val="0"/>
        <w:spacing w:line="40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（1）单位负责人为同一人或者存在直接控股、管理关系的不同供应商参加同一合同项下的政府采购活动的；</w:t>
      </w:r>
    </w:p>
    <w:p w14:paraId="07CBB290">
      <w:pPr>
        <w:widowControl/>
        <w:snapToGrid w:val="0"/>
        <w:spacing w:line="40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（2）为采购项目提供整体设计、规范编制或者项目管理、监理、检测等服务后再参加该采购项目的其他采购活动的。</w:t>
      </w:r>
    </w:p>
    <w:p w14:paraId="29E289EB">
      <w:pPr>
        <w:widowControl/>
        <w:snapToGrid w:val="0"/>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本公司对上述承诺的</w:t>
      </w:r>
      <w:r>
        <w:rPr>
          <w:rStyle w:val="27"/>
          <w:rFonts w:hint="eastAsia" w:ascii="宋体" w:hAnsi="宋体" w:eastAsia="宋体" w:cs="宋体"/>
          <w:b/>
          <w:bCs/>
          <w:color w:val="auto"/>
          <w:sz w:val="22"/>
          <w:szCs w:val="22"/>
          <w:highlight w:val="none"/>
        </w:rPr>
        <w:t>真实性负责。</w:t>
      </w:r>
      <w:r>
        <w:rPr>
          <w:rFonts w:hint="eastAsia" w:ascii="宋体" w:hAnsi="宋体" w:eastAsia="宋体" w:cs="宋体"/>
          <w:color w:val="auto"/>
          <w:kern w:val="0"/>
          <w:sz w:val="22"/>
          <w:szCs w:val="22"/>
          <w:highlight w:val="none"/>
        </w:rPr>
        <w:t>以上承诺如有虚假，</w:t>
      </w:r>
      <w:r>
        <w:rPr>
          <w:rFonts w:hint="eastAsia" w:ascii="宋体" w:hAnsi="宋体" w:eastAsia="宋体" w:cs="宋体"/>
          <w:color w:val="auto"/>
          <w:sz w:val="22"/>
          <w:szCs w:val="22"/>
          <w:highlight w:val="none"/>
        </w:rPr>
        <w:t>愿接受取消</w:t>
      </w:r>
      <w:r>
        <w:rPr>
          <w:rFonts w:hint="eastAsia" w:ascii="宋体" w:hAnsi="宋体" w:eastAsia="宋体" w:cs="宋体"/>
          <w:color w:val="auto"/>
          <w:kern w:val="0"/>
          <w:sz w:val="22"/>
          <w:szCs w:val="22"/>
          <w:highlight w:val="none"/>
        </w:rPr>
        <w:t>我方任何资格（投标/中标/签订合同）</w:t>
      </w:r>
      <w:r>
        <w:rPr>
          <w:rFonts w:hint="eastAsia" w:ascii="宋体" w:hAnsi="宋体" w:eastAsia="宋体" w:cs="宋体"/>
          <w:color w:val="auto"/>
          <w:sz w:val="22"/>
          <w:szCs w:val="22"/>
          <w:highlight w:val="none"/>
        </w:rPr>
        <w:t>及其他任何形式的处理。</w:t>
      </w:r>
    </w:p>
    <w:p w14:paraId="531B10E6">
      <w:pPr>
        <w:widowControl/>
        <w:snapToGrid w:val="0"/>
        <w:spacing w:line="400" w:lineRule="exact"/>
        <w:ind w:firstLine="440" w:firstLineChars="200"/>
        <w:jc w:val="left"/>
        <w:rPr>
          <w:rStyle w:val="27"/>
          <w:rFonts w:hint="eastAsia" w:ascii="宋体" w:hAnsi="宋体" w:eastAsia="宋体" w:cs="宋体"/>
          <w:color w:val="auto"/>
          <w:sz w:val="22"/>
          <w:szCs w:val="22"/>
          <w:highlight w:val="none"/>
        </w:rPr>
      </w:pPr>
      <w:r>
        <w:rPr>
          <w:rStyle w:val="27"/>
          <w:rFonts w:hint="eastAsia" w:ascii="宋体" w:hAnsi="宋体" w:eastAsia="宋体" w:cs="宋体"/>
          <w:color w:val="auto"/>
          <w:sz w:val="22"/>
          <w:szCs w:val="22"/>
          <w:highlight w:val="none"/>
        </w:rPr>
        <w:t>《中华人民共和国政府采购法实施条例》第十九条第一款规定的“较大数额罚款”认定为200万元以上的罚款，法律、行政法规以及国务院有关部门明确规定相关领域“较大数额罚款”标准高于200万元的，从其规定。</w:t>
      </w:r>
    </w:p>
    <w:p w14:paraId="2D6F3F0C">
      <w:pPr>
        <w:widowControl/>
        <w:snapToGrid w:val="0"/>
        <w:spacing w:line="400" w:lineRule="exact"/>
        <w:ind w:firstLine="440" w:firstLineChars="200"/>
        <w:jc w:val="left"/>
        <w:rPr>
          <w:rStyle w:val="27"/>
          <w:rFonts w:hint="eastAsia" w:ascii="宋体" w:hAnsi="宋体" w:eastAsia="宋体" w:cs="宋体"/>
          <w:color w:val="auto"/>
          <w:sz w:val="22"/>
          <w:szCs w:val="22"/>
          <w:highlight w:val="none"/>
        </w:rPr>
      </w:pPr>
      <w:r>
        <w:rPr>
          <w:rStyle w:val="27"/>
          <w:rFonts w:hint="eastAsia" w:ascii="宋体" w:hAnsi="宋体" w:eastAsia="宋体" w:cs="宋体"/>
          <w:color w:val="auto"/>
          <w:sz w:val="22"/>
          <w:szCs w:val="22"/>
          <w:highlight w:val="none"/>
        </w:rPr>
        <w:t>我单位已知晓前述法律规定，对此无任何异议。</w:t>
      </w:r>
    </w:p>
    <w:p w14:paraId="1A59A2B8">
      <w:pPr>
        <w:widowControl/>
        <w:snapToGrid w:val="0"/>
        <w:spacing w:line="400" w:lineRule="exact"/>
        <w:ind w:firstLine="440" w:firstLineChars="200"/>
        <w:jc w:val="left"/>
        <w:rPr>
          <w:rStyle w:val="27"/>
          <w:rFonts w:hint="eastAsia" w:ascii="宋体" w:hAnsi="宋体" w:eastAsia="宋体" w:cs="宋体"/>
          <w:color w:val="auto"/>
          <w:sz w:val="22"/>
          <w:szCs w:val="22"/>
          <w:highlight w:val="none"/>
        </w:rPr>
      </w:pPr>
      <w:r>
        <w:rPr>
          <w:rStyle w:val="27"/>
          <w:rFonts w:hint="eastAsia" w:ascii="宋体" w:hAnsi="宋体" w:eastAsia="宋体" w:cs="宋体"/>
          <w:color w:val="auto"/>
          <w:sz w:val="22"/>
          <w:szCs w:val="22"/>
          <w:highlight w:val="none"/>
        </w:rPr>
        <w:t>注：</w:t>
      </w:r>
      <w:r>
        <w:rPr>
          <w:rStyle w:val="27"/>
          <w:rFonts w:hint="eastAsia" w:ascii="宋体" w:hAnsi="宋体" w:eastAsia="宋体" w:cs="宋体"/>
          <w:color w:val="auto"/>
          <w:sz w:val="22"/>
          <w:szCs w:val="22"/>
          <w:highlight w:val="none"/>
          <w:u w:val="single"/>
        </w:rPr>
        <w:t>▲本承诺函必须提供。</w:t>
      </w:r>
    </w:p>
    <w:p w14:paraId="58BF27F4">
      <w:pPr>
        <w:snapToGrid w:val="0"/>
        <w:spacing w:line="400" w:lineRule="exact"/>
        <w:ind w:firstLine="5060" w:firstLineChars="2300"/>
        <w:rPr>
          <w:rFonts w:hint="eastAsia" w:ascii="宋体" w:hAnsi="宋体" w:eastAsia="宋体" w:cs="宋体"/>
          <w:color w:val="auto"/>
          <w:kern w:val="0"/>
          <w:sz w:val="22"/>
          <w:szCs w:val="22"/>
          <w:highlight w:val="none"/>
          <w:lang w:val="zh-CN"/>
        </w:rPr>
      </w:pPr>
    </w:p>
    <w:p w14:paraId="3E5FD9CA">
      <w:pPr>
        <w:tabs>
          <w:tab w:val="left" w:pos="5454"/>
        </w:tabs>
        <w:snapToGrid w:val="0"/>
        <w:spacing w:line="400" w:lineRule="exact"/>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投标人</w:t>
      </w:r>
      <w:r>
        <w:rPr>
          <w:rFonts w:hint="eastAsia" w:ascii="宋体" w:hAnsi="宋体" w:eastAsia="宋体" w:cs="宋体"/>
          <w:color w:val="auto"/>
          <w:kern w:val="0"/>
          <w:sz w:val="22"/>
          <w:szCs w:val="22"/>
          <w:highlight w:val="none"/>
          <w:lang w:val="zh-CN"/>
        </w:rPr>
        <w:t>名称(电子签名或公章)：</w:t>
      </w:r>
    </w:p>
    <w:p w14:paraId="6F49E33D">
      <w:pPr>
        <w:tabs>
          <w:tab w:val="left" w:pos="5454"/>
        </w:tabs>
        <w:snapToGrid w:val="0"/>
        <w:spacing w:line="400" w:lineRule="exact"/>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日期</w:t>
      </w:r>
      <w:r>
        <w:rPr>
          <w:rFonts w:hint="eastAsia" w:ascii="宋体" w:hAnsi="宋体" w:eastAsia="宋体" w:cs="宋体"/>
          <w:color w:val="auto"/>
          <w:kern w:val="0"/>
          <w:sz w:val="22"/>
          <w:szCs w:val="22"/>
          <w:highlight w:val="none"/>
        </w:rPr>
        <w:t xml:space="preserve">：  年  </w:t>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日</w:t>
      </w:r>
    </w:p>
    <w:p w14:paraId="1EF86EE3">
      <w:pPr>
        <w:tabs>
          <w:tab w:val="left" w:pos="5454"/>
        </w:tabs>
        <w:snapToGrid w:val="0"/>
        <w:spacing w:line="400" w:lineRule="exact"/>
        <w:jc w:val="center"/>
        <w:rPr>
          <w:rFonts w:hint="eastAsia" w:ascii="宋体" w:hAnsi="宋体" w:eastAsia="宋体" w:cs="宋体"/>
          <w:b/>
          <w:color w:val="auto"/>
          <w:kern w:val="0"/>
          <w:sz w:val="32"/>
          <w:szCs w:val="32"/>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rPr>
        <w:t xml:space="preserve"> </w:t>
      </w:r>
      <w:r>
        <w:rPr>
          <w:rFonts w:hint="eastAsia" w:ascii="宋体" w:hAnsi="宋体" w:eastAsia="宋体" w:cs="宋体"/>
          <w:b/>
          <w:color w:val="auto"/>
          <w:kern w:val="0"/>
          <w:sz w:val="32"/>
          <w:szCs w:val="32"/>
          <w:highlight w:val="none"/>
        </w:rPr>
        <w:t>二、有效的企业营业执照（或事业法人登记证书或其它工商等登记证明材料，自然人提供身份证)复制件（五选一）</w:t>
      </w:r>
    </w:p>
    <w:p w14:paraId="19B23D10">
      <w:pPr>
        <w:pStyle w:val="23"/>
        <w:spacing w:line="360" w:lineRule="auto"/>
        <w:ind w:firstLine="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（若联合体参加投标的，联合体各方分别提供）</w:t>
      </w:r>
    </w:p>
    <w:p w14:paraId="11A5F800">
      <w:pPr>
        <w:pStyle w:val="23"/>
        <w:spacing w:line="360" w:lineRule="auto"/>
        <w:ind w:firstLine="0"/>
        <w:jc w:val="center"/>
        <w:rPr>
          <w:rFonts w:hint="eastAsia" w:ascii="宋体" w:hAnsi="宋体" w:eastAsia="宋体" w:cs="宋体"/>
          <w:b/>
          <w:bCs/>
          <w:color w:val="auto"/>
          <w:sz w:val="22"/>
          <w:szCs w:val="22"/>
          <w:highlight w:val="none"/>
        </w:rPr>
      </w:pPr>
    </w:p>
    <w:p w14:paraId="7A396880">
      <w:pPr>
        <w:pStyle w:val="15"/>
        <w:numPr>
          <w:ilvl w:val="0"/>
          <w:numId w:val="10"/>
        </w:numPr>
        <w:tabs>
          <w:tab w:val="left" w:pos="312"/>
        </w:tabs>
        <w:snapToGrid w:val="0"/>
        <w:spacing w:before="0" w:beforeAutospacing="0" w:after="0" w:afterAutospacing="0"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如投标人是企业（包括合伙企业），提供在工商部门注册的有效“企业法人营业执照”或“营业执照”；</w:t>
      </w:r>
    </w:p>
    <w:p w14:paraId="202326DE">
      <w:pPr>
        <w:pStyle w:val="15"/>
        <w:numPr>
          <w:ilvl w:val="0"/>
          <w:numId w:val="10"/>
        </w:numPr>
        <w:tabs>
          <w:tab w:val="left" w:pos="312"/>
        </w:tabs>
        <w:snapToGrid w:val="0"/>
        <w:spacing w:before="0" w:beforeAutospacing="0" w:after="0" w:afterAutospacing="0"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如投标人是事业单位，提供有效的“事业单位法人证书”；</w:t>
      </w:r>
    </w:p>
    <w:p w14:paraId="218BC708">
      <w:pPr>
        <w:pStyle w:val="15"/>
        <w:numPr>
          <w:ilvl w:val="0"/>
          <w:numId w:val="10"/>
        </w:numPr>
        <w:tabs>
          <w:tab w:val="left" w:pos="312"/>
        </w:tabs>
        <w:snapToGrid w:val="0"/>
        <w:spacing w:before="0" w:beforeAutospacing="0" w:after="0" w:afterAutospacing="0"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如投标人是非企业专业服务机构的，提供执业许可证等证明文件；</w:t>
      </w:r>
    </w:p>
    <w:p w14:paraId="7832B9EC">
      <w:pPr>
        <w:pStyle w:val="15"/>
        <w:numPr>
          <w:ilvl w:val="0"/>
          <w:numId w:val="10"/>
        </w:numPr>
        <w:tabs>
          <w:tab w:val="left" w:pos="312"/>
        </w:tabs>
        <w:snapToGrid w:val="0"/>
        <w:spacing w:before="0" w:beforeAutospacing="0" w:after="0" w:afterAutospacing="0"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如投标人是个体工商户，提供有效的“个体工商户营业执照”；</w:t>
      </w:r>
    </w:p>
    <w:p w14:paraId="531380CA">
      <w:pPr>
        <w:pStyle w:val="15"/>
        <w:numPr>
          <w:ilvl w:val="0"/>
          <w:numId w:val="10"/>
        </w:numPr>
        <w:tabs>
          <w:tab w:val="left" w:pos="312"/>
        </w:tabs>
        <w:snapToGrid w:val="0"/>
        <w:spacing w:before="0" w:beforeAutospacing="0" w:after="0" w:afterAutospacing="0"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如投标人是自然人，提供有效的自然人身份证明（居民身份证正反面或公安机关出具的临时居民身份证正反面或港澳台胞证或护照）。</w:t>
      </w:r>
    </w:p>
    <w:p w14:paraId="6446D313">
      <w:pPr>
        <w:pStyle w:val="15"/>
        <w:tabs>
          <w:tab w:val="left" w:pos="312"/>
        </w:tabs>
        <w:snapToGrid w:val="0"/>
        <w:spacing w:before="0" w:beforeAutospacing="0" w:after="0" w:afterAutospacing="0" w:line="360" w:lineRule="auto"/>
        <w:rPr>
          <w:rFonts w:hint="eastAsia" w:ascii="宋体" w:hAnsi="宋体" w:eastAsia="宋体" w:cs="宋体"/>
          <w:bCs/>
          <w:color w:val="auto"/>
          <w:sz w:val="21"/>
          <w:szCs w:val="21"/>
          <w:highlight w:val="none"/>
        </w:rPr>
      </w:pPr>
    </w:p>
    <w:p w14:paraId="33F6CC32">
      <w:pPr>
        <w:pStyle w:val="23"/>
        <w:spacing w:line="360" w:lineRule="auto"/>
        <w:ind w:firstLine="420"/>
        <w:jc w:val="right"/>
        <w:rPr>
          <w:rFonts w:hint="eastAsia" w:ascii="宋体" w:hAnsi="宋体" w:eastAsia="宋体" w:cs="宋体"/>
          <w:color w:val="auto"/>
          <w:szCs w:val="21"/>
          <w:highlight w:val="none"/>
        </w:rPr>
      </w:pPr>
    </w:p>
    <w:p w14:paraId="43FC7D66">
      <w:pPr>
        <w:snapToGrid w:val="0"/>
        <w:spacing w:line="360" w:lineRule="auto"/>
        <w:jc w:val="left"/>
        <w:rPr>
          <w:rFonts w:hint="eastAsia" w:ascii="宋体" w:hAnsi="宋体" w:eastAsia="宋体" w:cs="宋体"/>
          <w:b/>
          <w:color w:val="auto"/>
          <w:kern w:val="0"/>
          <w:sz w:val="32"/>
          <w:szCs w:val="32"/>
          <w:highlight w:val="none"/>
        </w:rPr>
      </w:pPr>
    </w:p>
    <w:p w14:paraId="5060AE0E">
      <w:pPr>
        <w:snapToGrid w:val="0"/>
        <w:spacing w:line="360" w:lineRule="auto"/>
        <w:ind w:right="480"/>
        <w:jc w:val="center"/>
        <w:rPr>
          <w:rFonts w:hint="eastAsia" w:ascii="宋体" w:hAnsi="宋体" w:eastAsia="宋体" w:cs="宋体"/>
          <w:b/>
          <w:color w:val="auto"/>
          <w:kern w:val="0"/>
          <w:sz w:val="32"/>
          <w:szCs w:val="32"/>
          <w:highlight w:val="none"/>
        </w:rPr>
      </w:pPr>
    </w:p>
    <w:p w14:paraId="2125E7C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r>
        <w:rPr>
          <w:rFonts w:hint="eastAsia" w:ascii="宋体" w:hAnsi="宋体" w:eastAsia="宋体" w:cs="宋体"/>
          <w:b/>
          <w:color w:val="auto"/>
          <w:kern w:val="0"/>
          <w:sz w:val="32"/>
          <w:szCs w:val="32"/>
          <w:highlight w:val="none"/>
        </w:rPr>
        <w:t>三、落实政府采购政策需满足的资格要求证明材料</w:t>
      </w:r>
    </w:p>
    <w:p w14:paraId="2DF1DCF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142C5CAB">
      <w:pPr>
        <w:widowControl/>
        <w:spacing w:line="360" w:lineRule="auto"/>
        <w:jc w:val="left"/>
        <w:rPr>
          <w:rFonts w:hint="eastAsia" w:ascii="宋体" w:hAnsi="宋体" w:eastAsia="宋体" w:cs="宋体"/>
          <w:color w:val="auto"/>
          <w:sz w:val="24"/>
          <w:highlight w:val="none"/>
        </w:rPr>
      </w:pPr>
    </w:p>
    <w:p w14:paraId="6B908F66">
      <w:pPr>
        <w:widowControl/>
        <w:spacing w:line="360" w:lineRule="auto"/>
        <w:ind w:firstLine="431" w:firstLineChars="196"/>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A.专门面向中小企业，货物全部由符合政策要求的中小企业（或小微企业）制造的，提供相应的中小企业声明函（附件5）。 </w:t>
      </w:r>
    </w:p>
    <w:p w14:paraId="3625469E">
      <w:pPr>
        <w:widowControl/>
        <w:spacing w:line="360" w:lineRule="auto"/>
        <w:ind w:firstLine="431" w:firstLineChars="196"/>
        <w:jc w:val="left"/>
        <w:rPr>
          <w:rFonts w:hint="eastAsia" w:ascii="宋体" w:hAnsi="宋体" w:eastAsia="宋体" w:cs="宋体"/>
          <w:color w:val="auto"/>
          <w:sz w:val="22"/>
          <w:szCs w:val="22"/>
          <w:highlight w:val="none"/>
        </w:rPr>
      </w:pPr>
    </w:p>
    <w:p w14:paraId="3B7DA27F">
      <w:pPr>
        <w:widowControl/>
        <w:spacing w:line="360" w:lineRule="auto"/>
        <w:ind w:firstLine="431" w:firstLineChars="196"/>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要求以联合体形式参加的，提供联合协议（附件6）和中小企业声明函（附件5），联合协议中中小企业合同金额应当达到招标公告载明的比例；如果投标人本身提供所有标的均由中小企业制造的，并相应达到了前述比例要求，视同符合了资格条件，无需再与其他中小企业组成联合体参加政府采购活动，无需提供联合协议。</w:t>
      </w:r>
    </w:p>
    <w:p w14:paraId="234F2389">
      <w:pPr>
        <w:widowControl/>
        <w:spacing w:line="360" w:lineRule="auto"/>
        <w:ind w:firstLine="431" w:firstLineChars="196"/>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38F3C299">
      <w:pPr>
        <w:widowControl/>
        <w:spacing w:line="360" w:lineRule="auto"/>
        <w:ind w:firstLine="431" w:firstLineChars="196"/>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要求合同分包的，提供分包意向协议（附件7）和中小企业声明函（附件5），分包意向协议中中小企业合同金额应当达到招标公告载明的比例；如果投标人本身提供所有标的均由中小企业制造的，并相应达到了前述比例要求，视同符合了资格条件，无需再向中小企业分包，无需提供分包意向协议。</w:t>
      </w:r>
    </w:p>
    <w:p w14:paraId="74C73B70">
      <w:pPr>
        <w:snapToGrid w:val="0"/>
        <w:spacing w:before="50" w:after="50"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w:t>
      </w:r>
    </w:p>
    <w:p w14:paraId="41553705">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kern w:val="0"/>
          <w:sz w:val="32"/>
          <w:szCs w:val="32"/>
          <w:highlight w:val="none"/>
        </w:rPr>
        <w:t>四、联合协议（如果有)；</w:t>
      </w:r>
    </w:p>
    <w:p w14:paraId="20719F2E">
      <w:pPr>
        <w:widowControl/>
        <w:spacing w:line="360" w:lineRule="auto"/>
        <w:ind w:firstLine="442" w:firstLineChars="20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[以联合体形式投标的，提供联合协议（附件6）；本项目不接受联合体投标或者投标人不以联合体形式投标的，则不需要提供）]</w:t>
      </w:r>
    </w:p>
    <w:p w14:paraId="7B82A0AA">
      <w:pPr>
        <w:widowControl/>
        <w:spacing w:line="360" w:lineRule="auto"/>
        <w:ind w:left="150"/>
        <w:jc w:val="center"/>
        <w:rPr>
          <w:rFonts w:hint="eastAsia" w:ascii="宋体" w:hAnsi="宋体" w:eastAsia="宋体" w:cs="宋体"/>
          <w:b/>
          <w:color w:val="auto"/>
          <w:kern w:val="0"/>
          <w:sz w:val="32"/>
          <w:szCs w:val="32"/>
          <w:highlight w:val="none"/>
        </w:rPr>
      </w:pPr>
    </w:p>
    <w:p w14:paraId="72C2BD8D">
      <w:pPr>
        <w:widowControl/>
        <w:spacing w:line="360" w:lineRule="auto"/>
        <w:ind w:left="150"/>
        <w:jc w:val="center"/>
        <w:rPr>
          <w:rFonts w:hint="eastAsia" w:ascii="宋体" w:hAnsi="宋体" w:eastAsia="宋体" w:cs="宋体"/>
          <w:b/>
          <w:color w:val="auto"/>
          <w:kern w:val="0"/>
          <w:sz w:val="32"/>
          <w:szCs w:val="32"/>
          <w:highlight w:val="none"/>
        </w:rPr>
      </w:pPr>
    </w:p>
    <w:p w14:paraId="60852B4A">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五、分包意向协议（如果有)；</w:t>
      </w:r>
    </w:p>
    <w:p w14:paraId="77412709">
      <w:pPr>
        <w:widowControl/>
        <w:spacing w:line="360" w:lineRule="auto"/>
        <w:ind w:firstLine="110" w:firstLineChars="5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中标后以分包方式履行合同的，提供分包意向协议(附件7)；采购人不同意分包或者投标人中标后不以分包方式履行合同的，则不需要提供。</w:t>
      </w:r>
      <w:r>
        <w:rPr>
          <w:rFonts w:hint="eastAsia" w:ascii="宋体" w:hAnsi="宋体" w:eastAsia="宋体" w:cs="宋体"/>
          <w:color w:val="auto"/>
          <w:sz w:val="22"/>
          <w:szCs w:val="22"/>
          <w:highlight w:val="none"/>
        </w:rPr>
        <w:t>]</w:t>
      </w:r>
    </w:p>
    <w:p w14:paraId="59C96010">
      <w:pPr>
        <w:widowControl/>
        <w:spacing w:line="360" w:lineRule="auto"/>
        <w:ind w:left="150"/>
        <w:jc w:val="center"/>
        <w:rPr>
          <w:rFonts w:hint="eastAsia" w:ascii="宋体" w:hAnsi="宋体" w:eastAsia="宋体" w:cs="宋体"/>
          <w:b/>
          <w:color w:val="auto"/>
          <w:kern w:val="0"/>
          <w:sz w:val="32"/>
          <w:szCs w:val="32"/>
          <w:highlight w:val="none"/>
        </w:rPr>
      </w:pPr>
    </w:p>
    <w:p w14:paraId="12E8C5CC">
      <w:pPr>
        <w:widowControl/>
        <w:spacing w:line="360" w:lineRule="auto"/>
        <w:rPr>
          <w:rFonts w:hint="eastAsia" w:ascii="宋体" w:hAnsi="宋体" w:eastAsia="宋体" w:cs="宋体"/>
          <w:b/>
          <w:color w:val="auto"/>
          <w:kern w:val="0"/>
          <w:sz w:val="32"/>
          <w:szCs w:val="32"/>
          <w:highlight w:val="none"/>
        </w:rPr>
      </w:pPr>
    </w:p>
    <w:p w14:paraId="7D91AF0E">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六、本项目的特定资格要求</w:t>
      </w:r>
    </w:p>
    <w:p w14:paraId="102C904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3597361D">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FD08020">
      <w:pPr>
        <w:spacing w:line="360" w:lineRule="auto"/>
        <w:ind w:right="420" w:firstLine="3213" w:firstLineChars="1000"/>
        <w:rPr>
          <w:rFonts w:hint="eastAsia" w:ascii="宋体" w:hAnsi="宋体" w:eastAsia="宋体" w:cs="宋体"/>
          <w:b/>
          <w:color w:val="auto"/>
          <w:kern w:val="0"/>
          <w:sz w:val="36"/>
          <w:szCs w:val="36"/>
          <w:highlight w:val="none"/>
        </w:rPr>
      </w:pPr>
      <w:r>
        <w:rPr>
          <w:rStyle w:val="22"/>
          <w:rFonts w:hint="eastAsia" w:ascii="宋体" w:hAnsi="宋体" w:eastAsia="宋体" w:cs="宋体"/>
          <w:color w:val="auto"/>
          <w:highlight w:val="none"/>
        </w:rPr>
        <w:t>商务技术文件部分</w:t>
      </w:r>
    </w:p>
    <w:p w14:paraId="78D6F890">
      <w:pPr>
        <w:spacing w:line="360" w:lineRule="auto"/>
        <w:jc w:val="center"/>
        <w:rPr>
          <w:rFonts w:hint="eastAsia" w:ascii="宋体" w:hAnsi="宋体" w:eastAsia="宋体" w:cs="宋体"/>
          <w:b/>
          <w:color w:val="auto"/>
          <w:kern w:val="0"/>
          <w:sz w:val="28"/>
          <w:szCs w:val="28"/>
          <w:highlight w:val="none"/>
        </w:rPr>
      </w:pPr>
      <w:bookmarkStart w:id="477" w:name="_Toc11049"/>
      <w:bookmarkStart w:id="478" w:name="_Toc23572"/>
      <w:bookmarkStart w:id="479" w:name="_Toc23620"/>
      <w:r>
        <w:rPr>
          <w:rFonts w:hint="eastAsia" w:ascii="宋体" w:hAnsi="宋体" w:eastAsia="宋体" w:cs="宋体"/>
          <w:b/>
          <w:color w:val="auto"/>
          <w:kern w:val="0"/>
          <w:sz w:val="28"/>
          <w:szCs w:val="28"/>
          <w:highlight w:val="none"/>
        </w:rPr>
        <w:t>目录</w:t>
      </w:r>
      <w:bookmarkEnd w:id="477"/>
      <w:bookmarkEnd w:id="478"/>
      <w:bookmarkEnd w:id="479"/>
    </w:p>
    <w:p w14:paraId="4300318F">
      <w:pPr>
        <w:numPr>
          <w:ilvl w:val="0"/>
          <w:numId w:val="11"/>
        </w:num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评分索引表………………………………………………………………………（页码）</w:t>
      </w:r>
    </w:p>
    <w:p w14:paraId="359E4D7A">
      <w:pPr>
        <w:numPr>
          <w:ilvl w:val="0"/>
          <w:numId w:val="11"/>
        </w:num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投标函……………………………………………………………………………（页码）</w:t>
      </w:r>
    </w:p>
    <w:p w14:paraId="16F8A0D2">
      <w:pPr>
        <w:numPr>
          <w:ilvl w:val="0"/>
          <w:numId w:val="11"/>
        </w:num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法定代表人（单位负责人、自然人本人）身份证明或授权委托书…………（页码）</w:t>
      </w:r>
    </w:p>
    <w:p w14:paraId="09C17272">
      <w:pPr>
        <w:numPr>
          <w:ilvl w:val="0"/>
          <w:numId w:val="11"/>
        </w:num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评标标准相应的商务技术资料…………………………………………………（页码）</w:t>
      </w:r>
    </w:p>
    <w:p w14:paraId="51CDBA88">
      <w:pPr>
        <w:numPr>
          <w:ilvl w:val="0"/>
          <w:numId w:val="11"/>
        </w:num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采购需求偏离表…………………………………………………………………（页码）</w:t>
      </w:r>
    </w:p>
    <w:p w14:paraId="3A58D54E">
      <w:pPr>
        <w:numPr>
          <w:ilvl w:val="0"/>
          <w:numId w:val="11"/>
        </w:num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投标标的清单……………………………………………………………………（页码）</w:t>
      </w:r>
    </w:p>
    <w:p w14:paraId="24838B02">
      <w:pPr>
        <w:numPr>
          <w:ilvl w:val="0"/>
          <w:numId w:val="11"/>
        </w:num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rPr>
        <w:t>………………………………………………（页码）</w:t>
      </w:r>
    </w:p>
    <w:p w14:paraId="2CE5BCD0">
      <w:pPr>
        <w:numPr>
          <w:ilvl w:val="0"/>
          <w:numId w:val="11"/>
        </w:num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投标产品技术支持材料…………………………………………………………（页码）</w:t>
      </w:r>
    </w:p>
    <w:p w14:paraId="5D1EDD0A">
      <w:pPr>
        <w:spacing w:line="400" w:lineRule="exact"/>
        <w:jc w:val="center"/>
        <w:rPr>
          <w:rFonts w:hint="eastAsia" w:ascii="宋体" w:hAnsi="宋体" w:eastAsia="宋体" w:cs="宋体"/>
          <w:b/>
          <w:color w:val="auto"/>
          <w:sz w:val="28"/>
          <w:highlight w:val="none"/>
        </w:rPr>
      </w:pPr>
      <w:r>
        <w:rPr>
          <w:rFonts w:hint="eastAsia" w:ascii="宋体" w:hAnsi="宋体" w:eastAsia="宋体" w:cs="宋体"/>
          <w:color w:val="auto"/>
          <w:highlight w:val="none"/>
        </w:rPr>
        <w:br w:type="page"/>
      </w:r>
      <w:bookmarkStart w:id="480" w:name="_Toc26161"/>
      <w:bookmarkStart w:id="481" w:name="_Toc25202"/>
      <w:bookmarkStart w:id="482" w:name="_Toc21536"/>
      <w:r>
        <w:rPr>
          <w:rFonts w:hint="eastAsia" w:ascii="宋体" w:hAnsi="宋体" w:eastAsia="宋体" w:cs="宋体"/>
          <w:b/>
          <w:color w:val="auto"/>
          <w:sz w:val="28"/>
          <w:highlight w:val="none"/>
        </w:rPr>
        <w:t>评分索引表</w:t>
      </w:r>
    </w:p>
    <w:p w14:paraId="2B5073D3">
      <w:pPr>
        <w:spacing w:line="400" w:lineRule="exact"/>
        <w:jc w:val="center"/>
        <w:rPr>
          <w:rFonts w:hint="eastAsia" w:ascii="宋体" w:hAnsi="宋体" w:eastAsia="宋体" w:cs="宋体"/>
          <w:b/>
          <w:color w:val="auto"/>
          <w:sz w:val="28"/>
          <w:highlight w:val="none"/>
        </w:rPr>
      </w:pPr>
    </w:p>
    <w:p w14:paraId="197C700F">
      <w:pPr>
        <w:spacing w:line="400" w:lineRule="exact"/>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为了方便专家评审投标文件，针对招标文件评分细则要求，投标人应制作投标文件索引，置于投标文件首页，格式如下：</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14:paraId="59A3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noWrap w:val="0"/>
            <w:vAlign w:val="center"/>
          </w:tcPr>
          <w:p w14:paraId="55CA63FF">
            <w:pPr>
              <w:spacing w:line="400" w:lineRule="exact"/>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序号</w:t>
            </w:r>
          </w:p>
        </w:tc>
        <w:tc>
          <w:tcPr>
            <w:tcW w:w="6956" w:type="dxa"/>
            <w:noWrap w:val="0"/>
            <w:vAlign w:val="center"/>
          </w:tcPr>
          <w:p w14:paraId="3FDDDB1E">
            <w:pPr>
              <w:spacing w:line="400" w:lineRule="exact"/>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评分内容</w:t>
            </w:r>
          </w:p>
        </w:tc>
        <w:tc>
          <w:tcPr>
            <w:tcW w:w="1313" w:type="dxa"/>
            <w:noWrap w:val="0"/>
            <w:vAlign w:val="center"/>
          </w:tcPr>
          <w:p w14:paraId="1EF5F99D">
            <w:pPr>
              <w:pStyle w:val="28"/>
              <w:spacing w:line="400" w:lineRule="exact"/>
              <w:ind w:firstLine="0" w:firstLineChars="0"/>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页码</w:t>
            </w:r>
          </w:p>
        </w:tc>
      </w:tr>
      <w:tr w14:paraId="6484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noWrap w:val="0"/>
            <w:vAlign w:val="center"/>
          </w:tcPr>
          <w:p w14:paraId="31F6173A">
            <w:pPr>
              <w:spacing w:line="400" w:lineRule="exact"/>
              <w:jc w:val="center"/>
              <w:rPr>
                <w:rFonts w:hint="eastAsia" w:ascii="宋体" w:hAnsi="宋体" w:eastAsia="宋体" w:cs="宋体"/>
                <w:bCs/>
                <w:color w:val="auto"/>
                <w:kern w:val="0"/>
                <w:sz w:val="24"/>
                <w:highlight w:val="none"/>
              </w:rPr>
            </w:pPr>
          </w:p>
        </w:tc>
        <w:tc>
          <w:tcPr>
            <w:tcW w:w="6956" w:type="dxa"/>
            <w:noWrap w:val="0"/>
            <w:vAlign w:val="center"/>
          </w:tcPr>
          <w:p w14:paraId="6A7C13C1">
            <w:pPr>
              <w:spacing w:line="400" w:lineRule="exact"/>
              <w:jc w:val="left"/>
              <w:rPr>
                <w:rFonts w:hint="eastAsia" w:ascii="宋体" w:hAnsi="宋体" w:eastAsia="宋体" w:cs="宋体"/>
                <w:color w:val="auto"/>
                <w:kern w:val="0"/>
                <w:sz w:val="24"/>
                <w:highlight w:val="none"/>
              </w:rPr>
            </w:pPr>
          </w:p>
        </w:tc>
        <w:tc>
          <w:tcPr>
            <w:tcW w:w="1313" w:type="dxa"/>
            <w:noWrap w:val="0"/>
            <w:vAlign w:val="center"/>
          </w:tcPr>
          <w:p w14:paraId="49BB5747">
            <w:pPr>
              <w:pStyle w:val="6"/>
              <w:spacing w:line="400" w:lineRule="exact"/>
              <w:ind w:left="456" w:firstLine="456"/>
              <w:rPr>
                <w:rFonts w:hint="eastAsia" w:ascii="宋体" w:hAnsi="宋体" w:eastAsia="宋体" w:cs="宋体"/>
                <w:color w:val="auto"/>
                <w:spacing w:val="-6"/>
                <w:highlight w:val="none"/>
              </w:rPr>
            </w:pPr>
          </w:p>
        </w:tc>
      </w:tr>
      <w:tr w14:paraId="53FF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noWrap w:val="0"/>
            <w:vAlign w:val="center"/>
          </w:tcPr>
          <w:p w14:paraId="5496FC2A">
            <w:pPr>
              <w:spacing w:line="400" w:lineRule="exact"/>
              <w:jc w:val="center"/>
              <w:rPr>
                <w:rFonts w:hint="eastAsia" w:ascii="宋体" w:hAnsi="宋体" w:eastAsia="宋体" w:cs="宋体"/>
                <w:bCs/>
                <w:color w:val="auto"/>
                <w:kern w:val="0"/>
                <w:sz w:val="24"/>
                <w:highlight w:val="none"/>
              </w:rPr>
            </w:pPr>
          </w:p>
        </w:tc>
        <w:tc>
          <w:tcPr>
            <w:tcW w:w="6956" w:type="dxa"/>
            <w:noWrap w:val="0"/>
            <w:vAlign w:val="center"/>
          </w:tcPr>
          <w:p w14:paraId="21AEFFB2">
            <w:pPr>
              <w:spacing w:line="400" w:lineRule="exact"/>
              <w:jc w:val="left"/>
              <w:rPr>
                <w:rFonts w:hint="eastAsia" w:ascii="宋体" w:hAnsi="宋体" w:eastAsia="宋体" w:cs="宋体"/>
                <w:color w:val="auto"/>
                <w:kern w:val="0"/>
                <w:sz w:val="24"/>
                <w:highlight w:val="none"/>
              </w:rPr>
            </w:pPr>
          </w:p>
        </w:tc>
        <w:tc>
          <w:tcPr>
            <w:tcW w:w="1313" w:type="dxa"/>
            <w:noWrap w:val="0"/>
            <w:vAlign w:val="center"/>
          </w:tcPr>
          <w:p w14:paraId="122C1809">
            <w:pPr>
              <w:pStyle w:val="6"/>
              <w:spacing w:line="400" w:lineRule="exact"/>
              <w:rPr>
                <w:rFonts w:hint="eastAsia" w:ascii="宋体" w:hAnsi="宋体" w:eastAsia="宋体" w:cs="宋体"/>
                <w:color w:val="auto"/>
                <w:highlight w:val="none"/>
              </w:rPr>
            </w:pPr>
          </w:p>
        </w:tc>
      </w:tr>
      <w:tr w14:paraId="05F2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noWrap w:val="0"/>
            <w:vAlign w:val="center"/>
          </w:tcPr>
          <w:p w14:paraId="780893E6">
            <w:pPr>
              <w:spacing w:line="400" w:lineRule="exact"/>
              <w:jc w:val="center"/>
              <w:rPr>
                <w:rFonts w:hint="eastAsia" w:ascii="宋体" w:hAnsi="宋体" w:eastAsia="宋体" w:cs="宋体"/>
                <w:color w:val="auto"/>
                <w:spacing w:val="-6"/>
                <w:sz w:val="24"/>
                <w:highlight w:val="none"/>
              </w:rPr>
            </w:pPr>
          </w:p>
        </w:tc>
        <w:tc>
          <w:tcPr>
            <w:tcW w:w="6956" w:type="dxa"/>
            <w:noWrap w:val="0"/>
            <w:vAlign w:val="center"/>
          </w:tcPr>
          <w:p w14:paraId="67CFE258">
            <w:pPr>
              <w:spacing w:line="400" w:lineRule="exact"/>
              <w:rPr>
                <w:rFonts w:hint="eastAsia" w:ascii="宋体" w:hAnsi="宋体" w:eastAsia="宋体" w:cs="宋体"/>
                <w:color w:val="auto"/>
                <w:sz w:val="24"/>
                <w:highlight w:val="none"/>
              </w:rPr>
            </w:pPr>
          </w:p>
        </w:tc>
        <w:tc>
          <w:tcPr>
            <w:tcW w:w="1313" w:type="dxa"/>
            <w:noWrap w:val="0"/>
            <w:vAlign w:val="top"/>
          </w:tcPr>
          <w:p w14:paraId="5E3B849C">
            <w:pPr>
              <w:spacing w:line="400" w:lineRule="exact"/>
              <w:rPr>
                <w:rFonts w:hint="eastAsia" w:ascii="宋体" w:hAnsi="宋体" w:eastAsia="宋体" w:cs="宋体"/>
                <w:bCs/>
                <w:color w:val="auto"/>
                <w:sz w:val="24"/>
                <w:highlight w:val="none"/>
              </w:rPr>
            </w:pPr>
          </w:p>
        </w:tc>
      </w:tr>
      <w:tr w14:paraId="44F8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noWrap w:val="0"/>
            <w:vAlign w:val="center"/>
          </w:tcPr>
          <w:p w14:paraId="19478DCF">
            <w:pPr>
              <w:spacing w:line="400" w:lineRule="exact"/>
              <w:jc w:val="center"/>
              <w:rPr>
                <w:rFonts w:hint="eastAsia" w:ascii="宋体" w:hAnsi="宋体" w:eastAsia="宋体" w:cs="宋体"/>
                <w:color w:val="auto"/>
                <w:spacing w:val="-6"/>
                <w:sz w:val="24"/>
                <w:highlight w:val="none"/>
              </w:rPr>
            </w:pPr>
          </w:p>
        </w:tc>
        <w:tc>
          <w:tcPr>
            <w:tcW w:w="6956" w:type="dxa"/>
            <w:noWrap w:val="0"/>
            <w:vAlign w:val="center"/>
          </w:tcPr>
          <w:p w14:paraId="097A3C60">
            <w:pPr>
              <w:spacing w:line="400" w:lineRule="exact"/>
              <w:rPr>
                <w:rFonts w:hint="eastAsia" w:ascii="宋体" w:hAnsi="宋体" w:eastAsia="宋体" w:cs="宋体"/>
                <w:color w:val="auto"/>
                <w:sz w:val="24"/>
                <w:highlight w:val="none"/>
              </w:rPr>
            </w:pPr>
          </w:p>
        </w:tc>
        <w:tc>
          <w:tcPr>
            <w:tcW w:w="1313" w:type="dxa"/>
            <w:noWrap w:val="0"/>
            <w:vAlign w:val="top"/>
          </w:tcPr>
          <w:p w14:paraId="019C5383">
            <w:pPr>
              <w:spacing w:line="400" w:lineRule="exact"/>
              <w:rPr>
                <w:rFonts w:hint="eastAsia" w:ascii="宋体" w:hAnsi="宋体" w:eastAsia="宋体" w:cs="宋体"/>
                <w:bCs/>
                <w:color w:val="auto"/>
                <w:sz w:val="24"/>
                <w:highlight w:val="none"/>
              </w:rPr>
            </w:pPr>
          </w:p>
        </w:tc>
      </w:tr>
      <w:tr w14:paraId="1EA3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noWrap w:val="0"/>
            <w:vAlign w:val="center"/>
          </w:tcPr>
          <w:p w14:paraId="22967385">
            <w:pPr>
              <w:spacing w:line="400" w:lineRule="exact"/>
              <w:jc w:val="center"/>
              <w:rPr>
                <w:rFonts w:hint="eastAsia" w:ascii="宋体" w:hAnsi="宋体" w:eastAsia="宋体" w:cs="宋体"/>
                <w:color w:val="auto"/>
                <w:spacing w:val="-6"/>
                <w:sz w:val="24"/>
                <w:highlight w:val="none"/>
              </w:rPr>
            </w:pPr>
          </w:p>
        </w:tc>
        <w:tc>
          <w:tcPr>
            <w:tcW w:w="6956" w:type="dxa"/>
            <w:noWrap w:val="0"/>
            <w:vAlign w:val="center"/>
          </w:tcPr>
          <w:p w14:paraId="6FEB0323">
            <w:pPr>
              <w:spacing w:line="400" w:lineRule="exact"/>
              <w:jc w:val="left"/>
              <w:rPr>
                <w:rFonts w:hint="eastAsia" w:ascii="宋体" w:hAnsi="宋体" w:eastAsia="宋体" w:cs="宋体"/>
                <w:color w:val="auto"/>
                <w:sz w:val="24"/>
                <w:highlight w:val="none"/>
              </w:rPr>
            </w:pPr>
          </w:p>
        </w:tc>
        <w:tc>
          <w:tcPr>
            <w:tcW w:w="1313" w:type="dxa"/>
            <w:noWrap w:val="0"/>
            <w:vAlign w:val="top"/>
          </w:tcPr>
          <w:p w14:paraId="29092372">
            <w:pPr>
              <w:spacing w:line="400" w:lineRule="exact"/>
              <w:rPr>
                <w:rFonts w:hint="eastAsia" w:ascii="宋体" w:hAnsi="宋体" w:eastAsia="宋体" w:cs="宋体"/>
                <w:bCs/>
                <w:color w:val="auto"/>
                <w:sz w:val="24"/>
                <w:highlight w:val="none"/>
              </w:rPr>
            </w:pPr>
          </w:p>
        </w:tc>
      </w:tr>
      <w:tr w14:paraId="68D1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noWrap w:val="0"/>
            <w:vAlign w:val="center"/>
          </w:tcPr>
          <w:p w14:paraId="04DE7D13">
            <w:pPr>
              <w:spacing w:line="400" w:lineRule="exact"/>
              <w:jc w:val="center"/>
              <w:rPr>
                <w:rFonts w:hint="eastAsia" w:ascii="宋体" w:hAnsi="宋体" w:eastAsia="宋体" w:cs="宋体"/>
                <w:color w:val="auto"/>
                <w:spacing w:val="-6"/>
                <w:sz w:val="24"/>
                <w:highlight w:val="none"/>
              </w:rPr>
            </w:pPr>
          </w:p>
        </w:tc>
        <w:tc>
          <w:tcPr>
            <w:tcW w:w="6956" w:type="dxa"/>
            <w:noWrap w:val="0"/>
            <w:vAlign w:val="center"/>
          </w:tcPr>
          <w:p w14:paraId="2653B297">
            <w:pPr>
              <w:spacing w:line="400" w:lineRule="exact"/>
              <w:jc w:val="left"/>
              <w:rPr>
                <w:rFonts w:hint="eastAsia" w:ascii="宋体" w:hAnsi="宋体" w:eastAsia="宋体" w:cs="宋体"/>
                <w:color w:val="auto"/>
                <w:sz w:val="24"/>
                <w:highlight w:val="none"/>
              </w:rPr>
            </w:pPr>
          </w:p>
        </w:tc>
        <w:tc>
          <w:tcPr>
            <w:tcW w:w="1313" w:type="dxa"/>
            <w:noWrap w:val="0"/>
            <w:vAlign w:val="top"/>
          </w:tcPr>
          <w:p w14:paraId="19000145">
            <w:pPr>
              <w:spacing w:line="400" w:lineRule="exact"/>
              <w:rPr>
                <w:rFonts w:hint="eastAsia" w:ascii="宋体" w:hAnsi="宋体" w:eastAsia="宋体" w:cs="宋体"/>
                <w:bCs/>
                <w:color w:val="auto"/>
                <w:sz w:val="24"/>
                <w:highlight w:val="none"/>
              </w:rPr>
            </w:pPr>
          </w:p>
        </w:tc>
      </w:tr>
      <w:tr w14:paraId="594C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noWrap w:val="0"/>
            <w:vAlign w:val="center"/>
          </w:tcPr>
          <w:p w14:paraId="3D892A4B">
            <w:pPr>
              <w:spacing w:line="400" w:lineRule="exact"/>
              <w:jc w:val="center"/>
              <w:rPr>
                <w:rFonts w:hint="eastAsia" w:ascii="宋体" w:hAnsi="宋体" w:eastAsia="宋体" w:cs="宋体"/>
                <w:color w:val="auto"/>
                <w:spacing w:val="-6"/>
                <w:sz w:val="24"/>
                <w:highlight w:val="none"/>
              </w:rPr>
            </w:pPr>
          </w:p>
        </w:tc>
        <w:tc>
          <w:tcPr>
            <w:tcW w:w="6956" w:type="dxa"/>
            <w:noWrap w:val="0"/>
            <w:vAlign w:val="center"/>
          </w:tcPr>
          <w:p w14:paraId="08D4C8FB">
            <w:pPr>
              <w:spacing w:line="400" w:lineRule="exact"/>
              <w:jc w:val="left"/>
              <w:rPr>
                <w:rFonts w:hint="eastAsia" w:ascii="宋体" w:hAnsi="宋体" w:eastAsia="宋体" w:cs="宋体"/>
                <w:color w:val="auto"/>
                <w:sz w:val="24"/>
                <w:highlight w:val="none"/>
              </w:rPr>
            </w:pPr>
          </w:p>
        </w:tc>
        <w:tc>
          <w:tcPr>
            <w:tcW w:w="1313" w:type="dxa"/>
            <w:noWrap w:val="0"/>
            <w:vAlign w:val="top"/>
          </w:tcPr>
          <w:p w14:paraId="63076C13">
            <w:pPr>
              <w:spacing w:line="400" w:lineRule="exact"/>
              <w:rPr>
                <w:rFonts w:hint="eastAsia" w:ascii="宋体" w:hAnsi="宋体" w:eastAsia="宋体" w:cs="宋体"/>
                <w:bCs/>
                <w:color w:val="auto"/>
                <w:sz w:val="24"/>
                <w:highlight w:val="none"/>
              </w:rPr>
            </w:pPr>
          </w:p>
        </w:tc>
      </w:tr>
      <w:tr w14:paraId="382C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noWrap w:val="0"/>
            <w:vAlign w:val="center"/>
          </w:tcPr>
          <w:p w14:paraId="20608297">
            <w:pPr>
              <w:spacing w:line="400" w:lineRule="exact"/>
              <w:jc w:val="center"/>
              <w:rPr>
                <w:rFonts w:hint="eastAsia" w:ascii="宋体" w:hAnsi="宋体" w:eastAsia="宋体" w:cs="宋体"/>
                <w:color w:val="auto"/>
                <w:spacing w:val="-6"/>
                <w:sz w:val="24"/>
                <w:highlight w:val="none"/>
              </w:rPr>
            </w:pPr>
          </w:p>
        </w:tc>
        <w:tc>
          <w:tcPr>
            <w:tcW w:w="6956" w:type="dxa"/>
            <w:noWrap w:val="0"/>
            <w:vAlign w:val="center"/>
          </w:tcPr>
          <w:p w14:paraId="0412EBAA">
            <w:pPr>
              <w:spacing w:line="400" w:lineRule="exact"/>
              <w:rPr>
                <w:rFonts w:hint="eastAsia" w:ascii="宋体" w:hAnsi="宋体" w:eastAsia="宋体" w:cs="宋体"/>
                <w:color w:val="auto"/>
                <w:sz w:val="24"/>
                <w:highlight w:val="none"/>
              </w:rPr>
            </w:pPr>
          </w:p>
        </w:tc>
        <w:tc>
          <w:tcPr>
            <w:tcW w:w="1313" w:type="dxa"/>
            <w:noWrap w:val="0"/>
            <w:vAlign w:val="top"/>
          </w:tcPr>
          <w:p w14:paraId="66AFBD38">
            <w:pPr>
              <w:spacing w:line="400" w:lineRule="exact"/>
              <w:rPr>
                <w:rFonts w:hint="eastAsia" w:ascii="宋体" w:hAnsi="宋体" w:eastAsia="宋体" w:cs="宋体"/>
                <w:bCs/>
                <w:color w:val="auto"/>
                <w:sz w:val="24"/>
                <w:highlight w:val="none"/>
              </w:rPr>
            </w:pPr>
          </w:p>
        </w:tc>
      </w:tr>
      <w:tr w14:paraId="6854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noWrap w:val="0"/>
            <w:vAlign w:val="center"/>
          </w:tcPr>
          <w:p w14:paraId="22B39C72">
            <w:pPr>
              <w:spacing w:line="400" w:lineRule="exact"/>
              <w:jc w:val="center"/>
              <w:rPr>
                <w:rFonts w:hint="eastAsia" w:ascii="宋体" w:hAnsi="宋体" w:eastAsia="宋体" w:cs="宋体"/>
                <w:color w:val="auto"/>
                <w:spacing w:val="-6"/>
                <w:sz w:val="24"/>
                <w:highlight w:val="none"/>
              </w:rPr>
            </w:pPr>
          </w:p>
        </w:tc>
        <w:tc>
          <w:tcPr>
            <w:tcW w:w="6956" w:type="dxa"/>
            <w:noWrap w:val="0"/>
            <w:vAlign w:val="center"/>
          </w:tcPr>
          <w:p w14:paraId="296BB5C5">
            <w:pPr>
              <w:spacing w:line="400" w:lineRule="exact"/>
              <w:jc w:val="left"/>
              <w:rPr>
                <w:rFonts w:hint="eastAsia" w:ascii="宋体" w:hAnsi="宋体" w:eastAsia="宋体" w:cs="宋体"/>
                <w:color w:val="auto"/>
                <w:sz w:val="24"/>
                <w:highlight w:val="none"/>
              </w:rPr>
            </w:pPr>
          </w:p>
        </w:tc>
        <w:tc>
          <w:tcPr>
            <w:tcW w:w="1313" w:type="dxa"/>
            <w:noWrap w:val="0"/>
            <w:vAlign w:val="top"/>
          </w:tcPr>
          <w:p w14:paraId="5D8C4CD6">
            <w:pPr>
              <w:spacing w:line="400" w:lineRule="exact"/>
              <w:rPr>
                <w:rFonts w:hint="eastAsia" w:ascii="宋体" w:hAnsi="宋体" w:eastAsia="宋体" w:cs="宋体"/>
                <w:bCs/>
                <w:color w:val="auto"/>
                <w:sz w:val="24"/>
                <w:highlight w:val="none"/>
              </w:rPr>
            </w:pPr>
          </w:p>
        </w:tc>
      </w:tr>
      <w:tr w14:paraId="6B30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noWrap w:val="0"/>
            <w:vAlign w:val="center"/>
          </w:tcPr>
          <w:p w14:paraId="405A80D3">
            <w:pPr>
              <w:spacing w:line="400" w:lineRule="exact"/>
              <w:jc w:val="center"/>
              <w:rPr>
                <w:rFonts w:hint="eastAsia" w:ascii="宋体" w:hAnsi="宋体" w:eastAsia="宋体" w:cs="宋体"/>
                <w:color w:val="auto"/>
                <w:spacing w:val="-6"/>
                <w:sz w:val="24"/>
                <w:highlight w:val="none"/>
              </w:rPr>
            </w:pPr>
          </w:p>
        </w:tc>
        <w:tc>
          <w:tcPr>
            <w:tcW w:w="6956" w:type="dxa"/>
            <w:noWrap w:val="0"/>
            <w:vAlign w:val="center"/>
          </w:tcPr>
          <w:p w14:paraId="71CD1999">
            <w:pPr>
              <w:spacing w:line="400" w:lineRule="exact"/>
              <w:jc w:val="left"/>
              <w:rPr>
                <w:rFonts w:hint="eastAsia" w:ascii="宋体" w:hAnsi="宋体" w:eastAsia="宋体" w:cs="宋体"/>
                <w:color w:val="auto"/>
                <w:sz w:val="24"/>
                <w:highlight w:val="none"/>
              </w:rPr>
            </w:pPr>
          </w:p>
        </w:tc>
        <w:tc>
          <w:tcPr>
            <w:tcW w:w="1313" w:type="dxa"/>
            <w:noWrap w:val="0"/>
            <w:vAlign w:val="top"/>
          </w:tcPr>
          <w:p w14:paraId="272895DE">
            <w:pPr>
              <w:spacing w:line="400" w:lineRule="exact"/>
              <w:rPr>
                <w:rFonts w:hint="eastAsia" w:ascii="宋体" w:hAnsi="宋体" w:eastAsia="宋体" w:cs="宋体"/>
                <w:bCs/>
                <w:color w:val="auto"/>
                <w:sz w:val="24"/>
                <w:highlight w:val="none"/>
              </w:rPr>
            </w:pPr>
          </w:p>
        </w:tc>
      </w:tr>
    </w:tbl>
    <w:p w14:paraId="58125E64">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备注：一.“评分内容”对应评审标准。</w:t>
      </w:r>
    </w:p>
    <w:p w14:paraId="4B96A994">
      <w:pPr>
        <w:spacing w:line="40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二.评标内容自行添加。本表可扩展。</w:t>
      </w:r>
    </w:p>
    <w:p w14:paraId="7D20F23D">
      <w:pPr>
        <w:spacing w:line="400" w:lineRule="exact"/>
        <w:ind w:firstLine="720" w:firstLineChars="300"/>
        <w:rPr>
          <w:rFonts w:hint="eastAsia" w:ascii="宋体" w:hAnsi="宋体" w:eastAsia="宋体" w:cs="宋体"/>
          <w:b/>
          <w:color w:val="auto"/>
          <w:sz w:val="24"/>
          <w:highlight w:val="none"/>
        </w:rPr>
      </w:pPr>
      <w:r>
        <w:rPr>
          <w:rFonts w:hint="eastAsia" w:ascii="宋体" w:hAnsi="宋体" w:eastAsia="宋体" w:cs="宋体"/>
          <w:color w:val="auto"/>
          <w:sz w:val="24"/>
          <w:highlight w:val="none"/>
        </w:rPr>
        <w:t>三.各投标人在投标文件最前页根据本评标细则制作评分索引表，清楚标注响应内容及证明材料的所在页码。</w:t>
      </w:r>
    </w:p>
    <w:p w14:paraId="314ED0A5">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br w:type="page"/>
      </w:r>
      <w:bookmarkStart w:id="483" w:name="_Toc19439"/>
      <w:bookmarkStart w:id="484" w:name="_Toc17620"/>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bookmarkEnd w:id="480"/>
      <w:bookmarkEnd w:id="481"/>
      <w:bookmarkEnd w:id="482"/>
      <w:bookmarkEnd w:id="483"/>
      <w:bookmarkEnd w:id="484"/>
    </w:p>
    <w:p w14:paraId="52BE5805">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浙江农林大学、浙江乐诚工程咨询有限公司：</w:t>
      </w:r>
    </w:p>
    <w:p w14:paraId="7B7BC938">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我方参加你方组织的浙江农林大学</w:t>
      </w:r>
      <w:r>
        <w:rPr>
          <w:rFonts w:hint="eastAsia" w:ascii="宋体" w:hAnsi="宋体" w:eastAsia="宋体" w:cs="宋体"/>
          <w:color w:val="auto"/>
          <w:sz w:val="22"/>
          <w:szCs w:val="22"/>
          <w:highlight w:val="none"/>
          <w:lang w:eastAsia="zh-CN"/>
        </w:rPr>
        <w:t>元素分析仪</w:t>
      </w:r>
      <w:r>
        <w:rPr>
          <w:rFonts w:hint="eastAsia" w:ascii="宋体" w:hAnsi="宋体" w:eastAsia="宋体" w:cs="宋体"/>
          <w:color w:val="auto"/>
          <w:sz w:val="22"/>
          <w:szCs w:val="22"/>
          <w:highlight w:val="none"/>
        </w:rPr>
        <w:t>【项目编号：</w:t>
      </w:r>
      <w:r>
        <w:rPr>
          <w:rFonts w:hint="eastAsia" w:ascii="宋体" w:hAnsi="宋体" w:eastAsia="宋体" w:cs="宋体"/>
          <w:color w:val="auto"/>
          <w:sz w:val="22"/>
          <w:szCs w:val="22"/>
          <w:highlight w:val="none"/>
          <w:lang w:eastAsia="zh-CN"/>
        </w:rPr>
        <w:t>ZJYC2025103(GK)</w:t>
      </w:r>
      <w:r>
        <w:rPr>
          <w:rFonts w:hint="eastAsia" w:ascii="宋体" w:hAnsi="宋体" w:eastAsia="宋体" w:cs="宋体"/>
          <w:color w:val="auto"/>
          <w:sz w:val="22"/>
          <w:szCs w:val="22"/>
          <w:highlight w:val="none"/>
        </w:rPr>
        <w:t>】招标的有关活动，并对此项目进行投标。为此：</w:t>
      </w:r>
    </w:p>
    <w:p w14:paraId="5DF1977A">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1、我方承诺投标有效期从提交投标文件的截止之日起</w:t>
      </w:r>
      <w:r>
        <w:rPr>
          <w:rFonts w:hint="eastAsia" w:ascii="宋体" w:hAnsi="宋体" w:eastAsia="宋体" w:cs="宋体"/>
          <w:color w:val="auto"/>
          <w:sz w:val="22"/>
          <w:szCs w:val="22"/>
          <w:highlight w:val="none"/>
          <w:u w:val="single"/>
        </w:rPr>
        <w:t>90日历</w:t>
      </w:r>
      <w:r>
        <w:rPr>
          <w:rFonts w:hint="eastAsia" w:ascii="宋体" w:hAnsi="宋体" w:eastAsia="宋体" w:cs="宋体"/>
          <w:color w:val="auto"/>
          <w:sz w:val="22"/>
          <w:szCs w:val="22"/>
          <w:highlight w:val="none"/>
        </w:rPr>
        <w:t>天，本投标文件在投标有效期满之前均具有约束力。</w:t>
      </w:r>
    </w:p>
    <w:p w14:paraId="2DD31156">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2、我方的投标文件包括以下内容：</w:t>
      </w:r>
    </w:p>
    <w:p w14:paraId="373BFD11">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2.1资格文件：</w:t>
      </w:r>
    </w:p>
    <w:p w14:paraId="26EDC0AC">
      <w:pPr>
        <w:snapToGrid w:val="0"/>
        <w:spacing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2.1.1承诺函；</w:t>
      </w:r>
    </w:p>
    <w:p w14:paraId="4F91A920">
      <w:pPr>
        <w:snapToGrid w:val="0"/>
        <w:spacing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2.1.2有效的企业营业执照（或事业法人登记证书或其它工商等登记证明材料，自然人提供身份证)复制件（五选一）</w:t>
      </w:r>
    </w:p>
    <w:p w14:paraId="40C32F93">
      <w:pPr>
        <w:snapToGrid w:val="0"/>
        <w:spacing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2.1.3落实政府采购政策需满足的资格要求；</w:t>
      </w:r>
    </w:p>
    <w:p w14:paraId="3DC99771">
      <w:pPr>
        <w:snapToGrid w:val="0"/>
        <w:spacing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2.1.4联合协议（如果有）；</w:t>
      </w:r>
    </w:p>
    <w:p w14:paraId="42162EAD">
      <w:pPr>
        <w:snapToGrid w:val="0"/>
        <w:spacing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2.1.5分包意向协议（如果有）；</w:t>
      </w:r>
    </w:p>
    <w:p w14:paraId="4E3815B6">
      <w:pPr>
        <w:snapToGrid w:val="0"/>
        <w:spacing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2.1.6本项目的特定资格要求（如果有）。</w:t>
      </w:r>
    </w:p>
    <w:p w14:paraId="362679D2">
      <w:pPr>
        <w:snapToGrid w:val="0"/>
        <w:spacing w:line="360" w:lineRule="auto"/>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zh-CN"/>
        </w:rPr>
        <w:t xml:space="preserve"> </w:t>
      </w:r>
      <w:r>
        <w:rPr>
          <w:rFonts w:hint="eastAsia" w:ascii="宋体" w:hAnsi="宋体" w:eastAsia="宋体" w:cs="宋体"/>
          <w:color w:val="auto"/>
          <w:sz w:val="22"/>
          <w:szCs w:val="22"/>
          <w:highlight w:val="none"/>
        </w:rPr>
        <w:t>商务技术</w:t>
      </w:r>
      <w:r>
        <w:rPr>
          <w:rFonts w:hint="eastAsia" w:ascii="宋体" w:hAnsi="宋体" w:eastAsia="宋体" w:cs="宋体"/>
          <w:color w:val="auto"/>
          <w:sz w:val="22"/>
          <w:szCs w:val="22"/>
          <w:highlight w:val="none"/>
          <w:lang w:val="zh-CN"/>
        </w:rPr>
        <w:t>文件：</w:t>
      </w:r>
    </w:p>
    <w:p w14:paraId="2DD49BB7">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2.2.1投标函；</w:t>
      </w:r>
      <w:r>
        <w:rPr>
          <w:rFonts w:hint="eastAsia" w:ascii="宋体" w:hAnsi="宋体" w:eastAsia="宋体" w:cs="宋体"/>
          <w:color w:val="auto"/>
          <w:sz w:val="22"/>
          <w:szCs w:val="22"/>
          <w:highlight w:val="none"/>
          <w:lang w:val="zh-CN"/>
        </w:rPr>
        <w:t xml:space="preserve"> </w:t>
      </w:r>
    </w:p>
    <w:p w14:paraId="686A5FCE">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2.2.2授权委托书或法定代表人（单位负责人）身份证明；</w:t>
      </w:r>
    </w:p>
    <w:p w14:paraId="08601E20">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2.2.3评标标准相应的商务技术资料；</w:t>
      </w:r>
    </w:p>
    <w:p w14:paraId="2777A607">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2.2.4采购需求偏离表；</w:t>
      </w:r>
    </w:p>
    <w:p w14:paraId="3CACC7DE">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2.2.5投标标的清单；</w:t>
      </w:r>
    </w:p>
    <w:p w14:paraId="4931FD36">
      <w:pPr>
        <w:snapToGrid w:val="0"/>
        <w:spacing w:line="360" w:lineRule="auto"/>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2.2.6</w:t>
      </w:r>
      <w:r>
        <w:rPr>
          <w:rFonts w:hint="eastAsia" w:ascii="宋体" w:hAnsi="宋体" w:eastAsia="宋体" w:cs="宋体"/>
          <w:color w:val="auto"/>
          <w:sz w:val="22"/>
          <w:szCs w:val="22"/>
          <w:highlight w:val="none"/>
          <w:lang w:val="zh-CN"/>
        </w:rPr>
        <w:t>政府采购供应商廉洁自律承诺书；</w:t>
      </w:r>
    </w:p>
    <w:p w14:paraId="78AD2345">
      <w:pPr>
        <w:snapToGrid w:val="0"/>
        <w:spacing w:line="360" w:lineRule="auto"/>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2.2.7投标产品技术支持材料；</w:t>
      </w:r>
    </w:p>
    <w:p w14:paraId="4039CABA">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3报价文件</w:t>
      </w:r>
    </w:p>
    <w:p w14:paraId="17B60BC8">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2.3.1开标一览表；</w:t>
      </w:r>
    </w:p>
    <w:p w14:paraId="1A758726">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2.3.2投标报价明细表。</w:t>
      </w:r>
    </w:p>
    <w:p w14:paraId="442B845E">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3、我方承诺除采购需求偏离表列出的偏离外，我方响应招标文件的全部要求。</w:t>
      </w:r>
    </w:p>
    <w:p w14:paraId="39600627">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4、如我方中标，我方承诺：</w:t>
      </w:r>
    </w:p>
    <w:p w14:paraId="02E1F511">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4.1在收到中标通知书后，在中标通知书规定的期限内与你方签订合同； </w:t>
      </w:r>
    </w:p>
    <w:p w14:paraId="36A18CD2">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4.2在签订合同时不向你方提出附加条件； </w:t>
      </w:r>
    </w:p>
    <w:p w14:paraId="413C664B">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4.3按照招标文件要求提交履约保证金； </w:t>
      </w:r>
    </w:p>
    <w:p w14:paraId="0321CAAB">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4.4在合同约定的期限内完成合同规定的全部义务。 </w:t>
      </w:r>
    </w:p>
    <w:p w14:paraId="0D26F6B6">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5、我方已详细阅读全部招标文件，包括招标文件“更正（延期）公告”（如果有）、参考资料及有关附件，确认无误。</w:t>
      </w:r>
    </w:p>
    <w:p w14:paraId="6CD5216D">
      <w:pPr>
        <w:spacing w:line="360" w:lineRule="auto"/>
        <w:rPr>
          <w:rFonts w:hint="eastAsia" w:ascii="宋体" w:hAnsi="宋体" w:eastAsia="宋体" w:cs="宋体"/>
          <w:color w:val="auto"/>
          <w:sz w:val="22"/>
          <w:szCs w:val="22"/>
          <w:highlight w:val="none"/>
        </w:rPr>
      </w:pPr>
    </w:p>
    <w:p w14:paraId="1DEC6A3B">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投标人名称（电子签名或公章）：                          </w:t>
      </w:r>
    </w:p>
    <w:p w14:paraId="5E3C2753">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59586C93">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（若联合体参加投标的，联合体牵头单位提供且盖电子签名或公章）</w:t>
      </w:r>
    </w:p>
    <w:p w14:paraId="605DCFDF">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r>
        <w:rPr>
          <w:rFonts w:hint="eastAsia" w:ascii="宋体" w:hAnsi="宋体" w:eastAsia="宋体" w:cs="宋体"/>
          <w:b/>
          <w:color w:val="auto"/>
          <w:kern w:val="0"/>
          <w:sz w:val="32"/>
          <w:szCs w:val="32"/>
          <w:highlight w:val="none"/>
          <w:lang w:val="zh-CN"/>
        </w:rPr>
        <w:t>二、法定代表人（单位负责人、自然人本人）身份证明或授权委托书</w:t>
      </w:r>
    </w:p>
    <w:p w14:paraId="7B87465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D097857">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1EAB00EE">
      <w:pPr>
        <w:pStyle w:val="2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D6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2FA34650">
            <w:pPr>
              <w:pStyle w:val="2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0E51C558">
            <w:pPr>
              <w:pStyle w:val="29"/>
              <w:adjustRightInd w:val="0"/>
              <w:spacing w:line="360" w:lineRule="auto"/>
              <w:rPr>
                <w:rFonts w:hint="eastAsia" w:ascii="宋体" w:hAnsi="宋体" w:eastAsia="宋体" w:cs="宋体"/>
                <w:bCs/>
                <w:color w:val="auto"/>
                <w:sz w:val="24"/>
                <w:highlight w:val="none"/>
              </w:rPr>
            </w:pPr>
          </w:p>
        </w:tc>
      </w:tr>
    </w:tbl>
    <w:p w14:paraId="597032CE">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8BCE8F5">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投标人名称(电子签名或公章)：                              </w:t>
      </w:r>
    </w:p>
    <w:p w14:paraId="40DA0F4B">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lang w:val="zh-CN"/>
        </w:rPr>
        <w:t xml:space="preserve">                   日期：  年  月  日</w:t>
      </w:r>
    </w:p>
    <w:p w14:paraId="5DBDC586">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br w:type="page"/>
      </w: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7831B38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浙江农林大学、浙江乐诚工程咨询有限公司</w:t>
      </w:r>
      <w:r>
        <w:rPr>
          <w:rFonts w:hint="eastAsia" w:ascii="宋体" w:hAnsi="宋体" w:eastAsia="宋体" w:cs="宋体"/>
          <w:color w:val="auto"/>
          <w:kern w:val="0"/>
          <w:sz w:val="24"/>
          <w:highlight w:val="none"/>
          <w:lang w:val="zh-CN"/>
        </w:rPr>
        <w:t>：</w:t>
      </w:r>
    </w:p>
    <w:p w14:paraId="3E79D1D0">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浙江农林大学</w:t>
      </w:r>
      <w:r>
        <w:rPr>
          <w:rFonts w:hint="eastAsia" w:ascii="宋体" w:hAnsi="宋体" w:eastAsia="宋体" w:cs="宋体"/>
          <w:color w:val="auto"/>
          <w:sz w:val="24"/>
          <w:highlight w:val="none"/>
          <w:lang w:eastAsia="zh-CN"/>
        </w:rPr>
        <w:t>元素分析仪</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ZJYC2025103(GK)</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06179B7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73EEE7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6316FA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投标人名称(电子签名或公章)：</w:t>
      </w:r>
    </w:p>
    <w:p w14:paraId="1B078D12">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382316A4">
      <w:pPr>
        <w:snapToGrid w:val="0"/>
        <w:spacing w:line="360" w:lineRule="auto"/>
        <w:rPr>
          <w:rFonts w:hint="eastAsia" w:ascii="宋体" w:hAnsi="宋体" w:eastAsia="宋体" w:cs="宋体"/>
          <w:color w:val="auto"/>
          <w:sz w:val="24"/>
          <w:highlight w:val="none"/>
        </w:rPr>
      </w:pPr>
    </w:p>
    <w:p w14:paraId="1E1BCB29">
      <w:pPr>
        <w:pStyle w:val="2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授权代表身份证件扫描件：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9B6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6277AB76">
            <w:pPr>
              <w:pStyle w:val="2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18C7AD0A">
            <w:pPr>
              <w:pStyle w:val="29"/>
              <w:adjustRightInd w:val="0"/>
              <w:spacing w:line="360" w:lineRule="auto"/>
              <w:rPr>
                <w:rFonts w:hint="eastAsia" w:ascii="宋体" w:hAnsi="宋体" w:eastAsia="宋体" w:cs="宋体"/>
                <w:bCs/>
                <w:color w:val="auto"/>
                <w:sz w:val="24"/>
                <w:highlight w:val="none"/>
              </w:rPr>
            </w:pPr>
          </w:p>
        </w:tc>
      </w:tr>
    </w:tbl>
    <w:p w14:paraId="52D4A831">
      <w:pPr>
        <w:snapToGrid w:val="0"/>
        <w:spacing w:line="360" w:lineRule="auto"/>
        <w:rPr>
          <w:rFonts w:hint="eastAsia" w:ascii="宋体" w:hAnsi="宋体" w:eastAsia="宋体" w:cs="宋体"/>
          <w:color w:val="auto"/>
          <w:sz w:val="24"/>
          <w:highlight w:val="none"/>
        </w:rPr>
      </w:pPr>
    </w:p>
    <w:p w14:paraId="2EF95717">
      <w:pPr>
        <w:snapToGrid w:val="0"/>
        <w:spacing w:line="360" w:lineRule="auto"/>
        <w:rPr>
          <w:rFonts w:hint="eastAsia" w:ascii="宋体" w:hAnsi="宋体" w:eastAsia="宋体" w:cs="宋体"/>
          <w:color w:val="auto"/>
          <w:sz w:val="24"/>
          <w:highlight w:val="none"/>
        </w:rPr>
      </w:pPr>
    </w:p>
    <w:p w14:paraId="45A15DA9">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p>
    <w:p w14:paraId="7F9CA0A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r>
        <w:rPr>
          <w:rFonts w:hint="eastAsia" w:ascii="宋体" w:hAnsi="宋体" w:eastAsia="宋体" w:cs="宋体"/>
          <w:b/>
          <w:color w:val="auto"/>
          <w:kern w:val="0"/>
          <w:sz w:val="32"/>
          <w:szCs w:val="32"/>
          <w:highlight w:val="none"/>
          <w:lang w:val="zh-CN"/>
        </w:rPr>
        <w:t>授权委托书（适用于联合体投标）</w:t>
      </w:r>
    </w:p>
    <w:p w14:paraId="3DA2B54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浙江农林大学、浙江乐诚工程咨询有限公司</w:t>
      </w:r>
      <w:r>
        <w:rPr>
          <w:rFonts w:hint="eastAsia" w:ascii="宋体" w:hAnsi="宋体" w:eastAsia="宋体" w:cs="宋体"/>
          <w:color w:val="auto"/>
          <w:kern w:val="0"/>
          <w:sz w:val="24"/>
          <w:highlight w:val="none"/>
          <w:lang w:val="zh-CN"/>
        </w:rPr>
        <w:t>：</w:t>
      </w:r>
    </w:p>
    <w:p w14:paraId="3C41A6EA">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浙江农林大学</w:t>
      </w:r>
      <w:r>
        <w:rPr>
          <w:rFonts w:hint="eastAsia" w:ascii="宋体" w:hAnsi="宋体" w:eastAsia="宋体" w:cs="宋体"/>
          <w:color w:val="auto"/>
          <w:sz w:val="24"/>
          <w:highlight w:val="none"/>
          <w:lang w:eastAsia="zh-CN"/>
        </w:rPr>
        <w:t>元素分析仪</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ZJYC2025103(GK)</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7AA200F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B9DEF4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FD62EE3">
      <w:pPr>
        <w:jc w:val="center"/>
        <w:rPr>
          <w:rFonts w:hint="eastAsia" w:ascii="宋体" w:hAnsi="宋体" w:eastAsia="宋体" w:cs="宋体"/>
          <w:b/>
          <w:color w:val="auto"/>
          <w:kern w:val="0"/>
          <w:sz w:val="32"/>
          <w:szCs w:val="32"/>
          <w:highlight w:val="none"/>
        </w:rPr>
      </w:pPr>
    </w:p>
    <w:p w14:paraId="560B8681">
      <w:pPr>
        <w:jc w:val="center"/>
        <w:rPr>
          <w:rFonts w:hint="eastAsia" w:ascii="宋体" w:hAnsi="宋体" w:eastAsia="宋体" w:cs="宋体"/>
          <w:b/>
          <w:color w:val="auto"/>
          <w:kern w:val="0"/>
          <w:sz w:val="32"/>
          <w:szCs w:val="32"/>
          <w:highlight w:val="none"/>
        </w:rPr>
      </w:pPr>
    </w:p>
    <w:p w14:paraId="706964A5">
      <w:pPr>
        <w:jc w:val="center"/>
        <w:rPr>
          <w:rFonts w:hint="eastAsia" w:ascii="宋体" w:hAnsi="宋体" w:eastAsia="宋体" w:cs="宋体"/>
          <w:b/>
          <w:color w:val="auto"/>
          <w:kern w:val="0"/>
          <w:sz w:val="32"/>
          <w:szCs w:val="32"/>
          <w:highlight w:val="none"/>
        </w:rPr>
      </w:pPr>
    </w:p>
    <w:p w14:paraId="64CEEC84">
      <w:pPr>
        <w:rPr>
          <w:rFonts w:hint="eastAsia" w:ascii="宋体" w:hAnsi="宋体" w:eastAsia="宋体" w:cs="宋体"/>
          <w:color w:val="auto"/>
          <w:highlight w:val="none"/>
        </w:rPr>
      </w:pPr>
    </w:p>
    <w:p w14:paraId="4302976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联合体成员名称(电子签名或公章)：</w:t>
      </w:r>
    </w:p>
    <w:p w14:paraId="79D6B788">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联合体成员名称(电子签名或公章)：</w:t>
      </w:r>
    </w:p>
    <w:p w14:paraId="5C9EEACA">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98EE0D1">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C185B2C">
      <w:pPr>
        <w:pStyle w:val="2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授权代表身份证件扫描件：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029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0A5132E1">
            <w:pPr>
              <w:pStyle w:val="2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28B8002B">
            <w:pPr>
              <w:pStyle w:val="29"/>
              <w:adjustRightInd w:val="0"/>
              <w:spacing w:line="360" w:lineRule="auto"/>
              <w:rPr>
                <w:rFonts w:hint="eastAsia" w:ascii="宋体" w:hAnsi="宋体" w:eastAsia="宋体" w:cs="宋体"/>
                <w:bCs/>
                <w:color w:val="auto"/>
                <w:sz w:val="24"/>
                <w:highlight w:val="none"/>
              </w:rPr>
            </w:pPr>
          </w:p>
        </w:tc>
      </w:tr>
    </w:tbl>
    <w:p w14:paraId="316BCB1C">
      <w:pPr>
        <w:spacing w:line="360" w:lineRule="auto"/>
        <w:jc w:val="center"/>
        <w:rPr>
          <w:rFonts w:hint="eastAsia" w:ascii="宋体" w:hAnsi="宋体" w:eastAsia="宋体" w:cs="宋体"/>
          <w:b/>
          <w:color w:val="auto"/>
          <w:kern w:val="0"/>
          <w:sz w:val="32"/>
          <w:szCs w:val="32"/>
          <w:highlight w:val="none"/>
        </w:rPr>
      </w:pPr>
    </w:p>
    <w:p w14:paraId="63766AFC">
      <w:pPr>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br w:type="page"/>
      </w:r>
      <w:r>
        <w:rPr>
          <w:rFonts w:hint="eastAsia" w:ascii="宋体" w:hAnsi="宋体" w:eastAsia="宋体" w:cs="宋体"/>
          <w:b/>
          <w:color w:val="auto"/>
          <w:kern w:val="0"/>
          <w:sz w:val="32"/>
          <w:szCs w:val="32"/>
          <w:highlight w:val="none"/>
        </w:rPr>
        <w:t>三、评标标准相应的商务技术资料</w:t>
      </w:r>
    </w:p>
    <w:p w14:paraId="62DECA9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079EAF21">
      <w:pPr>
        <w:jc w:val="center"/>
        <w:rPr>
          <w:rFonts w:hint="eastAsia" w:ascii="宋体" w:hAnsi="宋体" w:eastAsia="宋体" w:cs="宋体"/>
          <w:b/>
          <w:color w:val="auto"/>
          <w:kern w:val="0"/>
          <w:sz w:val="32"/>
          <w:szCs w:val="32"/>
          <w:highlight w:val="none"/>
        </w:rPr>
      </w:pPr>
    </w:p>
    <w:p w14:paraId="4A81459D">
      <w:pPr>
        <w:jc w:val="center"/>
        <w:rPr>
          <w:rFonts w:hint="eastAsia" w:ascii="宋体" w:hAnsi="宋体" w:eastAsia="宋体" w:cs="宋体"/>
          <w:b/>
          <w:color w:val="auto"/>
          <w:kern w:val="0"/>
          <w:sz w:val="32"/>
          <w:szCs w:val="32"/>
          <w:highlight w:val="none"/>
        </w:rPr>
      </w:pPr>
    </w:p>
    <w:p w14:paraId="79230CB8">
      <w:pPr>
        <w:jc w:val="center"/>
        <w:rPr>
          <w:rFonts w:hint="eastAsia" w:ascii="宋体" w:hAnsi="宋体" w:eastAsia="宋体" w:cs="宋体"/>
          <w:b/>
          <w:color w:val="auto"/>
          <w:kern w:val="0"/>
          <w:sz w:val="32"/>
          <w:szCs w:val="32"/>
          <w:highlight w:val="none"/>
        </w:rPr>
      </w:pPr>
    </w:p>
    <w:p w14:paraId="0E400F32">
      <w:pPr>
        <w:jc w:val="center"/>
        <w:rPr>
          <w:rFonts w:hint="eastAsia" w:ascii="宋体" w:hAnsi="宋体" w:eastAsia="宋体" w:cs="宋体"/>
          <w:b/>
          <w:color w:val="auto"/>
          <w:kern w:val="0"/>
          <w:sz w:val="32"/>
          <w:szCs w:val="32"/>
          <w:highlight w:val="none"/>
        </w:rPr>
      </w:pPr>
    </w:p>
    <w:p w14:paraId="67C8C5B8">
      <w:pPr>
        <w:jc w:val="center"/>
        <w:rPr>
          <w:rFonts w:hint="eastAsia" w:ascii="宋体" w:hAnsi="宋体" w:eastAsia="宋体" w:cs="宋体"/>
          <w:b/>
          <w:color w:val="auto"/>
          <w:kern w:val="0"/>
          <w:sz w:val="32"/>
          <w:szCs w:val="32"/>
          <w:highlight w:val="none"/>
        </w:rPr>
      </w:pPr>
    </w:p>
    <w:p w14:paraId="7E109E75">
      <w:pPr>
        <w:jc w:val="center"/>
        <w:rPr>
          <w:rFonts w:hint="eastAsia" w:ascii="宋体" w:hAnsi="宋体" w:eastAsia="宋体" w:cs="宋体"/>
          <w:b/>
          <w:color w:val="auto"/>
          <w:kern w:val="0"/>
          <w:sz w:val="32"/>
          <w:szCs w:val="32"/>
          <w:highlight w:val="none"/>
        </w:rPr>
      </w:pPr>
    </w:p>
    <w:p w14:paraId="126BA557">
      <w:pPr>
        <w:jc w:val="center"/>
        <w:rPr>
          <w:rFonts w:hint="eastAsia" w:ascii="宋体" w:hAnsi="宋体" w:eastAsia="宋体" w:cs="宋体"/>
          <w:b/>
          <w:color w:val="auto"/>
          <w:kern w:val="0"/>
          <w:sz w:val="32"/>
          <w:szCs w:val="32"/>
          <w:highlight w:val="none"/>
        </w:rPr>
      </w:pPr>
    </w:p>
    <w:p w14:paraId="0A483DC7">
      <w:pPr>
        <w:jc w:val="center"/>
        <w:rPr>
          <w:rFonts w:hint="eastAsia" w:ascii="宋体" w:hAnsi="宋体" w:eastAsia="宋体" w:cs="宋体"/>
          <w:b/>
          <w:color w:val="auto"/>
          <w:kern w:val="0"/>
          <w:sz w:val="32"/>
          <w:szCs w:val="32"/>
          <w:highlight w:val="none"/>
        </w:rPr>
      </w:pPr>
    </w:p>
    <w:p w14:paraId="2484C14A">
      <w:pPr>
        <w:jc w:val="center"/>
        <w:rPr>
          <w:rFonts w:hint="eastAsia" w:ascii="宋体" w:hAnsi="宋体" w:eastAsia="宋体" w:cs="宋体"/>
          <w:b/>
          <w:color w:val="auto"/>
          <w:kern w:val="0"/>
          <w:sz w:val="32"/>
          <w:szCs w:val="32"/>
          <w:highlight w:val="none"/>
        </w:rPr>
      </w:pPr>
    </w:p>
    <w:p w14:paraId="2652941A">
      <w:pPr>
        <w:jc w:val="center"/>
        <w:rPr>
          <w:rFonts w:hint="eastAsia" w:ascii="宋体" w:hAnsi="宋体" w:eastAsia="宋体" w:cs="宋体"/>
          <w:b/>
          <w:color w:val="auto"/>
          <w:kern w:val="0"/>
          <w:sz w:val="32"/>
          <w:szCs w:val="32"/>
          <w:highlight w:val="none"/>
        </w:rPr>
      </w:pPr>
    </w:p>
    <w:p w14:paraId="5E797226">
      <w:pPr>
        <w:rPr>
          <w:rFonts w:hint="eastAsia" w:ascii="宋体" w:hAnsi="宋体" w:eastAsia="宋体" w:cs="宋体"/>
          <w:b/>
          <w:color w:val="auto"/>
          <w:kern w:val="0"/>
          <w:sz w:val="32"/>
          <w:szCs w:val="32"/>
          <w:highlight w:val="none"/>
        </w:rPr>
      </w:pPr>
    </w:p>
    <w:p w14:paraId="65FEDA83">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r>
        <w:rPr>
          <w:rFonts w:hint="eastAsia" w:ascii="宋体" w:hAnsi="宋体" w:eastAsia="宋体" w:cs="宋体"/>
          <w:b/>
          <w:color w:val="auto"/>
          <w:kern w:val="0"/>
          <w:sz w:val="32"/>
          <w:szCs w:val="32"/>
          <w:highlight w:val="none"/>
        </w:rPr>
        <w:t>四、采购需求偏离表</w:t>
      </w:r>
    </w:p>
    <w:tbl>
      <w:tblPr>
        <w:tblStyle w:val="17"/>
        <w:tblW w:w="928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6"/>
        <w:gridCol w:w="3219"/>
        <w:gridCol w:w="1822"/>
        <w:gridCol w:w="1735"/>
      </w:tblGrid>
      <w:tr w14:paraId="2B46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051669BB">
            <w:pPr>
              <w:snapToGrid w:val="0"/>
              <w:spacing w:line="400" w:lineRule="exact"/>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序号</w:t>
            </w:r>
          </w:p>
        </w:tc>
        <w:tc>
          <w:tcPr>
            <w:tcW w:w="1656" w:type="dxa"/>
            <w:noWrap w:val="0"/>
            <w:vAlign w:val="center"/>
          </w:tcPr>
          <w:p w14:paraId="260980B8">
            <w:pPr>
              <w:snapToGrid w:val="0"/>
              <w:spacing w:line="400" w:lineRule="exact"/>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采购文件要求</w:t>
            </w:r>
          </w:p>
        </w:tc>
        <w:tc>
          <w:tcPr>
            <w:tcW w:w="3219" w:type="dxa"/>
            <w:noWrap w:val="0"/>
            <w:vAlign w:val="center"/>
          </w:tcPr>
          <w:p w14:paraId="7927ECF1">
            <w:pPr>
              <w:snapToGrid w:val="0"/>
              <w:spacing w:line="400" w:lineRule="exact"/>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投标文件对应规范</w:t>
            </w:r>
          </w:p>
        </w:tc>
        <w:tc>
          <w:tcPr>
            <w:tcW w:w="1822" w:type="dxa"/>
            <w:noWrap w:val="0"/>
            <w:vAlign w:val="center"/>
          </w:tcPr>
          <w:p w14:paraId="2D8CF013">
            <w:pPr>
              <w:snapToGrid w:val="0"/>
              <w:spacing w:line="400" w:lineRule="exact"/>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是否偏离</w:t>
            </w:r>
          </w:p>
          <w:p w14:paraId="50DA7278">
            <w:pPr>
              <w:snapToGrid w:val="0"/>
              <w:spacing w:line="400" w:lineRule="exact"/>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（提供说明）</w:t>
            </w:r>
          </w:p>
        </w:tc>
        <w:tc>
          <w:tcPr>
            <w:tcW w:w="1735" w:type="dxa"/>
            <w:noWrap w:val="0"/>
            <w:vAlign w:val="center"/>
          </w:tcPr>
          <w:p w14:paraId="00A48679">
            <w:pPr>
              <w:snapToGrid w:val="0"/>
              <w:spacing w:line="400" w:lineRule="exact"/>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要求提供的证明材料页码</w:t>
            </w:r>
          </w:p>
        </w:tc>
      </w:tr>
      <w:tr w14:paraId="4E81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3" w:type="dxa"/>
            <w:gridSpan w:val="5"/>
            <w:noWrap w:val="0"/>
            <w:vAlign w:val="center"/>
          </w:tcPr>
          <w:p w14:paraId="01EB28CC">
            <w:pPr>
              <w:snapToGrid w:val="0"/>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商务部分</w:t>
            </w:r>
          </w:p>
        </w:tc>
      </w:tr>
      <w:tr w14:paraId="5E36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6ED831AD">
            <w:pPr>
              <w:snapToGrid w:val="0"/>
              <w:spacing w:line="400" w:lineRule="exact"/>
              <w:jc w:val="center"/>
              <w:rPr>
                <w:rFonts w:hint="eastAsia" w:ascii="宋体" w:hAnsi="宋体" w:eastAsia="宋体" w:cs="宋体"/>
                <w:color w:val="auto"/>
                <w:spacing w:val="-6"/>
                <w:sz w:val="24"/>
                <w:highlight w:val="none"/>
              </w:rPr>
            </w:pPr>
          </w:p>
        </w:tc>
        <w:tc>
          <w:tcPr>
            <w:tcW w:w="1656" w:type="dxa"/>
            <w:noWrap w:val="0"/>
            <w:vAlign w:val="center"/>
          </w:tcPr>
          <w:p w14:paraId="0113E4B2">
            <w:pPr>
              <w:snapToGrid w:val="0"/>
              <w:spacing w:line="400" w:lineRule="exact"/>
              <w:jc w:val="center"/>
              <w:rPr>
                <w:rFonts w:hint="eastAsia" w:ascii="宋体" w:hAnsi="宋体" w:eastAsia="宋体" w:cs="宋体"/>
                <w:color w:val="auto"/>
                <w:spacing w:val="-6"/>
                <w:sz w:val="24"/>
                <w:highlight w:val="none"/>
              </w:rPr>
            </w:pPr>
          </w:p>
        </w:tc>
        <w:tc>
          <w:tcPr>
            <w:tcW w:w="3219" w:type="dxa"/>
            <w:noWrap w:val="0"/>
            <w:vAlign w:val="center"/>
          </w:tcPr>
          <w:p w14:paraId="08B6C464">
            <w:pPr>
              <w:snapToGrid w:val="0"/>
              <w:spacing w:line="400" w:lineRule="exact"/>
              <w:jc w:val="center"/>
              <w:rPr>
                <w:rFonts w:hint="eastAsia" w:ascii="宋体" w:hAnsi="宋体" w:eastAsia="宋体" w:cs="宋体"/>
                <w:color w:val="auto"/>
                <w:spacing w:val="-6"/>
                <w:sz w:val="24"/>
                <w:highlight w:val="none"/>
              </w:rPr>
            </w:pPr>
          </w:p>
        </w:tc>
        <w:tc>
          <w:tcPr>
            <w:tcW w:w="1822" w:type="dxa"/>
            <w:noWrap w:val="0"/>
            <w:vAlign w:val="center"/>
          </w:tcPr>
          <w:p w14:paraId="71A682FA">
            <w:pPr>
              <w:snapToGrid w:val="0"/>
              <w:spacing w:line="400" w:lineRule="exact"/>
              <w:jc w:val="center"/>
              <w:rPr>
                <w:rFonts w:hint="eastAsia" w:ascii="宋体" w:hAnsi="宋体" w:eastAsia="宋体" w:cs="宋体"/>
                <w:color w:val="auto"/>
                <w:spacing w:val="-6"/>
                <w:sz w:val="24"/>
                <w:highlight w:val="none"/>
              </w:rPr>
            </w:pPr>
          </w:p>
        </w:tc>
        <w:tc>
          <w:tcPr>
            <w:tcW w:w="1735" w:type="dxa"/>
            <w:noWrap w:val="0"/>
            <w:vAlign w:val="center"/>
          </w:tcPr>
          <w:p w14:paraId="52CACCD2">
            <w:pPr>
              <w:snapToGrid w:val="0"/>
              <w:spacing w:line="400" w:lineRule="exact"/>
              <w:jc w:val="center"/>
              <w:rPr>
                <w:rFonts w:hint="eastAsia" w:ascii="宋体" w:hAnsi="宋体" w:eastAsia="宋体" w:cs="宋体"/>
                <w:color w:val="auto"/>
                <w:spacing w:val="-6"/>
                <w:sz w:val="24"/>
                <w:highlight w:val="none"/>
              </w:rPr>
            </w:pPr>
          </w:p>
        </w:tc>
      </w:tr>
      <w:tr w14:paraId="46CC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51576292">
            <w:pPr>
              <w:snapToGrid w:val="0"/>
              <w:spacing w:line="400" w:lineRule="exact"/>
              <w:jc w:val="center"/>
              <w:rPr>
                <w:rFonts w:hint="eastAsia" w:ascii="宋体" w:hAnsi="宋体" w:eastAsia="宋体" w:cs="宋体"/>
                <w:color w:val="auto"/>
                <w:spacing w:val="-6"/>
                <w:sz w:val="24"/>
                <w:highlight w:val="none"/>
              </w:rPr>
            </w:pPr>
          </w:p>
        </w:tc>
        <w:tc>
          <w:tcPr>
            <w:tcW w:w="1656" w:type="dxa"/>
            <w:noWrap w:val="0"/>
            <w:vAlign w:val="center"/>
          </w:tcPr>
          <w:p w14:paraId="17311E01">
            <w:pPr>
              <w:snapToGrid w:val="0"/>
              <w:spacing w:line="400" w:lineRule="exact"/>
              <w:jc w:val="center"/>
              <w:rPr>
                <w:rFonts w:hint="eastAsia" w:ascii="宋体" w:hAnsi="宋体" w:eastAsia="宋体" w:cs="宋体"/>
                <w:color w:val="auto"/>
                <w:spacing w:val="-6"/>
                <w:sz w:val="24"/>
                <w:highlight w:val="none"/>
              </w:rPr>
            </w:pPr>
          </w:p>
        </w:tc>
        <w:tc>
          <w:tcPr>
            <w:tcW w:w="3219" w:type="dxa"/>
            <w:noWrap w:val="0"/>
            <w:vAlign w:val="center"/>
          </w:tcPr>
          <w:p w14:paraId="22031100">
            <w:pPr>
              <w:snapToGrid w:val="0"/>
              <w:spacing w:line="400" w:lineRule="exact"/>
              <w:jc w:val="center"/>
              <w:rPr>
                <w:rFonts w:hint="eastAsia" w:ascii="宋体" w:hAnsi="宋体" w:eastAsia="宋体" w:cs="宋体"/>
                <w:color w:val="auto"/>
                <w:spacing w:val="-6"/>
                <w:sz w:val="24"/>
                <w:highlight w:val="none"/>
              </w:rPr>
            </w:pPr>
          </w:p>
        </w:tc>
        <w:tc>
          <w:tcPr>
            <w:tcW w:w="1822" w:type="dxa"/>
            <w:noWrap w:val="0"/>
            <w:vAlign w:val="center"/>
          </w:tcPr>
          <w:p w14:paraId="3EAF1736">
            <w:pPr>
              <w:snapToGrid w:val="0"/>
              <w:spacing w:line="400" w:lineRule="exact"/>
              <w:jc w:val="center"/>
              <w:rPr>
                <w:rFonts w:hint="eastAsia" w:ascii="宋体" w:hAnsi="宋体" w:eastAsia="宋体" w:cs="宋体"/>
                <w:color w:val="auto"/>
                <w:spacing w:val="-6"/>
                <w:sz w:val="24"/>
                <w:highlight w:val="none"/>
              </w:rPr>
            </w:pPr>
          </w:p>
        </w:tc>
        <w:tc>
          <w:tcPr>
            <w:tcW w:w="1735" w:type="dxa"/>
            <w:noWrap w:val="0"/>
            <w:vAlign w:val="center"/>
          </w:tcPr>
          <w:p w14:paraId="0606194E">
            <w:pPr>
              <w:snapToGrid w:val="0"/>
              <w:spacing w:line="400" w:lineRule="exact"/>
              <w:jc w:val="center"/>
              <w:rPr>
                <w:rFonts w:hint="eastAsia" w:ascii="宋体" w:hAnsi="宋体" w:eastAsia="宋体" w:cs="宋体"/>
                <w:color w:val="auto"/>
                <w:spacing w:val="-6"/>
                <w:sz w:val="24"/>
                <w:highlight w:val="none"/>
              </w:rPr>
            </w:pPr>
          </w:p>
        </w:tc>
      </w:tr>
      <w:tr w14:paraId="14F7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56894181">
            <w:pPr>
              <w:snapToGrid w:val="0"/>
              <w:spacing w:line="400" w:lineRule="exact"/>
              <w:jc w:val="center"/>
              <w:rPr>
                <w:rFonts w:hint="eastAsia" w:ascii="宋体" w:hAnsi="宋体" w:eastAsia="宋体" w:cs="宋体"/>
                <w:color w:val="auto"/>
                <w:spacing w:val="-6"/>
                <w:sz w:val="24"/>
                <w:highlight w:val="none"/>
              </w:rPr>
            </w:pPr>
          </w:p>
        </w:tc>
        <w:tc>
          <w:tcPr>
            <w:tcW w:w="1656" w:type="dxa"/>
            <w:noWrap w:val="0"/>
            <w:vAlign w:val="center"/>
          </w:tcPr>
          <w:p w14:paraId="3597FBD5">
            <w:pPr>
              <w:snapToGrid w:val="0"/>
              <w:spacing w:line="400" w:lineRule="exact"/>
              <w:jc w:val="center"/>
              <w:rPr>
                <w:rFonts w:hint="eastAsia" w:ascii="宋体" w:hAnsi="宋体" w:eastAsia="宋体" w:cs="宋体"/>
                <w:color w:val="auto"/>
                <w:spacing w:val="-6"/>
                <w:sz w:val="24"/>
                <w:highlight w:val="none"/>
              </w:rPr>
            </w:pPr>
          </w:p>
        </w:tc>
        <w:tc>
          <w:tcPr>
            <w:tcW w:w="3219" w:type="dxa"/>
            <w:noWrap w:val="0"/>
            <w:vAlign w:val="center"/>
          </w:tcPr>
          <w:p w14:paraId="448DC8B6">
            <w:pPr>
              <w:snapToGrid w:val="0"/>
              <w:spacing w:line="400" w:lineRule="exact"/>
              <w:jc w:val="center"/>
              <w:rPr>
                <w:rFonts w:hint="eastAsia" w:ascii="宋体" w:hAnsi="宋体" w:eastAsia="宋体" w:cs="宋体"/>
                <w:color w:val="auto"/>
                <w:spacing w:val="-6"/>
                <w:sz w:val="24"/>
                <w:highlight w:val="none"/>
              </w:rPr>
            </w:pPr>
          </w:p>
        </w:tc>
        <w:tc>
          <w:tcPr>
            <w:tcW w:w="1822" w:type="dxa"/>
            <w:noWrap w:val="0"/>
            <w:vAlign w:val="center"/>
          </w:tcPr>
          <w:p w14:paraId="3C8C03F8">
            <w:pPr>
              <w:snapToGrid w:val="0"/>
              <w:spacing w:line="400" w:lineRule="exact"/>
              <w:jc w:val="center"/>
              <w:rPr>
                <w:rFonts w:hint="eastAsia" w:ascii="宋体" w:hAnsi="宋体" w:eastAsia="宋体" w:cs="宋体"/>
                <w:color w:val="auto"/>
                <w:spacing w:val="-6"/>
                <w:sz w:val="24"/>
                <w:highlight w:val="none"/>
              </w:rPr>
            </w:pPr>
          </w:p>
        </w:tc>
        <w:tc>
          <w:tcPr>
            <w:tcW w:w="1735" w:type="dxa"/>
            <w:noWrap w:val="0"/>
            <w:vAlign w:val="center"/>
          </w:tcPr>
          <w:p w14:paraId="429B652E">
            <w:pPr>
              <w:snapToGrid w:val="0"/>
              <w:spacing w:line="400" w:lineRule="exact"/>
              <w:jc w:val="center"/>
              <w:rPr>
                <w:rFonts w:hint="eastAsia" w:ascii="宋体" w:hAnsi="宋体" w:eastAsia="宋体" w:cs="宋体"/>
                <w:color w:val="auto"/>
                <w:spacing w:val="-6"/>
                <w:sz w:val="24"/>
                <w:highlight w:val="none"/>
              </w:rPr>
            </w:pPr>
          </w:p>
        </w:tc>
      </w:tr>
      <w:tr w14:paraId="4D3D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33FC2986">
            <w:pPr>
              <w:snapToGrid w:val="0"/>
              <w:spacing w:line="400" w:lineRule="exact"/>
              <w:jc w:val="center"/>
              <w:rPr>
                <w:rFonts w:hint="eastAsia" w:ascii="宋体" w:hAnsi="宋体" w:eastAsia="宋体" w:cs="宋体"/>
                <w:color w:val="auto"/>
                <w:spacing w:val="-6"/>
                <w:sz w:val="24"/>
                <w:highlight w:val="none"/>
              </w:rPr>
            </w:pPr>
          </w:p>
        </w:tc>
        <w:tc>
          <w:tcPr>
            <w:tcW w:w="1656" w:type="dxa"/>
            <w:noWrap w:val="0"/>
            <w:vAlign w:val="center"/>
          </w:tcPr>
          <w:p w14:paraId="1E7CE1D9">
            <w:pPr>
              <w:snapToGrid w:val="0"/>
              <w:spacing w:line="400" w:lineRule="exact"/>
              <w:jc w:val="center"/>
              <w:rPr>
                <w:rFonts w:hint="eastAsia" w:ascii="宋体" w:hAnsi="宋体" w:eastAsia="宋体" w:cs="宋体"/>
                <w:color w:val="auto"/>
                <w:spacing w:val="-6"/>
                <w:sz w:val="24"/>
                <w:highlight w:val="none"/>
              </w:rPr>
            </w:pPr>
          </w:p>
        </w:tc>
        <w:tc>
          <w:tcPr>
            <w:tcW w:w="3219" w:type="dxa"/>
            <w:noWrap w:val="0"/>
            <w:vAlign w:val="center"/>
          </w:tcPr>
          <w:p w14:paraId="3A073A26">
            <w:pPr>
              <w:snapToGrid w:val="0"/>
              <w:spacing w:line="400" w:lineRule="exact"/>
              <w:jc w:val="center"/>
              <w:rPr>
                <w:rFonts w:hint="eastAsia" w:ascii="宋体" w:hAnsi="宋体" w:eastAsia="宋体" w:cs="宋体"/>
                <w:color w:val="auto"/>
                <w:spacing w:val="-6"/>
                <w:sz w:val="24"/>
                <w:highlight w:val="none"/>
              </w:rPr>
            </w:pPr>
          </w:p>
        </w:tc>
        <w:tc>
          <w:tcPr>
            <w:tcW w:w="1822" w:type="dxa"/>
            <w:noWrap w:val="0"/>
            <w:vAlign w:val="center"/>
          </w:tcPr>
          <w:p w14:paraId="036A8119">
            <w:pPr>
              <w:snapToGrid w:val="0"/>
              <w:spacing w:line="400" w:lineRule="exact"/>
              <w:jc w:val="center"/>
              <w:rPr>
                <w:rFonts w:hint="eastAsia" w:ascii="宋体" w:hAnsi="宋体" w:eastAsia="宋体" w:cs="宋体"/>
                <w:color w:val="auto"/>
                <w:spacing w:val="-6"/>
                <w:sz w:val="24"/>
                <w:highlight w:val="none"/>
              </w:rPr>
            </w:pPr>
          </w:p>
        </w:tc>
        <w:tc>
          <w:tcPr>
            <w:tcW w:w="1735" w:type="dxa"/>
            <w:noWrap w:val="0"/>
            <w:vAlign w:val="center"/>
          </w:tcPr>
          <w:p w14:paraId="33E5587F">
            <w:pPr>
              <w:snapToGrid w:val="0"/>
              <w:spacing w:line="400" w:lineRule="exact"/>
              <w:jc w:val="center"/>
              <w:rPr>
                <w:rFonts w:hint="eastAsia" w:ascii="宋体" w:hAnsi="宋体" w:eastAsia="宋体" w:cs="宋体"/>
                <w:color w:val="auto"/>
                <w:spacing w:val="-6"/>
                <w:sz w:val="24"/>
                <w:highlight w:val="none"/>
              </w:rPr>
            </w:pPr>
          </w:p>
        </w:tc>
      </w:tr>
      <w:tr w14:paraId="2024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51037A98">
            <w:pPr>
              <w:snapToGrid w:val="0"/>
              <w:spacing w:line="400" w:lineRule="exact"/>
              <w:rPr>
                <w:rFonts w:hint="eastAsia" w:ascii="宋体" w:hAnsi="宋体" w:eastAsia="宋体" w:cs="宋体"/>
                <w:color w:val="auto"/>
                <w:spacing w:val="-6"/>
                <w:sz w:val="24"/>
                <w:highlight w:val="none"/>
              </w:rPr>
            </w:pPr>
          </w:p>
        </w:tc>
        <w:tc>
          <w:tcPr>
            <w:tcW w:w="1656" w:type="dxa"/>
            <w:noWrap w:val="0"/>
            <w:vAlign w:val="center"/>
          </w:tcPr>
          <w:p w14:paraId="29939944">
            <w:pPr>
              <w:snapToGrid w:val="0"/>
              <w:spacing w:line="400" w:lineRule="exact"/>
              <w:rPr>
                <w:rFonts w:hint="eastAsia" w:ascii="宋体" w:hAnsi="宋体" w:eastAsia="宋体" w:cs="宋体"/>
                <w:color w:val="auto"/>
                <w:spacing w:val="-6"/>
                <w:sz w:val="24"/>
                <w:highlight w:val="none"/>
              </w:rPr>
            </w:pPr>
          </w:p>
        </w:tc>
        <w:tc>
          <w:tcPr>
            <w:tcW w:w="3219" w:type="dxa"/>
            <w:noWrap w:val="0"/>
            <w:vAlign w:val="center"/>
          </w:tcPr>
          <w:p w14:paraId="0E7FB139">
            <w:pPr>
              <w:snapToGrid w:val="0"/>
              <w:spacing w:line="400" w:lineRule="exact"/>
              <w:jc w:val="center"/>
              <w:rPr>
                <w:rFonts w:hint="eastAsia" w:ascii="宋体" w:hAnsi="宋体" w:eastAsia="宋体" w:cs="宋体"/>
                <w:color w:val="auto"/>
                <w:spacing w:val="-6"/>
                <w:sz w:val="24"/>
                <w:highlight w:val="none"/>
              </w:rPr>
            </w:pPr>
          </w:p>
        </w:tc>
        <w:tc>
          <w:tcPr>
            <w:tcW w:w="1822" w:type="dxa"/>
            <w:noWrap w:val="0"/>
            <w:vAlign w:val="center"/>
          </w:tcPr>
          <w:p w14:paraId="0C066557">
            <w:pPr>
              <w:snapToGrid w:val="0"/>
              <w:spacing w:line="400" w:lineRule="exact"/>
              <w:jc w:val="center"/>
              <w:rPr>
                <w:rFonts w:hint="eastAsia" w:ascii="宋体" w:hAnsi="宋体" w:eastAsia="宋体" w:cs="宋体"/>
                <w:color w:val="auto"/>
                <w:spacing w:val="-6"/>
                <w:sz w:val="24"/>
                <w:highlight w:val="none"/>
              </w:rPr>
            </w:pPr>
          </w:p>
        </w:tc>
        <w:tc>
          <w:tcPr>
            <w:tcW w:w="1735" w:type="dxa"/>
            <w:noWrap w:val="0"/>
            <w:vAlign w:val="center"/>
          </w:tcPr>
          <w:p w14:paraId="725E932F">
            <w:pPr>
              <w:snapToGrid w:val="0"/>
              <w:spacing w:line="400" w:lineRule="exact"/>
              <w:jc w:val="center"/>
              <w:rPr>
                <w:rFonts w:hint="eastAsia" w:ascii="宋体" w:hAnsi="宋体" w:eastAsia="宋体" w:cs="宋体"/>
                <w:color w:val="auto"/>
                <w:spacing w:val="-6"/>
                <w:sz w:val="24"/>
                <w:highlight w:val="none"/>
              </w:rPr>
            </w:pPr>
          </w:p>
        </w:tc>
      </w:tr>
      <w:tr w14:paraId="61FA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3" w:type="dxa"/>
            <w:gridSpan w:val="5"/>
            <w:noWrap w:val="0"/>
            <w:vAlign w:val="center"/>
          </w:tcPr>
          <w:p w14:paraId="017C7E6A">
            <w:pPr>
              <w:snapToGrid w:val="0"/>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技术部分</w:t>
            </w:r>
          </w:p>
        </w:tc>
      </w:tr>
      <w:tr w14:paraId="5C94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4E77DA01">
            <w:pPr>
              <w:snapToGrid w:val="0"/>
              <w:spacing w:line="400" w:lineRule="exact"/>
              <w:rPr>
                <w:rFonts w:hint="eastAsia" w:ascii="宋体" w:hAnsi="宋体" w:eastAsia="宋体" w:cs="宋体"/>
                <w:color w:val="auto"/>
                <w:spacing w:val="-6"/>
                <w:sz w:val="24"/>
                <w:highlight w:val="none"/>
              </w:rPr>
            </w:pPr>
          </w:p>
        </w:tc>
        <w:tc>
          <w:tcPr>
            <w:tcW w:w="1656" w:type="dxa"/>
            <w:noWrap w:val="0"/>
            <w:vAlign w:val="center"/>
          </w:tcPr>
          <w:p w14:paraId="02A8D1F3">
            <w:pPr>
              <w:snapToGrid w:val="0"/>
              <w:spacing w:line="400" w:lineRule="exact"/>
              <w:rPr>
                <w:rFonts w:hint="eastAsia" w:ascii="宋体" w:hAnsi="宋体" w:eastAsia="宋体" w:cs="宋体"/>
                <w:color w:val="auto"/>
                <w:spacing w:val="-6"/>
                <w:sz w:val="24"/>
                <w:highlight w:val="none"/>
              </w:rPr>
            </w:pPr>
          </w:p>
        </w:tc>
        <w:tc>
          <w:tcPr>
            <w:tcW w:w="3219" w:type="dxa"/>
            <w:noWrap w:val="0"/>
            <w:vAlign w:val="center"/>
          </w:tcPr>
          <w:p w14:paraId="225D15C5">
            <w:pPr>
              <w:snapToGrid w:val="0"/>
              <w:spacing w:line="400" w:lineRule="exact"/>
              <w:jc w:val="center"/>
              <w:rPr>
                <w:rFonts w:hint="eastAsia" w:ascii="宋体" w:hAnsi="宋体" w:eastAsia="宋体" w:cs="宋体"/>
                <w:color w:val="auto"/>
                <w:spacing w:val="-6"/>
                <w:sz w:val="24"/>
                <w:highlight w:val="none"/>
              </w:rPr>
            </w:pPr>
          </w:p>
        </w:tc>
        <w:tc>
          <w:tcPr>
            <w:tcW w:w="1822" w:type="dxa"/>
            <w:noWrap w:val="0"/>
            <w:vAlign w:val="center"/>
          </w:tcPr>
          <w:p w14:paraId="49F5A16E">
            <w:pPr>
              <w:snapToGrid w:val="0"/>
              <w:spacing w:line="400" w:lineRule="exact"/>
              <w:jc w:val="center"/>
              <w:rPr>
                <w:rFonts w:hint="eastAsia" w:ascii="宋体" w:hAnsi="宋体" w:eastAsia="宋体" w:cs="宋体"/>
                <w:color w:val="auto"/>
                <w:spacing w:val="-6"/>
                <w:sz w:val="24"/>
                <w:highlight w:val="none"/>
              </w:rPr>
            </w:pPr>
          </w:p>
        </w:tc>
        <w:tc>
          <w:tcPr>
            <w:tcW w:w="1735" w:type="dxa"/>
            <w:noWrap w:val="0"/>
            <w:vAlign w:val="center"/>
          </w:tcPr>
          <w:p w14:paraId="22AEA396">
            <w:pPr>
              <w:snapToGrid w:val="0"/>
              <w:spacing w:line="400" w:lineRule="exact"/>
              <w:jc w:val="center"/>
              <w:rPr>
                <w:rFonts w:hint="eastAsia" w:ascii="宋体" w:hAnsi="宋体" w:eastAsia="宋体" w:cs="宋体"/>
                <w:color w:val="auto"/>
                <w:spacing w:val="-6"/>
                <w:sz w:val="24"/>
                <w:highlight w:val="none"/>
              </w:rPr>
            </w:pPr>
          </w:p>
        </w:tc>
      </w:tr>
      <w:tr w14:paraId="40C97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54EC026E">
            <w:pPr>
              <w:snapToGrid w:val="0"/>
              <w:spacing w:line="400" w:lineRule="exact"/>
              <w:jc w:val="center"/>
              <w:rPr>
                <w:rFonts w:hint="eastAsia" w:ascii="宋体" w:hAnsi="宋体" w:eastAsia="宋体" w:cs="宋体"/>
                <w:color w:val="auto"/>
                <w:spacing w:val="-6"/>
                <w:sz w:val="24"/>
                <w:highlight w:val="none"/>
              </w:rPr>
            </w:pPr>
          </w:p>
        </w:tc>
        <w:tc>
          <w:tcPr>
            <w:tcW w:w="1656" w:type="dxa"/>
            <w:noWrap w:val="0"/>
            <w:vAlign w:val="center"/>
          </w:tcPr>
          <w:p w14:paraId="3393096D">
            <w:pPr>
              <w:snapToGrid w:val="0"/>
              <w:spacing w:line="400" w:lineRule="exact"/>
              <w:jc w:val="center"/>
              <w:rPr>
                <w:rFonts w:hint="eastAsia" w:ascii="宋体" w:hAnsi="宋体" w:eastAsia="宋体" w:cs="宋体"/>
                <w:color w:val="auto"/>
                <w:spacing w:val="-6"/>
                <w:sz w:val="24"/>
                <w:highlight w:val="none"/>
              </w:rPr>
            </w:pPr>
          </w:p>
        </w:tc>
        <w:tc>
          <w:tcPr>
            <w:tcW w:w="3219" w:type="dxa"/>
            <w:noWrap w:val="0"/>
            <w:vAlign w:val="center"/>
          </w:tcPr>
          <w:p w14:paraId="4B906C26">
            <w:pPr>
              <w:snapToGrid w:val="0"/>
              <w:spacing w:line="400" w:lineRule="exact"/>
              <w:jc w:val="center"/>
              <w:rPr>
                <w:rFonts w:hint="eastAsia" w:ascii="宋体" w:hAnsi="宋体" w:eastAsia="宋体" w:cs="宋体"/>
                <w:color w:val="auto"/>
                <w:spacing w:val="-6"/>
                <w:sz w:val="24"/>
                <w:highlight w:val="none"/>
              </w:rPr>
            </w:pPr>
          </w:p>
        </w:tc>
        <w:tc>
          <w:tcPr>
            <w:tcW w:w="1822" w:type="dxa"/>
            <w:noWrap w:val="0"/>
            <w:vAlign w:val="center"/>
          </w:tcPr>
          <w:p w14:paraId="5DF65FCD">
            <w:pPr>
              <w:snapToGrid w:val="0"/>
              <w:spacing w:line="400" w:lineRule="exact"/>
              <w:jc w:val="center"/>
              <w:rPr>
                <w:rFonts w:hint="eastAsia" w:ascii="宋体" w:hAnsi="宋体" w:eastAsia="宋体" w:cs="宋体"/>
                <w:color w:val="auto"/>
                <w:spacing w:val="-6"/>
                <w:sz w:val="24"/>
                <w:highlight w:val="none"/>
              </w:rPr>
            </w:pPr>
          </w:p>
        </w:tc>
        <w:tc>
          <w:tcPr>
            <w:tcW w:w="1735" w:type="dxa"/>
            <w:noWrap w:val="0"/>
            <w:vAlign w:val="center"/>
          </w:tcPr>
          <w:p w14:paraId="343A6427">
            <w:pPr>
              <w:snapToGrid w:val="0"/>
              <w:spacing w:line="400" w:lineRule="exact"/>
              <w:jc w:val="center"/>
              <w:rPr>
                <w:rFonts w:hint="eastAsia" w:ascii="宋体" w:hAnsi="宋体" w:eastAsia="宋体" w:cs="宋体"/>
                <w:color w:val="auto"/>
                <w:spacing w:val="-6"/>
                <w:sz w:val="24"/>
                <w:highlight w:val="none"/>
              </w:rPr>
            </w:pPr>
          </w:p>
        </w:tc>
      </w:tr>
      <w:tr w14:paraId="6285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57179FC9">
            <w:pPr>
              <w:snapToGrid w:val="0"/>
              <w:spacing w:line="400" w:lineRule="exact"/>
              <w:jc w:val="center"/>
              <w:rPr>
                <w:rFonts w:hint="eastAsia" w:ascii="宋体" w:hAnsi="宋体" w:eastAsia="宋体" w:cs="宋体"/>
                <w:color w:val="auto"/>
                <w:spacing w:val="-6"/>
                <w:sz w:val="24"/>
                <w:highlight w:val="none"/>
              </w:rPr>
            </w:pPr>
          </w:p>
        </w:tc>
        <w:tc>
          <w:tcPr>
            <w:tcW w:w="1656" w:type="dxa"/>
            <w:noWrap w:val="0"/>
            <w:vAlign w:val="center"/>
          </w:tcPr>
          <w:p w14:paraId="1B2FF08B">
            <w:pPr>
              <w:snapToGrid w:val="0"/>
              <w:spacing w:line="400" w:lineRule="exact"/>
              <w:jc w:val="center"/>
              <w:rPr>
                <w:rFonts w:hint="eastAsia" w:ascii="宋体" w:hAnsi="宋体" w:eastAsia="宋体" w:cs="宋体"/>
                <w:color w:val="auto"/>
                <w:spacing w:val="-6"/>
                <w:sz w:val="24"/>
                <w:highlight w:val="none"/>
              </w:rPr>
            </w:pPr>
          </w:p>
        </w:tc>
        <w:tc>
          <w:tcPr>
            <w:tcW w:w="3219" w:type="dxa"/>
            <w:noWrap w:val="0"/>
            <w:vAlign w:val="center"/>
          </w:tcPr>
          <w:p w14:paraId="5CEA0BB4">
            <w:pPr>
              <w:snapToGrid w:val="0"/>
              <w:spacing w:line="400" w:lineRule="exact"/>
              <w:jc w:val="center"/>
              <w:rPr>
                <w:rFonts w:hint="eastAsia" w:ascii="宋体" w:hAnsi="宋体" w:eastAsia="宋体" w:cs="宋体"/>
                <w:color w:val="auto"/>
                <w:spacing w:val="-6"/>
                <w:sz w:val="24"/>
                <w:highlight w:val="none"/>
              </w:rPr>
            </w:pPr>
          </w:p>
        </w:tc>
        <w:tc>
          <w:tcPr>
            <w:tcW w:w="1822" w:type="dxa"/>
            <w:noWrap w:val="0"/>
            <w:vAlign w:val="center"/>
          </w:tcPr>
          <w:p w14:paraId="7993BC1A">
            <w:pPr>
              <w:snapToGrid w:val="0"/>
              <w:spacing w:line="400" w:lineRule="exact"/>
              <w:jc w:val="center"/>
              <w:rPr>
                <w:rFonts w:hint="eastAsia" w:ascii="宋体" w:hAnsi="宋体" w:eastAsia="宋体" w:cs="宋体"/>
                <w:color w:val="auto"/>
                <w:spacing w:val="-6"/>
                <w:sz w:val="24"/>
                <w:highlight w:val="none"/>
              </w:rPr>
            </w:pPr>
          </w:p>
        </w:tc>
        <w:tc>
          <w:tcPr>
            <w:tcW w:w="1735" w:type="dxa"/>
            <w:noWrap w:val="0"/>
            <w:vAlign w:val="center"/>
          </w:tcPr>
          <w:p w14:paraId="75D403A3">
            <w:pPr>
              <w:snapToGrid w:val="0"/>
              <w:spacing w:line="400" w:lineRule="exact"/>
              <w:jc w:val="center"/>
              <w:rPr>
                <w:rFonts w:hint="eastAsia" w:ascii="宋体" w:hAnsi="宋体" w:eastAsia="宋体" w:cs="宋体"/>
                <w:color w:val="auto"/>
                <w:spacing w:val="-6"/>
                <w:sz w:val="24"/>
                <w:highlight w:val="none"/>
              </w:rPr>
            </w:pPr>
          </w:p>
        </w:tc>
      </w:tr>
      <w:tr w14:paraId="6A0A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5F4A8AE6">
            <w:pPr>
              <w:snapToGrid w:val="0"/>
              <w:spacing w:line="400" w:lineRule="exact"/>
              <w:jc w:val="center"/>
              <w:rPr>
                <w:rFonts w:hint="eastAsia" w:ascii="宋体" w:hAnsi="宋体" w:eastAsia="宋体" w:cs="宋体"/>
                <w:color w:val="auto"/>
                <w:spacing w:val="-6"/>
                <w:sz w:val="24"/>
                <w:highlight w:val="none"/>
              </w:rPr>
            </w:pPr>
          </w:p>
        </w:tc>
        <w:tc>
          <w:tcPr>
            <w:tcW w:w="1656" w:type="dxa"/>
            <w:noWrap w:val="0"/>
            <w:vAlign w:val="center"/>
          </w:tcPr>
          <w:p w14:paraId="0FDD7345">
            <w:pPr>
              <w:snapToGrid w:val="0"/>
              <w:spacing w:line="400" w:lineRule="exact"/>
              <w:jc w:val="center"/>
              <w:rPr>
                <w:rFonts w:hint="eastAsia" w:ascii="宋体" w:hAnsi="宋体" w:eastAsia="宋体" w:cs="宋体"/>
                <w:color w:val="auto"/>
                <w:spacing w:val="-6"/>
                <w:sz w:val="24"/>
                <w:highlight w:val="none"/>
              </w:rPr>
            </w:pPr>
          </w:p>
        </w:tc>
        <w:tc>
          <w:tcPr>
            <w:tcW w:w="3219" w:type="dxa"/>
            <w:noWrap w:val="0"/>
            <w:vAlign w:val="center"/>
          </w:tcPr>
          <w:p w14:paraId="645340C1">
            <w:pPr>
              <w:snapToGrid w:val="0"/>
              <w:spacing w:line="400" w:lineRule="exact"/>
              <w:jc w:val="center"/>
              <w:rPr>
                <w:rFonts w:hint="eastAsia" w:ascii="宋体" w:hAnsi="宋体" w:eastAsia="宋体" w:cs="宋体"/>
                <w:color w:val="auto"/>
                <w:spacing w:val="-6"/>
                <w:sz w:val="24"/>
                <w:highlight w:val="none"/>
              </w:rPr>
            </w:pPr>
          </w:p>
        </w:tc>
        <w:tc>
          <w:tcPr>
            <w:tcW w:w="1822" w:type="dxa"/>
            <w:noWrap w:val="0"/>
            <w:vAlign w:val="center"/>
          </w:tcPr>
          <w:p w14:paraId="7F829B05">
            <w:pPr>
              <w:snapToGrid w:val="0"/>
              <w:spacing w:line="400" w:lineRule="exact"/>
              <w:jc w:val="center"/>
              <w:rPr>
                <w:rFonts w:hint="eastAsia" w:ascii="宋体" w:hAnsi="宋体" w:eastAsia="宋体" w:cs="宋体"/>
                <w:color w:val="auto"/>
                <w:spacing w:val="-6"/>
                <w:sz w:val="24"/>
                <w:highlight w:val="none"/>
              </w:rPr>
            </w:pPr>
          </w:p>
        </w:tc>
        <w:tc>
          <w:tcPr>
            <w:tcW w:w="1735" w:type="dxa"/>
            <w:noWrap w:val="0"/>
            <w:vAlign w:val="center"/>
          </w:tcPr>
          <w:p w14:paraId="201363DB">
            <w:pPr>
              <w:snapToGrid w:val="0"/>
              <w:spacing w:line="400" w:lineRule="exact"/>
              <w:jc w:val="center"/>
              <w:rPr>
                <w:rFonts w:hint="eastAsia" w:ascii="宋体" w:hAnsi="宋体" w:eastAsia="宋体" w:cs="宋体"/>
                <w:color w:val="auto"/>
                <w:spacing w:val="-6"/>
                <w:sz w:val="24"/>
                <w:highlight w:val="none"/>
              </w:rPr>
            </w:pPr>
          </w:p>
        </w:tc>
      </w:tr>
      <w:tr w14:paraId="4D11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13315E14">
            <w:pPr>
              <w:snapToGrid w:val="0"/>
              <w:spacing w:line="400" w:lineRule="exact"/>
              <w:jc w:val="center"/>
              <w:rPr>
                <w:rFonts w:hint="eastAsia" w:ascii="宋体" w:hAnsi="宋体" w:eastAsia="宋体" w:cs="宋体"/>
                <w:color w:val="auto"/>
                <w:spacing w:val="-6"/>
                <w:sz w:val="24"/>
                <w:highlight w:val="none"/>
              </w:rPr>
            </w:pPr>
          </w:p>
        </w:tc>
        <w:tc>
          <w:tcPr>
            <w:tcW w:w="1656" w:type="dxa"/>
            <w:noWrap w:val="0"/>
            <w:vAlign w:val="center"/>
          </w:tcPr>
          <w:p w14:paraId="68858EC3">
            <w:pPr>
              <w:snapToGrid w:val="0"/>
              <w:spacing w:line="400" w:lineRule="exact"/>
              <w:jc w:val="center"/>
              <w:rPr>
                <w:rFonts w:hint="eastAsia" w:ascii="宋体" w:hAnsi="宋体" w:eastAsia="宋体" w:cs="宋体"/>
                <w:color w:val="auto"/>
                <w:spacing w:val="-6"/>
                <w:sz w:val="24"/>
                <w:highlight w:val="none"/>
              </w:rPr>
            </w:pPr>
          </w:p>
        </w:tc>
        <w:tc>
          <w:tcPr>
            <w:tcW w:w="3219" w:type="dxa"/>
            <w:noWrap w:val="0"/>
            <w:vAlign w:val="center"/>
          </w:tcPr>
          <w:p w14:paraId="702D4106">
            <w:pPr>
              <w:snapToGrid w:val="0"/>
              <w:spacing w:line="400" w:lineRule="exact"/>
              <w:jc w:val="center"/>
              <w:rPr>
                <w:rFonts w:hint="eastAsia" w:ascii="宋体" w:hAnsi="宋体" w:eastAsia="宋体" w:cs="宋体"/>
                <w:color w:val="auto"/>
                <w:spacing w:val="-6"/>
                <w:sz w:val="24"/>
                <w:highlight w:val="none"/>
              </w:rPr>
            </w:pPr>
          </w:p>
        </w:tc>
        <w:tc>
          <w:tcPr>
            <w:tcW w:w="1822" w:type="dxa"/>
            <w:noWrap w:val="0"/>
            <w:vAlign w:val="center"/>
          </w:tcPr>
          <w:p w14:paraId="104D8BDF">
            <w:pPr>
              <w:snapToGrid w:val="0"/>
              <w:spacing w:line="400" w:lineRule="exact"/>
              <w:jc w:val="center"/>
              <w:rPr>
                <w:rFonts w:hint="eastAsia" w:ascii="宋体" w:hAnsi="宋体" w:eastAsia="宋体" w:cs="宋体"/>
                <w:color w:val="auto"/>
                <w:spacing w:val="-6"/>
                <w:sz w:val="24"/>
                <w:highlight w:val="none"/>
              </w:rPr>
            </w:pPr>
          </w:p>
        </w:tc>
        <w:tc>
          <w:tcPr>
            <w:tcW w:w="1735" w:type="dxa"/>
            <w:noWrap w:val="0"/>
            <w:vAlign w:val="center"/>
          </w:tcPr>
          <w:p w14:paraId="5ECB648F">
            <w:pPr>
              <w:snapToGrid w:val="0"/>
              <w:spacing w:line="400" w:lineRule="exact"/>
              <w:jc w:val="center"/>
              <w:rPr>
                <w:rFonts w:hint="eastAsia" w:ascii="宋体" w:hAnsi="宋体" w:eastAsia="宋体" w:cs="宋体"/>
                <w:color w:val="auto"/>
                <w:spacing w:val="-6"/>
                <w:sz w:val="24"/>
                <w:highlight w:val="none"/>
              </w:rPr>
            </w:pPr>
          </w:p>
        </w:tc>
      </w:tr>
    </w:tbl>
    <w:p w14:paraId="1F2C8030">
      <w:pPr>
        <w:jc w:val="left"/>
        <w:rPr>
          <w:rFonts w:hint="eastAsia" w:ascii="宋体" w:hAnsi="宋体" w:eastAsia="宋体" w:cs="宋体"/>
          <w:color w:val="auto"/>
          <w:kern w:val="0"/>
          <w:sz w:val="24"/>
          <w:highlight w:val="none"/>
        </w:rPr>
      </w:pPr>
    </w:p>
    <w:p w14:paraId="1C799C6F">
      <w:pPr>
        <w:snapToGrid w:val="0"/>
        <w:spacing w:line="400" w:lineRule="exact"/>
        <w:jc w:val="left"/>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注意：1.逐项按照采购文件要求填写响应规格；如不填写或留空，则视为完全响应采购文件的要求</w:t>
      </w:r>
      <w:r>
        <w:rPr>
          <w:rFonts w:hint="eastAsia" w:ascii="宋体" w:hAnsi="宋体" w:eastAsia="宋体" w:cs="宋体"/>
          <w:b/>
          <w:color w:val="auto"/>
          <w:spacing w:val="-6"/>
          <w:sz w:val="24"/>
          <w:highlight w:val="none"/>
        </w:rPr>
        <w:t>，自行承担投标响应风险</w:t>
      </w:r>
      <w:r>
        <w:rPr>
          <w:rFonts w:hint="eastAsia" w:ascii="宋体" w:hAnsi="宋体" w:eastAsia="宋体" w:cs="宋体"/>
          <w:b/>
          <w:bCs/>
          <w:color w:val="auto"/>
          <w:spacing w:val="-6"/>
          <w:sz w:val="24"/>
          <w:szCs w:val="22"/>
          <w:highlight w:val="none"/>
        </w:rPr>
        <w:t>。</w:t>
      </w:r>
    </w:p>
    <w:p w14:paraId="6CDD3C61">
      <w:pPr>
        <w:snapToGrid w:val="0"/>
        <w:spacing w:line="400" w:lineRule="exact"/>
        <w:ind w:firstLine="687" w:firstLineChars="300"/>
        <w:jc w:val="left"/>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2.偏离说明是指对采购文件要求存在不同之处的解释说明。偏离系指：正偏离（高于采购需求）、负偏离（低于采购需求或未按采购需求提供相应证明材料的）、无偏离（满足采购需求）；</w:t>
      </w:r>
    </w:p>
    <w:p w14:paraId="29BF35BF">
      <w:pPr>
        <w:snapToGrid w:val="0"/>
        <w:spacing w:line="400" w:lineRule="exact"/>
        <w:ind w:firstLine="687" w:firstLineChars="300"/>
        <w:jc w:val="left"/>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3.建议投标人准备采购需求中要求的证明材料（如证书、检测报告等）条目索引，由于不清晰或者模糊造成无法判断证明材料是否符合要求的风险由投标人自行承担。</w:t>
      </w:r>
    </w:p>
    <w:p w14:paraId="748D993F">
      <w:pPr>
        <w:snapToGrid w:val="0"/>
        <w:spacing w:line="400" w:lineRule="exact"/>
        <w:ind w:firstLine="687" w:firstLineChars="300"/>
        <w:jc w:val="left"/>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4.投标人保证：除采购需求偏离表列出的偏离外，投标人响应招标文件的全部要求。</w:t>
      </w:r>
    </w:p>
    <w:p w14:paraId="1A2F9CC9">
      <w:pPr>
        <w:tabs>
          <w:tab w:val="left" w:pos="4860"/>
        </w:tabs>
        <w:spacing w:line="360" w:lineRule="auto"/>
        <w:ind w:right="1560"/>
        <w:jc w:val="left"/>
        <w:rPr>
          <w:rFonts w:hint="eastAsia" w:ascii="宋体" w:hAnsi="宋体" w:eastAsia="宋体" w:cs="宋体"/>
          <w:color w:val="auto"/>
          <w:kern w:val="0"/>
          <w:sz w:val="24"/>
          <w:highlight w:val="none"/>
          <w:lang w:val="zh-CN"/>
        </w:rPr>
      </w:pPr>
    </w:p>
    <w:p w14:paraId="4C542B5B">
      <w:pPr>
        <w:tabs>
          <w:tab w:val="left" w:pos="4860"/>
        </w:tabs>
        <w:spacing w:line="360" w:lineRule="auto"/>
        <w:ind w:right="156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投标人名称（电子签名或公章）</w:t>
      </w:r>
      <w:r>
        <w:rPr>
          <w:rFonts w:hint="eastAsia" w:ascii="宋体" w:hAnsi="宋体" w:eastAsia="宋体" w:cs="宋体"/>
          <w:color w:val="auto"/>
          <w:sz w:val="24"/>
          <w:highlight w:val="none"/>
        </w:rPr>
        <w:t>：</w:t>
      </w:r>
    </w:p>
    <w:p w14:paraId="74C539DD">
      <w:pPr>
        <w:tabs>
          <w:tab w:val="left" w:pos="4860"/>
        </w:tabs>
        <w:spacing w:line="360" w:lineRule="auto"/>
        <w:ind w:right="156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2D7FCDAC">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（若联合体参加投标的，联合体牵头单位提供且盖电子签名或公章）</w:t>
      </w:r>
    </w:p>
    <w:p w14:paraId="601D1F44">
      <w:pPr>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五、投标标的清单</w:t>
      </w:r>
    </w:p>
    <w:tbl>
      <w:tblPr>
        <w:tblStyle w:val="17"/>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434"/>
        <w:gridCol w:w="1048"/>
        <w:gridCol w:w="840"/>
        <w:gridCol w:w="720"/>
        <w:gridCol w:w="1365"/>
        <w:gridCol w:w="915"/>
        <w:gridCol w:w="1005"/>
        <w:gridCol w:w="1215"/>
      </w:tblGrid>
      <w:tr w14:paraId="559C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7A9FFA6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6278B75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货物名称</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E42A44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制造商</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1E04A53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产地</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716527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7E0139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149F757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0DB1C9B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单位</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2E8E4684">
            <w:pPr>
              <w:spacing w:line="360" w:lineRule="auto"/>
              <w:jc w:val="center"/>
              <w:rPr>
                <w:rFonts w:hint="eastAsia" w:ascii="宋体" w:hAnsi="宋体" w:eastAsia="宋体" w:cs="宋体"/>
                <w:b/>
                <w:color w:val="auto"/>
                <w:sz w:val="24"/>
                <w:highlight w:val="none"/>
              </w:rPr>
            </w:pPr>
          </w:p>
          <w:p w14:paraId="701CB9E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2C321548">
            <w:pPr>
              <w:spacing w:line="360" w:lineRule="auto"/>
              <w:jc w:val="center"/>
              <w:rPr>
                <w:rFonts w:hint="eastAsia" w:ascii="宋体" w:hAnsi="宋体" w:eastAsia="宋体" w:cs="宋体"/>
                <w:b/>
                <w:color w:val="auto"/>
                <w:sz w:val="24"/>
                <w:highlight w:val="none"/>
              </w:rPr>
            </w:pPr>
          </w:p>
        </w:tc>
      </w:tr>
      <w:tr w14:paraId="2A7C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23442FC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34" w:type="dxa"/>
            <w:tcBorders>
              <w:top w:val="single" w:color="auto" w:sz="4" w:space="0"/>
              <w:left w:val="single" w:color="auto" w:sz="4" w:space="0"/>
              <w:bottom w:val="single" w:color="auto" w:sz="4" w:space="0"/>
              <w:right w:val="single" w:color="auto" w:sz="4" w:space="0"/>
            </w:tcBorders>
            <w:noWrap w:val="0"/>
            <w:vAlign w:val="top"/>
          </w:tcPr>
          <w:p w14:paraId="418071B4">
            <w:pPr>
              <w:rPr>
                <w:rFonts w:hint="eastAsia" w:ascii="宋体" w:hAnsi="宋体" w:eastAsia="宋体" w:cs="宋体"/>
                <w:color w:val="auto"/>
                <w:sz w:val="24"/>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top"/>
          </w:tcPr>
          <w:p w14:paraId="6DA40260">
            <w:pPr>
              <w:rPr>
                <w:rFonts w:hint="eastAsia" w:ascii="宋体" w:hAnsi="宋体" w:eastAsia="宋体" w:cs="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5E4B95CB">
            <w:pPr>
              <w:rPr>
                <w:rFonts w:hint="eastAsia" w:ascii="宋体" w:hAnsi="宋体" w:eastAsia="宋体" w:cs="宋体"/>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8F952FC">
            <w:pPr>
              <w:rPr>
                <w:rFonts w:hint="eastAsia" w:ascii="宋体" w:hAnsi="宋体" w:eastAsia="宋体" w:cs="宋体"/>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563AB06A">
            <w:pPr>
              <w:rPr>
                <w:rFonts w:hint="eastAsia" w:ascii="宋体" w:hAnsi="宋体" w:eastAsia="宋体" w:cs="宋体"/>
                <w:color w:val="auto"/>
                <w:sz w:val="24"/>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top"/>
          </w:tcPr>
          <w:p w14:paraId="506DA601">
            <w:pPr>
              <w:rPr>
                <w:rFonts w:hint="eastAsia" w:ascii="宋体" w:hAnsi="宋体" w:eastAsia="宋体" w:cs="宋体"/>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4E8937E0">
            <w:pPr>
              <w:rPr>
                <w:rFonts w:hint="eastAsia" w:ascii="宋体" w:hAnsi="宋体" w:eastAsia="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578D349">
            <w:pPr>
              <w:spacing w:line="360" w:lineRule="auto"/>
              <w:jc w:val="center"/>
              <w:rPr>
                <w:rFonts w:hint="eastAsia" w:ascii="宋体" w:hAnsi="宋体" w:eastAsia="宋体" w:cs="宋体"/>
                <w:color w:val="auto"/>
                <w:sz w:val="24"/>
                <w:highlight w:val="none"/>
              </w:rPr>
            </w:pPr>
          </w:p>
        </w:tc>
      </w:tr>
      <w:tr w14:paraId="04D4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0BABBA3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34" w:type="dxa"/>
            <w:tcBorders>
              <w:top w:val="single" w:color="auto" w:sz="4" w:space="0"/>
              <w:left w:val="single" w:color="auto" w:sz="4" w:space="0"/>
              <w:bottom w:val="single" w:color="auto" w:sz="4" w:space="0"/>
              <w:right w:val="single" w:color="auto" w:sz="4" w:space="0"/>
            </w:tcBorders>
            <w:noWrap w:val="0"/>
            <w:vAlign w:val="top"/>
          </w:tcPr>
          <w:p w14:paraId="5D17A133">
            <w:pPr>
              <w:rPr>
                <w:rFonts w:hint="eastAsia" w:ascii="宋体" w:hAnsi="宋体" w:eastAsia="宋体" w:cs="宋体"/>
                <w:color w:val="auto"/>
                <w:sz w:val="24"/>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top"/>
          </w:tcPr>
          <w:p w14:paraId="573022C5">
            <w:pPr>
              <w:rPr>
                <w:rFonts w:hint="eastAsia" w:ascii="宋体" w:hAnsi="宋体" w:eastAsia="宋体" w:cs="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56D44C25">
            <w:pPr>
              <w:rPr>
                <w:rFonts w:hint="eastAsia" w:ascii="宋体" w:hAnsi="宋体" w:eastAsia="宋体" w:cs="宋体"/>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62A4CD8">
            <w:pPr>
              <w:rPr>
                <w:rFonts w:hint="eastAsia" w:ascii="宋体" w:hAnsi="宋体" w:eastAsia="宋体" w:cs="宋体"/>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3C2FE8F8">
            <w:pPr>
              <w:rPr>
                <w:rFonts w:hint="eastAsia" w:ascii="宋体" w:hAnsi="宋体" w:eastAsia="宋体" w:cs="宋体"/>
                <w:color w:val="auto"/>
                <w:sz w:val="24"/>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top"/>
          </w:tcPr>
          <w:p w14:paraId="7A9B21C9">
            <w:pPr>
              <w:rPr>
                <w:rFonts w:hint="eastAsia" w:ascii="宋体" w:hAnsi="宋体" w:eastAsia="宋体" w:cs="宋体"/>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798B184C">
            <w:pPr>
              <w:rPr>
                <w:rFonts w:hint="eastAsia" w:ascii="宋体" w:hAnsi="宋体" w:eastAsia="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61D9561C">
            <w:pPr>
              <w:spacing w:line="360" w:lineRule="auto"/>
              <w:jc w:val="center"/>
              <w:rPr>
                <w:rFonts w:hint="eastAsia" w:ascii="宋体" w:hAnsi="宋体" w:eastAsia="宋体" w:cs="宋体"/>
                <w:color w:val="auto"/>
                <w:sz w:val="24"/>
                <w:highlight w:val="none"/>
              </w:rPr>
            </w:pPr>
          </w:p>
        </w:tc>
      </w:tr>
      <w:tr w14:paraId="6393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79A422F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34" w:type="dxa"/>
            <w:tcBorders>
              <w:top w:val="single" w:color="auto" w:sz="4" w:space="0"/>
              <w:left w:val="single" w:color="auto" w:sz="4" w:space="0"/>
              <w:bottom w:val="single" w:color="auto" w:sz="4" w:space="0"/>
              <w:right w:val="single" w:color="auto" w:sz="4" w:space="0"/>
            </w:tcBorders>
            <w:noWrap w:val="0"/>
            <w:vAlign w:val="top"/>
          </w:tcPr>
          <w:p w14:paraId="0DD8AD44">
            <w:pPr>
              <w:rPr>
                <w:rFonts w:hint="eastAsia" w:ascii="宋体" w:hAnsi="宋体" w:eastAsia="宋体" w:cs="宋体"/>
                <w:color w:val="auto"/>
                <w:sz w:val="24"/>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top"/>
          </w:tcPr>
          <w:p w14:paraId="6456B330">
            <w:pPr>
              <w:rPr>
                <w:rFonts w:hint="eastAsia" w:ascii="宋体" w:hAnsi="宋体" w:eastAsia="宋体" w:cs="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7051CA29">
            <w:pPr>
              <w:rPr>
                <w:rFonts w:hint="eastAsia" w:ascii="宋体" w:hAnsi="宋体" w:eastAsia="宋体" w:cs="宋体"/>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B1BBA48">
            <w:pPr>
              <w:rPr>
                <w:rFonts w:hint="eastAsia" w:ascii="宋体" w:hAnsi="宋体" w:eastAsia="宋体" w:cs="宋体"/>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2B36A880">
            <w:pPr>
              <w:rPr>
                <w:rFonts w:hint="eastAsia" w:ascii="宋体" w:hAnsi="宋体" w:eastAsia="宋体" w:cs="宋体"/>
                <w:color w:val="auto"/>
                <w:sz w:val="24"/>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top"/>
          </w:tcPr>
          <w:p w14:paraId="7C0E9692">
            <w:pPr>
              <w:rPr>
                <w:rFonts w:hint="eastAsia" w:ascii="宋体" w:hAnsi="宋体" w:eastAsia="宋体" w:cs="宋体"/>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33650EE7">
            <w:pPr>
              <w:rPr>
                <w:rFonts w:hint="eastAsia" w:ascii="宋体" w:hAnsi="宋体" w:eastAsia="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7517A5E">
            <w:pPr>
              <w:spacing w:line="360" w:lineRule="auto"/>
              <w:jc w:val="center"/>
              <w:rPr>
                <w:rFonts w:hint="eastAsia" w:ascii="宋体" w:hAnsi="宋体" w:eastAsia="宋体" w:cs="宋体"/>
                <w:color w:val="auto"/>
                <w:sz w:val="24"/>
                <w:highlight w:val="none"/>
              </w:rPr>
            </w:pPr>
          </w:p>
        </w:tc>
      </w:tr>
    </w:tbl>
    <w:p w14:paraId="7F39155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1ED5749">
      <w:pPr>
        <w:snapToGrid w:val="0"/>
        <w:spacing w:line="400" w:lineRule="exact"/>
        <w:jc w:val="center"/>
        <w:rPr>
          <w:rFonts w:hint="eastAsia" w:ascii="宋体" w:hAnsi="宋体" w:eastAsia="宋体" w:cs="宋体"/>
          <w:b/>
          <w:color w:val="auto"/>
          <w:kern w:val="0"/>
          <w:sz w:val="32"/>
          <w:szCs w:val="32"/>
          <w:highlight w:val="none"/>
        </w:rPr>
      </w:pPr>
    </w:p>
    <w:p w14:paraId="2BFDECBF">
      <w:pPr>
        <w:tabs>
          <w:tab w:val="left" w:pos="4860"/>
        </w:tabs>
        <w:spacing w:line="360" w:lineRule="auto"/>
        <w:ind w:right="156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投标人名称（电子签名或公章）</w:t>
      </w:r>
      <w:r>
        <w:rPr>
          <w:rFonts w:hint="eastAsia" w:ascii="宋体" w:hAnsi="宋体" w:eastAsia="宋体" w:cs="宋体"/>
          <w:color w:val="auto"/>
          <w:sz w:val="24"/>
          <w:highlight w:val="none"/>
        </w:rPr>
        <w:t>：</w:t>
      </w:r>
    </w:p>
    <w:p w14:paraId="2DDDF91D">
      <w:pPr>
        <w:tabs>
          <w:tab w:val="left" w:pos="4860"/>
        </w:tabs>
        <w:spacing w:line="360" w:lineRule="auto"/>
        <w:ind w:right="156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3170FEEB">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（若联合体参加投标的，联合体牵头单位提供且盖电子签名或公章）</w:t>
      </w:r>
    </w:p>
    <w:p w14:paraId="63660C81">
      <w:pPr>
        <w:snapToGrid w:val="0"/>
        <w:spacing w:line="400" w:lineRule="exact"/>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r>
        <w:rPr>
          <w:rFonts w:hint="eastAsia" w:ascii="宋体" w:hAnsi="宋体" w:eastAsia="宋体" w:cs="宋体"/>
          <w:b/>
          <w:color w:val="auto"/>
          <w:kern w:val="0"/>
          <w:sz w:val="32"/>
          <w:szCs w:val="32"/>
          <w:highlight w:val="none"/>
        </w:rPr>
        <w:t>六、</w:t>
      </w:r>
      <w:r>
        <w:rPr>
          <w:rFonts w:hint="eastAsia" w:ascii="宋体" w:hAnsi="宋体" w:eastAsia="宋体" w:cs="宋体"/>
          <w:b/>
          <w:color w:val="auto"/>
          <w:kern w:val="0"/>
          <w:sz w:val="32"/>
          <w:szCs w:val="32"/>
          <w:highlight w:val="none"/>
          <w:lang w:val="zh-CN"/>
        </w:rPr>
        <w:t>政府采购供应商廉洁自律承诺书</w:t>
      </w:r>
    </w:p>
    <w:p w14:paraId="3478BF2C">
      <w:pPr>
        <w:snapToGrid w:val="0"/>
        <w:spacing w:line="360" w:lineRule="auto"/>
        <w:rPr>
          <w:rFonts w:hint="eastAsia" w:ascii="宋体" w:hAnsi="宋体" w:eastAsia="宋体" w:cs="宋体"/>
          <w:color w:val="auto"/>
          <w:sz w:val="24"/>
          <w:highlight w:val="none"/>
        </w:rPr>
      </w:pPr>
    </w:p>
    <w:p w14:paraId="558D0BD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浙江农林大学、浙江乐诚工程咨询有限公司</w:t>
      </w:r>
      <w:r>
        <w:rPr>
          <w:rFonts w:hint="eastAsia" w:ascii="宋体" w:hAnsi="宋体" w:eastAsia="宋体" w:cs="宋体"/>
          <w:color w:val="auto"/>
          <w:kern w:val="0"/>
          <w:sz w:val="24"/>
          <w:highlight w:val="none"/>
          <w:lang w:val="zh-CN"/>
        </w:rPr>
        <w:t>：</w:t>
      </w:r>
    </w:p>
    <w:p w14:paraId="12F6F46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2806D0F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4F4149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641CAFA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1564859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195359C0">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69289710">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67AE6622">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2B0BFE65">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559A57B2">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w:t>
      </w:r>
      <w:r>
        <w:rPr>
          <w:rFonts w:hint="eastAsia" w:ascii="宋体" w:hAnsi="宋体" w:eastAsia="宋体" w:cs="宋体"/>
          <w:color w:val="auto"/>
          <w:kern w:val="0"/>
          <w:sz w:val="24"/>
          <w:highlight w:val="none"/>
          <w:lang w:val="en-US" w:eastAsia="zh-CN"/>
        </w:rPr>
        <w:t>省财政厅</w:t>
      </w:r>
      <w:r>
        <w:rPr>
          <w:rFonts w:hint="eastAsia" w:ascii="宋体" w:hAnsi="宋体" w:eastAsia="宋体" w:cs="宋体"/>
          <w:color w:val="auto"/>
          <w:kern w:val="0"/>
          <w:sz w:val="24"/>
          <w:highlight w:val="none"/>
          <w:lang w:val="zh-CN"/>
        </w:rPr>
        <w:t>。由此引起的相应损失均由我单位承担。</w:t>
      </w:r>
    </w:p>
    <w:p w14:paraId="077D29E2">
      <w:pPr>
        <w:autoSpaceDE w:val="0"/>
        <w:autoSpaceDN w:val="0"/>
        <w:spacing w:line="360" w:lineRule="auto"/>
        <w:jc w:val="left"/>
        <w:rPr>
          <w:rFonts w:hint="eastAsia" w:ascii="宋体" w:hAnsi="宋体" w:eastAsia="宋体" w:cs="宋体"/>
          <w:color w:val="auto"/>
          <w:kern w:val="0"/>
          <w:sz w:val="24"/>
          <w:highlight w:val="none"/>
          <w:lang w:val="zh-CN"/>
        </w:rPr>
      </w:pPr>
    </w:p>
    <w:p w14:paraId="3B8D052D">
      <w:pPr>
        <w:tabs>
          <w:tab w:val="left" w:pos="4860"/>
        </w:tabs>
        <w:spacing w:line="360" w:lineRule="auto"/>
        <w:ind w:right="156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投标人名称（电子签名或公章）</w:t>
      </w:r>
      <w:r>
        <w:rPr>
          <w:rFonts w:hint="eastAsia" w:ascii="宋体" w:hAnsi="宋体" w:eastAsia="宋体" w:cs="宋体"/>
          <w:color w:val="auto"/>
          <w:sz w:val="24"/>
          <w:highlight w:val="none"/>
        </w:rPr>
        <w:t>：</w:t>
      </w:r>
    </w:p>
    <w:p w14:paraId="0FADB410">
      <w:pPr>
        <w:tabs>
          <w:tab w:val="left" w:pos="4860"/>
        </w:tabs>
        <w:spacing w:line="360" w:lineRule="auto"/>
        <w:ind w:right="156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4AFD93F">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（若联合体参加投标的，联合体牵头单位提供且盖电子签名或公章）</w:t>
      </w:r>
    </w:p>
    <w:p w14:paraId="13CB87E4">
      <w:pPr>
        <w:pStyle w:val="2"/>
        <w:ind w:left="852"/>
        <w:jc w:val="center"/>
        <w:rPr>
          <w:rFonts w:hint="eastAsia" w:ascii="宋体" w:hAnsi="宋体" w:eastAsia="宋体" w:cs="宋体"/>
          <w:color w:val="auto"/>
          <w:highlight w:val="none"/>
        </w:rPr>
      </w:pPr>
      <w:r>
        <w:rPr>
          <w:rFonts w:hint="eastAsia" w:ascii="宋体" w:hAnsi="宋体" w:eastAsia="宋体" w:cs="宋体"/>
          <w:color w:val="auto"/>
          <w:sz w:val="24"/>
          <w:highlight w:val="none"/>
        </w:rPr>
        <w:br w:type="page"/>
      </w:r>
      <w:bookmarkStart w:id="485" w:name="_Toc7747"/>
      <w:bookmarkStart w:id="486" w:name="_Toc27555"/>
      <w:r>
        <w:rPr>
          <w:rFonts w:hint="eastAsia" w:ascii="宋体" w:hAnsi="宋体" w:eastAsia="宋体" w:cs="宋体"/>
          <w:color w:val="auto"/>
          <w:highlight w:val="none"/>
        </w:rPr>
        <w:t>七、投标产品技术支持材料</w:t>
      </w:r>
      <w:bookmarkEnd w:id="485"/>
      <w:bookmarkEnd w:id="486"/>
    </w:p>
    <w:p w14:paraId="0076F9E8">
      <w:pPr>
        <w:spacing w:line="400" w:lineRule="exact"/>
        <w:rPr>
          <w:rFonts w:hint="eastAsia" w:ascii="宋体" w:hAnsi="宋体" w:eastAsia="宋体" w:cs="宋体"/>
          <w:b/>
          <w:color w:val="auto"/>
          <w:spacing w:val="-6"/>
          <w:sz w:val="24"/>
          <w:highlight w:val="none"/>
        </w:rPr>
      </w:pPr>
    </w:p>
    <w:p w14:paraId="21A9E34B">
      <w:pPr>
        <w:spacing w:line="400" w:lineRule="exact"/>
        <w:rPr>
          <w:rFonts w:hint="eastAsia" w:ascii="宋体" w:hAnsi="宋体" w:eastAsia="宋体" w:cs="宋体"/>
          <w:b/>
          <w:color w:val="auto"/>
          <w:spacing w:val="-6"/>
          <w:sz w:val="24"/>
          <w:highlight w:val="none"/>
        </w:rPr>
      </w:pPr>
    </w:p>
    <w:p w14:paraId="2E7D96C4">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说明：</w:t>
      </w:r>
    </w:p>
    <w:p w14:paraId="2ABB3BBD">
      <w:pPr>
        <w:spacing w:line="400" w:lineRule="exact"/>
        <w:ind w:firstLine="458" w:firstLineChars="200"/>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1.投标人提供技术支持资料以证明其对技术指标的应答；</w:t>
      </w:r>
    </w:p>
    <w:p w14:paraId="1B07DCCF">
      <w:pPr>
        <w:spacing w:line="400" w:lineRule="exact"/>
        <w:ind w:firstLine="458" w:firstLineChars="200"/>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2.技术支持资料应是制造商公开发布的印刷资料（彩页、Datasheet）或由有关政府部门或检测机构合法出具的文件或报告；</w:t>
      </w:r>
    </w:p>
    <w:p w14:paraId="31CD1EB7">
      <w:pPr>
        <w:spacing w:line="400" w:lineRule="exact"/>
        <w:ind w:firstLine="458" w:firstLineChars="200"/>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3.不符合上述要求的资料，可被视为是无效的技术支持资料；</w:t>
      </w:r>
    </w:p>
    <w:p w14:paraId="66428EFD">
      <w:pPr>
        <w:spacing w:line="400" w:lineRule="exact"/>
        <w:ind w:firstLine="458" w:firstLineChars="200"/>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4.如上述资料之间存在不一致的，以有关政府部门或检测机构合法出具的文件或报告为准；</w:t>
      </w:r>
    </w:p>
    <w:p w14:paraId="55A6469F">
      <w:pPr>
        <w:spacing w:line="400" w:lineRule="exact"/>
        <w:ind w:firstLine="458" w:firstLineChars="200"/>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5.若对技术指标的应答无技术支持资料证明，评审小组可不予承认，并可认为该应答不符合招标文件要求，</w:t>
      </w:r>
      <w:r>
        <w:rPr>
          <w:rFonts w:hint="eastAsia" w:ascii="宋体" w:hAnsi="宋体" w:eastAsia="宋体" w:cs="宋体"/>
          <w:b/>
          <w:bCs/>
          <w:color w:val="auto"/>
          <w:spacing w:val="-6"/>
          <w:sz w:val="24"/>
          <w:highlight w:val="none"/>
        </w:rPr>
        <w:t>将作出不利于投标人的技术评审，其后果将由投标人自行承担</w:t>
      </w:r>
      <w:r>
        <w:rPr>
          <w:rFonts w:hint="eastAsia" w:ascii="宋体" w:hAnsi="宋体" w:eastAsia="宋体" w:cs="宋体"/>
          <w:b/>
          <w:color w:val="auto"/>
          <w:spacing w:val="-6"/>
          <w:sz w:val="24"/>
          <w:highlight w:val="none"/>
        </w:rPr>
        <w:t>；</w:t>
      </w:r>
    </w:p>
    <w:p w14:paraId="206801A8">
      <w:pPr>
        <w:spacing w:line="400" w:lineRule="exact"/>
        <w:ind w:firstLine="458" w:firstLineChars="200"/>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6.投标人可提供同等于或优于招标文件要求的产品和服务。</w:t>
      </w:r>
    </w:p>
    <w:p w14:paraId="4E5CD44E">
      <w:pPr>
        <w:spacing w:line="400" w:lineRule="exact"/>
        <w:ind w:firstLine="482" w:firstLineChars="200"/>
        <w:rPr>
          <w:rFonts w:hint="eastAsia" w:ascii="宋体" w:hAnsi="宋体" w:eastAsia="宋体" w:cs="宋体"/>
          <w:b/>
          <w:color w:val="auto"/>
          <w:spacing w:val="-6"/>
          <w:sz w:val="24"/>
          <w:highlight w:val="none"/>
        </w:rPr>
      </w:pPr>
      <w:r>
        <w:rPr>
          <w:rFonts w:hint="eastAsia" w:ascii="宋体" w:hAnsi="宋体" w:eastAsia="宋体" w:cs="宋体"/>
          <w:b/>
          <w:color w:val="auto"/>
          <w:sz w:val="24"/>
          <w:highlight w:val="none"/>
        </w:rPr>
        <w:t>7.</w:t>
      </w:r>
      <w:r>
        <w:rPr>
          <w:rFonts w:hint="eastAsia" w:ascii="宋体" w:hAnsi="宋体" w:eastAsia="宋体" w:cs="宋体"/>
          <w:b/>
          <w:color w:val="auto"/>
          <w:spacing w:val="-6"/>
          <w:sz w:val="24"/>
          <w:highlight w:val="none"/>
        </w:rPr>
        <w:t>投标人不得提供虚假材料（包括伪造、变造证书、合同等）谋取中标、成交。投标人投标（响应）产品规格型号与官网公布的产品规格型号一致，但技术参数不一致的，应当在投标（响应）文件中阐述技术参数不一致的原因，以及通过何种技术路线来实现投标（响应）产品技术参数。</w:t>
      </w:r>
    </w:p>
    <w:p w14:paraId="271B49A2">
      <w:pPr>
        <w:pStyle w:val="2"/>
        <w:ind w:left="852"/>
        <w:jc w:val="center"/>
        <w:rPr>
          <w:rFonts w:hint="eastAsia" w:ascii="宋体" w:hAnsi="宋体" w:eastAsia="宋体" w:cs="宋体"/>
          <w:b w:val="0"/>
          <w:color w:val="auto"/>
          <w:szCs w:val="36"/>
          <w:highlight w:val="none"/>
        </w:rPr>
      </w:pPr>
      <w:r>
        <w:rPr>
          <w:rFonts w:hint="eastAsia" w:ascii="宋体" w:hAnsi="宋体" w:eastAsia="宋体" w:cs="宋体"/>
          <w:color w:val="auto"/>
          <w:sz w:val="24"/>
          <w:highlight w:val="none"/>
        </w:rPr>
        <w:br w:type="page"/>
      </w:r>
      <w:bookmarkStart w:id="487" w:name="_Toc10287"/>
      <w:r>
        <w:rPr>
          <w:rFonts w:hint="eastAsia" w:ascii="宋体" w:hAnsi="宋体" w:eastAsia="宋体" w:cs="宋体"/>
          <w:color w:val="auto"/>
          <w:highlight w:val="none"/>
        </w:rPr>
        <w:t>报价文件部分</w:t>
      </w:r>
      <w:bookmarkEnd w:id="487"/>
    </w:p>
    <w:p w14:paraId="4E973D1A">
      <w:pPr>
        <w:spacing w:line="360" w:lineRule="auto"/>
        <w:jc w:val="center"/>
        <w:rPr>
          <w:rFonts w:hint="eastAsia" w:ascii="宋体" w:hAnsi="宋体" w:eastAsia="宋体" w:cs="宋体"/>
          <w:b/>
          <w:color w:val="auto"/>
          <w:kern w:val="0"/>
          <w:sz w:val="36"/>
          <w:szCs w:val="36"/>
          <w:highlight w:val="none"/>
        </w:rPr>
      </w:pPr>
      <w:bookmarkStart w:id="488" w:name="_Toc9713"/>
      <w:bookmarkStart w:id="489" w:name="_Toc24830"/>
      <w:bookmarkStart w:id="490" w:name="_Toc14052"/>
      <w:r>
        <w:rPr>
          <w:rFonts w:hint="eastAsia" w:ascii="宋体" w:hAnsi="宋体" w:eastAsia="宋体" w:cs="宋体"/>
          <w:b/>
          <w:color w:val="auto"/>
          <w:kern w:val="0"/>
          <w:sz w:val="36"/>
          <w:szCs w:val="36"/>
          <w:highlight w:val="none"/>
        </w:rPr>
        <w:t>目录</w:t>
      </w:r>
      <w:bookmarkEnd w:id="488"/>
      <w:bookmarkEnd w:id="489"/>
      <w:bookmarkEnd w:id="490"/>
    </w:p>
    <w:p w14:paraId="799C0DA8">
      <w:pPr>
        <w:spacing w:line="360" w:lineRule="auto"/>
        <w:rPr>
          <w:rFonts w:hint="eastAsia" w:ascii="宋体" w:hAnsi="宋体" w:eastAsia="宋体" w:cs="宋体"/>
          <w:b/>
          <w:color w:val="auto"/>
          <w:kern w:val="0"/>
          <w:sz w:val="36"/>
          <w:szCs w:val="36"/>
          <w:highlight w:val="none"/>
        </w:rPr>
      </w:pPr>
    </w:p>
    <w:p w14:paraId="1B271405">
      <w:pPr>
        <w:numPr>
          <w:ilvl w:val="0"/>
          <w:numId w:val="1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开标一览表………………………………………………………………（页码）</w:t>
      </w:r>
    </w:p>
    <w:p w14:paraId="7DEC4BC5">
      <w:pPr>
        <w:numPr>
          <w:ilvl w:val="0"/>
          <w:numId w:val="1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投标报价明细表…………………………………………………………（页码）</w:t>
      </w:r>
    </w:p>
    <w:p w14:paraId="2DC6A7EC">
      <w:pPr>
        <w:snapToGrid w:val="0"/>
        <w:spacing w:line="360" w:lineRule="auto"/>
        <w:ind w:right="480"/>
        <w:rPr>
          <w:rFonts w:hint="eastAsia" w:ascii="宋体" w:hAnsi="宋体" w:eastAsia="宋体" w:cs="宋体"/>
          <w:b/>
          <w:color w:val="auto"/>
          <w:kern w:val="0"/>
          <w:sz w:val="32"/>
          <w:szCs w:val="32"/>
          <w:highlight w:val="none"/>
        </w:rPr>
      </w:pPr>
    </w:p>
    <w:p w14:paraId="68A49D1B">
      <w:pPr>
        <w:snapToGrid w:val="0"/>
        <w:spacing w:line="360" w:lineRule="auto"/>
        <w:ind w:right="480"/>
        <w:rPr>
          <w:rFonts w:hint="eastAsia" w:ascii="宋体" w:hAnsi="宋体" w:eastAsia="宋体" w:cs="宋体"/>
          <w:b/>
          <w:color w:val="auto"/>
          <w:kern w:val="0"/>
          <w:sz w:val="32"/>
          <w:szCs w:val="32"/>
          <w:highlight w:val="none"/>
        </w:rPr>
      </w:pPr>
    </w:p>
    <w:p w14:paraId="32DDBAA6">
      <w:pPr>
        <w:pStyle w:val="3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440" w:right="1083" w:bottom="1440" w:left="1083" w:header="851" w:footer="992" w:gutter="0"/>
          <w:pgBorders>
            <w:top w:val="none" w:sz="0" w:space="0"/>
            <w:left w:val="none" w:sz="0" w:space="0"/>
            <w:bottom w:val="none" w:sz="0" w:space="0"/>
            <w:right w:val="none" w:sz="0" w:space="0"/>
          </w:pgBorders>
          <w:cols w:space="720" w:num="1"/>
          <w:titlePg/>
          <w:docGrid w:linePitch="312" w:charSpace="0"/>
        </w:sectPr>
      </w:pPr>
    </w:p>
    <w:p w14:paraId="496831DB">
      <w:pPr>
        <w:pStyle w:val="3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bookmarkStart w:id="491" w:name="_Toc24274"/>
      <w:bookmarkStart w:id="492" w:name="_Toc23337"/>
      <w:bookmarkStart w:id="493" w:name="_Toc17889"/>
      <w:bookmarkStart w:id="494" w:name="_Toc1058"/>
      <w:r>
        <w:rPr>
          <w:rFonts w:hint="eastAsia" w:ascii="宋体" w:hAnsi="宋体" w:eastAsia="宋体" w:cs="宋体"/>
          <w:color w:val="auto"/>
          <w:kern w:val="2"/>
          <w:sz w:val="32"/>
          <w:szCs w:val="32"/>
          <w:highlight w:val="none"/>
        </w:rPr>
        <w:t>一、开标一览表</w:t>
      </w:r>
      <w:bookmarkEnd w:id="491"/>
      <w:bookmarkEnd w:id="492"/>
      <w:bookmarkEnd w:id="493"/>
      <w:bookmarkEnd w:id="494"/>
    </w:p>
    <w:p w14:paraId="2CE0207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浙江农林大学、浙江乐诚工程咨询有限公司</w:t>
      </w:r>
      <w:r>
        <w:rPr>
          <w:rFonts w:hint="eastAsia" w:ascii="宋体" w:hAnsi="宋体" w:eastAsia="宋体" w:cs="宋体"/>
          <w:color w:val="auto"/>
          <w:kern w:val="0"/>
          <w:sz w:val="24"/>
          <w:highlight w:val="none"/>
          <w:lang w:val="zh-CN"/>
        </w:rPr>
        <w:t>：</w:t>
      </w:r>
    </w:p>
    <w:p w14:paraId="03CB11FA">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按你方招标文件要求，我们，本投标文件签字方，谨此向你方发出要约如下：如你方接受本投标，我方承诺按照如下开标一览表的价格完成</w:t>
      </w:r>
      <w:r>
        <w:rPr>
          <w:rFonts w:hint="eastAsia" w:ascii="宋体" w:hAnsi="宋体" w:eastAsia="宋体" w:cs="宋体"/>
          <w:color w:val="auto"/>
          <w:sz w:val="24"/>
          <w:highlight w:val="none"/>
        </w:rPr>
        <w:t>浙江农林大学</w:t>
      </w:r>
      <w:r>
        <w:rPr>
          <w:rFonts w:hint="eastAsia" w:ascii="宋体" w:hAnsi="宋体" w:eastAsia="宋体" w:cs="宋体"/>
          <w:color w:val="auto"/>
          <w:sz w:val="24"/>
          <w:highlight w:val="none"/>
          <w:lang w:eastAsia="zh-CN"/>
        </w:rPr>
        <w:t>元素分析仪</w:t>
      </w:r>
      <w:r>
        <w:rPr>
          <w:rFonts w:hint="eastAsia" w:ascii="宋体" w:hAnsi="宋体" w:eastAsia="宋体" w:cs="宋体"/>
          <w:color w:val="auto"/>
          <w:kern w:val="0"/>
          <w:sz w:val="24"/>
          <w:highlight w:val="none"/>
          <w:lang w:val="zh-CN"/>
        </w:rPr>
        <w:t>【项目编号：</w:t>
      </w:r>
      <w:r>
        <w:rPr>
          <w:rFonts w:hint="eastAsia" w:ascii="宋体" w:hAnsi="宋体" w:eastAsia="宋体" w:cs="宋体"/>
          <w:color w:val="auto"/>
          <w:sz w:val="24"/>
          <w:highlight w:val="none"/>
          <w:lang w:eastAsia="zh-CN"/>
        </w:rPr>
        <w:t>ZJYC2025103(GK)</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tbl>
      <w:tblPr>
        <w:tblStyle w:val="17"/>
        <w:tblW w:w="49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06"/>
        <w:gridCol w:w="4939"/>
        <w:gridCol w:w="7446"/>
      </w:tblGrid>
      <w:tr w14:paraId="255E5E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59" w:hRule="atLeast"/>
        </w:trPr>
        <w:tc>
          <w:tcPr>
            <w:tcW w:w="542" w:type="pct"/>
            <w:noWrap w:val="0"/>
            <w:tcMar>
              <w:top w:w="0" w:type="dxa"/>
              <w:left w:w="108" w:type="dxa"/>
              <w:bottom w:w="0" w:type="dxa"/>
              <w:right w:w="108" w:type="dxa"/>
            </w:tcMar>
            <w:vAlign w:val="center"/>
          </w:tcPr>
          <w:p w14:paraId="0A5F22EB">
            <w:pPr>
              <w:widowControl/>
              <w:spacing w:before="60" w:after="60"/>
              <w:ind w:left="60" w:right="60"/>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序号</w:t>
            </w:r>
          </w:p>
        </w:tc>
        <w:tc>
          <w:tcPr>
            <w:tcW w:w="1777" w:type="pct"/>
            <w:noWrap w:val="0"/>
            <w:tcMar>
              <w:top w:w="0" w:type="dxa"/>
              <w:left w:w="108" w:type="dxa"/>
              <w:bottom w:w="0" w:type="dxa"/>
              <w:right w:w="108" w:type="dxa"/>
            </w:tcMar>
            <w:vAlign w:val="center"/>
          </w:tcPr>
          <w:p w14:paraId="6BF23ADA">
            <w:pPr>
              <w:widowControl/>
              <w:spacing w:before="60" w:after="60"/>
              <w:ind w:left="60" w:right="60"/>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内容</w:t>
            </w:r>
          </w:p>
        </w:tc>
        <w:tc>
          <w:tcPr>
            <w:tcW w:w="2679" w:type="pct"/>
            <w:noWrap w:val="0"/>
            <w:tcMar>
              <w:top w:w="0" w:type="dxa"/>
              <w:left w:w="108" w:type="dxa"/>
              <w:bottom w:w="0" w:type="dxa"/>
              <w:right w:w="108" w:type="dxa"/>
            </w:tcMar>
            <w:vAlign w:val="center"/>
          </w:tcPr>
          <w:p w14:paraId="224C9BA8">
            <w:pPr>
              <w:widowControl/>
              <w:spacing w:before="60" w:after="60"/>
              <w:ind w:left="60" w:right="60"/>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投标总价</w:t>
            </w:r>
          </w:p>
        </w:tc>
      </w:tr>
      <w:tr w14:paraId="5E1821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16" w:hRule="atLeast"/>
        </w:trPr>
        <w:tc>
          <w:tcPr>
            <w:tcW w:w="542" w:type="pct"/>
            <w:noWrap w:val="0"/>
            <w:tcMar>
              <w:top w:w="0" w:type="dxa"/>
              <w:left w:w="108" w:type="dxa"/>
              <w:bottom w:w="0" w:type="dxa"/>
              <w:right w:w="108" w:type="dxa"/>
            </w:tcMar>
            <w:vAlign w:val="center"/>
          </w:tcPr>
          <w:p w14:paraId="46F5F652">
            <w:pPr>
              <w:widowControl/>
              <w:spacing w:before="6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777" w:type="pct"/>
            <w:noWrap w:val="0"/>
            <w:tcMar>
              <w:top w:w="0" w:type="dxa"/>
              <w:left w:w="108" w:type="dxa"/>
              <w:bottom w:w="0" w:type="dxa"/>
              <w:right w:w="108" w:type="dxa"/>
            </w:tcMar>
            <w:vAlign w:val="center"/>
          </w:tcPr>
          <w:p w14:paraId="18432F7A">
            <w:pPr>
              <w:widowControl/>
              <w:spacing w:before="60" w:after="60"/>
              <w:jc w:val="center"/>
              <w:rPr>
                <w:rFonts w:hint="eastAsia" w:ascii="宋体" w:hAnsi="宋体" w:eastAsia="宋体" w:cs="宋体"/>
                <w:bCs/>
                <w:color w:val="auto"/>
                <w:kern w:val="0"/>
                <w:sz w:val="22"/>
                <w:szCs w:val="22"/>
                <w:highlight w:val="none"/>
              </w:rPr>
            </w:pPr>
            <w:r>
              <w:rPr>
                <w:rFonts w:hint="eastAsia" w:ascii="宋体" w:hAnsi="宋体" w:eastAsia="宋体" w:cs="宋体"/>
                <w:color w:val="auto"/>
                <w:sz w:val="22"/>
                <w:szCs w:val="22"/>
                <w:highlight w:val="none"/>
              </w:rPr>
              <w:t xml:space="preserve"> </w:t>
            </w:r>
          </w:p>
        </w:tc>
        <w:tc>
          <w:tcPr>
            <w:tcW w:w="2679" w:type="pct"/>
            <w:noWrap w:val="0"/>
            <w:tcMar>
              <w:top w:w="0" w:type="dxa"/>
              <w:left w:w="108" w:type="dxa"/>
              <w:bottom w:w="0" w:type="dxa"/>
              <w:right w:w="108" w:type="dxa"/>
            </w:tcMar>
            <w:vAlign w:val="center"/>
          </w:tcPr>
          <w:p w14:paraId="5D69152F">
            <w:pPr>
              <w:autoSpaceDE w:val="0"/>
              <w:autoSpaceDN w:val="0"/>
              <w:spacing w:line="380" w:lineRule="atLeast"/>
              <w:ind w:right="349"/>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（大写）：</w:t>
            </w:r>
          </w:p>
          <w:p w14:paraId="650F51DB">
            <w:pPr>
              <w:autoSpaceDE w:val="0"/>
              <w:autoSpaceDN w:val="0"/>
              <w:spacing w:line="380" w:lineRule="atLeast"/>
              <w:ind w:right="349" w:firstLine="331"/>
              <w:jc w:val="left"/>
              <w:rPr>
                <w:rFonts w:hint="eastAsia" w:ascii="宋体" w:hAnsi="宋体" w:eastAsia="宋体" w:cs="宋体"/>
                <w:b/>
                <w:bCs/>
                <w:color w:val="auto"/>
                <w:kern w:val="0"/>
                <w:sz w:val="22"/>
                <w:szCs w:val="22"/>
                <w:highlight w:val="none"/>
              </w:rPr>
            </w:pPr>
          </w:p>
          <w:p w14:paraId="6E92B800">
            <w:pPr>
              <w:widowControl/>
              <w:spacing w:before="60" w:after="60"/>
              <w:rPr>
                <w:rFonts w:hint="eastAsia" w:ascii="宋体" w:hAnsi="宋体" w:eastAsia="宋体" w:cs="宋体"/>
                <w:bCs/>
                <w:color w:val="auto"/>
                <w:kern w:val="0"/>
                <w:sz w:val="22"/>
                <w:szCs w:val="22"/>
                <w:highlight w:val="none"/>
              </w:rPr>
            </w:pPr>
            <w:r>
              <w:rPr>
                <w:rFonts w:hint="eastAsia" w:ascii="宋体" w:hAnsi="宋体" w:eastAsia="宋体" w:cs="宋体"/>
                <w:b/>
                <w:bCs/>
                <w:color w:val="auto"/>
                <w:kern w:val="0"/>
                <w:sz w:val="22"/>
                <w:szCs w:val="22"/>
                <w:highlight w:val="none"/>
              </w:rPr>
              <w:t>（小写）：¥</w:t>
            </w:r>
          </w:p>
        </w:tc>
      </w:tr>
    </w:tbl>
    <w:p w14:paraId="4C876727">
      <w:pPr>
        <w:overflowPunct w:val="0"/>
        <w:spacing w:line="380" w:lineRule="exact"/>
        <w:rPr>
          <w:rFonts w:hint="eastAsia" w:ascii="宋体" w:hAnsi="宋体" w:eastAsia="宋体" w:cs="宋体"/>
          <w:bCs/>
          <w:color w:val="auto"/>
          <w:sz w:val="22"/>
          <w:szCs w:val="22"/>
          <w:highlight w:val="none"/>
        </w:rPr>
      </w:pPr>
    </w:p>
    <w:p w14:paraId="0EE3B57F">
      <w:pPr>
        <w:overflowPunct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14:paraId="2AA30C92">
      <w:pPr>
        <w:spacing w:line="380" w:lineRule="exact"/>
        <w:ind w:left="12" w:hanging="12" w:hangingChars="5"/>
        <w:rPr>
          <w:rFonts w:hint="eastAsia" w:ascii="宋体" w:hAnsi="宋体" w:eastAsia="宋体" w:cs="宋体"/>
          <w:b/>
          <w:color w:val="auto"/>
          <w:sz w:val="22"/>
          <w:highlight w:val="none"/>
          <w:u w:val="thick"/>
        </w:rPr>
      </w:pPr>
      <w:r>
        <w:rPr>
          <w:rFonts w:hint="eastAsia" w:ascii="宋体" w:hAnsi="宋体" w:eastAsia="宋体" w:cs="宋体"/>
          <w:color w:val="auto"/>
          <w:sz w:val="24"/>
          <w:szCs w:val="20"/>
          <w:highlight w:val="none"/>
          <w:u w:val="thick"/>
        </w:rPr>
        <w:t>▲</w:t>
      </w:r>
      <w:r>
        <w:rPr>
          <w:rFonts w:hint="eastAsia" w:ascii="宋体" w:hAnsi="宋体" w:eastAsia="宋体" w:cs="宋体"/>
          <w:b/>
          <w:color w:val="auto"/>
          <w:sz w:val="22"/>
          <w:highlight w:val="none"/>
          <w:u w:val="thick"/>
        </w:rPr>
        <w:t>此栏内投标总价应与“投标报价明细表”中投标报价相一致。</w:t>
      </w:r>
    </w:p>
    <w:p w14:paraId="658B8E28">
      <w:pPr>
        <w:autoSpaceDE w:val="0"/>
        <w:autoSpaceDN w:val="0"/>
        <w:spacing w:line="360" w:lineRule="auto"/>
        <w:ind w:right="1120"/>
        <w:jc w:val="left"/>
        <w:rPr>
          <w:rFonts w:hint="eastAsia" w:ascii="宋体" w:hAnsi="宋体" w:eastAsia="宋体" w:cs="宋体"/>
          <w:color w:val="auto"/>
          <w:kern w:val="0"/>
          <w:sz w:val="24"/>
          <w:highlight w:val="none"/>
          <w:lang w:val="zh-CN"/>
        </w:rPr>
      </w:pPr>
    </w:p>
    <w:p w14:paraId="706C084D">
      <w:pPr>
        <w:tabs>
          <w:tab w:val="left" w:pos="4860"/>
        </w:tabs>
        <w:spacing w:line="360" w:lineRule="auto"/>
        <w:ind w:right="156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投标人名称（电子签名或公章）</w:t>
      </w:r>
      <w:r>
        <w:rPr>
          <w:rFonts w:hint="eastAsia" w:ascii="宋体" w:hAnsi="宋体" w:eastAsia="宋体" w:cs="宋体"/>
          <w:color w:val="auto"/>
          <w:sz w:val="24"/>
          <w:highlight w:val="none"/>
        </w:rPr>
        <w:t>：</w:t>
      </w:r>
    </w:p>
    <w:p w14:paraId="257918F4">
      <w:pPr>
        <w:tabs>
          <w:tab w:val="left" w:pos="4860"/>
        </w:tabs>
        <w:spacing w:line="360" w:lineRule="auto"/>
        <w:ind w:right="156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51594EE">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（若联合体参加投标的，联合体牵头单位提供且盖电子签名或公章）</w:t>
      </w:r>
    </w:p>
    <w:p w14:paraId="1706D766">
      <w:pPr>
        <w:autoSpaceDE w:val="0"/>
        <w:autoSpaceDN w:val="0"/>
        <w:spacing w:line="360" w:lineRule="auto"/>
        <w:ind w:right="112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3CAAC1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浙江农林大学、浙江乐诚工程咨询有限公司</w:t>
      </w:r>
      <w:r>
        <w:rPr>
          <w:rFonts w:hint="eastAsia" w:ascii="宋体" w:hAnsi="宋体" w:eastAsia="宋体" w:cs="宋体"/>
          <w:color w:val="auto"/>
          <w:kern w:val="0"/>
          <w:sz w:val="24"/>
          <w:highlight w:val="none"/>
          <w:lang w:val="zh-CN"/>
        </w:rPr>
        <w:t>：</w:t>
      </w:r>
    </w:p>
    <w:p w14:paraId="304626CB">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color w:val="auto"/>
          <w:sz w:val="32"/>
          <w:szCs w:val="32"/>
          <w:highlight w:val="none"/>
        </w:rPr>
        <w:t xml:space="preserve">投标报价明细表 </w:t>
      </w:r>
    </w:p>
    <w:tbl>
      <w:tblPr>
        <w:tblStyle w:val="17"/>
        <w:tblW w:w="14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375"/>
        <w:gridCol w:w="1065"/>
        <w:gridCol w:w="748"/>
        <w:gridCol w:w="927"/>
        <w:gridCol w:w="1487"/>
        <w:gridCol w:w="1096"/>
        <w:gridCol w:w="1035"/>
        <w:gridCol w:w="1325"/>
        <w:gridCol w:w="1283"/>
        <w:gridCol w:w="932"/>
      </w:tblGrid>
      <w:tr w14:paraId="329E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97" w:type="dxa"/>
            <w:noWrap w:val="0"/>
            <w:vAlign w:val="center"/>
          </w:tcPr>
          <w:p w14:paraId="4925DD3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375" w:type="dxa"/>
            <w:noWrap w:val="0"/>
            <w:vAlign w:val="center"/>
          </w:tcPr>
          <w:p w14:paraId="6EB23EC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货物名称</w:t>
            </w:r>
          </w:p>
        </w:tc>
        <w:tc>
          <w:tcPr>
            <w:tcW w:w="1065" w:type="dxa"/>
            <w:noWrap w:val="0"/>
            <w:vAlign w:val="center"/>
          </w:tcPr>
          <w:p w14:paraId="5B812C3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制造商</w:t>
            </w:r>
          </w:p>
        </w:tc>
        <w:tc>
          <w:tcPr>
            <w:tcW w:w="748" w:type="dxa"/>
            <w:noWrap w:val="0"/>
            <w:vAlign w:val="center"/>
          </w:tcPr>
          <w:p w14:paraId="2C31808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产地</w:t>
            </w:r>
          </w:p>
        </w:tc>
        <w:tc>
          <w:tcPr>
            <w:tcW w:w="927" w:type="dxa"/>
            <w:noWrap w:val="0"/>
            <w:vAlign w:val="center"/>
          </w:tcPr>
          <w:p w14:paraId="731BCF1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w:t>
            </w:r>
          </w:p>
        </w:tc>
        <w:tc>
          <w:tcPr>
            <w:tcW w:w="1487" w:type="dxa"/>
            <w:noWrap w:val="0"/>
            <w:vAlign w:val="center"/>
          </w:tcPr>
          <w:p w14:paraId="5B99BED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1096" w:type="dxa"/>
            <w:noWrap w:val="0"/>
            <w:vAlign w:val="center"/>
          </w:tcPr>
          <w:p w14:paraId="589B93C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035" w:type="dxa"/>
            <w:noWrap w:val="0"/>
            <w:vAlign w:val="center"/>
          </w:tcPr>
          <w:p w14:paraId="0A25A69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单位</w:t>
            </w:r>
          </w:p>
        </w:tc>
        <w:tc>
          <w:tcPr>
            <w:tcW w:w="1325" w:type="dxa"/>
            <w:noWrap w:val="0"/>
            <w:vAlign w:val="center"/>
          </w:tcPr>
          <w:p w14:paraId="4ABBF82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单价（元）</w:t>
            </w:r>
          </w:p>
        </w:tc>
        <w:tc>
          <w:tcPr>
            <w:tcW w:w="1283" w:type="dxa"/>
            <w:noWrap w:val="0"/>
            <w:vAlign w:val="center"/>
          </w:tcPr>
          <w:p w14:paraId="143918B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金额（元）</w:t>
            </w:r>
          </w:p>
        </w:tc>
        <w:tc>
          <w:tcPr>
            <w:tcW w:w="932" w:type="dxa"/>
            <w:noWrap w:val="0"/>
            <w:vAlign w:val="center"/>
          </w:tcPr>
          <w:p w14:paraId="6D4AC40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6E2FE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7" w:type="dxa"/>
            <w:noWrap w:val="0"/>
            <w:vAlign w:val="center"/>
          </w:tcPr>
          <w:p w14:paraId="079DE1DA">
            <w:pPr>
              <w:spacing w:line="360" w:lineRule="auto"/>
              <w:jc w:val="center"/>
              <w:rPr>
                <w:rFonts w:hint="eastAsia" w:ascii="宋体" w:hAnsi="宋体" w:eastAsia="宋体" w:cs="宋体"/>
                <w:bCs/>
                <w:color w:val="auto"/>
                <w:sz w:val="24"/>
                <w:highlight w:val="none"/>
              </w:rPr>
            </w:pPr>
          </w:p>
        </w:tc>
        <w:tc>
          <w:tcPr>
            <w:tcW w:w="3375" w:type="dxa"/>
            <w:noWrap w:val="0"/>
            <w:vAlign w:val="center"/>
          </w:tcPr>
          <w:p w14:paraId="4E7B5916">
            <w:pPr>
              <w:spacing w:line="360" w:lineRule="auto"/>
              <w:jc w:val="center"/>
              <w:rPr>
                <w:rFonts w:hint="eastAsia" w:ascii="宋体" w:hAnsi="宋体" w:eastAsia="宋体" w:cs="宋体"/>
                <w:bCs/>
                <w:color w:val="auto"/>
                <w:sz w:val="24"/>
                <w:highlight w:val="none"/>
              </w:rPr>
            </w:pPr>
          </w:p>
        </w:tc>
        <w:tc>
          <w:tcPr>
            <w:tcW w:w="1065" w:type="dxa"/>
            <w:noWrap w:val="0"/>
            <w:vAlign w:val="center"/>
          </w:tcPr>
          <w:p w14:paraId="689841D8">
            <w:pPr>
              <w:spacing w:line="360" w:lineRule="auto"/>
              <w:jc w:val="center"/>
              <w:rPr>
                <w:rFonts w:hint="eastAsia" w:ascii="宋体" w:hAnsi="宋体" w:eastAsia="宋体" w:cs="宋体"/>
                <w:bCs/>
                <w:color w:val="auto"/>
                <w:sz w:val="24"/>
                <w:highlight w:val="none"/>
              </w:rPr>
            </w:pPr>
          </w:p>
        </w:tc>
        <w:tc>
          <w:tcPr>
            <w:tcW w:w="748" w:type="dxa"/>
            <w:noWrap w:val="0"/>
            <w:vAlign w:val="center"/>
          </w:tcPr>
          <w:p w14:paraId="145B8838">
            <w:pPr>
              <w:spacing w:line="360" w:lineRule="auto"/>
              <w:jc w:val="center"/>
              <w:rPr>
                <w:rFonts w:hint="eastAsia" w:ascii="宋体" w:hAnsi="宋体" w:eastAsia="宋体" w:cs="宋体"/>
                <w:bCs/>
                <w:color w:val="auto"/>
                <w:sz w:val="24"/>
                <w:highlight w:val="none"/>
              </w:rPr>
            </w:pPr>
          </w:p>
        </w:tc>
        <w:tc>
          <w:tcPr>
            <w:tcW w:w="927" w:type="dxa"/>
            <w:noWrap w:val="0"/>
            <w:vAlign w:val="center"/>
          </w:tcPr>
          <w:p w14:paraId="3D52A98C">
            <w:pPr>
              <w:spacing w:line="360" w:lineRule="auto"/>
              <w:jc w:val="center"/>
              <w:rPr>
                <w:rFonts w:hint="eastAsia" w:ascii="宋体" w:hAnsi="宋体" w:eastAsia="宋体" w:cs="宋体"/>
                <w:bCs/>
                <w:color w:val="auto"/>
                <w:sz w:val="24"/>
                <w:highlight w:val="none"/>
              </w:rPr>
            </w:pPr>
          </w:p>
        </w:tc>
        <w:tc>
          <w:tcPr>
            <w:tcW w:w="1487" w:type="dxa"/>
            <w:noWrap w:val="0"/>
            <w:vAlign w:val="center"/>
          </w:tcPr>
          <w:p w14:paraId="37E427A2">
            <w:pPr>
              <w:spacing w:line="360" w:lineRule="auto"/>
              <w:jc w:val="center"/>
              <w:rPr>
                <w:rFonts w:hint="eastAsia" w:ascii="宋体" w:hAnsi="宋体" w:eastAsia="宋体" w:cs="宋体"/>
                <w:bCs/>
                <w:color w:val="auto"/>
                <w:sz w:val="24"/>
                <w:highlight w:val="none"/>
              </w:rPr>
            </w:pPr>
          </w:p>
        </w:tc>
        <w:tc>
          <w:tcPr>
            <w:tcW w:w="1096" w:type="dxa"/>
            <w:noWrap w:val="0"/>
            <w:vAlign w:val="center"/>
          </w:tcPr>
          <w:p w14:paraId="6A487AFA">
            <w:pPr>
              <w:spacing w:line="360" w:lineRule="auto"/>
              <w:jc w:val="center"/>
              <w:rPr>
                <w:rFonts w:hint="eastAsia" w:ascii="宋体" w:hAnsi="宋体" w:eastAsia="宋体" w:cs="宋体"/>
                <w:bCs/>
                <w:color w:val="auto"/>
                <w:sz w:val="24"/>
                <w:highlight w:val="none"/>
              </w:rPr>
            </w:pPr>
          </w:p>
        </w:tc>
        <w:tc>
          <w:tcPr>
            <w:tcW w:w="1035" w:type="dxa"/>
            <w:noWrap w:val="0"/>
            <w:vAlign w:val="center"/>
          </w:tcPr>
          <w:p w14:paraId="0B8E72FB">
            <w:pPr>
              <w:spacing w:line="360" w:lineRule="auto"/>
              <w:jc w:val="center"/>
              <w:rPr>
                <w:rFonts w:hint="eastAsia" w:ascii="宋体" w:hAnsi="宋体" w:eastAsia="宋体" w:cs="宋体"/>
                <w:bCs/>
                <w:color w:val="auto"/>
                <w:sz w:val="24"/>
                <w:highlight w:val="none"/>
              </w:rPr>
            </w:pPr>
          </w:p>
        </w:tc>
        <w:tc>
          <w:tcPr>
            <w:tcW w:w="1325" w:type="dxa"/>
            <w:noWrap w:val="0"/>
            <w:vAlign w:val="center"/>
          </w:tcPr>
          <w:p w14:paraId="2B53D659">
            <w:pPr>
              <w:spacing w:line="360" w:lineRule="auto"/>
              <w:jc w:val="center"/>
              <w:rPr>
                <w:rFonts w:hint="eastAsia" w:ascii="宋体" w:hAnsi="宋体" w:eastAsia="宋体" w:cs="宋体"/>
                <w:color w:val="auto"/>
                <w:sz w:val="24"/>
                <w:highlight w:val="none"/>
              </w:rPr>
            </w:pPr>
          </w:p>
        </w:tc>
        <w:tc>
          <w:tcPr>
            <w:tcW w:w="1283" w:type="dxa"/>
            <w:noWrap w:val="0"/>
            <w:vAlign w:val="center"/>
          </w:tcPr>
          <w:p w14:paraId="3C6005DA">
            <w:pPr>
              <w:spacing w:line="360" w:lineRule="auto"/>
              <w:jc w:val="center"/>
              <w:rPr>
                <w:rFonts w:hint="eastAsia" w:ascii="宋体" w:hAnsi="宋体" w:eastAsia="宋体" w:cs="宋体"/>
                <w:color w:val="auto"/>
                <w:sz w:val="24"/>
                <w:highlight w:val="none"/>
              </w:rPr>
            </w:pPr>
          </w:p>
        </w:tc>
        <w:tc>
          <w:tcPr>
            <w:tcW w:w="932" w:type="dxa"/>
            <w:noWrap w:val="0"/>
            <w:vAlign w:val="center"/>
          </w:tcPr>
          <w:p w14:paraId="682C3F20">
            <w:pPr>
              <w:spacing w:line="360" w:lineRule="auto"/>
              <w:jc w:val="center"/>
              <w:rPr>
                <w:rFonts w:hint="eastAsia" w:ascii="宋体" w:hAnsi="宋体" w:eastAsia="宋体" w:cs="宋体"/>
                <w:color w:val="auto"/>
                <w:sz w:val="24"/>
                <w:highlight w:val="none"/>
              </w:rPr>
            </w:pPr>
          </w:p>
        </w:tc>
      </w:tr>
      <w:tr w14:paraId="2CD5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7" w:type="dxa"/>
            <w:noWrap w:val="0"/>
            <w:vAlign w:val="center"/>
          </w:tcPr>
          <w:p w14:paraId="4153F1B8">
            <w:pPr>
              <w:spacing w:line="360" w:lineRule="auto"/>
              <w:jc w:val="center"/>
              <w:rPr>
                <w:rFonts w:hint="eastAsia" w:ascii="宋体" w:hAnsi="宋体" w:eastAsia="宋体" w:cs="宋体"/>
                <w:bCs/>
                <w:color w:val="auto"/>
                <w:sz w:val="24"/>
                <w:highlight w:val="none"/>
              </w:rPr>
            </w:pPr>
          </w:p>
        </w:tc>
        <w:tc>
          <w:tcPr>
            <w:tcW w:w="3375" w:type="dxa"/>
            <w:noWrap w:val="0"/>
            <w:vAlign w:val="center"/>
          </w:tcPr>
          <w:p w14:paraId="0BA93EC2">
            <w:pPr>
              <w:spacing w:line="360" w:lineRule="auto"/>
              <w:jc w:val="center"/>
              <w:rPr>
                <w:rFonts w:hint="eastAsia" w:ascii="宋体" w:hAnsi="宋体" w:eastAsia="宋体" w:cs="宋体"/>
                <w:bCs/>
                <w:color w:val="auto"/>
                <w:sz w:val="24"/>
                <w:highlight w:val="none"/>
              </w:rPr>
            </w:pPr>
          </w:p>
        </w:tc>
        <w:tc>
          <w:tcPr>
            <w:tcW w:w="1065" w:type="dxa"/>
            <w:noWrap w:val="0"/>
            <w:vAlign w:val="center"/>
          </w:tcPr>
          <w:p w14:paraId="4B906950">
            <w:pPr>
              <w:spacing w:line="360" w:lineRule="auto"/>
              <w:jc w:val="center"/>
              <w:rPr>
                <w:rFonts w:hint="eastAsia" w:ascii="宋体" w:hAnsi="宋体" w:eastAsia="宋体" w:cs="宋体"/>
                <w:bCs/>
                <w:color w:val="auto"/>
                <w:sz w:val="24"/>
                <w:highlight w:val="none"/>
              </w:rPr>
            </w:pPr>
          </w:p>
        </w:tc>
        <w:tc>
          <w:tcPr>
            <w:tcW w:w="748" w:type="dxa"/>
            <w:noWrap w:val="0"/>
            <w:vAlign w:val="center"/>
          </w:tcPr>
          <w:p w14:paraId="533D841A">
            <w:pPr>
              <w:spacing w:line="360" w:lineRule="auto"/>
              <w:jc w:val="center"/>
              <w:rPr>
                <w:rFonts w:hint="eastAsia" w:ascii="宋体" w:hAnsi="宋体" w:eastAsia="宋体" w:cs="宋体"/>
                <w:bCs/>
                <w:color w:val="auto"/>
                <w:sz w:val="24"/>
                <w:highlight w:val="none"/>
              </w:rPr>
            </w:pPr>
          </w:p>
        </w:tc>
        <w:tc>
          <w:tcPr>
            <w:tcW w:w="927" w:type="dxa"/>
            <w:noWrap w:val="0"/>
            <w:vAlign w:val="center"/>
          </w:tcPr>
          <w:p w14:paraId="216BC23F">
            <w:pPr>
              <w:spacing w:line="360" w:lineRule="auto"/>
              <w:jc w:val="center"/>
              <w:rPr>
                <w:rFonts w:hint="eastAsia" w:ascii="宋体" w:hAnsi="宋体" w:eastAsia="宋体" w:cs="宋体"/>
                <w:bCs/>
                <w:color w:val="auto"/>
                <w:sz w:val="24"/>
                <w:highlight w:val="none"/>
              </w:rPr>
            </w:pPr>
          </w:p>
        </w:tc>
        <w:tc>
          <w:tcPr>
            <w:tcW w:w="1487" w:type="dxa"/>
            <w:noWrap w:val="0"/>
            <w:vAlign w:val="center"/>
          </w:tcPr>
          <w:p w14:paraId="04B53D1A">
            <w:pPr>
              <w:spacing w:line="360" w:lineRule="auto"/>
              <w:jc w:val="center"/>
              <w:rPr>
                <w:rFonts w:hint="eastAsia" w:ascii="宋体" w:hAnsi="宋体" w:eastAsia="宋体" w:cs="宋体"/>
                <w:bCs/>
                <w:color w:val="auto"/>
                <w:sz w:val="24"/>
                <w:highlight w:val="none"/>
              </w:rPr>
            </w:pPr>
          </w:p>
        </w:tc>
        <w:tc>
          <w:tcPr>
            <w:tcW w:w="1096" w:type="dxa"/>
            <w:noWrap w:val="0"/>
            <w:vAlign w:val="center"/>
          </w:tcPr>
          <w:p w14:paraId="70BA5AA7">
            <w:pPr>
              <w:spacing w:line="360" w:lineRule="auto"/>
              <w:jc w:val="center"/>
              <w:rPr>
                <w:rFonts w:hint="eastAsia" w:ascii="宋体" w:hAnsi="宋体" w:eastAsia="宋体" w:cs="宋体"/>
                <w:bCs/>
                <w:color w:val="auto"/>
                <w:sz w:val="24"/>
                <w:highlight w:val="none"/>
              </w:rPr>
            </w:pPr>
          </w:p>
        </w:tc>
        <w:tc>
          <w:tcPr>
            <w:tcW w:w="1035" w:type="dxa"/>
            <w:noWrap w:val="0"/>
            <w:vAlign w:val="center"/>
          </w:tcPr>
          <w:p w14:paraId="659F5FA5">
            <w:pPr>
              <w:spacing w:line="360" w:lineRule="auto"/>
              <w:jc w:val="center"/>
              <w:rPr>
                <w:rFonts w:hint="eastAsia" w:ascii="宋体" w:hAnsi="宋体" w:eastAsia="宋体" w:cs="宋体"/>
                <w:bCs/>
                <w:color w:val="auto"/>
                <w:sz w:val="24"/>
                <w:highlight w:val="none"/>
              </w:rPr>
            </w:pPr>
          </w:p>
        </w:tc>
        <w:tc>
          <w:tcPr>
            <w:tcW w:w="1325" w:type="dxa"/>
            <w:noWrap w:val="0"/>
            <w:vAlign w:val="center"/>
          </w:tcPr>
          <w:p w14:paraId="0F5AD0AF">
            <w:pPr>
              <w:spacing w:line="360" w:lineRule="auto"/>
              <w:jc w:val="center"/>
              <w:rPr>
                <w:rFonts w:hint="eastAsia" w:ascii="宋体" w:hAnsi="宋体" w:eastAsia="宋体" w:cs="宋体"/>
                <w:color w:val="auto"/>
                <w:sz w:val="24"/>
                <w:highlight w:val="none"/>
              </w:rPr>
            </w:pPr>
          </w:p>
        </w:tc>
        <w:tc>
          <w:tcPr>
            <w:tcW w:w="1283" w:type="dxa"/>
            <w:noWrap w:val="0"/>
            <w:vAlign w:val="center"/>
          </w:tcPr>
          <w:p w14:paraId="23121C2E">
            <w:pPr>
              <w:spacing w:line="360" w:lineRule="auto"/>
              <w:jc w:val="center"/>
              <w:rPr>
                <w:rFonts w:hint="eastAsia" w:ascii="宋体" w:hAnsi="宋体" w:eastAsia="宋体" w:cs="宋体"/>
                <w:color w:val="auto"/>
                <w:sz w:val="24"/>
                <w:highlight w:val="none"/>
              </w:rPr>
            </w:pPr>
          </w:p>
        </w:tc>
        <w:tc>
          <w:tcPr>
            <w:tcW w:w="932" w:type="dxa"/>
            <w:noWrap w:val="0"/>
            <w:vAlign w:val="center"/>
          </w:tcPr>
          <w:p w14:paraId="41D9D567">
            <w:pPr>
              <w:spacing w:line="360" w:lineRule="auto"/>
              <w:jc w:val="center"/>
              <w:rPr>
                <w:rFonts w:hint="eastAsia" w:ascii="宋体" w:hAnsi="宋体" w:eastAsia="宋体" w:cs="宋体"/>
                <w:color w:val="auto"/>
                <w:sz w:val="24"/>
                <w:highlight w:val="none"/>
              </w:rPr>
            </w:pPr>
          </w:p>
        </w:tc>
      </w:tr>
      <w:tr w14:paraId="2FA3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7" w:type="dxa"/>
            <w:noWrap w:val="0"/>
            <w:vAlign w:val="center"/>
          </w:tcPr>
          <w:p w14:paraId="18ED6F40">
            <w:pPr>
              <w:spacing w:line="360" w:lineRule="auto"/>
              <w:jc w:val="center"/>
              <w:rPr>
                <w:rFonts w:hint="eastAsia" w:ascii="宋体" w:hAnsi="宋体" w:eastAsia="宋体" w:cs="宋体"/>
                <w:bCs/>
                <w:color w:val="auto"/>
                <w:sz w:val="24"/>
                <w:highlight w:val="none"/>
              </w:rPr>
            </w:pPr>
          </w:p>
        </w:tc>
        <w:tc>
          <w:tcPr>
            <w:tcW w:w="3375" w:type="dxa"/>
            <w:noWrap w:val="0"/>
            <w:vAlign w:val="center"/>
          </w:tcPr>
          <w:p w14:paraId="33800748">
            <w:pPr>
              <w:spacing w:line="360" w:lineRule="auto"/>
              <w:jc w:val="center"/>
              <w:rPr>
                <w:rFonts w:hint="eastAsia" w:ascii="宋体" w:hAnsi="宋体" w:eastAsia="宋体" w:cs="宋体"/>
                <w:bCs/>
                <w:color w:val="auto"/>
                <w:sz w:val="24"/>
                <w:highlight w:val="none"/>
              </w:rPr>
            </w:pPr>
          </w:p>
        </w:tc>
        <w:tc>
          <w:tcPr>
            <w:tcW w:w="1065" w:type="dxa"/>
            <w:noWrap w:val="0"/>
            <w:vAlign w:val="center"/>
          </w:tcPr>
          <w:p w14:paraId="047E4089">
            <w:pPr>
              <w:spacing w:line="360" w:lineRule="auto"/>
              <w:jc w:val="center"/>
              <w:rPr>
                <w:rFonts w:hint="eastAsia" w:ascii="宋体" w:hAnsi="宋体" w:eastAsia="宋体" w:cs="宋体"/>
                <w:bCs/>
                <w:color w:val="auto"/>
                <w:sz w:val="24"/>
                <w:highlight w:val="none"/>
              </w:rPr>
            </w:pPr>
          </w:p>
        </w:tc>
        <w:tc>
          <w:tcPr>
            <w:tcW w:w="748" w:type="dxa"/>
            <w:noWrap w:val="0"/>
            <w:vAlign w:val="center"/>
          </w:tcPr>
          <w:p w14:paraId="1F5FE4A8">
            <w:pPr>
              <w:spacing w:line="360" w:lineRule="auto"/>
              <w:jc w:val="center"/>
              <w:rPr>
                <w:rFonts w:hint="eastAsia" w:ascii="宋体" w:hAnsi="宋体" w:eastAsia="宋体" w:cs="宋体"/>
                <w:bCs/>
                <w:color w:val="auto"/>
                <w:sz w:val="24"/>
                <w:highlight w:val="none"/>
              </w:rPr>
            </w:pPr>
          </w:p>
        </w:tc>
        <w:tc>
          <w:tcPr>
            <w:tcW w:w="927" w:type="dxa"/>
            <w:noWrap w:val="0"/>
            <w:vAlign w:val="center"/>
          </w:tcPr>
          <w:p w14:paraId="6DC2BB3C">
            <w:pPr>
              <w:spacing w:line="360" w:lineRule="auto"/>
              <w:jc w:val="center"/>
              <w:rPr>
                <w:rFonts w:hint="eastAsia" w:ascii="宋体" w:hAnsi="宋体" w:eastAsia="宋体" w:cs="宋体"/>
                <w:bCs/>
                <w:color w:val="auto"/>
                <w:sz w:val="24"/>
                <w:highlight w:val="none"/>
              </w:rPr>
            </w:pPr>
          </w:p>
        </w:tc>
        <w:tc>
          <w:tcPr>
            <w:tcW w:w="1487" w:type="dxa"/>
            <w:noWrap w:val="0"/>
            <w:vAlign w:val="center"/>
          </w:tcPr>
          <w:p w14:paraId="7DA064DE">
            <w:pPr>
              <w:spacing w:line="360" w:lineRule="auto"/>
              <w:jc w:val="center"/>
              <w:rPr>
                <w:rFonts w:hint="eastAsia" w:ascii="宋体" w:hAnsi="宋体" w:eastAsia="宋体" w:cs="宋体"/>
                <w:bCs/>
                <w:color w:val="auto"/>
                <w:sz w:val="24"/>
                <w:highlight w:val="none"/>
              </w:rPr>
            </w:pPr>
          </w:p>
        </w:tc>
        <w:tc>
          <w:tcPr>
            <w:tcW w:w="1096" w:type="dxa"/>
            <w:noWrap w:val="0"/>
            <w:vAlign w:val="center"/>
          </w:tcPr>
          <w:p w14:paraId="05F2DEBB">
            <w:pPr>
              <w:spacing w:line="360" w:lineRule="auto"/>
              <w:jc w:val="center"/>
              <w:rPr>
                <w:rFonts w:hint="eastAsia" w:ascii="宋体" w:hAnsi="宋体" w:eastAsia="宋体" w:cs="宋体"/>
                <w:bCs/>
                <w:color w:val="auto"/>
                <w:sz w:val="24"/>
                <w:highlight w:val="none"/>
              </w:rPr>
            </w:pPr>
          </w:p>
        </w:tc>
        <w:tc>
          <w:tcPr>
            <w:tcW w:w="1035" w:type="dxa"/>
            <w:noWrap w:val="0"/>
            <w:vAlign w:val="center"/>
          </w:tcPr>
          <w:p w14:paraId="791D4E05">
            <w:pPr>
              <w:spacing w:line="360" w:lineRule="auto"/>
              <w:jc w:val="center"/>
              <w:rPr>
                <w:rFonts w:hint="eastAsia" w:ascii="宋体" w:hAnsi="宋体" w:eastAsia="宋体" w:cs="宋体"/>
                <w:bCs/>
                <w:color w:val="auto"/>
                <w:sz w:val="24"/>
                <w:highlight w:val="none"/>
              </w:rPr>
            </w:pPr>
          </w:p>
        </w:tc>
        <w:tc>
          <w:tcPr>
            <w:tcW w:w="1325" w:type="dxa"/>
            <w:noWrap w:val="0"/>
            <w:vAlign w:val="center"/>
          </w:tcPr>
          <w:p w14:paraId="0FF0EFEA">
            <w:pPr>
              <w:spacing w:line="360" w:lineRule="auto"/>
              <w:jc w:val="center"/>
              <w:rPr>
                <w:rFonts w:hint="eastAsia" w:ascii="宋体" w:hAnsi="宋体" w:eastAsia="宋体" w:cs="宋体"/>
                <w:color w:val="auto"/>
                <w:sz w:val="24"/>
                <w:highlight w:val="none"/>
              </w:rPr>
            </w:pPr>
          </w:p>
        </w:tc>
        <w:tc>
          <w:tcPr>
            <w:tcW w:w="1283" w:type="dxa"/>
            <w:noWrap w:val="0"/>
            <w:vAlign w:val="center"/>
          </w:tcPr>
          <w:p w14:paraId="15BAC838">
            <w:pPr>
              <w:spacing w:line="360" w:lineRule="auto"/>
              <w:jc w:val="center"/>
              <w:rPr>
                <w:rFonts w:hint="eastAsia" w:ascii="宋体" w:hAnsi="宋体" w:eastAsia="宋体" w:cs="宋体"/>
                <w:color w:val="auto"/>
                <w:sz w:val="24"/>
                <w:highlight w:val="none"/>
              </w:rPr>
            </w:pPr>
          </w:p>
        </w:tc>
        <w:tc>
          <w:tcPr>
            <w:tcW w:w="932" w:type="dxa"/>
            <w:noWrap w:val="0"/>
            <w:vAlign w:val="center"/>
          </w:tcPr>
          <w:p w14:paraId="1F022429">
            <w:pPr>
              <w:spacing w:line="360" w:lineRule="auto"/>
              <w:jc w:val="center"/>
              <w:rPr>
                <w:rFonts w:hint="eastAsia" w:ascii="宋体" w:hAnsi="宋体" w:eastAsia="宋体" w:cs="宋体"/>
                <w:color w:val="auto"/>
                <w:sz w:val="24"/>
                <w:highlight w:val="none"/>
              </w:rPr>
            </w:pPr>
          </w:p>
        </w:tc>
      </w:tr>
      <w:tr w14:paraId="6614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5"/>
            <w:noWrap w:val="0"/>
            <w:vAlign w:val="center"/>
          </w:tcPr>
          <w:p w14:paraId="764C326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158" w:type="dxa"/>
            <w:gridSpan w:val="6"/>
            <w:noWrap w:val="0"/>
            <w:vAlign w:val="center"/>
          </w:tcPr>
          <w:p w14:paraId="5DEC5234">
            <w:pPr>
              <w:spacing w:line="360" w:lineRule="auto"/>
              <w:jc w:val="center"/>
              <w:rPr>
                <w:rFonts w:hint="eastAsia" w:ascii="宋体" w:hAnsi="宋体" w:eastAsia="宋体" w:cs="宋体"/>
                <w:color w:val="auto"/>
                <w:sz w:val="24"/>
                <w:highlight w:val="none"/>
              </w:rPr>
            </w:pPr>
          </w:p>
        </w:tc>
      </w:tr>
      <w:tr w14:paraId="4B71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5"/>
            <w:noWrap w:val="0"/>
            <w:vAlign w:val="center"/>
          </w:tcPr>
          <w:p w14:paraId="0D6C9F6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158" w:type="dxa"/>
            <w:gridSpan w:val="6"/>
            <w:noWrap w:val="0"/>
            <w:vAlign w:val="center"/>
          </w:tcPr>
          <w:p w14:paraId="4EA9A692">
            <w:pPr>
              <w:spacing w:line="360" w:lineRule="auto"/>
              <w:jc w:val="center"/>
              <w:rPr>
                <w:rFonts w:hint="eastAsia" w:ascii="宋体" w:hAnsi="宋体" w:eastAsia="宋体" w:cs="宋体"/>
                <w:color w:val="auto"/>
                <w:sz w:val="24"/>
                <w:highlight w:val="none"/>
              </w:rPr>
            </w:pPr>
          </w:p>
        </w:tc>
      </w:tr>
    </w:tbl>
    <w:p w14:paraId="73972308">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483C8665">
      <w:pPr>
        <w:spacing w:line="360" w:lineRule="auto"/>
        <w:ind w:left="-2" w:leftChars="-1" w:firstLine="480" w:firstLineChars="200"/>
        <w:rPr>
          <w:rFonts w:hint="eastAsia" w:ascii="宋体" w:hAnsi="宋体" w:eastAsia="宋体" w:cs="宋体"/>
          <w:color w:val="auto"/>
          <w:kern w:val="0"/>
          <w:sz w:val="24"/>
          <w:highlight w:val="none"/>
          <w:u w:val="thick"/>
          <w:lang w:val="zh-CN"/>
        </w:rPr>
      </w:pPr>
      <w:r>
        <w:rPr>
          <w:rFonts w:hint="eastAsia" w:ascii="宋体" w:hAnsi="宋体" w:eastAsia="宋体" w:cs="宋体"/>
          <w:color w:val="auto"/>
          <w:sz w:val="24"/>
          <w:szCs w:val="20"/>
          <w:highlight w:val="none"/>
          <w:u w:val="thick"/>
        </w:rPr>
        <w:t>▲</w:t>
      </w:r>
      <w:r>
        <w:rPr>
          <w:rFonts w:hint="eastAsia" w:ascii="宋体" w:hAnsi="宋体" w:eastAsia="宋体" w:cs="宋体"/>
          <w:color w:val="auto"/>
          <w:kern w:val="0"/>
          <w:sz w:val="24"/>
          <w:highlight w:val="none"/>
          <w:u w:val="thick"/>
          <w:lang w:val="zh-CN"/>
        </w:rPr>
        <w:t>1、不提供此表的报价，视为没有实质性响应采购文件要求。</w:t>
      </w:r>
    </w:p>
    <w:p w14:paraId="565BBED7">
      <w:pPr>
        <w:snapToGrid w:val="0"/>
        <w:spacing w:line="360" w:lineRule="auto"/>
        <w:ind w:firstLine="480" w:firstLineChars="200"/>
        <w:jc w:val="left"/>
        <w:rPr>
          <w:rFonts w:hint="eastAsia" w:ascii="宋体" w:hAnsi="宋体" w:eastAsia="宋体" w:cs="宋体"/>
          <w:color w:val="auto"/>
          <w:sz w:val="24"/>
          <w:szCs w:val="20"/>
          <w:highlight w:val="none"/>
          <w:u w:val="thick"/>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采购内容未包含在《报价明细表》名称栏中，投标人不能作出合理解释的，视为投标文件含有采购人不能接受的附加条件的，投标无效。</w:t>
      </w:r>
    </w:p>
    <w:p w14:paraId="2920049C">
      <w:pPr>
        <w:snapToGrid w:val="0"/>
        <w:spacing w:line="360" w:lineRule="auto"/>
        <w:ind w:firstLine="482" w:firstLineChars="200"/>
        <w:jc w:val="left"/>
        <w:rPr>
          <w:rFonts w:hint="eastAsia" w:ascii="宋体" w:hAnsi="宋体" w:eastAsia="宋体" w:cs="宋体"/>
          <w:b/>
          <w:bCs/>
          <w:color w:val="auto"/>
          <w:sz w:val="24"/>
          <w:szCs w:val="20"/>
          <w:highlight w:val="none"/>
          <w:u w:val="thick"/>
          <w:lang w:val="zh-CN"/>
        </w:rPr>
      </w:pPr>
      <w:r>
        <w:rPr>
          <w:rFonts w:hint="eastAsia" w:ascii="宋体" w:hAnsi="宋体" w:eastAsia="宋体" w:cs="宋体"/>
          <w:b/>
          <w:bCs/>
          <w:color w:val="auto"/>
          <w:sz w:val="24"/>
          <w:szCs w:val="20"/>
          <w:highlight w:val="none"/>
          <w:u w:val="thick"/>
          <w:lang w:val="zh-CN"/>
        </w:rPr>
        <w:t>▲3、元素分析仪最高限价：</w:t>
      </w:r>
      <w:r>
        <w:rPr>
          <w:rFonts w:hint="eastAsia" w:ascii="宋体" w:hAnsi="宋体" w:eastAsia="宋体" w:cs="宋体"/>
          <w:b/>
          <w:bCs/>
          <w:color w:val="auto"/>
          <w:sz w:val="24"/>
          <w:szCs w:val="20"/>
          <w:highlight w:val="none"/>
          <w:u w:val="thick"/>
          <w:lang w:val="en-US" w:eastAsia="zh-CN"/>
        </w:rPr>
        <w:t>550000</w:t>
      </w:r>
      <w:r>
        <w:rPr>
          <w:rFonts w:hint="eastAsia" w:ascii="宋体" w:hAnsi="宋体" w:eastAsia="宋体" w:cs="宋体"/>
          <w:b/>
          <w:bCs/>
          <w:color w:val="auto"/>
          <w:sz w:val="24"/>
          <w:szCs w:val="20"/>
          <w:highlight w:val="none"/>
          <w:u w:val="thick"/>
          <w:lang w:val="zh-CN"/>
        </w:rPr>
        <w:t>元；报价超过最高限价的投标无效。</w:t>
      </w:r>
    </w:p>
    <w:p w14:paraId="6FAE178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特别提示：采购代理机构将对项目名称和项目编号，中标</w:t>
      </w:r>
      <w:r>
        <w:rPr>
          <w:rFonts w:hint="eastAsia" w:ascii="宋体" w:hAnsi="宋体" w:eastAsia="宋体" w:cs="宋体"/>
          <w:color w:val="auto"/>
          <w:kern w:val="0"/>
          <w:sz w:val="24"/>
          <w:highlight w:val="none"/>
        </w:rPr>
        <w:t>人</w:t>
      </w:r>
      <w:r>
        <w:rPr>
          <w:rFonts w:hint="eastAsia" w:ascii="宋体" w:hAnsi="宋体" w:eastAsia="宋体" w:cs="宋体"/>
          <w:color w:val="auto"/>
          <w:kern w:val="0"/>
          <w:sz w:val="24"/>
          <w:highlight w:val="none"/>
          <w:lang w:val="zh-CN"/>
        </w:rPr>
        <w:t>名称、地址和中标金额，主要中标标的</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val="zh-CN"/>
        </w:rPr>
        <w:t>名称、品牌、规格型号、数量、单价等予以公示。</w:t>
      </w:r>
    </w:p>
    <w:p w14:paraId="70F60CA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5</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70D78F9">
      <w:pPr>
        <w:snapToGrid w:val="0"/>
        <w:spacing w:line="360" w:lineRule="auto"/>
        <w:ind w:firstLine="480" w:firstLineChars="200"/>
        <w:jc w:val="lef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u w:val="single"/>
          <w:lang w:val="zh-CN"/>
        </w:rPr>
        <w:t>▲</w:t>
      </w:r>
      <w:r>
        <w:rPr>
          <w:rFonts w:hint="eastAsia" w:ascii="宋体" w:hAnsi="宋体" w:eastAsia="宋体" w:cs="宋体"/>
          <w:color w:val="auto"/>
          <w:kern w:val="0"/>
          <w:sz w:val="24"/>
          <w:highlight w:val="none"/>
          <w:u w:val="single"/>
          <w:lang w:val="en-US" w:eastAsia="zh-CN"/>
        </w:rPr>
        <w:t>6</w:t>
      </w:r>
      <w:r>
        <w:rPr>
          <w:rFonts w:hint="eastAsia" w:ascii="宋体" w:hAnsi="宋体" w:eastAsia="宋体" w:cs="宋体"/>
          <w:color w:val="auto"/>
          <w:kern w:val="0"/>
          <w:sz w:val="24"/>
          <w:highlight w:val="none"/>
          <w:u w:val="single"/>
          <w:lang w:val="zh-CN"/>
        </w:rPr>
        <w:t>、投标人不得进行影响产品质量或者诚信履约的恶意报价。投标人报价低于项目预算50%（含）的，必须在报价文件中详细阐述不影响产品质量或者诚信履约的具体原因（包括具体成本测算（含人工、材料、服务等分项成本构成）、其他证明报价合理性相关的说明、材料等）。</w:t>
      </w:r>
    </w:p>
    <w:p w14:paraId="4643E522">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lang w:val="zh-CN"/>
        </w:rPr>
        <w:t>投标人报价在项目预算50%以上的，在项目评审前准备好报价核算、报价明细、报价说明等材料，以备评审专家核查。</w:t>
      </w:r>
    </w:p>
    <w:p w14:paraId="705D7296">
      <w:pPr>
        <w:snapToGrid w:val="0"/>
        <w:spacing w:line="360" w:lineRule="auto"/>
        <w:jc w:val="left"/>
        <w:rPr>
          <w:rFonts w:hint="eastAsia" w:ascii="宋体" w:hAnsi="宋体" w:eastAsia="宋体" w:cs="宋体"/>
          <w:color w:val="auto"/>
          <w:kern w:val="0"/>
          <w:sz w:val="24"/>
          <w:highlight w:val="none"/>
          <w:lang w:val="zh-CN"/>
        </w:rPr>
      </w:pPr>
    </w:p>
    <w:p w14:paraId="6A5F61AB">
      <w:pPr>
        <w:autoSpaceDE w:val="0"/>
        <w:autoSpaceDN w:val="0"/>
        <w:spacing w:line="360" w:lineRule="auto"/>
        <w:ind w:right="1120"/>
        <w:jc w:val="left"/>
        <w:rPr>
          <w:rFonts w:hint="eastAsia" w:ascii="宋体" w:hAnsi="宋体" w:eastAsia="宋体" w:cs="宋体"/>
          <w:color w:val="auto"/>
          <w:kern w:val="0"/>
          <w:sz w:val="24"/>
          <w:highlight w:val="none"/>
          <w:lang w:val="zh-CN"/>
        </w:rPr>
      </w:pPr>
    </w:p>
    <w:p w14:paraId="62303530">
      <w:pPr>
        <w:tabs>
          <w:tab w:val="left" w:pos="4860"/>
        </w:tabs>
        <w:spacing w:line="360" w:lineRule="auto"/>
        <w:ind w:right="156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投标人名称（电子签名或公章）</w:t>
      </w:r>
      <w:r>
        <w:rPr>
          <w:rFonts w:hint="eastAsia" w:ascii="宋体" w:hAnsi="宋体" w:eastAsia="宋体" w:cs="宋体"/>
          <w:color w:val="auto"/>
          <w:sz w:val="24"/>
          <w:highlight w:val="none"/>
        </w:rPr>
        <w:t>：</w:t>
      </w:r>
    </w:p>
    <w:p w14:paraId="3850260A">
      <w:pPr>
        <w:tabs>
          <w:tab w:val="left" w:pos="4860"/>
        </w:tabs>
        <w:spacing w:line="360" w:lineRule="auto"/>
        <w:ind w:right="156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15A58FB">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（若联合体参加投标的，联合体牵头单位提供且盖电子签名或公章）</w:t>
      </w:r>
    </w:p>
    <w:p w14:paraId="3557104D">
      <w:pPr>
        <w:pStyle w:val="3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083" w:right="1440" w:bottom="1083" w:left="1440" w:header="851" w:footer="992" w:gutter="0"/>
          <w:pgBorders>
            <w:top w:val="none" w:sz="0" w:space="0"/>
            <w:left w:val="none" w:sz="0" w:space="0"/>
            <w:bottom w:val="none" w:sz="0" w:space="0"/>
            <w:right w:val="none" w:sz="0" w:space="0"/>
          </w:pgBorders>
          <w:cols w:space="720" w:num="1"/>
          <w:titlePg/>
          <w:docGrid w:linePitch="312" w:charSpace="0"/>
        </w:sectPr>
      </w:pPr>
    </w:p>
    <w:p w14:paraId="11169016">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p>
    <w:p w14:paraId="1BF656A9">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192AB493">
      <w:pPr>
        <w:spacing w:line="360" w:lineRule="auto"/>
        <w:jc w:val="center"/>
        <w:rPr>
          <w:rFonts w:hint="eastAsia" w:ascii="宋体" w:hAnsi="宋体" w:eastAsia="宋体" w:cs="宋体"/>
          <w:b/>
          <w:color w:val="auto"/>
          <w:spacing w:val="6"/>
          <w:sz w:val="32"/>
          <w:szCs w:val="32"/>
          <w:highlight w:val="none"/>
        </w:rPr>
      </w:pPr>
      <w:bookmarkStart w:id="495" w:name="OLE_LINK13"/>
      <w:bookmarkStart w:id="496" w:name="OLE_LINK14"/>
      <w:r>
        <w:rPr>
          <w:rFonts w:hint="eastAsia" w:ascii="宋体" w:hAnsi="宋体" w:eastAsia="宋体" w:cs="宋体"/>
          <w:b/>
          <w:color w:val="auto"/>
          <w:spacing w:val="6"/>
          <w:sz w:val="32"/>
          <w:szCs w:val="32"/>
          <w:highlight w:val="none"/>
        </w:rPr>
        <w:t>残疾人福利性单位声明函</w:t>
      </w:r>
    </w:p>
    <w:bookmarkEnd w:id="495"/>
    <w:bookmarkEnd w:id="496"/>
    <w:p w14:paraId="539A6E90">
      <w:pPr>
        <w:tabs>
          <w:tab w:val="left" w:pos="5502"/>
        </w:tabs>
        <w:spacing w:line="360" w:lineRule="auto"/>
        <w:rPr>
          <w:rFonts w:hint="eastAsia" w:ascii="宋体" w:hAnsi="宋体" w:eastAsia="宋体" w:cs="宋体"/>
          <w:b/>
          <w:color w:val="auto"/>
          <w:spacing w:val="6"/>
          <w:sz w:val="30"/>
          <w:szCs w:val="30"/>
          <w:highlight w:val="none"/>
        </w:rPr>
      </w:pPr>
      <w:r>
        <w:rPr>
          <w:rFonts w:hint="eastAsia" w:ascii="宋体" w:hAnsi="宋体" w:eastAsia="宋体" w:cs="宋体"/>
          <w:b/>
          <w:color w:val="auto"/>
          <w:spacing w:val="6"/>
          <w:sz w:val="30"/>
          <w:szCs w:val="30"/>
          <w:highlight w:val="none"/>
        </w:rPr>
        <w:tab/>
      </w:r>
    </w:p>
    <w:p w14:paraId="695C18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3553B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9583FE5">
      <w:pPr>
        <w:spacing w:line="360" w:lineRule="auto"/>
        <w:ind w:firstLine="480" w:firstLineChars="200"/>
        <w:rPr>
          <w:rFonts w:hint="eastAsia" w:ascii="宋体" w:hAnsi="宋体" w:eastAsia="宋体" w:cs="宋体"/>
          <w:color w:val="auto"/>
          <w:sz w:val="24"/>
          <w:highlight w:val="none"/>
        </w:rPr>
      </w:pPr>
    </w:p>
    <w:p w14:paraId="41852A57">
      <w:pPr>
        <w:spacing w:line="360" w:lineRule="auto"/>
        <w:ind w:firstLine="480" w:firstLineChars="200"/>
        <w:rPr>
          <w:rFonts w:hint="eastAsia" w:ascii="宋体" w:hAnsi="宋体" w:eastAsia="宋体" w:cs="宋体"/>
          <w:color w:val="auto"/>
          <w:sz w:val="24"/>
          <w:highlight w:val="none"/>
        </w:rPr>
      </w:pPr>
    </w:p>
    <w:p w14:paraId="008B32FE">
      <w:pPr>
        <w:tabs>
          <w:tab w:val="left" w:pos="4860"/>
        </w:tabs>
        <w:spacing w:line="360" w:lineRule="auto"/>
        <w:ind w:right="156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投标人名称（电子签名或公章）</w:t>
      </w:r>
      <w:r>
        <w:rPr>
          <w:rFonts w:hint="eastAsia" w:ascii="宋体" w:hAnsi="宋体" w:eastAsia="宋体" w:cs="宋体"/>
          <w:color w:val="auto"/>
          <w:sz w:val="24"/>
          <w:highlight w:val="none"/>
        </w:rPr>
        <w:t>：</w:t>
      </w:r>
    </w:p>
    <w:p w14:paraId="442DCE36">
      <w:pPr>
        <w:tabs>
          <w:tab w:val="left" w:pos="4860"/>
        </w:tabs>
        <w:spacing w:line="360" w:lineRule="auto"/>
        <w:ind w:right="156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88D3BDA">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（若联合体参加投标的，联合体牵头单位提供且盖</w:t>
      </w:r>
      <w:r>
        <w:rPr>
          <w:rFonts w:hint="eastAsia" w:ascii="宋体" w:hAnsi="宋体" w:eastAsia="宋体" w:cs="宋体"/>
          <w:color w:val="auto"/>
          <w:sz w:val="22"/>
          <w:szCs w:val="22"/>
          <w:highlight w:val="none"/>
          <w:lang w:val="zh-CN"/>
        </w:rPr>
        <w:t>电子签名或公章</w:t>
      </w:r>
      <w:r>
        <w:rPr>
          <w:rFonts w:hint="eastAsia" w:ascii="宋体" w:hAnsi="宋体" w:eastAsia="宋体" w:cs="宋体"/>
          <w:color w:val="auto"/>
          <w:sz w:val="22"/>
          <w:szCs w:val="22"/>
          <w:highlight w:val="none"/>
        </w:rPr>
        <w:t>）</w:t>
      </w:r>
    </w:p>
    <w:p w14:paraId="2465DB18">
      <w:pPr>
        <w:spacing w:line="360" w:lineRule="auto"/>
        <w:ind w:firstLine="480" w:firstLineChars="200"/>
        <w:rPr>
          <w:rFonts w:hint="eastAsia" w:ascii="宋体" w:hAnsi="宋体" w:eastAsia="宋体" w:cs="宋体"/>
          <w:color w:val="auto"/>
          <w:sz w:val="24"/>
          <w:highlight w:val="none"/>
        </w:rPr>
      </w:pPr>
    </w:p>
    <w:p w14:paraId="3661CBA5">
      <w:pPr>
        <w:spacing w:line="360" w:lineRule="auto"/>
        <w:ind w:firstLine="420" w:firstLineChars="200"/>
        <w:rPr>
          <w:rFonts w:hint="eastAsia" w:ascii="宋体" w:hAnsi="宋体" w:eastAsia="宋体" w:cs="宋体"/>
          <w:color w:val="auto"/>
          <w:highlight w:val="none"/>
        </w:rPr>
      </w:pPr>
    </w:p>
    <w:p w14:paraId="59AF43CF">
      <w:pPr>
        <w:spacing w:line="360" w:lineRule="auto"/>
        <w:ind w:firstLine="420" w:firstLineChars="200"/>
        <w:rPr>
          <w:rFonts w:hint="eastAsia" w:ascii="宋体" w:hAnsi="宋体" w:eastAsia="宋体" w:cs="宋体"/>
          <w:color w:val="auto"/>
          <w:highlight w:val="none"/>
        </w:rPr>
      </w:pPr>
    </w:p>
    <w:p w14:paraId="38B8B9C4">
      <w:pPr>
        <w:spacing w:line="360" w:lineRule="auto"/>
        <w:ind w:firstLine="420" w:firstLineChars="200"/>
        <w:rPr>
          <w:rFonts w:hint="eastAsia" w:ascii="宋体" w:hAnsi="宋体" w:eastAsia="宋体" w:cs="宋体"/>
          <w:color w:val="auto"/>
          <w:highlight w:val="none"/>
        </w:rPr>
      </w:pPr>
    </w:p>
    <w:p w14:paraId="13347CB3">
      <w:pPr>
        <w:spacing w:line="360" w:lineRule="auto"/>
        <w:ind w:firstLine="420" w:firstLineChars="200"/>
        <w:rPr>
          <w:rFonts w:hint="eastAsia" w:ascii="宋体" w:hAnsi="宋体" w:eastAsia="宋体" w:cs="宋体"/>
          <w:color w:val="auto"/>
          <w:highlight w:val="none"/>
        </w:rPr>
      </w:pPr>
    </w:p>
    <w:p w14:paraId="4B72D903">
      <w:pPr>
        <w:spacing w:line="360" w:lineRule="auto"/>
        <w:rPr>
          <w:rFonts w:hint="eastAsia" w:ascii="宋体" w:hAnsi="宋体" w:eastAsia="宋体" w:cs="宋体"/>
          <w:b/>
          <w:color w:val="auto"/>
          <w:sz w:val="24"/>
          <w:highlight w:val="none"/>
        </w:rPr>
      </w:pPr>
    </w:p>
    <w:p w14:paraId="604FE215">
      <w:pPr>
        <w:spacing w:line="360" w:lineRule="auto"/>
        <w:rPr>
          <w:rFonts w:hint="eastAsia" w:ascii="宋体" w:hAnsi="宋体" w:eastAsia="宋体" w:cs="宋体"/>
          <w:b/>
          <w:color w:val="auto"/>
          <w:sz w:val="24"/>
          <w:highlight w:val="none"/>
        </w:rPr>
      </w:pPr>
    </w:p>
    <w:p w14:paraId="4E74E235">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r>
        <w:rPr>
          <w:rFonts w:hint="eastAsia" w:ascii="宋体" w:hAnsi="宋体" w:eastAsia="宋体" w:cs="宋体"/>
          <w:b/>
          <w:color w:val="auto"/>
          <w:spacing w:val="6"/>
          <w:sz w:val="32"/>
          <w:szCs w:val="32"/>
          <w:highlight w:val="none"/>
        </w:rPr>
        <w:t>附件2：质疑函范本及制作说明</w:t>
      </w:r>
    </w:p>
    <w:p w14:paraId="39AD9D8D">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101280A7">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732DF67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2905DFE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AA8BBD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6FE697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0A9685F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4AC74D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076E99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3F25015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27DE48B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04DC7C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0FE1585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4E34E0B3">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4734703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291BB08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E00BF3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5188C51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846DCD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208E6E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31EA211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0CC95F2">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3863A95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7CFCF8F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48C7731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E5C25BE">
      <w:pPr>
        <w:spacing w:line="360" w:lineRule="auto"/>
        <w:jc w:val="center"/>
        <w:rPr>
          <w:rFonts w:hint="eastAsia" w:ascii="宋体" w:hAnsi="宋体" w:eastAsia="宋体" w:cs="宋体"/>
          <w:b/>
          <w:bCs/>
          <w:color w:val="auto"/>
          <w:sz w:val="24"/>
          <w:highlight w:val="none"/>
        </w:rPr>
      </w:pPr>
    </w:p>
    <w:p w14:paraId="74290AA3">
      <w:pPr>
        <w:spacing w:line="360" w:lineRule="auto"/>
        <w:rPr>
          <w:rFonts w:hint="eastAsia" w:ascii="宋体" w:hAnsi="宋体" w:eastAsia="宋体" w:cs="宋体"/>
          <w:b/>
          <w:color w:val="auto"/>
          <w:sz w:val="24"/>
          <w:highlight w:val="none"/>
        </w:rPr>
      </w:pPr>
    </w:p>
    <w:p w14:paraId="7588C214">
      <w:pPr>
        <w:spacing w:line="360" w:lineRule="auto"/>
        <w:rPr>
          <w:rFonts w:hint="eastAsia" w:ascii="宋体" w:hAnsi="宋体" w:eastAsia="宋体" w:cs="宋体"/>
          <w:b/>
          <w:color w:val="auto"/>
          <w:sz w:val="24"/>
          <w:highlight w:val="none"/>
        </w:rPr>
      </w:pPr>
    </w:p>
    <w:p w14:paraId="50721D3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4D00131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50FF7AA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17DA6AD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2F0B67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5AA4315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9448C2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9DAE729">
      <w:pPr>
        <w:pStyle w:val="16"/>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7.以书面形式提交的，应按招标文件规定送达指定地点；以</w:t>
      </w:r>
      <w:r>
        <w:rPr>
          <w:rFonts w:hint="eastAsia" w:ascii="宋体" w:hAnsi="宋体" w:eastAsia="宋体" w:cs="宋体"/>
          <w:color w:val="auto"/>
          <w:highlight w:val="none"/>
        </w:rPr>
        <w:t>政采云平台</w:t>
      </w:r>
      <w:r>
        <w:rPr>
          <w:rFonts w:hint="eastAsia" w:ascii="宋体" w:hAnsi="宋体" w:eastAsia="宋体" w:cs="宋体"/>
          <w:color w:val="auto"/>
          <w:highlight w:val="none"/>
          <w:lang w:val="en-US"/>
        </w:rPr>
        <w:t>（https://www.zcygov.cn/）</w:t>
      </w:r>
      <w:r>
        <w:rPr>
          <w:rFonts w:hint="eastAsia" w:ascii="宋体" w:hAnsi="宋体" w:eastAsia="宋体" w:cs="宋体"/>
          <w:color w:val="auto"/>
          <w:highlight w:val="none"/>
        </w:rPr>
        <w:t>通过</w:t>
      </w:r>
      <w:r>
        <w:rPr>
          <w:rFonts w:hint="eastAsia" w:ascii="宋体" w:hAnsi="宋体" w:eastAsia="宋体" w:cs="宋体"/>
          <w:color w:val="auto"/>
          <w:highlight w:val="none"/>
          <w:lang w:val="en-US"/>
        </w:rPr>
        <w:t>“</w:t>
      </w:r>
      <w:r>
        <w:rPr>
          <w:rFonts w:hint="eastAsia" w:ascii="宋体" w:hAnsi="宋体" w:eastAsia="宋体" w:cs="宋体"/>
          <w:color w:val="auto"/>
          <w:highlight w:val="none"/>
        </w:rPr>
        <w:t>询问质疑投诉</w:t>
      </w:r>
      <w:r>
        <w:rPr>
          <w:rFonts w:hint="eastAsia" w:ascii="宋体" w:hAnsi="宋体" w:eastAsia="宋体" w:cs="宋体"/>
          <w:color w:val="auto"/>
          <w:highlight w:val="none"/>
          <w:lang w:val="en-US"/>
        </w:rPr>
        <w:t>”</w:t>
      </w:r>
      <w:r>
        <w:rPr>
          <w:rFonts w:hint="eastAsia" w:ascii="宋体" w:hAnsi="宋体" w:eastAsia="宋体" w:cs="宋体"/>
          <w:color w:val="auto"/>
          <w:highlight w:val="none"/>
        </w:rPr>
        <w:t>栏提交的</w:t>
      </w:r>
      <w:r>
        <w:rPr>
          <w:rFonts w:hint="eastAsia" w:ascii="宋体" w:hAnsi="宋体" w:eastAsia="宋体" w:cs="宋体"/>
          <w:color w:val="auto"/>
          <w:highlight w:val="none"/>
          <w:lang w:val="en-US"/>
        </w:rPr>
        <w:t>，</w:t>
      </w:r>
      <w:r>
        <w:rPr>
          <w:rFonts w:hint="eastAsia" w:ascii="宋体" w:hAnsi="宋体" w:eastAsia="宋体" w:cs="宋体"/>
          <w:color w:val="auto"/>
          <w:highlight w:val="none"/>
        </w:rPr>
        <w:t>应正确填写质疑供应商基本信息、被质疑人信息、质疑事项具体内容、质疑请求</w:t>
      </w:r>
      <w:r>
        <w:rPr>
          <w:rFonts w:hint="eastAsia" w:ascii="宋体" w:hAnsi="宋体" w:eastAsia="宋体" w:cs="宋体"/>
          <w:color w:val="auto"/>
          <w:highlight w:val="none"/>
          <w:lang w:val="en-US"/>
        </w:rPr>
        <w:t>，</w:t>
      </w:r>
      <w:r>
        <w:rPr>
          <w:rFonts w:hint="eastAsia" w:ascii="宋体" w:hAnsi="宋体" w:eastAsia="宋体" w:cs="宋体"/>
          <w:color w:val="auto"/>
          <w:highlight w:val="none"/>
        </w:rPr>
        <w:t>并上传书面质疑函扫描件。</w:t>
      </w:r>
    </w:p>
    <w:p w14:paraId="413CDB37">
      <w:pPr>
        <w:spacing w:line="360" w:lineRule="auto"/>
        <w:jc w:val="left"/>
        <w:rPr>
          <w:rFonts w:hint="eastAsia" w:ascii="宋体" w:hAnsi="宋体" w:eastAsia="宋体" w:cs="宋体"/>
          <w:b/>
          <w:color w:val="auto"/>
          <w:spacing w:val="6"/>
          <w:sz w:val="32"/>
          <w:szCs w:val="32"/>
          <w:highlight w:val="none"/>
        </w:rPr>
      </w:pPr>
    </w:p>
    <w:p w14:paraId="6CF2B1F5">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r>
        <w:rPr>
          <w:rFonts w:hint="eastAsia" w:ascii="宋体" w:hAnsi="宋体" w:eastAsia="宋体" w:cs="宋体"/>
          <w:b/>
          <w:color w:val="auto"/>
          <w:spacing w:val="6"/>
          <w:sz w:val="32"/>
          <w:szCs w:val="32"/>
          <w:highlight w:val="none"/>
        </w:rPr>
        <w:t>附件3：投诉书范本及制作说明</w:t>
      </w:r>
    </w:p>
    <w:p w14:paraId="5ABE510A">
      <w:pPr>
        <w:spacing w:line="360" w:lineRule="auto"/>
        <w:jc w:val="center"/>
        <w:rPr>
          <w:rFonts w:hint="eastAsia" w:ascii="宋体" w:hAnsi="宋体" w:eastAsia="宋体" w:cs="宋体"/>
          <w:b/>
          <w:color w:val="auto"/>
          <w:sz w:val="24"/>
          <w:highlight w:val="none"/>
        </w:rPr>
      </w:pPr>
    </w:p>
    <w:p w14:paraId="51F64B7C">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1E194C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25586A1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2A09BCD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4395E1C">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7770219">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2A34F5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C7DC83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7F112FB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593DBA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CD8943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E875A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6E7729E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502919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14F680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919784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484874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5F97C43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146524B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BF249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C77E27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03857AF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8E6B49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C7807E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2D525F70">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4AC6882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38EB179">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5C6D8CC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2B07C52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455F26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A0492F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EA0DC8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95D00E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3A05F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796B51B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796B4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1EE389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5EAD10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0D7D14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A1B3F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7275E5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35E142A7">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022BCB10">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5AD0567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377BA7F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10F73D4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0E8EAB5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2233AE63">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733965F">
      <w:pPr>
        <w:spacing w:line="360" w:lineRule="auto"/>
        <w:rPr>
          <w:rFonts w:hint="eastAsia" w:ascii="宋体" w:hAnsi="宋体" w:eastAsia="宋体" w:cs="宋体"/>
          <w:b/>
          <w:color w:val="auto"/>
          <w:sz w:val="24"/>
          <w:highlight w:val="none"/>
        </w:rPr>
      </w:pPr>
    </w:p>
    <w:p w14:paraId="1FBC0BDD">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br w:type="page"/>
      </w: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2BFC4538">
      <w:pPr>
        <w:spacing w:line="360" w:lineRule="auto"/>
        <w:rPr>
          <w:rFonts w:hint="eastAsia" w:ascii="宋体" w:hAnsi="宋体" w:eastAsia="宋体" w:cs="宋体"/>
          <w:color w:val="auto"/>
          <w:sz w:val="24"/>
          <w:highlight w:val="none"/>
          <w:u w:val="single"/>
        </w:rPr>
      </w:pPr>
    </w:p>
    <w:p w14:paraId="641CF5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浙江农林大学、浙江乐诚工程咨询有限公司</w:t>
      </w:r>
    </w:p>
    <w:p w14:paraId="757B19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你方组织的浙江农林大学</w:t>
      </w:r>
      <w:r>
        <w:rPr>
          <w:rFonts w:hint="eastAsia" w:ascii="宋体" w:hAnsi="宋体" w:eastAsia="宋体" w:cs="宋体"/>
          <w:color w:val="auto"/>
          <w:sz w:val="24"/>
          <w:highlight w:val="none"/>
          <w:lang w:eastAsia="zh-CN"/>
        </w:rPr>
        <w:t>元素分析仪</w:t>
      </w:r>
      <w:r>
        <w:rPr>
          <w:rFonts w:hint="eastAsia" w:ascii="宋体" w:hAnsi="宋体" w:eastAsia="宋体" w:cs="宋体"/>
          <w:color w:val="auto"/>
          <w:sz w:val="24"/>
          <w:highlight w:val="none"/>
        </w:rPr>
        <w:t>项目【项目编号：</w:t>
      </w:r>
      <w:r>
        <w:rPr>
          <w:rFonts w:hint="eastAsia" w:ascii="宋体" w:hAnsi="宋体" w:eastAsia="宋体" w:cs="宋体"/>
          <w:color w:val="auto"/>
          <w:sz w:val="24"/>
          <w:highlight w:val="none"/>
          <w:lang w:eastAsia="zh-CN"/>
        </w:rPr>
        <w:t>ZJYC2025103(GK)</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02226F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E157C38">
      <w:pPr>
        <w:spacing w:line="360" w:lineRule="auto"/>
        <w:ind w:firstLine="494"/>
        <w:rPr>
          <w:rFonts w:hint="eastAsia" w:ascii="宋体" w:hAnsi="宋体" w:eastAsia="宋体" w:cs="宋体"/>
          <w:color w:val="auto"/>
          <w:sz w:val="24"/>
          <w:highlight w:val="none"/>
        </w:rPr>
      </w:pPr>
    </w:p>
    <w:p w14:paraId="5CFC2EFB">
      <w:pPr>
        <w:spacing w:line="360" w:lineRule="auto"/>
        <w:ind w:firstLine="494"/>
        <w:rPr>
          <w:rFonts w:hint="eastAsia" w:ascii="宋体" w:hAnsi="宋体" w:eastAsia="宋体" w:cs="宋体"/>
          <w:color w:val="auto"/>
          <w:sz w:val="24"/>
          <w:highlight w:val="none"/>
        </w:rPr>
      </w:pPr>
    </w:p>
    <w:p w14:paraId="189A0082">
      <w:pPr>
        <w:spacing w:line="360" w:lineRule="auto"/>
        <w:ind w:firstLine="494"/>
        <w:rPr>
          <w:rFonts w:hint="eastAsia" w:ascii="宋体" w:hAnsi="宋体" w:eastAsia="宋体" w:cs="宋体"/>
          <w:color w:val="auto"/>
          <w:sz w:val="24"/>
          <w:highlight w:val="none"/>
        </w:rPr>
      </w:pPr>
    </w:p>
    <w:p w14:paraId="633EC532">
      <w:pPr>
        <w:spacing w:line="360" w:lineRule="auto"/>
        <w:ind w:firstLine="494"/>
        <w:rPr>
          <w:rFonts w:hint="eastAsia" w:ascii="宋体" w:hAnsi="宋体" w:eastAsia="宋体" w:cs="宋体"/>
          <w:color w:val="auto"/>
          <w:sz w:val="24"/>
          <w:highlight w:val="none"/>
        </w:rPr>
      </w:pPr>
    </w:p>
    <w:p w14:paraId="0FCA91C8">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06B7382F">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8E02DA7">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1F09EBA4">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c/4wdgAAAAKAQAADwAAAAAAAAABACAAAAAiAAAAZHJzL2Rvd25yZXYu&#10;eG1sUEsBAhQAFAAAAAgAh07iQEP2I6b7AQAAHwQAAA4AAAAAAAAAAQAgAAAAJwEAAGRycy9lMm9E&#10;b2MueG1sUEsFBgAAAAAGAAYAWQEAAJQFAAAAAA==&#10;">
                <v:fill on="t" focussize="0,0"/>
                <v:stroke color="#000000"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3TsFjYAAAACgEAAA8AAAAAAAAAAQAgAAAAIgAAAGRycy9kb3ducmV2&#10;LnhtbFBLAQIUABQAAAAIAIdO4kBNZTxq/AEAAB8EAAAOAAAAAAAAAAEAIAAAACcBAABkcnMvZTJv&#10;RG9jLnhtbFBLBQYAAAAABgAGAFkBAACVBQAAAAA=&#10;">
                <v:fill on="t" focussize="0,0"/>
                <v:stroke color="#000000"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29F247E9">
      <w:pPr>
        <w:autoSpaceDE w:val="0"/>
        <w:autoSpaceDN w:val="0"/>
        <w:jc w:val="center"/>
        <w:rPr>
          <w:rFonts w:hint="eastAsia" w:ascii="宋体" w:hAnsi="宋体" w:eastAsia="宋体" w:cs="宋体"/>
          <w:b/>
          <w:color w:val="auto"/>
          <w:spacing w:val="6"/>
          <w:sz w:val="32"/>
          <w:szCs w:val="32"/>
          <w:highlight w:val="none"/>
        </w:rPr>
      </w:pPr>
    </w:p>
    <w:p w14:paraId="5DA2ADE2">
      <w:pPr>
        <w:autoSpaceDE w:val="0"/>
        <w:autoSpaceDN w:val="0"/>
        <w:jc w:val="center"/>
        <w:rPr>
          <w:rFonts w:hint="eastAsia" w:ascii="宋体" w:hAnsi="宋体" w:eastAsia="宋体" w:cs="宋体"/>
          <w:b/>
          <w:color w:val="auto"/>
          <w:spacing w:val="6"/>
          <w:sz w:val="32"/>
          <w:szCs w:val="32"/>
          <w:highlight w:val="none"/>
        </w:rPr>
      </w:pPr>
    </w:p>
    <w:p w14:paraId="21A24575">
      <w:pPr>
        <w:autoSpaceDE w:val="0"/>
        <w:autoSpaceDN w:val="0"/>
        <w:jc w:val="center"/>
        <w:rPr>
          <w:rFonts w:hint="eastAsia" w:ascii="宋体" w:hAnsi="宋体" w:eastAsia="宋体" w:cs="宋体"/>
          <w:b/>
          <w:color w:val="auto"/>
          <w:spacing w:val="6"/>
          <w:sz w:val="32"/>
          <w:szCs w:val="32"/>
          <w:highlight w:val="none"/>
        </w:rPr>
      </w:pPr>
    </w:p>
    <w:p w14:paraId="4C285696">
      <w:pPr>
        <w:autoSpaceDE w:val="0"/>
        <w:autoSpaceDN w:val="0"/>
        <w:jc w:val="center"/>
        <w:rPr>
          <w:rFonts w:hint="eastAsia" w:ascii="宋体" w:hAnsi="宋体" w:eastAsia="宋体" w:cs="宋体"/>
          <w:b/>
          <w:color w:val="auto"/>
          <w:spacing w:val="6"/>
          <w:sz w:val="32"/>
          <w:szCs w:val="32"/>
          <w:highlight w:val="none"/>
        </w:rPr>
      </w:pPr>
    </w:p>
    <w:p w14:paraId="506B8C54">
      <w:pPr>
        <w:autoSpaceDE w:val="0"/>
        <w:autoSpaceDN w:val="0"/>
        <w:jc w:val="center"/>
        <w:rPr>
          <w:rFonts w:hint="eastAsia" w:ascii="宋体" w:hAnsi="宋体" w:eastAsia="宋体" w:cs="宋体"/>
          <w:b/>
          <w:color w:val="auto"/>
          <w:spacing w:val="6"/>
          <w:sz w:val="32"/>
          <w:szCs w:val="32"/>
          <w:highlight w:val="none"/>
        </w:rPr>
      </w:pPr>
    </w:p>
    <w:p w14:paraId="1AEDB5D8">
      <w:pPr>
        <w:autoSpaceDE w:val="0"/>
        <w:autoSpaceDN w:val="0"/>
        <w:jc w:val="center"/>
        <w:rPr>
          <w:rFonts w:hint="eastAsia" w:ascii="宋体" w:hAnsi="宋体" w:eastAsia="宋体" w:cs="宋体"/>
          <w:b/>
          <w:color w:val="auto"/>
          <w:spacing w:val="6"/>
          <w:sz w:val="32"/>
          <w:szCs w:val="32"/>
          <w:highlight w:val="none"/>
        </w:rPr>
      </w:pPr>
    </w:p>
    <w:p w14:paraId="6E3A3EBD">
      <w:pPr>
        <w:autoSpaceDE w:val="0"/>
        <w:autoSpaceDN w:val="0"/>
        <w:jc w:val="center"/>
        <w:rPr>
          <w:rFonts w:hint="eastAsia" w:ascii="宋体" w:hAnsi="宋体" w:eastAsia="宋体" w:cs="宋体"/>
          <w:b/>
          <w:color w:val="auto"/>
          <w:spacing w:val="6"/>
          <w:sz w:val="32"/>
          <w:szCs w:val="32"/>
          <w:highlight w:val="none"/>
        </w:rPr>
      </w:pPr>
    </w:p>
    <w:p w14:paraId="10863561">
      <w:pPr>
        <w:autoSpaceDE w:val="0"/>
        <w:autoSpaceDN w:val="0"/>
        <w:rPr>
          <w:rFonts w:hint="eastAsia" w:ascii="宋体" w:hAnsi="宋体" w:eastAsia="宋体" w:cs="宋体"/>
          <w:b/>
          <w:color w:val="auto"/>
          <w:spacing w:val="6"/>
          <w:sz w:val="32"/>
          <w:szCs w:val="32"/>
          <w:highlight w:val="none"/>
        </w:rPr>
      </w:pPr>
    </w:p>
    <w:p w14:paraId="3297B105">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br w:type="page"/>
      </w: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z w:val="32"/>
          <w:szCs w:val="32"/>
          <w:highlight w:val="none"/>
        </w:rPr>
        <w:t>中小企业声明函</w:t>
      </w:r>
    </w:p>
    <w:p w14:paraId="09D62EA6">
      <w:pPr>
        <w:spacing w:line="360" w:lineRule="auto"/>
        <w:jc w:val="center"/>
        <w:rPr>
          <w:rFonts w:hint="eastAsia" w:ascii="宋体" w:hAnsi="宋体" w:eastAsia="宋体" w:cs="宋体"/>
          <w:color w:val="auto"/>
          <w:sz w:val="24"/>
          <w:highlight w:val="none"/>
          <w:u w:val="single"/>
        </w:rPr>
      </w:pPr>
    </w:p>
    <w:p w14:paraId="07C42D1D">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4FF13E4D">
      <w:pPr>
        <w:pStyle w:val="32"/>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lang w:eastAsia="zh-CN"/>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lang w:val="en-US" w:eastAsia="zh-CN"/>
        </w:rPr>
        <w:t xml:space="preserve"> 浙江农林大学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单</w:t>
      </w:r>
      <w:r>
        <w:rPr>
          <w:rFonts w:hint="eastAsia" w:ascii="宋体" w:hAnsi="宋体" w:eastAsia="宋体" w:cs="宋体"/>
          <w:color w:val="auto"/>
          <w:sz w:val="24"/>
          <w:szCs w:val="24"/>
          <w:highlight w:val="none"/>
          <w:u w:val="single"/>
          <w:lang w:eastAsia="zh-CN"/>
        </w:rPr>
        <w:t>位名称）</w:t>
      </w:r>
      <w:r>
        <w:rPr>
          <w:rFonts w:hint="eastAsia" w:ascii="宋体" w:hAnsi="宋体" w:eastAsia="宋体" w:cs="宋体"/>
          <w:color w:val="auto"/>
          <w:sz w:val="24"/>
          <w:szCs w:val="24"/>
          <w:highlight w:val="none"/>
          <w:lang w:eastAsia="zh-CN"/>
        </w:rPr>
        <w:t>的</w:t>
      </w:r>
      <w:r>
        <w:rPr>
          <w:rFonts w:hint="eastAsia" w:eastAsia="宋体" w:cs="宋体"/>
          <w:color w:val="auto"/>
          <w:sz w:val="24"/>
          <w:szCs w:val="24"/>
          <w:highlight w:val="none"/>
          <w:u w:val="single"/>
          <w:lang w:val="en-US" w:eastAsia="zh-CN"/>
        </w:rPr>
        <w:t>元素分析仪</w:t>
      </w:r>
      <w:r>
        <w:rPr>
          <w:rFonts w:hint="eastAsia" w:ascii="宋体" w:hAnsi="宋体" w:eastAsia="宋体" w:cs="宋体"/>
          <w:color w:val="auto"/>
          <w:sz w:val="24"/>
          <w:szCs w:val="24"/>
          <w:highlight w:val="none"/>
          <w:u w:val="single"/>
          <w:lang w:eastAsia="zh-CN"/>
        </w:rPr>
        <w:t>（项目名称）</w:t>
      </w:r>
      <w:r>
        <w:rPr>
          <w:rFonts w:hint="eastAsia" w:ascii="宋体" w:hAnsi="宋体" w:eastAsia="宋体" w:cs="宋体"/>
          <w:color w:val="auto"/>
          <w:sz w:val="24"/>
          <w:highlight w:val="none"/>
          <w:lang w:eastAsia="zh-CN"/>
        </w:rPr>
        <w:t>采购活动，提供的货物全部由符合政策要求的中小企业制造。相关企业（含联合体中的中小企业、签订分包意向协议的中小企业）的具体情况如下</w:t>
      </w:r>
      <w:r>
        <w:rPr>
          <w:rFonts w:hint="eastAsia" w:ascii="宋体" w:hAnsi="宋体" w:eastAsia="宋体" w:cs="宋体"/>
          <w:color w:val="auto"/>
          <w:sz w:val="24"/>
          <w:szCs w:val="24"/>
          <w:highlight w:val="none"/>
          <w:lang w:eastAsia="zh-CN"/>
        </w:rPr>
        <w:t>：</w:t>
      </w:r>
    </w:p>
    <w:p w14:paraId="7F58AA8C">
      <w:pPr>
        <w:pStyle w:val="32"/>
        <w:tabs>
          <w:tab w:val="left" w:pos="879"/>
        </w:tabs>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val="en-US" w:eastAsia="zh-CN"/>
        </w:rPr>
        <w:t>1.元素分析仪</w:t>
      </w:r>
      <w:r>
        <w:rPr>
          <w:rFonts w:hint="eastAsia" w:ascii="宋体" w:hAnsi="宋体" w:eastAsia="宋体" w:cs="宋体"/>
          <w:color w:val="auto"/>
          <w:sz w:val="24"/>
          <w:szCs w:val="24"/>
          <w:highlight w:val="none"/>
          <w:u w:val="single"/>
          <w:lang w:eastAsia="zh-CN"/>
        </w:rPr>
        <w:t>（标的名称）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lang w:eastAsia="zh-CN"/>
        </w:rPr>
        <w:t>属于</w:t>
      </w:r>
      <w:r>
        <w:rPr>
          <w:rFonts w:hint="eastAsia" w:eastAsia="宋体" w:cs="宋体"/>
          <w:color w:val="auto"/>
          <w:sz w:val="24"/>
          <w:highlight w:val="none"/>
          <w:u w:val="single"/>
          <w:lang w:val="en-US" w:eastAsia="zh-CN"/>
        </w:rPr>
        <w:t>工业</w:t>
      </w:r>
      <w:r>
        <w:rPr>
          <w:rFonts w:hint="eastAsia" w:ascii="宋体" w:hAnsi="宋体" w:eastAsia="宋体" w:cs="宋体"/>
          <w:color w:val="auto"/>
          <w:sz w:val="24"/>
          <w:highlight w:val="none"/>
          <w:u w:val="single"/>
          <w:lang w:eastAsia="zh-CN"/>
        </w:rPr>
        <w:t>（采购文件中明确的所属行业）</w:t>
      </w:r>
      <w:r>
        <w:rPr>
          <w:rFonts w:hint="eastAsia" w:ascii="宋体" w:hAnsi="宋体" w:eastAsia="宋体" w:cs="宋体"/>
          <w:color w:val="auto"/>
          <w:sz w:val="24"/>
          <w:highlight w:val="none"/>
          <w:lang w:eastAsia="zh-CN"/>
        </w:rPr>
        <w:t>行业 ；制造商为</w:t>
      </w:r>
      <w:r>
        <w:rPr>
          <w:rFonts w:hint="eastAsia" w:ascii="宋体" w:hAnsi="宋体" w:eastAsia="宋体" w:cs="宋体"/>
          <w:color w:val="auto"/>
          <w:sz w:val="24"/>
          <w:highlight w:val="none"/>
          <w:u w:val="single"/>
          <w:lang w:eastAsia="zh-CN"/>
        </w:rPr>
        <w:t xml:space="preserve"> （企业名称）</w:t>
      </w:r>
      <w:r>
        <w:rPr>
          <w:rFonts w:hint="eastAsia" w:ascii="宋体" w:hAnsi="宋体" w:eastAsia="宋体" w:cs="宋体"/>
          <w:color w:val="auto"/>
          <w:sz w:val="24"/>
          <w:highlight w:val="none"/>
          <w:lang w:eastAsia="zh-CN"/>
        </w:rPr>
        <w:t xml:space="preserve"> ，从业人员</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人，营业收入为</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万元，资产总额为</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万元，属于</w:t>
      </w:r>
      <w:r>
        <w:rPr>
          <w:rFonts w:hint="eastAsia" w:ascii="宋体" w:hAnsi="宋体" w:eastAsia="宋体" w:cs="宋体"/>
          <w:color w:val="auto"/>
          <w:sz w:val="24"/>
          <w:highlight w:val="none"/>
          <w:u w:val="single"/>
          <w:lang w:eastAsia="zh-CN"/>
        </w:rPr>
        <w:t xml:space="preserve">   （中型企业、小型企业、微型企业）</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szCs w:val="24"/>
          <w:highlight w:val="none"/>
          <w:lang w:eastAsia="zh-CN"/>
        </w:rPr>
        <w:t>；</w:t>
      </w:r>
    </w:p>
    <w:p w14:paraId="0D0C7407">
      <w:pPr>
        <w:pStyle w:val="32"/>
        <w:tabs>
          <w:tab w:val="left" w:pos="879"/>
          <w:tab w:val="left" w:pos="1136"/>
          <w:tab w:val="left" w:pos="3461"/>
        </w:tabs>
        <w:ind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14:paraId="60F17D5C">
      <w:pPr>
        <w:pStyle w:val="32"/>
        <w:tabs>
          <w:tab w:val="left" w:leader="dot" w:pos="-4890"/>
        </w:tabs>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以上企业，不属于大企业的分支机构，不存在控股股东为大企业的情形，也不存在与大企业的负责人为同一人的情形。</w:t>
      </w:r>
    </w:p>
    <w:p w14:paraId="7ECC762F">
      <w:pPr>
        <w:pStyle w:val="32"/>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本企业对上述声明内容的真实性负责。如有虚假，将依法承担相应责任。</w:t>
      </w:r>
    </w:p>
    <w:p w14:paraId="3EE71ECC">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投标人名称(电子签名或公章)：</w:t>
      </w:r>
    </w:p>
    <w:p w14:paraId="5506E538">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860A07A">
      <w:pPr>
        <w:keepNext w:val="0"/>
        <w:keepLines w:val="0"/>
        <w:pageBreakBefore w:val="0"/>
        <w:widowControl w:val="0"/>
        <w:numPr>
          <w:ilvl w:val="0"/>
          <w:numId w:val="13"/>
        </w:numPr>
        <w:kinsoku/>
        <w:wordWrap/>
        <w:overflowPunct/>
        <w:topLinePunct w:val="0"/>
        <w:autoSpaceDE/>
        <w:autoSpaceDN/>
        <w:bidi w:val="0"/>
        <w:adjustRightInd w:val="0"/>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填写要求：①从业人员、营业收入、资产总额填报上一年度数据，无上一年度数据的新成立企业可不填报。（无上一年度数据的新成立企业需提供相关证明材料）。②“标的名称”、“采购文件中明确的所属行业”依据采购文件第二部分投标人须知前附表“标的名称及其对应的中小企业划分标准所属行业”填写，不得缺漏。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⑤中标人享受《政府采购促进中小企业发展管理办法》的通知（财库〔2020〕46号）规定的中小企业扶持政策的，采购人、采购代理机构应当随中标、成交结果公开中标人的《中小企业声明函》。</w:t>
      </w:r>
    </w:p>
    <w:p w14:paraId="628CD07E">
      <w:pPr>
        <w:keepNext w:val="0"/>
        <w:keepLines w:val="0"/>
        <w:pageBreakBefore w:val="0"/>
        <w:widowControl w:val="0"/>
        <w:numPr>
          <w:ilvl w:val="0"/>
          <w:numId w:val="13"/>
        </w:numPr>
        <w:kinsoku/>
        <w:wordWrap/>
        <w:overflowPunct/>
        <w:topLinePunct w:val="0"/>
        <w:autoSpaceDE/>
        <w:autoSpaceDN/>
        <w:bidi w:val="0"/>
        <w:adjustRightInd w:val="0"/>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BEF448F">
      <w:pPr>
        <w:keepNext w:val="0"/>
        <w:keepLines w:val="0"/>
        <w:pageBreakBefore w:val="0"/>
        <w:widowControl w:val="0"/>
        <w:numPr>
          <w:ilvl w:val="0"/>
          <w:numId w:val="13"/>
        </w:numPr>
        <w:kinsoku/>
        <w:wordWrap/>
        <w:overflowPunct/>
        <w:topLinePunct w:val="0"/>
        <w:autoSpaceDE/>
        <w:autoSpaceDN/>
        <w:bidi w:val="0"/>
        <w:adjustRightInd w:val="0"/>
        <w:snapToGri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投标人为联合体形式的，投标人名称填写所有联合体成员名称，盖章可只需联合体牵头人盖章。</w:t>
      </w:r>
    </w:p>
    <w:p w14:paraId="49B3BF67">
      <w:pPr>
        <w:snapToGrid w:val="0"/>
        <w:spacing w:after="50"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color w:val="auto"/>
          <w:sz w:val="22"/>
          <w:szCs w:val="22"/>
          <w:highlight w:val="none"/>
        </w:rPr>
        <w:br w:type="page"/>
      </w: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lang w:val="zh-CN"/>
        </w:rPr>
        <w:t>联合协议</w:t>
      </w:r>
    </w:p>
    <w:p w14:paraId="1647F651">
      <w:pPr>
        <w:snapToGrid w:val="0"/>
        <w:spacing w:before="50" w:after="50"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（以联合体形式投标的，提供联合协议；本项目不接受联合体投标或者投标人不以联合体形式投标的，则不需要提供）</w:t>
      </w:r>
    </w:p>
    <w:p w14:paraId="4B7D9016">
      <w:pPr>
        <w:keepNext w:val="0"/>
        <w:keepLines w:val="0"/>
        <w:pageBreakBefore w:val="0"/>
        <w:widowControl w:val="0"/>
        <w:kinsoku/>
        <w:wordWrap/>
        <w:overflowPunct/>
        <w:topLinePunct w:val="0"/>
        <w:autoSpaceDE/>
        <w:autoSpaceDN/>
        <w:bidi w:val="0"/>
        <w:adjustRightInd w:val="0"/>
        <w:snapToGrid w:val="0"/>
        <w:spacing w:line="360" w:lineRule="exact"/>
        <w:ind w:firstLine="576"/>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u w:val="single"/>
        </w:rPr>
        <w:t>（联合体所有成员名称）</w:t>
      </w:r>
      <w:r>
        <w:rPr>
          <w:rFonts w:hint="eastAsia" w:ascii="宋体" w:hAnsi="宋体" w:eastAsia="宋体" w:cs="宋体"/>
          <w:color w:val="auto"/>
          <w:kern w:val="0"/>
          <w:sz w:val="22"/>
          <w:szCs w:val="22"/>
          <w:highlight w:val="none"/>
        </w:rPr>
        <w:t>自愿</w:t>
      </w:r>
      <w:r>
        <w:rPr>
          <w:rFonts w:hint="eastAsia" w:ascii="宋体" w:hAnsi="宋体" w:eastAsia="宋体" w:cs="宋体"/>
          <w:color w:val="auto"/>
          <w:kern w:val="0"/>
          <w:sz w:val="22"/>
          <w:szCs w:val="22"/>
          <w:highlight w:val="none"/>
          <w:lang w:val="zh-CN"/>
        </w:rPr>
        <w:t>组成一个联合体，以一个投标人的身份</w:t>
      </w:r>
      <w:r>
        <w:rPr>
          <w:rFonts w:hint="eastAsia" w:ascii="宋体" w:hAnsi="宋体" w:eastAsia="宋体" w:cs="宋体"/>
          <w:color w:val="auto"/>
          <w:kern w:val="0"/>
          <w:sz w:val="22"/>
          <w:szCs w:val="22"/>
          <w:highlight w:val="none"/>
        </w:rPr>
        <w:t>参加</w:t>
      </w:r>
      <w:r>
        <w:rPr>
          <w:rFonts w:hint="eastAsia" w:ascii="宋体" w:hAnsi="宋体" w:eastAsia="宋体" w:cs="宋体"/>
          <w:color w:val="auto"/>
          <w:sz w:val="22"/>
          <w:szCs w:val="22"/>
          <w:highlight w:val="none"/>
        </w:rPr>
        <w:t>（项目名称）（项目编号）</w:t>
      </w:r>
      <w:r>
        <w:rPr>
          <w:rFonts w:hint="eastAsia" w:ascii="宋体" w:hAnsi="宋体" w:eastAsia="宋体" w:cs="宋体"/>
          <w:color w:val="auto"/>
          <w:kern w:val="0"/>
          <w:sz w:val="22"/>
          <w:szCs w:val="22"/>
          <w:highlight w:val="none"/>
          <w:lang w:val="zh-CN"/>
        </w:rPr>
        <w:t xml:space="preserve">投标。 </w:t>
      </w:r>
    </w:p>
    <w:p w14:paraId="30DB22E1">
      <w:pPr>
        <w:keepNext w:val="0"/>
        <w:keepLines w:val="0"/>
        <w:pageBreakBefore w:val="0"/>
        <w:widowControl w:val="0"/>
        <w:kinsoku/>
        <w:wordWrap/>
        <w:overflowPunct/>
        <w:topLinePunct w:val="0"/>
        <w:autoSpaceDE/>
        <w:autoSpaceDN/>
        <w:bidi w:val="0"/>
        <w:adjustRightInd w:val="0"/>
        <w:snapToGrid w:val="0"/>
        <w:spacing w:line="360" w:lineRule="exact"/>
        <w:ind w:firstLine="576"/>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一、各方一致决定，</w:t>
      </w:r>
      <w:r>
        <w:rPr>
          <w:rFonts w:hint="eastAsia" w:ascii="宋体" w:hAnsi="宋体" w:eastAsia="宋体" w:cs="宋体"/>
          <w:color w:val="auto"/>
          <w:kern w:val="0"/>
          <w:sz w:val="22"/>
          <w:szCs w:val="22"/>
          <w:highlight w:val="none"/>
          <w:u w:val="single"/>
        </w:rPr>
        <w:t>（某联合体成员名称）</w:t>
      </w:r>
      <w:r>
        <w:rPr>
          <w:rFonts w:hint="eastAsia" w:ascii="宋体" w:hAnsi="宋体" w:eastAsia="宋体" w:cs="宋体"/>
          <w:color w:val="auto"/>
          <w:kern w:val="0"/>
          <w:sz w:val="22"/>
          <w:szCs w:val="22"/>
          <w:highlight w:val="none"/>
        </w:rPr>
        <w:t>为联合体</w:t>
      </w:r>
      <w:r>
        <w:rPr>
          <w:rFonts w:hint="eastAsia" w:ascii="宋体" w:hAnsi="宋体" w:eastAsia="宋体" w:cs="宋体"/>
          <w:color w:val="auto"/>
          <w:kern w:val="0"/>
          <w:sz w:val="22"/>
          <w:szCs w:val="22"/>
          <w:highlight w:val="none"/>
          <w:lang w:val="zh-CN"/>
        </w:rPr>
        <w:t>牵头人</w:t>
      </w:r>
      <w:r>
        <w:rPr>
          <w:rFonts w:hint="eastAsia" w:ascii="宋体" w:hAnsi="宋体" w:eastAsia="宋体" w:cs="宋体"/>
          <w:color w:val="auto"/>
          <w:sz w:val="22"/>
          <w:szCs w:val="22"/>
          <w:highlight w:val="none"/>
        </w:rPr>
        <w:t>，代表所有联合体成员负责投标和合同实施阶段的主办、协调工作</w:t>
      </w:r>
      <w:r>
        <w:rPr>
          <w:rFonts w:hint="eastAsia" w:ascii="宋体" w:hAnsi="宋体" w:eastAsia="宋体" w:cs="宋体"/>
          <w:color w:val="auto"/>
          <w:kern w:val="0"/>
          <w:sz w:val="22"/>
          <w:szCs w:val="22"/>
          <w:highlight w:val="none"/>
          <w:lang w:val="zh-CN"/>
        </w:rPr>
        <w:t>。</w:t>
      </w:r>
    </w:p>
    <w:p w14:paraId="0695A850">
      <w:pPr>
        <w:keepNext w:val="0"/>
        <w:keepLines w:val="0"/>
        <w:pageBreakBefore w:val="0"/>
        <w:widowControl w:val="0"/>
        <w:kinsoku/>
        <w:wordWrap/>
        <w:overflowPunct/>
        <w:topLinePunct w:val="0"/>
        <w:autoSpaceDE/>
        <w:autoSpaceDN/>
        <w:bidi w:val="0"/>
        <w:adjustRightInd w:val="0"/>
        <w:snapToGrid w:val="0"/>
        <w:spacing w:line="360" w:lineRule="exact"/>
        <w:ind w:firstLine="576"/>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二、</w:t>
      </w:r>
      <w:r>
        <w:rPr>
          <w:rFonts w:hint="eastAsia" w:ascii="宋体" w:hAnsi="宋体" w:eastAsia="宋体" w:cs="宋体"/>
          <w:color w:val="auto"/>
          <w:sz w:val="22"/>
          <w:szCs w:val="22"/>
          <w:highlight w:val="none"/>
        </w:rPr>
        <w:t>所有联合体成员各方签署授权书，授权书载明的</w:t>
      </w:r>
      <w:r>
        <w:rPr>
          <w:rFonts w:hint="eastAsia" w:ascii="宋体" w:hAnsi="宋体" w:eastAsia="宋体" w:cs="宋体"/>
          <w:color w:val="auto"/>
          <w:kern w:val="0"/>
          <w:sz w:val="22"/>
          <w:szCs w:val="22"/>
          <w:highlight w:val="none"/>
          <w:lang w:val="zh-CN"/>
        </w:rPr>
        <w:t>授权代表根据招标文件规定及投标内容而对采购人、采购代理机构所作的任何合法承诺，包括书面澄清及相应等均对联合投标各方产生约束力。</w:t>
      </w:r>
    </w:p>
    <w:p w14:paraId="7C3DB9A5">
      <w:pPr>
        <w:keepNext w:val="0"/>
        <w:keepLines w:val="0"/>
        <w:pageBreakBefore w:val="0"/>
        <w:widowControl w:val="0"/>
        <w:kinsoku/>
        <w:wordWrap/>
        <w:overflowPunct/>
        <w:topLinePunct w:val="0"/>
        <w:autoSpaceDE/>
        <w:autoSpaceDN/>
        <w:bidi w:val="0"/>
        <w:adjustRightInd w:val="0"/>
        <w:snapToGrid w:val="0"/>
        <w:spacing w:line="360" w:lineRule="exact"/>
        <w:ind w:firstLine="576"/>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三、本次联合投标中，分工如下：</w:t>
      </w:r>
    </w:p>
    <w:p w14:paraId="28D33EFF">
      <w:pPr>
        <w:keepNext w:val="0"/>
        <w:keepLines w:val="0"/>
        <w:pageBreakBefore w:val="0"/>
        <w:widowControl w:val="0"/>
        <w:kinsoku/>
        <w:wordWrap/>
        <w:overflowPunct/>
        <w:topLinePunct w:val="0"/>
        <w:autoSpaceDE/>
        <w:autoSpaceDN/>
        <w:bidi w:val="0"/>
        <w:adjustRightInd w:val="0"/>
        <w:snapToGrid w:val="0"/>
        <w:spacing w:line="360" w:lineRule="exact"/>
        <w:ind w:firstLine="576"/>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u w:val="single"/>
        </w:rPr>
        <w:t>（联合体成员1）</w:t>
      </w:r>
      <w:r>
        <w:rPr>
          <w:rFonts w:hint="eastAsia" w:ascii="宋体" w:hAnsi="宋体" w:eastAsia="宋体" w:cs="宋体"/>
          <w:color w:val="auto"/>
          <w:kern w:val="0"/>
          <w:sz w:val="22"/>
          <w:szCs w:val="22"/>
          <w:highlight w:val="none"/>
          <w:lang w:val="zh-CN"/>
        </w:rPr>
        <w:t>承担的工作和义务为：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lang w:val="zh-CN"/>
        </w:rPr>
        <w:t>；</w:t>
      </w:r>
    </w:p>
    <w:p w14:paraId="2106329F">
      <w:pPr>
        <w:keepNext w:val="0"/>
        <w:keepLines w:val="0"/>
        <w:pageBreakBefore w:val="0"/>
        <w:widowControl w:val="0"/>
        <w:kinsoku/>
        <w:wordWrap/>
        <w:overflowPunct/>
        <w:topLinePunct w:val="0"/>
        <w:autoSpaceDE/>
        <w:autoSpaceDN/>
        <w:bidi w:val="0"/>
        <w:adjustRightInd w:val="0"/>
        <w:snapToGrid w:val="0"/>
        <w:spacing w:line="360" w:lineRule="exact"/>
        <w:ind w:firstLine="576"/>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u w:val="single"/>
        </w:rPr>
        <w:t>（联合体成员2）</w:t>
      </w:r>
      <w:r>
        <w:rPr>
          <w:rFonts w:hint="eastAsia" w:ascii="宋体" w:hAnsi="宋体" w:eastAsia="宋体" w:cs="宋体"/>
          <w:color w:val="auto"/>
          <w:kern w:val="0"/>
          <w:sz w:val="22"/>
          <w:szCs w:val="22"/>
          <w:highlight w:val="none"/>
          <w:lang w:val="zh-CN"/>
        </w:rPr>
        <w:t>承担的工作和义务为：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lang w:val="zh-CN"/>
        </w:rPr>
        <w:t>；</w:t>
      </w:r>
    </w:p>
    <w:p w14:paraId="4D7080BB">
      <w:pPr>
        <w:keepNext w:val="0"/>
        <w:keepLines w:val="0"/>
        <w:pageBreakBefore w:val="0"/>
        <w:widowControl w:val="0"/>
        <w:kinsoku/>
        <w:wordWrap/>
        <w:overflowPunct/>
        <w:topLinePunct w:val="0"/>
        <w:autoSpaceDE/>
        <w:autoSpaceDN/>
        <w:bidi w:val="0"/>
        <w:adjustRightInd w:val="0"/>
        <w:snapToGrid w:val="0"/>
        <w:spacing w:line="360" w:lineRule="exact"/>
        <w:ind w:firstLine="576"/>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w:t>
      </w:r>
    </w:p>
    <w:p w14:paraId="52059DA5">
      <w:pPr>
        <w:keepNext w:val="0"/>
        <w:keepLines w:val="0"/>
        <w:pageBreakBefore w:val="0"/>
        <w:widowControl w:val="0"/>
        <w:kinsoku/>
        <w:wordWrap/>
        <w:overflowPunct/>
        <w:topLinePunct w:val="0"/>
        <w:autoSpaceDE/>
        <w:autoSpaceDN/>
        <w:bidi w:val="0"/>
        <w:adjustRightInd w:val="0"/>
        <w:snapToGrid w:val="0"/>
        <w:spacing w:line="360" w:lineRule="exact"/>
        <w:ind w:firstLine="576"/>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四、联合体成员中小企业合同份额。</w:t>
      </w:r>
    </w:p>
    <w:p w14:paraId="3238A69E">
      <w:pPr>
        <w:keepNext w:val="0"/>
        <w:keepLines w:val="0"/>
        <w:pageBreakBefore w:val="0"/>
        <w:widowControl w:val="0"/>
        <w:kinsoku/>
        <w:wordWrap/>
        <w:overflowPunct/>
        <w:topLinePunct w:val="0"/>
        <w:autoSpaceDE/>
        <w:autoSpaceDN/>
        <w:bidi w:val="0"/>
        <w:adjustRightInd w:val="0"/>
        <w:snapToGrid w:val="0"/>
        <w:spacing w:line="360" w:lineRule="exact"/>
        <w:ind w:firstLine="576"/>
        <w:textAlignment w:val="auto"/>
        <w:rPr>
          <w:rFonts w:hint="eastAsia" w:ascii="宋体" w:hAnsi="宋体" w:eastAsia="宋体" w:cs="宋体"/>
          <w:b/>
          <w:color w:val="auto"/>
          <w:kern w:val="0"/>
          <w:sz w:val="22"/>
          <w:szCs w:val="22"/>
          <w:highlight w:val="none"/>
          <w:lang w:val="zh-CN"/>
        </w:rPr>
      </w:pPr>
      <w:r>
        <w:rPr>
          <w:rFonts w:hint="eastAsia" w:ascii="宋体" w:hAnsi="宋体" w:eastAsia="宋体" w:cs="宋体"/>
          <w:color w:val="auto"/>
          <w:kern w:val="0"/>
          <w:sz w:val="22"/>
          <w:szCs w:val="22"/>
          <w:highlight w:val="none"/>
          <w:lang w:val="zh-CN"/>
        </w:rPr>
        <w:t>1、</w:t>
      </w:r>
      <w:r>
        <w:rPr>
          <w:rFonts w:hint="eastAsia" w:ascii="宋体" w:hAnsi="宋体" w:eastAsia="宋体" w:cs="宋体"/>
          <w:color w:val="auto"/>
          <w:kern w:val="0"/>
          <w:sz w:val="22"/>
          <w:szCs w:val="22"/>
          <w:highlight w:val="none"/>
          <w:u w:val="single"/>
        </w:rPr>
        <w:t>（</w:t>
      </w:r>
      <w:bookmarkStart w:id="497" w:name="_Hlk101131882"/>
      <w:r>
        <w:rPr>
          <w:rFonts w:hint="eastAsia" w:ascii="宋体" w:hAnsi="宋体" w:eastAsia="宋体" w:cs="宋体"/>
          <w:color w:val="auto"/>
          <w:kern w:val="0"/>
          <w:sz w:val="22"/>
          <w:szCs w:val="22"/>
          <w:highlight w:val="none"/>
          <w:u w:val="single"/>
        </w:rPr>
        <w:t>联合体成员X，……</w:t>
      </w:r>
      <w:bookmarkEnd w:id="497"/>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提供的货物由小微企业制造，其合同份额占到合同总金额</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%以上</w:t>
      </w:r>
      <w:r>
        <w:rPr>
          <w:rFonts w:hint="eastAsia" w:ascii="宋体" w:hAnsi="宋体" w:eastAsia="宋体" w:cs="宋体"/>
          <w:color w:val="auto"/>
          <w:kern w:val="0"/>
          <w:sz w:val="22"/>
          <w:szCs w:val="22"/>
          <w:highlight w:val="none"/>
          <w:lang w:val="zh-CN"/>
        </w:rPr>
        <w:t>。</w:t>
      </w:r>
      <w:r>
        <w:rPr>
          <w:rFonts w:hint="eastAsia" w:ascii="宋体" w:hAnsi="宋体" w:eastAsia="宋体" w:cs="宋体"/>
          <w:b/>
          <w:color w:val="auto"/>
          <w:kern w:val="0"/>
          <w:sz w:val="22"/>
          <w:szCs w:val="22"/>
          <w:highlight w:val="none"/>
          <w:lang w:val="zh-CN"/>
        </w:rPr>
        <w:t>（</w:t>
      </w:r>
      <w:bookmarkStart w:id="498" w:name="_Hlk101133598"/>
      <w:r>
        <w:rPr>
          <w:rFonts w:hint="eastAsia" w:ascii="宋体" w:hAnsi="宋体" w:eastAsia="宋体" w:cs="宋体"/>
          <w:b/>
          <w:color w:val="auto"/>
          <w:kern w:val="0"/>
          <w:sz w:val="22"/>
          <w:szCs w:val="22"/>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2"/>
          <w:szCs w:val="22"/>
          <w:highlight w:val="none"/>
        </w:rPr>
        <w:t>拟享受以上价格扣除政策的，填写有关内容。</w:t>
      </w:r>
      <w:bookmarkEnd w:id="498"/>
      <w:r>
        <w:rPr>
          <w:rFonts w:hint="eastAsia" w:ascii="宋体" w:hAnsi="宋体" w:eastAsia="宋体" w:cs="宋体"/>
          <w:b/>
          <w:color w:val="auto"/>
          <w:kern w:val="0"/>
          <w:sz w:val="22"/>
          <w:szCs w:val="22"/>
          <w:highlight w:val="none"/>
          <w:lang w:val="zh-CN"/>
        </w:rPr>
        <w:t>）</w:t>
      </w:r>
    </w:p>
    <w:p w14:paraId="11446146">
      <w:pPr>
        <w:keepNext w:val="0"/>
        <w:keepLines w:val="0"/>
        <w:pageBreakBefore w:val="0"/>
        <w:widowControl w:val="0"/>
        <w:kinsoku/>
        <w:wordWrap/>
        <w:overflowPunct/>
        <w:topLinePunct w:val="0"/>
        <w:autoSpaceDE/>
        <w:autoSpaceDN/>
        <w:bidi w:val="0"/>
        <w:adjustRightInd w:val="0"/>
        <w:spacing w:line="360" w:lineRule="exact"/>
        <w:ind w:firstLine="440" w:firstLineChars="200"/>
        <w:textAlignment w:val="auto"/>
        <w:rPr>
          <w:rFonts w:hint="eastAsia" w:ascii="宋体" w:hAnsi="宋体" w:eastAsia="宋体" w:cs="宋体"/>
          <w:b/>
          <w:bCs/>
          <w:color w:val="auto"/>
          <w:kern w:val="0"/>
          <w:sz w:val="22"/>
          <w:szCs w:val="22"/>
          <w:highlight w:val="none"/>
          <w:lang w:val="zh-CN"/>
        </w:rPr>
      </w:pPr>
      <w:r>
        <w:rPr>
          <w:rFonts w:hint="eastAsia" w:ascii="宋体" w:hAnsi="宋体" w:eastAsia="宋体" w:cs="宋体"/>
          <w:color w:val="auto"/>
          <w:sz w:val="22"/>
          <w:szCs w:val="22"/>
          <w:highlight w:val="none"/>
        </w:rPr>
        <w:t>2、</w:t>
      </w:r>
      <w:bookmarkStart w:id="499" w:name="_Hlk101133173"/>
      <w:r>
        <w:rPr>
          <w:rFonts w:hint="eastAsia" w:ascii="宋体" w:hAnsi="宋体" w:eastAsia="宋体" w:cs="宋体"/>
          <w:color w:val="auto"/>
          <w:sz w:val="22"/>
          <w:szCs w:val="22"/>
          <w:highlight w:val="none"/>
        </w:rPr>
        <w:t>中小企业合同金额达到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%，小微企业合同金额达到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lang w:val="zh-CN"/>
        </w:rPr>
        <w:t>。</w:t>
      </w:r>
      <w:r>
        <w:rPr>
          <w:rFonts w:hint="eastAsia" w:ascii="宋体" w:hAnsi="宋体" w:eastAsia="宋体" w:cs="宋体"/>
          <w:b/>
          <w:bCs/>
          <w:color w:val="auto"/>
          <w:kern w:val="0"/>
          <w:sz w:val="22"/>
          <w:szCs w:val="22"/>
          <w:highlight w:val="none"/>
          <w:lang w:val="zh-CN"/>
        </w:rPr>
        <w:t>（</w:t>
      </w:r>
      <w:r>
        <w:rPr>
          <w:rFonts w:hint="eastAsia" w:ascii="宋体" w:hAnsi="宋体" w:eastAsia="宋体" w:cs="宋体"/>
          <w:b/>
          <w:bCs/>
          <w:color w:val="auto"/>
          <w:sz w:val="22"/>
          <w:szCs w:val="22"/>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2"/>
          <w:szCs w:val="22"/>
          <w:highlight w:val="none"/>
          <w:lang w:val="zh-CN"/>
        </w:rPr>
        <w:t>）</w:t>
      </w:r>
      <w:bookmarkEnd w:id="499"/>
    </w:p>
    <w:p w14:paraId="3A0A2558">
      <w:pPr>
        <w:keepNext w:val="0"/>
        <w:keepLines w:val="0"/>
        <w:pageBreakBefore w:val="0"/>
        <w:widowControl w:val="0"/>
        <w:kinsoku/>
        <w:wordWrap/>
        <w:overflowPunct/>
        <w:topLinePunct w:val="0"/>
        <w:autoSpaceDE/>
        <w:autoSpaceDN/>
        <w:bidi w:val="0"/>
        <w:adjustRightInd w:val="0"/>
        <w:snapToGrid w:val="0"/>
        <w:spacing w:line="360" w:lineRule="exact"/>
        <w:ind w:firstLine="576"/>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五、如果中标，</w:t>
      </w:r>
      <w:r>
        <w:rPr>
          <w:rFonts w:hint="eastAsia" w:ascii="宋体" w:hAnsi="宋体" w:eastAsia="宋体" w:cs="宋体"/>
          <w:color w:val="auto"/>
          <w:sz w:val="22"/>
          <w:szCs w:val="22"/>
          <w:highlight w:val="none"/>
        </w:rPr>
        <w:t>联合体各成员方共同与采购人签订合同，并就采购合同约定的事项对采购人承担连带责任。</w:t>
      </w:r>
    </w:p>
    <w:p w14:paraId="3BF4E33D">
      <w:pPr>
        <w:keepNext w:val="0"/>
        <w:keepLines w:val="0"/>
        <w:pageBreakBefore w:val="0"/>
        <w:widowControl w:val="0"/>
        <w:kinsoku/>
        <w:wordWrap/>
        <w:overflowPunct/>
        <w:topLinePunct w:val="0"/>
        <w:autoSpaceDE/>
        <w:autoSpaceDN/>
        <w:bidi w:val="0"/>
        <w:adjustRightInd w:val="0"/>
        <w:snapToGrid w:val="0"/>
        <w:spacing w:line="360" w:lineRule="exact"/>
        <w:ind w:firstLine="576"/>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六、有关本次联合投标的其他事宜：</w:t>
      </w:r>
    </w:p>
    <w:p w14:paraId="40611692">
      <w:pPr>
        <w:keepNext w:val="0"/>
        <w:keepLines w:val="0"/>
        <w:pageBreakBefore w:val="0"/>
        <w:widowControl w:val="0"/>
        <w:kinsoku/>
        <w:wordWrap/>
        <w:overflowPunct/>
        <w:topLinePunct w:val="0"/>
        <w:autoSpaceDE/>
        <w:autoSpaceDN/>
        <w:bidi w:val="0"/>
        <w:adjustRightInd w:val="0"/>
        <w:snapToGrid w:val="0"/>
        <w:spacing w:line="360" w:lineRule="exact"/>
        <w:ind w:firstLine="576"/>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1、联合体各方不再单独参加或者与其他供应商另外组成联合体参加同一合同项下的政府采购活动。</w:t>
      </w:r>
    </w:p>
    <w:p w14:paraId="31DA929F">
      <w:pPr>
        <w:keepNext w:val="0"/>
        <w:keepLines w:val="0"/>
        <w:pageBreakBefore w:val="0"/>
        <w:widowControl w:val="0"/>
        <w:kinsoku/>
        <w:wordWrap/>
        <w:overflowPunct/>
        <w:topLinePunct w:val="0"/>
        <w:autoSpaceDE/>
        <w:autoSpaceDN/>
        <w:bidi w:val="0"/>
        <w:adjustRightInd w:val="0"/>
        <w:snapToGrid w:val="0"/>
        <w:spacing w:line="360" w:lineRule="exact"/>
        <w:ind w:firstLine="576"/>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2、联合体中有同类资质的各方按照联合体分工承担相同工作的，按照资质等级较低的供应商确定资质等级。</w:t>
      </w:r>
    </w:p>
    <w:p w14:paraId="4BEC3A46">
      <w:pPr>
        <w:keepNext w:val="0"/>
        <w:keepLines w:val="0"/>
        <w:pageBreakBefore w:val="0"/>
        <w:widowControl w:val="0"/>
        <w:kinsoku/>
        <w:wordWrap/>
        <w:overflowPunct/>
        <w:topLinePunct w:val="0"/>
        <w:autoSpaceDE/>
        <w:autoSpaceDN/>
        <w:bidi w:val="0"/>
        <w:adjustRightInd w:val="0"/>
        <w:snapToGrid w:val="0"/>
        <w:spacing w:line="360" w:lineRule="exact"/>
        <w:ind w:firstLine="576"/>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3、本协议提交采购人、采购代理机构后，联合体各方不得以任何形式对上述内容进行修改或撤销。</w:t>
      </w:r>
    </w:p>
    <w:p w14:paraId="764A64A2">
      <w:pPr>
        <w:keepNext w:val="0"/>
        <w:keepLines w:val="0"/>
        <w:pageBreakBefore w:val="0"/>
        <w:widowControl w:val="0"/>
        <w:kinsoku/>
        <w:wordWrap/>
        <w:overflowPunct/>
        <w:topLinePunct w:val="0"/>
        <w:autoSpaceDE/>
        <w:autoSpaceDN/>
        <w:bidi w:val="0"/>
        <w:adjustRightInd w:val="0"/>
        <w:snapToGrid w:val="0"/>
        <w:spacing w:line="360" w:lineRule="exact"/>
        <w:ind w:firstLine="576"/>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4、</w:t>
      </w:r>
      <w:r>
        <w:rPr>
          <w:rFonts w:hint="eastAsia" w:ascii="宋体" w:hAnsi="宋体" w:eastAsia="宋体" w:cs="宋体"/>
          <w:color w:val="auto"/>
          <w:sz w:val="22"/>
          <w:highlight w:val="none"/>
          <w:u w:val="single"/>
        </w:rPr>
        <w:t xml:space="preserve">      </w:t>
      </w:r>
      <w:r>
        <w:rPr>
          <w:rFonts w:hint="eastAsia" w:ascii="宋体" w:hAnsi="宋体" w:eastAsia="宋体" w:cs="宋体"/>
          <w:color w:val="auto"/>
          <w:kern w:val="0"/>
          <w:sz w:val="22"/>
          <w:highlight w:val="none"/>
          <w:u w:val="single"/>
          <w:lang w:val="zh-CN"/>
        </w:rPr>
        <w:t>（联</w:t>
      </w:r>
      <w:r>
        <w:rPr>
          <w:rFonts w:hint="eastAsia" w:ascii="宋体" w:hAnsi="宋体" w:eastAsia="宋体" w:cs="宋体"/>
          <w:color w:val="auto"/>
          <w:sz w:val="22"/>
          <w:highlight w:val="none"/>
          <w:u w:val="single"/>
        </w:rPr>
        <w:t>合体牵头人</w:t>
      </w:r>
      <w:r>
        <w:rPr>
          <w:rFonts w:hint="eastAsia" w:ascii="宋体" w:hAnsi="宋体" w:eastAsia="宋体" w:cs="宋体"/>
          <w:color w:val="auto"/>
          <w:kern w:val="0"/>
          <w:sz w:val="22"/>
          <w:highlight w:val="none"/>
          <w:u w:val="single"/>
          <w:lang w:val="zh-CN"/>
        </w:rPr>
        <w:t>）</w:t>
      </w:r>
      <w:r>
        <w:rPr>
          <w:rFonts w:hint="eastAsia" w:ascii="宋体" w:hAnsi="宋体" w:eastAsia="宋体" w:cs="宋体"/>
          <w:color w:val="auto"/>
          <w:sz w:val="22"/>
          <w:highlight w:val="none"/>
        </w:rPr>
        <w:t>与</w:t>
      </w:r>
      <w:r>
        <w:rPr>
          <w:rFonts w:hint="eastAsia" w:ascii="宋体" w:hAnsi="宋体" w:eastAsia="宋体" w:cs="宋体"/>
          <w:color w:val="auto"/>
          <w:sz w:val="22"/>
          <w:highlight w:val="none"/>
          <w:u w:val="single"/>
        </w:rPr>
        <w:t xml:space="preserve">       （</w:t>
      </w:r>
      <w:r>
        <w:rPr>
          <w:rFonts w:hint="eastAsia" w:ascii="宋体" w:hAnsi="宋体" w:eastAsia="宋体" w:cs="宋体"/>
          <w:color w:val="auto"/>
          <w:kern w:val="0"/>
          <w:sz w:val="22"/>
          <w:highlight w:val="none"/>
          <w:u w:val="single"/>
        </w:rPr>
        <w:t>联合体的成员方</w:t>
      </w:r>
      <w:r>
        <w:rPr>
          <w:rFonts w:hint="eastAsia" w:ascii="宋体" w:hAnsi="宋体" w:eastAsia="宋体" w:cs="宋体"/>
          <w:color w:val="auto"/>
          <w:sz w:val="22"/>
          <w:highlight w:val="none"/>
          <w:u w:val="single"/>
        </w:rPr>
        <w:t>）</w:t>
      </w:r>
      <w:r>
        <w:rPr>
          <w:rFonts w:hint="eastAsia" w:ascii="宋体" w:hAnsi="宋体" w:eastAsia="宋体" w:cs="宋体"/>
          <w:color w:val="auto"/>
          <w:sz w:val="22"/>
          <w:highlight w:val="none"/>
        </w:rPr>
        <w:t>之间</w:t>
      </w:r>
      <w:r>
        <w:rPr>
          <w:rFonts w:hint="eastAsia" w:ascii="宋体" w:hAnsi="宋体" w:eastAsia="宋体" w:cs="宋体"/>
          <w:color w:val="auto"/>
          <w:sz w:val="22"/>
          <w:highlight w:val="none"/>
          <w:u w:val="single"/>
        </w:rPr>
        <w:t xml:space="preserve">        （填写是或者否）</w:t>
      </w:r>
      <w:r>
        <w:rPr>
          <w:rFonts w:hint="eastAsia" w:ascii="宋体" w:hAnsi="宋体" w:eastAsia="宋体" w:cs="宋体"/>
          <w:color w:val="auto"/>
          <w:sz w:val="22"/>
          <w:highlight w:val="none"/>
        </w:rPr>
        <w:t>存在直接控股、管理关系。</w:t>
      </w:r>
    </w:p>
    <w:p w14:paraId="72C62712">
      <w:pPr>
        <w:keepNext w:val="0"/>
        <w:keepLines w:val="0"/>
        <w:pageBreakBefore w:val="0"/>
        <w:widowControl w:val="0"/>
        <w:kinsoku/>
        <w:wordWrap/>
        <w:overflowPunct/>
        <w:topLinePunct w:val="0"/>
        <w:autoSpaceDE/>
        <w:autoSpaceDN/>
        <w:bidi w:val="0"/>
        <w:adjustRightInd w:val="0"/>
        <w:snapToGrid w:val="0"/>
        <w:spacing w:line="360" w:lineRule="exact"/>
        <w:ind w:firstLine="4620" w:firstLineChars="2100"/>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联合体成员名称(电子签名或公章)：</w:t>
      </w:r>
    </w:p>
    <w:p w14:paraId="29C4725F">
      <w:pPr>
        <w:keepNext w:val="0"/>
        <w:keepLines w:val="0"/>
        <w:pageBreakBefore w:val="0"/>
        <w:widowControl w:val="0"/>
        <w:kinsoku/>
        <w:wordWrap/>
        <w:overflowPunct/>
        <w:topLinePunct w:val="0"/>
        <w:autoSpaceDE/>
        <w:autoSpaceDN/>
        <w:bidi w:val="0"/>
        <w:adjustRightInd w:val="0"/>
        <w:snapToGrid w:val="0"/>
        <w:spacing w:line="360" w:lineRule="exact"/>
        <w:ind w:firstLine="4620" w:firstLineChars="2100"/>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联合体成员名称(电子签名或公章)：</w:t>
      </w:r>
    </w:p>
    <w:p w14:paraId="65D30AC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 xml:space="preserve">                   ……</w:t>
      </w:r>
    </w:p>
    <w:p w14:paraId="5C6D2527">
      <w:pPr>
        <w:keepNext w:val="0"/>
        <w:keepLines w:val="0"/>
        <w:pageBreakBefore w:val="0"/>
        <w:widowControl w:val="0"/>
        <w:kinsoku/>
        <w:wordWrap/>
        <w:overflowPunct/>
        <w:topLinePunct w:val="0"/>
        <w:autoSpaceDE/>
        <w:autoSpaceDN/>
        <w:bidi w:val="0"/>
        <w:adjustRightInd w:val="0"/>
        <w:snapToGrid w:val="0"/>
        <w:spacing w:line="360" w:lineRule="exact"/>
        <w:jc w:val="righ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日期：  年  月   日</w:t>
      </w:r>
    </w:p>
    <w:p w14:paraId="4EDC2098">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注：按本格式和要求提供。</w:t>
      </w:r>
    </w:p>
    <w:p w14:paraId="0DEBC8B2">
      <w:pPr>
        <w:widowControl/>
        <w:spacing w:after="50" w:line="360" w:lineRule="exact"/>
        <w:ind w:firstLine="161" w:firstLineChars="5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br w:type="page"/>
      </w:r>
      <w:r>
        <w:rPr>
          <w:rFonts w:hint="eastAsia" w:ascii="宋体" w:hAnsi="宋体" w:eastAsia="宋体" w:cs="宋体"/>
          <w:b/>
          <w:color w:val="auto"/>
          <w:spacing w:val="6"/>
          <w:sz w:val="32"/>
          <w:szCs w:val="32"/>
          <w:highlight w:val="none"/>
        </w:rPr>
        <w:t>附件7：分包</w:t>
      </w:r>
      <w:r>
        <w:rPr>
          <w:rFonts w:hint="eastAsia" w:ascii="宋体" w:hAnsi="宋体" w:eastAsia="宋体" w:cs="宋体"/>
          <w:b/>
          <w:color w:val="auto"/>
          <w:spacing w:val="6"/>
          <w:sz w:val="32"/>
          <w:szCs w:val="32"/>
          <w:highlight w:val="none"/>
          <w:lang w:val="zh-CN"/>
        </w:rPr>
        <w:t>协议</w:t>
      </w:r>
    </w:p>
    <w:p w14:paraId="5C3C105B">
      <w:pPr>
        <w:widowControl/>
        <w:spacing w:line="360" w:lineRule="exact"/>
        <w:ind w:firstLine="110" w:firstLineChars="5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2"/>
          <w:szCs w:val="22"/>
          <w:highlight w:val="none"/>
        </w:rPr>
        <w:t>）</w:t>
      </w:r>
    </w:p>
    <w:p w14:paraId="64D17FD8">
      <w:pPr>
        <w:snapToGrid w:val="0"/>
        <w:spacing w:line="360" w:lineRule="exact"/>
        <w:ind w:firstLine="576"/>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u w:val="single"/>
        </w:rPr>
        <w:t>（投标人名称）</w:t>
      </w:r>
      <w:r>
        <w:rPr>
          <w:rFonts w:hint="eastAsia" w:ascii="宋体" w:hAnsi="宋体" w:eastAsia="宋体" w:cs="宋体"/>
          <w:color w:val="auto"/>
          <w:kern w:val="0"/>
          <w:sz w:val="22"/>
          <w:szCs w:val="22"/>
          <w:highlight w:val="none"/>
          <w:lang w:val="zh-CN"/>
        </w:rPr>
        <w:t>若成为</w:t>
      </w:r>
      <w:r>
        <w:rPr>
          <w:rFonts w:hint="eastAsia" w:ascii="宋体" w:hAnsi="宋体" w:eastAsia="宋体" w:cs="宋体"/>
          <w:color w:val="auto"/>
          <w:sz w:val="22"/>
          <w:szCs w:val="22"/>
          <w:highlight w:val="none"/>
        </w:rPr>
        <w:t>（项目名称）（项目编号）</w:t>
      </w:r>
      <w:r>
        <w:rPr>
          <w:rFonts w:hint="eastAsia" w:ascii="宋体" w:hAnsi="宋体" w:eastAsia="宋体" w:cs="宋体"/>
          <w:color w:val="auto"/>
          <w:kern w:val="0"/>
          <w:sz w:val="22"/>
          <w:szCs w:val="22"/>
          <w:highlight w:val="none"/>
          <w:lang w:val="zh-CN"/>
        </w:rPr>
        <w:t>的中标供应商，将依法采取分包方式履行合同。</w:t>
      </w:r>
      <w:r>
        <w:rPr>
          <w:rFonts w:hint="eastAsia" w:ascii="宋体" w:hAnsi="宋体" w:eastAsia="宋体" w:cs="宋体"/>
          <w:color w:val="auto"/>
          <w:kern w:val="0"/>
          <w:sz w:val="22"/>
          <w:szCs w:val="22"/>
          <w:highlight w:val="none"/>
          <w:u w:val="single"/>
        </w:rPr>
        <w:t>（投标人名称）</w:t>
      </w:r>
      <w:r>
        <w:rPr>
          <w:rFonts w:hint="eastAsia" w:ascii="宋体" w:hAnsi="宋体" w:eastAsia="宋体" w:cs="宋体"/>
          <w:color w:val="auto"/>
          <w:kern w:val="0"/>
          <w:sz w:val="22"/>
          <w:szCs w:val="22"/>
          <w:highlight w:val="none"/>
        </w:rPr>
        <w:t>与</w:t>
      </w:r>
      <w:r>
        <w:rPr>
          <w:rFonts w:hint="eastAsia" w:ascii="宋体" w:hAnsi="宋体" w:eastAsia="宋体" w:cs="宋体"/>
          <w:color w:val="auto"/>
          <w:kern w:val="0"/>
          <w:sz w:val="22"/>
          <w:szCs w:val="22"/>
          <w:highlight w:val="none"/>
          <w:u w:val="single"/>
        </w:rPr>
        <w:t>（所有分包供应商名称）</w:t>
      </w:r>
      <w:r>
        <w:rPr>
          <w:rFonts w:hint="eastAsia" w:ascii="宋体" w:hAnsi="宋体" w:eastAsia="宋体" w:cs="宋体"/>
          <w:color w:val="auto"/>
          <w:kern w:val="0"/>
          <w:sz w:val="22"/>
          <w:szCs w:val="22"/>
          <w:highlight w:val="none"/>
        </w:rPr>
        <w:t>达成分包意向协议</w:t>
      </w:r>
      <w:r>
        <w:rPr>
          <w:rFonts w:hint="eastAsia" w:ascii="宋体" w:hAnsi="宋体" w:eastAsia="宋体" w:cs="宋体"/>
          <w:color w:val="auto"/>
          <w:kern w:val="0"/>
          <w:sz w:val="22"/>
          <w:szCs w:val="22"/>
          <w:highlight w:val="none"/>
          <w:lang w:val="zh-CN"/>
        </w:rPr>
        <w:t xml:space="preserve">。 </w:t>
      </w:r>
    </w:p>
    <w:p w14:paraId="5ABD6F45">
      <w:pPr>
        <w:snapToGrid w:val="0"/>
        <w:spacing w:line="3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一、分包标的及数量</w:t>
      </w:r>
    </w:p>
    <w:p w14:paraId="1EB4D840">
      <w:pPr>
        <w:snapToGrid w:val="0"/>
        <w:spacing w:line="3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u w:val="single"/>
        </w:rPr>
        <w:t>（投标人名称）</w:t>
      </w:r>
      <w:r>
        <w:rPr>
          <w:rFonts w:hint="eastAsia" w:ascii="宋体" w:hAnsi="宋体" w:eastAsia="宋体" w:cs="宋体"/>
          <w:color w:val="auto"/>
          <w:kern w:val="0"/>
          <w:sz w:val="22"/>
          <w:szCs w:val="22"/>
          <w:highlight w:val="none"/>
          <w:lang w:val="zh-CN"/>
        </w:rPr>
        <w:t>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u w:val="single"/>
        </w:rPr>
        <w:t xml:space="preserve"> XX工作内容   </w:t>
      </w:r>
      <w:r>
        <w:rPr>
          <w:rFonts w:hint="eastAsia" w:ascii="宋体" w:hAnsi="宋体" w:eastAsia="宋体" w:cs="宋体"/>
          <w:color w:val="auto"/>
          <w:sz w:val="22"/>
          <w:szCs w:val="22"/>
          <w:highlight w:val="none"/>
        </w:rPr>
        <w:t>分包给</w:t>
      </w:r>
      <w:r>
        <w:rPr>
          <w:rFonts w:hint="eastAsia" w:ascii="宋体" w:hAnsi="宋体" w:eastAsia="宋体" w:cs="宋体"/>
          <w:color w:val="auto"/>
          <w:kern w:val="0"/>
          <w:sz w:val="22"/>
          <w:szCs w:val="22"/>
          <w:highlight w:val="none"/>
          <w:u w:val="single"/>
        </w:rPr>
        <w:t>（分包供应商1名称）</w:t>
      </w:r>
      <w:r>
        <w:rPr>
          <w:rFonts w:hint="eastAsia" w:ascii="宋体" w:hAnsi="宋体" w:eastAsia="宋体" w:cs="宋体"/>
          <w:color w:val="auto"/>
          <w:kern w:val="0"/>
          <w:sz w:val="22"/>
          <w:szCs w:val="22"/>
          <w:highlight w:val="none"/>
          <w:lang w:val="zh-CN"/>
        </w:rPr>
        <w:t>，</w:t>
      </w:r>
      <w:r>
        <w:rPr>
          <w:rFonts w:hint="eastAsia" w:ascii="宋体" w:hAnsi="宋体" w:eastAsia="宋体" w:cs="宋体"/>
          <w:color w:val="auto"/>
          <w:kern w:val="0"/>
          <w:sz w:val="22"/>
          <w:szCs w:val="22"/>
          <w:highlight w:val="none"/>
          <w:u w:val="single"/>
        </w:rPr>
        <w:t>（分包供应商2名称），</w:t>
      </w:r>
      <w:r>
        <w:rPr>
          <w:rFonts w:hint="eastAsia" w:ascii="宋体" w:hAnsi="宋体" w:eastAsia="宋体" w:cs="宋体"/>
          <w:color w:val="auto"/>
          <w:kern w:val="0"/>
          <w:sz w:val="22"/>
          <w:szCs w:val="22"/>
          <w:highlight w:val="none"/>
          <w:lang w:val="zh-CN"/>
        </w:rPr>
        <w:t>具备承</w:t>
      </w:r>
      <w:r>
        <w:rPr>
          <w:rFonts w:hint="eastAsia" w:ascii="宋体" w:hAnsi="宋体" w:eastAsia="宋体" w:cs="宋体"/>
          <w:color w:val="auto"/>
          <w:kern w:val="0"/>
          <w:sz w:val="22"/>
          <w:szCs w:val="22"/>
          <w:highlight w:val="none"/>
        </w:rPr>
        <w:t>担</w:t>
      </w:r>
      <w:r>
        <w:rPr>
          <w:rFonts w:hint="eastAsia" w:ascii="宋体" w:hAnsi="宋体" w:eastAsia="宋体" w:cs="宋体"/>
          <w:color w:val="auto"/>
          <w:kern w:val="0"/>
          <w:sz w:val="22"/>
          <w:szCs w:val="22"/>
          <w:highlight w:val="none"/>
          <w:u w:val="single"/>
          <w:lang w:val="zh-CN"/>
        </w:rPr>
        <w:t>XX工作内容</w:t>
      </w:r>
      <w:r>
        <w:rPr>
          <w:rFonts w:hint="eastAsia" w:ascii="宋体" w:hAnsi="宋体" w:eastAsia="宋体" w:cs="宋体"/>
          <w:color w:val="auto"/>
          <w:kern w:val="0"/>
          <w:sz w:val="22"/>
          <w:szCs w:val="22"/>
          <w:highlight w:val="none"/>
          <w:lang w:val="zh-CN"/>
        </w:rPr>
        <w:t>相应资质条件且不得再次分包；</w:t>
      </w:r>
    </w:p>
    <w:p w14:paraId="4804BC8E">
      <w:pPr>
        <w:snapToGrid w:val="0"/>
        <w:spacing w:line="3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二、分包供应商中小企业合同份额</w:t>
      </w:r>
    </w:p>
    <w:p w14:paraId="49884ED2">
      <w:pPr>
        <w:snapToGrid w:val="0"/>
        <w:spacing w:line="360" w:lineRule="exact"/>
        <w:ind w:firstLine="440" w:firstLineChars="200"/>
        <w:rPr>
          <w:rFonts w:hint="eastAsia" w:ascii="宋体" w:hAnsi="宋体" w:eastAsia="宋体" w:cs="宋体"/>
          <w:b/>
          <w:color w:val="auto"/>
          <w:kern w:val="0"/>
          <w:sz w:val="22"/>
          <w:szCs w:val="22"/>
          <w:highlight w:val="none"/>
          <w:lang w:val="zh-CN"/>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u w:val="single"/>
        </w:rPr>
        <w:t>（分包供应商X，……）提供的货物全部由小微企业制造，</w:t>
      </w:r>
      <w:r>
        <w:rPr>
          <w:rFonts w:hint="eastAsia" w:ascii="宋体" w:hAnsi="宋体" w:eastAsia="宋体" w:cs="宋体"/>
          <w:color w:val="auto"/>
          <w:kern w:val="0"/>
          <w:sz w:val="22"/>
          <w:szCs w:val="22"/>
          <w:highlight w:val="none"/>
        </w:rPr>
        <w:t>其合同份额占到合同总金额</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%以上</w:t>
      </w:r>
      <w:r>
        <w:rPr>
          <w:rFonts w:hint="eastAsia" w:ascii="宋体" w:hAnsi="宋体" w:eastAsia="宋体" w:cs="宋体"/>
          <w:color w:val="auto"/>
          <w:sz w:val="22"/>
          <w:szCs w:val="22"/>
          <w:highlight w:val="none"/>
        </w:rPr>
        <w:t>。</w:t>
      </w:r>
      <w:r>
        <w:rPr>
          <w:rFonts w:hint="eastAsia" w:ascii="宋体" w:hAnsi="宋体" w:eastAsia="宋体" w:cs="宋体"/>
          <w:b/>
          <w:color w:val="auto"/>
          <w:kern w:val="0"/>
          <w:sz w:val="22"/>
          <w:szCs w:val="22"/>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2"/>
          <w:szCs w:val="22"/>
          <w:highlight w:val="none"/>
        </w:rPr>
        <w:t>拟享受以上价格扣除政策的，填写有关内容。</w:t>
      </w:r>
      <w:r>
        <w:rPr>
          <w:rFonts w:hint="eastAsia" w:ascii="宋体" w:hAnsi="宋体" w:eastAsia="宋体" w:cs="宋体"/>
          <w:b/>
          <w:color w:val="auto"/>
          <w:kern w:val="0"/>
          <w:sz w:val="22"/>
          <w:szCs w:val="22"/>
          <w:highlight w:val="none"/>
          <w:lang w:val="zh-CN"/>
        </w:rPr>
        <w:t>）</w:t>
      </w:r>
    </w:p>
    <w:p w14:paraId="22D399FE">
      <w:pPr>
        <w:spacing w:line="360" w:lineRule="exact"/>
        <w:ind w:firstLine="440" w:firstLineChars="200"/>
        <w:rPr>
          <w:rFonts w:hint="eastAsia" w:ascii="宋体" w:hAnsi="宋体" w:eastAsia="宋体" w:cs="宋体"/>
          <w:b/>
          <w:bCs/>
          <w:color w:val="auto"/>
          <w:kern w:val="0"/>
          <w:sz w:val="22"/>
          <w:szCs w:val="22"/>
          <w:highlight w:val="none"/>
          <w:lang w:val="zh-CN"/>
        </w:rPr>
      </w:pPr>
      <w:r>
        <w:rPr>
          <w:rFonts w:hint="eastAsia" w:ascii="宋体" w:hAnsi="宋体" w:eastAsia="宋体" w:cs="宋体"/>
          <w:color w:val="auto"/>
          <w:sz w:val="22"/>
          <w:szCs w:val="22"/>
          <w:highlight w:val="none"/>
        </w:rPr>
        <w:t>2、中小企业合同金额达到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%，小微企业合同金额达到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lang w:val="zh-CN"/>
        </w:rPr>
        <w:t>。</w:t>
      </w:r>
      <w:r>
        <w:rPr>
          <w:rFonts w:hint="eastAsia" w:ascii="宋体" w:hAnsi="宋体" w:eastAsia="宋体" w:cs="宋体"/>
          <w:b/>
          <w:bCs/>
          <w:color w:val="auto"/>
          <w:kern w:val="0"/>
          <w:sz w:val="22"/>
          <w:szCs w:val="22"/>
          <w:highlight w:val="none"/>
          <w:lang w:val="zh-CN"/>
        </w:rPr>
        <w:t>（</w:t>
      </w:r>
      <w:r>
        <w:rPr>
          <w:rFonts w:hint="eastAsia" w:ascii="宋体" w:hAnsi="宋体" w:eastAsia="宋体" w:cs="宋体"/>
          <w:b/>
          <w:bCs/>
          <w:color w:val="auto"/>
          <w:sz w:val="22"/>
          <w:szCs w:val="22"/>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2"/>
          <w:szCs w:val="22"/>
          <w:highlight w:val="none"/>
          <w:lang w:val="zh-CN"/>
        </w:rPr>
        <w:t>分包意向协议</w:t>
      </w:r>
      <w:r>
        <w:rPr>
          <w:rFonts w:hint="eastAsia" w:ascii="宋体" w:hAnsi="宋体" w:eastAsia="宋体" w:cs="宋体"/>
          <w:b/>
          <w:bCs/>
          <w:color w:val="auto"/>
          <w:sz w:val="22"/>
          <w:szCs w:val="22"/>
          <w:highlight w:val="none"/>
        </w:rPr>
        <w:t>中中小企业、小微企业合同金额应当达到的比例要求填写。</w:t>
      </w:r>
      <w:r>
        <w:rPr>
          <w:rFonts w:hint="eastAsia" w:ascii="宋体" w:hAnsi="宋体" w:eastAsia="宋体" w:cs="宋体"/>
          <w:b/>
          <w:bCs/>
          <w:color w:val="auto"/>
          <w:kern w:val="0"/>
          <w:sz w:val="22"/>
          <w:szCs w:val="22"/>
          <w:highlight w:val="none"/>
          <w:lang w:val="zh-CN"/>
        </w:rPr>
        <w:t>）</w:t>
      </w:r>
    </w:p>
    <w:p w14:paraId="7F2002DC">
      <w:pPr>
        <w:snapToGrid w:val="0"/>
        <w:spacing w:line="3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三、分包工作履行期限、地点、方式</w:t>
      </w:r>
    </w:p>
    <w:p w14:paraId="0D4BA7E1">
      <w:pPr>
        <w:snapToGrid w:val="0"/>
        <w:spacing w:line="3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 xml:space="preserve">                                                                                  </w:t>
      </w:r>
    </w:p>
    <w:p w14:paraId="0681AACA">
      <w:pPr>
        <w:snapToGrid w:val="0"/>
        <w:spacing w:line="3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四、质量</w:t>
      </w:r>
    </w:p>
    <w:p w14:paraId="36A46571">
      <w:pPr>
        <w:snapToGrid w:val="0"/>
        <w:spacing w:line="3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u w:val="single"/>
        </w:rPr>
        <w:t xml:space="preserve">                                                                                       </w:t>
      </w:r>
    </w:p>
    <w:p w14:paraId="01CB4FCC">
      <w:pPr>
        <w:snapToGrid w:val="0"/>
        <w:spacing w:line="3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五、价款或者报酬</w:t>
      </w:r>
    </w:p>
    <w:p w14:paraId="6F981432">
      <w:pPr>
        <w:snapToGrid w:val="0"/>
        <w:spacing w:line="3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u w:val="single"/>
        </w:rPr>
        <w:t xml:space="preserve">                                                                                     </w:t>
      </w:r>
    </w:p>
    <w:p w14:paraId="392CDB74">
      <w:pPr>
        <w:snapToGrid w:val="0"/>
        <w:spacing w:line="3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六、违约责任</w:t>
      </w:r>
    </w:p>
    <w:p w14:paraId="23F22B90">
      <w:pPr>
        <w:snapToGrid w:val="0"/>
        <w:spacing w:line="3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u w:val="single"/>
        </w:rPr>
        <w:t xml:space="preserve">                                                                                     </w:t>
      </w:r>
    </w:p>
    <w:p w14:paraId="78E6AF8A">
      <w:pPr>
        <w:snapToGrid w:val="0"/>
        <w:spacing w:line="3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七、争议解决的办法</w:t>
      </w:r>
    </w:p>
    <w:p w14:paraId="25622062">
      <w:pPr>
        <w:snapToGrid w:val="0"/>
        <w:spacing w:line="3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u w:val="single"/>
        </w:rPr>
        <w:t xml:space="preserve">                                                                                  </w:t>
      </w:r>
    </w:p>
    <w:p w14:paraId="382CBC39">
      <w:pPr>
        <w:numPr>
          <w:ilvl w:val="0"/>
          <w:numId w:val="14"/>
        </w:numPr>
        <w:snapToGrid w:val="0"/>
        <w:spacing w:line="3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其他</w:t>
      </w:r>
    </w:p>
    <w:p w14:paraId="3E7BA5EC">
      <w:pPr>
        <w:snapToGrid w:val="0"/>
        <w:spacing w:line="3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中小企业合同金额达到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%，小微企业合同金额达到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lang w:val="zh-CN"/>
        </w:rPr>
        <w:t>。</w:t>
      </w:r>
    </w:p>
    <w:p w14:paraId="27BAE75A">
      <w:pPr>
        <w:snapToGrid w:val="0"/>
        <w:spacing w:line="360" w:lineRule="exact"/>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highlight w:val="none"/>
        </w:rPr>
        <w:t>九、</w:t>
      </w:r>
      <w:r>
        <w:rPr>
          <w:rFonts w:hint="eastAsia" w:ascii="宋体" w:hAnsi="宋体" w:eastAsia="宋体" w:cs="宋体"/>
          <w:color w:val="auto"/>
          <w:sz w:val="22"/>
          <w:highlight w:val="none"/>
          <w:u w:val="single"/>
        </w:rPr>
        <w:t xml:space="preserve">      </w:t>
      </w:r>
      <w:r>
        <w:rPr>
          <w:rFonts w:hint="eastAsia" w:ascii="宋体" w:hAnsi="宋体" w:eastAsia="宋体" w:cs="宋体"/>
          <w:color w:val="auto"/>
          <w:kern w:val="0"/>
          <w:sz w:val="22"/>
          <w:highlight w:val="none"/>
          <w:u w:val="single"/>
          <w:lang w:val="zh-CN"/>
        </w:rPr>
        <w:t>（</w:t>
      </w:r>
      <w:r>
        <w:rPr>
          <w:rFonts w:hint="eastAsia" w:ascii="宋体" w:hAnsi="宋体" w:eastAsia="宋体" w:cs="宋体"/>
          <w:color w:val="auto"/>
          <w:kern w:val="0"/>
          <w:sz w:val="22"/>
          <w:highlight w:val="none"/>
          <w:u w:val="single"/>
        </w:rPr>
        <w:t>投标人</w:t>
      </w:r>
      <w:r>
        <w:rPr>
          <w:rFonts w:hint="eastAsia" w:ascii="宋体" w:hAnsi="宋体" w:eastAsia="宋体" w:cs="宋体"/>
          <w:color w:val="auto"/>
          <w:kern w:val="0"/>
          <w:sz w:val="22"/>
          <w:highlight w:val="none"/>
          <w:u w:val="single"/>
          <w:lang w:val="zh-CN"/>
        </w:rPr>
        <w:t>）</w:t>
      </w:r>
      <w:r>
        <w:rPr>
          <w:rFonts w:hint="eastAsia" w:ascii="宋体" w:hAnsi="宋体" w:eastAsia="宋体" w:cs="宋体"/>
          <w:color w:val="auto"/>
          <w:sz w:val="22"/>
          <w:highlight w:val="none"/>
        </w:rPr>
        <w:t>与</w:t>
      </w:r>
      <w:r>
        <w:rPr>
          <w:rFonts w:hint="eastAsia" w:ascii="宋体" w:hAnsi="宋体" w:eastAsia="宋体" w:cs="宋体"/>
          <w:color w:val="auto"/>
          <w:sz w:val="22"/>
          <w:highlight w:val="none"/>
          <w:u w:val="single"/>
        </w:rPr>
        <w:t xml:space="preserve">       （</w:t>
      </w:r>
      <w:r>
        <w:rPr>
          <w:rFonts w:hint="eastAsia" w:ascii="宋体" w:hAnsi="宋体" w:eastAsia="宋体" w:cs="宋体"/>
          <w:color w:val="auto"/>
          <w:kern w:val="0"/>
          <w:sz w:val="22"/>
          <w:highlight w:val="none"/>
          <w:u w:val="single"/>
        </w:rPr>
        <w:t>分包企业</w:t>
      </w:r>
      <w:r>
        <w:rPr>
          <w:rFonts w:hint="eastAsia" w:ascii="宋体" w:hAnsi="宋体" w:eastAsia="宋体" w:cs="宋体"/>
          <w:color w:val="auto"/>
          <w:sz w:val="22"/>
          <w:highlight w:val="none"/>
          <w:u w:val="single"/>
        </w:rPr>
        <w:t>）</w:t>
      </w:r>
      <w:r>
        <w:rPr>
          <w:rFonts w:hint="eastAsia" w:ascii="宋体" w:hAnsi="宋体" w:eastAsia="宋体" w:cs="宋体"/>
          <w:color w:val="auto"/>
          <w:sz w:val="22"/>
          <w:highlight w:val="none"/>
        </w:rPr>
        <w:t>之间</w:t>
      </w:r>
      <w:r>
        <w:rPr>
          <w:rFonts w:hint="eastAsia" w:ascii="宋体" w:hAnsi="宋体" w:eastAsia="宋体" w:cs="宋体"/>
          <w:color w:val="auto"/>
          <w:sz w:val="22"/>
          <w:highlight w:val="none"/>
          <w:u w:val="single"/>
        </w:rPr>
        <w:t xml:space="preserve">        （填写是或者否）</w:t>
      </w:r>
      <w:r>
        <w:rPr>
          <w:rFonts w:hint="eastAsia" w:ascii="宋体" w:hAnsi="宋体" w:eastAsia="宋体" w:cs="宋体"/>
          <w:color w:val="auto"/>
          <w:sz w:val="22"/>
          <w:highlight w:val="none"/>
        </w:rPr>
        <w:t>存在直接控股、管理关系。</w:t>
      </w:r>
    </w:p>
    <w:p w14:paraId="6C2EDF14">
      <w:pPr>
        <w:snapToGrid w:val="0"/>
        <w:spacing w:line="360" w:lineRule="exact"/>
        <w:ind w:firstLine="440" w:firstLineChars="200"/>
        <w:jc w:val="righ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投标人名称(电子签名或公章)：</w:t>
      </w:r>
    </w:p>
    <w:p w14:paraId="15E62FF6">
      <w:pPr>
        <w:snapToGrid w:val="0"/>
        <w:spacing w:line="360" w:lineRule="exact"/>
        <w:ind w:left="4620" w:hanging="4620" w:hangingChars="2100"/>
        <w:jc w:val="righ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分包供应商名称(电子签名或公章)：</w:t>
      </w:r>
    </w:p>
    <w:p w14:paraId="74202715">
      <w:pPr>
        <w:snapToGrid w:val="0"/>
        <w:spacing w:line="360" w:lineRule="exact"/>
        <w:ind w:firstLine="5280" w:firstLineChars="24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zh-CN"/>
        </w:rPr>
        <w:t>……</w:t>
      </w:r>
    </w:p>
    <w:p w14:paraId="36926CAF">
      <w:pPr>
        <w:snapToGrid w:val="0"/>
        <w:spacing w:line="360" w:lineRule="exact"/>
        <w:ind w:left="4620" w:hanging="4620" w:hangingChars="21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 xml:space="preserve">                                        日期：  年  月   日</w:t>
      </w:r>
    </w:p>
    <w:p w14:paraId="7B7F9949">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注：按本格式和要求提供。</w:t>
      </w:r>
    </w:p>
    <w:p w14:paraId="0B31B77F">
      <w:pPr>
        <w:pStyle w:val="33"/>
        <w:snapToGrid w:val="0"/>
        <w:spacing w:line="600" w:lineRule="exact"/>
        <w:jc w:val="center"/>
        <w:rPr>
          <w:rFonts w:hint="eastAsia" w:ascii="宋体" w:hAnsi="宋体" w:eastAsia="宋体" w:cs="宋体"/>
          <w:b/>
          <w:color w:val="auto"/>
          <w:kern w:val="0"/>
          <w:sz w:val="32"/>
          <w:szCs w:val="32"/>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color w:val="auto"/>
          <w:spacing w:val="6"/>
          <w:sz w:val="32"/>
          <w:szCs w:val="32"/>
          <w:highlight w:val="none"/>
        </w:rPr>
        <w:t>附件8：</w:t>
      </w:r>
      <w:r>
        <w:rPr>
          <w:rFonts w:hint="eastAsia" w:ascii="宋体" w:hAnsi="宋体" w:eastAsia="宋体" w:cs="宋体"/>
          <w:b/>
          <w:color w:val="auto"/>
          <w:kern w:val="0"/>
          <w:sz w:val="32"/>
          <w:szCs w:val="32"/>
          <w:highlight w:val="none"/>
        </w:rPr>
        <w:t>政府采购活动现场确认声明书</w:t>
      </w:r>
    </w:p>
    <w:p w14:paraId="3EC67E67">
      <w:pPr>
        <w:pStyle w:val="33"/>
        <w:snapToGrid w:val="0"/>
        <w:spacing w:line="400" w:lineRule="exact"/>
        <w:rPr>
          <w:rFonts w:hint="eastAsia" w:ascii="宋体" w:hAnsi="宋体" w:eastAsia="宋体" w:cs="宋体"/>
          <w:color w:val="auto"/>
          <w:kern w:val="0"/>
          <w:sz w:val="24"/>
          <w:szCs w:val="24"/>
          <w:highlight w:val="none"/>
          <w:u w:val="single"/>
        </w:rPr>
      </w:pPr>
    </w:p>
    <w:p w14:paraId="020AA89F">
      <w:pPr>
        <w:pStyle w:val="33"/>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u w:val="single"/>
        </w:rPr>
        <w:t>浙江乐诚工程咨询有限公司</w:t>
      </w:r>
      <w:r>
        <w:rPr>
          <w:rFonts w:hint="eastAsia" w:ascii="宋体" w:hAnsi="宋体" w:eastAsia="宋体" w:cs="宋体"/>
          <w:color w:val="auto"/>
          <w:kern w:val="0"/>
          <w:sz w:val="24"/>
          <w:szCs w:val="24"/>
          <w:highlight w:val="none"/>
        </w:rPr>
        <w:t>：</w:t>
      </w:r>
    </w:p>
    <w:p w14:paraId="0AA5AE4A">
      <w:pPr>
        <w:pStyle w:val="33"/>
        <w:snapToGrid w:val="0"/>
        <w:spacing w:line="40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val="en-US" w:eastAsia="zh-CN"/>
        </w:rPr>
        <w:t>授权代表</w:t>
      </w:r>
      <w:r>
        <w:rPr>
          <w:rFonts w:hint="eastAsia" w:ascii="宋体" w:hAnsi="宋体" w:eastAsia="宋体" w:cs="宋体"/>
          <w:color w:val="auto"/>
          <w:spacing w:val="6"/>
          <w:sz w:val="24"/>
          <w:szCs w:val="24"/>
          <w:highlight w:val="none"/>
          <w:u w:val="single"/>
        </w:rPr>
        <w:t>姓名）</w:t>
      </w:r>
      <w:r>
        <w:rPr>
          <w:rFonts w:hint="eastAsia"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经由</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spacing w:val="6"/>
          <w:sz w:val="24"/>
          <w:szCs w:val="24"/>
          <w:highlight w:val="none"/>
          <w:u w:val="single"/>
        </w:rPr>
        <w:t>单位）</w:t>
      </w:r>
      <w:r>
        <w:rPr>
          <w:rFonts w:hint="eastAsia" w:ascii="宋体" w:hAnsi="宋体" w:eastAsia="宋体" w:cs="宋体"/>
          <w:color w:val="auto"/>
          <w:spacing w:val="6"/>
          <w:sz w:val="24"/>
          <w:szCs w:val="24"/>
          <w:highlight w:val="none"/>
        </w:rPr>
        <w:t>法定代表人（负责人）</w:t>
      </w:r>
      <w:r>
        <w:rPr>
          <w:rFonts w:hint="eastAsia" w:ascii="宋体" w:hAnsi="宋体" w:eastAsia="宋体" w:cs="宋体"/>
          <w:color w:val="auto"/>
          <w:spacing w:val="6"/>
          <w:sz w:val="24"/>
          <w:szCs w:val="24"/>
          <w:highlight w:val="none"/>
          <w:u w:val="single"/>
        </w:rPr>
        <w:t xml:space="preserve">         （姓名）</w:t>
      </w:r>
      <w:r>
        <w:rPr>
          <w:rFonts w:hint="eastAsia" w:ascii="宋体" w:hAnsi="宋体" w:eastAsia="宋体" w:cs="宋体"/>
          <w:color w:val="auto"/>
          <w:spacing w:val="6"/>
          <w:sz w:val="24"/>
          <w:szCs w:val="24"/>
          <w:highlight w:val="none"/>
        </w:rPr>
        <w:t>合法授权参加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（项目名称）（项目编号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 xml:space="preserve">）政府采购活动，经与本单位法人代表人（负责人）联系确认，现就有关公平竞争事项郑重声明如下： </w:t>
      </w:r>
    </w:p>
    <w:p w14:paraId="4D4FE5A0">
      <w:pPr>
        <w:pStyle w:val="33"/>
        <w:numPr>
          <w:ilvl w:val="0"/>
          <w:numId w:val="15"/>
        </w:numPr>
        <w:snapToGrid w:val="0"/>
        <w:spacing w:line="400" w:lineRule="exact"/>
        <w:ind w:firstLine="24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本单位与采购人之间□不存在利害关系 □存在下列利害关系</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kern w:val="0"/>
          <w:sz w:val="24"/>
          <w:szCs w:val="24"/>
          <w:highlight w:val="none"/>
        </w:rPr>
        <w:t>：</w:t>
      </w:r>
    </w:p>
    <w:p w14:paraId="1534DDE6">
      <w:pPr>
        <w:pStyle w:val="33"/>
        <w:snapToGrid w:val="0"/>
        <w:spacing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A.投资关系    B.行政隶属关系    C.业务指导关系</w:t>
      </w:r>
    </w:p>
    <w:p w14:paraId="1881BF33">
      <w:pPr>
        <w:pStyle w:val="33"/>
        <w:snapToGrid w:val="0"/>
        <w:spacing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297CFAA6">
      <w:pPr>
        <w:pStyle w:val="34"/>
        <w:widowControl/>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 xml:space="preserve">  二、</w:t>
      </w:r>
      <w:r>
        <w:rPr>
          <w:rFonts w:hint="eastAsia" w:ascii="宋体" w:hAnsi="宋体" w:eastAsia="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highlight w:val="none"/>
          <w:u w:val="single"/>
        </w:rPr>
        <w:t xml:space="preserve">           （供应商名称）</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03F3CC98">
      <w:pPr>
        <w:pStyle w:val="33"/>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14:paraId="77B899E4">
      <w:pPr>
        <w:pStyle w:val="33"/>
        <w:snapToGrid w:val="0"/>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14:paraId="5402C304">
      <w:pPr>
        <w:pStyle w:val="33"/>
        <w:snapToGrid w:val="0"/>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14:paraId="5B0A1188">
      <w:pPr>
        <w:pStyle w:val="33"/>
        <w:snapToGrid w:val="0"/>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14:paraId="65DA7558">
      <w:pPr>
        <w:pStyle w:val="33"/>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14:paraId="2CCBAE1E">
      <w:pPr>
        <w:pStyle w:val="33"/>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14:paraId="38A6F82F">
      <w:pPr>
        <w:pStyle w:val="33"/>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G.存在共同直接或间接投资设立子公司、联营企业和合营企业情况</w:t>
      </w:r>
    </w:p>
    <w:p w14:paraId="59E0475B">
      <w:pPr>
        <w:pStyle w:val="33"/>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14:paraId="2188EA87">
      <w:pPr>
        <w:pStyle w:val="33"/>
        <w:snapToGrid w:val="0"/>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kern w:val="0"/>
          <w:sz w:val="24"/>
          <w:szCs w:val="24"/>
          <w:highlight w:val="none"/>
        </w:rPr>
        <w:t>。</w:t>
      </w:r>
    </w:p>
    <w:p w14:paraId="78E7F74D">
      <w:pPr>
        <w:pStyle w:val="34"/>
        <w:widowControl/>
        <w:numPr>
          <w:ilvl w:val="0"/>
          <w:numId w:val="16"/>
        </w:numPr>
        <w:snapToGrid w:val="0"/>
        <w:spacing w:line="40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14:paraId="77E88CCE">
      <w:pPr>
        <w:pStyle w:val="34"/>
        <w:widowControl/>
        <w:numPr>
          <w:ilvl w:val="0"/>
          <w:numId w:val="16"/>
        </w:numPr>
        <w:snapToGrid w:val="0"/>
        <w:spacing w:line="40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我发现</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kern w:val="0"/>
          <w:sz w:val="24"/>
          <w:szCs w:val="24"/>
          <w:highlight w:val="none"/>
        </w:rPr>
        <w:t>项利害关系。</w:t>
      </w:r>
    </w:p>
    <w:p w14:paraId="7D49E332">
      <w:pPr>
        <w:pStyle w:val="33"/>
        <w:snapToGrid w:val="0"/>
        <w:spacing w:line="400" w:lineRule="exact"/>
        <w:ind w:firstLine="480" w:firstLineChars="200"/>
        <w:rPr>
          <w:rFonts w:hint="eastAsia" w:ascii="宋体" w:hAnsi="宋体" w:eastAsia="宋体" w:cs="宋体"/>
          <w:color w:val="auto"/>
          <w:sz w:val="24"/>
          <w:szCs w:val="24"/>
          <w:highlight w:val="none"/>
        </w:rPr>
      </w:pPr>
    </w:p>
    <w:p w14:paraId="5F33A0FB">
      <w:pPr>
        <w:pStyle w:val="33"/>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投标人授权代表签名：</w:t>
      </w:r>
    </w:p>
    <w:p w14:paraId="21A0B14D">
      <w:pPr>
        <w:pStyle w:val="33"/>
        <w:snapToGrid w:val="0"/>
        <w:spacing w:line="6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202X年X月X日  </w:t>
      </w:r>
    </w:p>
    <w:p w14:paraId="135D501D">
      <w:pPr>
        <w:pStyle w:val="8"/>
        <w:ind w:right="-512" w:firstLine="526"/>
        <w:rPr>
          <w:rFonts w:hint="eastAsia" w:ascii="宋体" w:hAnsi="宋体" w:eastAsia="宋体" w:cs="宋体"/>
          <w:color w:val="auto"/>
          <w:sz w:val="22"/>
          <w:highlight w:val="none"/>
        </w:rPr>
      </w:pPr>
    </w:p>
    <w:p w14:paraId="45939CF9">
      <w:pPr>
        <w:rPr>
          <w:rFonts w:hint="eastAsia" w:ascii="宋体" w:hAnsi="宋体" w:eastAsia="宋体" w:cs="宋体"/>
          <w:b/>
          <w:color w:val="auto"/>
          <w:sz w:val="22"/>
          <w:highlight w:val="none"/>
        </w:rPr>
      </w:pPr>
      <w:r>
        <w:rPr>
          <w:rFonts w:hint="eastAsia" w:ascii="宋体" w:hAnsi="宋体" w:eastAsia="宋体" w:cs="宋体"/>
          <w:b/>
          <w:bCs/>
          <w:color w:val="auto"/>
          <w:sz w:val="22"/>
          <w:highlight w:val="none"/>
        </w:rPr>
        <w:t>备注：投标人在投标文件解密后，通过电子邮件形式，向邮箱地址（58000634@qq.com）发送《政府采购活动现场确认声明书》（上表）。</w:t>
      </w:r>
    </w:p>
    <w:p w14:paraId="7E1C3649">
      <w:pPr>
        <w:spacing w:line="360" w:lineRule="auto"/>
        <w:jc w:val="left"/>
        <w:rPr>
          <w:rFonts w:hint="eastAsia" w:ascii="宋体" w:hAnsi="宋体" w:eastAsia="宋体" w:cs="宋体"/>
          <w:color w:val="auto"/>
          <w:sz w:val="22"/>
          <w:szCs w:val="22"/>
          <w:highlight w:val="none"/>
        </w:rPr>
      </w:pPr>
    </w:p>
    <w:p w14:paraId="4AF31D4F"/>
    <w:sectPr>
      <w:headerReference r:id="rId12" w:type="first"/>
      <w:footerReference r:id="rId15" w:type="first"/>
      <w:headerReference r:id="rId11" w:type="default"/>
      <w:footerReference r:id="rId13" w:type="default"/>
      <w:footerReference r:id="rId14" w:type="even"/>
      <w:pgSz w:w="11906" w:h="16838"/>
      <w:pgMar w:top="1440" w:right="1083" w:bottom="1440" w:left="1083"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0E2F5">
    <w:pPr>
      <w:pStyle w:val="1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86F0438">
                          <w:pPr>
                            <w:pStyle w:val="10"/>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786F0438">
                    <w:pPr>
                      <w:pStyle w:val="10"/>
                    </w:pPr>
                    <w:r>
                      <w:fldChar w:fldCharType="begin"/>
                    </w:r>
                    <w:r>
                      <w:instrText xml:space="preserve"> PAGE  \* MERGEFORMAT </w:instrText>
                    </w:r>
                    <w:r>
                      <w:fldChar w:fldCharType="separate"/>
                    </w:r>
                    <w:r>
                      <w:t>23</w:t>
                    </w:r>
                    <w:r>
                      <w:fldChar w:fldCharType="end"/>
                    </w:r>
                  </w:p>
                </w:txbxContent>
              </v:textbox>
            </v:shape>
          </w:pict>
        </mc:Fallback>
      </mc:AlternateContent>
    </w:r>
  </w:p>
  <w:p w14:paraId="290EB2B0">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DA906">
    <w:pPr>
      <w:pStyle w:val="1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BAC4575">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2BAC4575">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4B189EFC">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FF1EA">
    <w:pPr>
      <w:pStyle w:val="1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CD26E22">
                          <w:pPr>
                            <w:pStyle w:val="10"/>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3CD26E22">
                    <w:pPr>
                      <w:pStyle w:val="10"/>
                    </w:pPr>
                    <w:r>
                      <w:fldChar w:fldCharType="begin"/>
                    </w:r>
                    <w:r>
                      <w:instrText xml:space="preserve"> PAGE  \* MERGEFORMAT </w:instrText>
                    </w:r>
                    <w:r>
                      <w:fldChar w:fldCharType="separate"/>
                    </w:r>
                    <w:r>
                      <w:t>31</w:t>
                    </w:r>
                    <w:r>
                      <w:fldChar w:fldCharType="end"/>
                    </w:r>
                  </w:p>
                </w:txbxContent>
              </v:textbox>
            </v:shape>
          </w:pict>
        </mc:Fallback>
      </mc:AlternateContent>
    </w:r>
  </w:p>
  <w:p w14:paraId="4E7F03A3">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93C2A">
    <w:pPr>
      <w:pStyle w:val="1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DBA85FF">
                          <w:pPr>
                            <w:pStyle w:val="10"/>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14:paraId="0DBA85FF">
                    <w:pPr>
                      <w:pStyle w:val="10"/>
                    </w:pPr>
                    <w:r>
                      <w:fldChar w:fldCharType="begin"/>
                    </w:r>
                    <w:r>
                      <w:instrText xml:space="preserve"> PAGE  \* MERGEFORMAT </w:instrText>
                    </w:r>
                    <w:r>
                      <w:fldChar w:fldCharType="separate"/>
                    </w:r>
                    <w:r>
                      <w:t>24</w:t>
                    </w:r>
                    <w:r>
                      <w:fldChar w:fldCharType="end"/>
                    </w:r>
                  </w:p>
                </w:txbxContent>
              </v:textbox>
            </v:shape>
          </w:pict>
        </mc:Fallback>
      </mc:AlternateContent>
    </w:r>
  </w:p>
  <w:p w14:paraId="3492BC9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F668D">
    <w:pPr>
      <w:pStyle w:val="10"/>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7D240A7">
                          <w:pPr>
                            <w:pStyle w:val="10"/>
                          </w:pPr>
                          <w:r>
                            <w:fldChar w:fldCharType="begin"/>
                          </w:r>
                          <w:r>
                            <w:instrText xml:space="preserve"> PAGE  \* MERGEFORMAT </w:instrText>
                          </w:r>
                          <w:r>
                            <w:fldChar w:fldCharType="separate"/>
                          </w:r>
                          <w:r>
                            <w:t>82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14:paraId="67D240A7">
                    <w:pPr>
                      <w:pStyle w:val="10"/>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4DE20">
    <w:pPr>
      <w:pStyle w:val="10"/>
      <w:framePr w:wrap="around" w:vAnchor="text" w:hAnchor="margin" w:xAlign="right" w:y="1"/>
      <w:rPr>
        <w:rStyle w:val="20"/>
      </w:rPr>
    </w:pPr>
    <w:r>
      <w:fldChar w:fldCharType="begin"/>
    </w:r>
    <w:r>
      <w:rPr>
        <w:rStyle w:val="20"/>
      </w:rPr>
      <w:instrText xml:space="preserve">PAGE  </w:instrText>
    </w:r>
    <w:r>
      <w:fldChar w:fldCharType="end"/>
    </w:r>
  </w:p>
  <w:p w14:paraId="04F0BAF7">
    <w:pPr>
      <w:pStyle w:val="1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15BFB">
    <w:pPr>
      <w:pStyle w:val="1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E01987D">
                          <w:pPr>
                            <w:pStyle w:val="10"/>
                          </w:pPr>
                          <w:r>
                            <w:fldChar w:fldCharType="begin"/>
                          </w:r>
                          <w:r>
                            <w:instrText xml:space="preserve"> PAGE  \* MERGEFORMAT </w:instrText>
                          </w:r>
                          <w:r>
                            <w:fldChar w:fldCharType="separate"/>
                          </w:r>
                          <w:r>
                            <w:t>71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0E01987D">
                    <w:pPr>
                      <w:pStyle w:val="1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867C5">
    <w:pPr>
      <w:widowControl/>
      <w:adjustRightInd/>
      <w:spacing w:line="240" w:lineRule="atLeast"/>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877C1">
    <w:pPr>
      <w:pStyle w:val="11"/>
      <w:pBdr>
        <w:bottom w:val="none" w:color="auto" w:sz="0" w:space="1"/>
      </w:pBdr>
    </w:pPr>
    <w:r>
      <w:t></w:t>
    </w:r>
    <w:r>
      <w:rPr>
        <w:rFonts w:hint="eastAsia"/>
      </w:rPr>
      <w:t xml:space="preserve">         </w:t>
    </w:r>
  </w:p>
  <w:p w14:paraId="5BE2CCD4">
    <w:pPr>
      <w:pStyle w:val="11"/>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A3AE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110CB">
    <w:pPr>
      <w:widowControl/>
      <w:adjustRightInd/>
      <w:spacing w:line="240" w:lineRule="atLeast"/>
      <w:ind w:left="4620" w:hanging="4620" w:hangingChars="2200"/>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A035A">
    <w:pPr>
      <w:widowControl/>
      <w:adjustRightInd/>
      <w:spacing w:line="240" w:lineRule="atLeas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4CBA1">
    <w:pPr>
      <w:widowControl/>
      <w:adjustRightInd/>
      <w:spacing w:line="24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A1CDE"/>
    <w:multiLevelType w:val="singleLevel"/>
    <w:tmpl w:val="8DDA1CDE"/>
    <w:lvl w:ilvl="0" w:tentative="0">
      <w:start w:val="1"/>
      <w:numFmt w:val="decimal"/>
      <w:suff w:val="nothing"/>
      <w:lvlText w:val="%1．"/>
      <w:lvlJc w:val="left"/>
      <w:pPr>
        <w:ind w:left="0" w:firstLine="400"/>
      </w:pPr>
      <w:rPr>
        <w:rFonts w:hint="default"/>
      </w:rPr>
    </w:lvl>
  </w:abstractNum>
  <w:abstractNum w:abstractNumId="1">
    <w:nsid w:val="B9EED4D5"/>
    <w:multiLevelType w:val="singleLevel"/>
    <w:tmpl w:val="B9EED4D5"/>
    <w:lvl w:ilvl="0" w:tentative="0">
      <w:start w:val="1"/>
      <w:numFmt w:val="decimal"/>
      <w:suff w:val="nothing"/>
      <w:lvlText w:val="%1．"/>
      <w:lvlJc w:val="left"/>
      <w:pPr>
        <w:ind w:left="0" w:firstLine="400"/>
      </w:pPr>
      <w:rPr>
        <w:rFonts w:hint="default"/>
      </w:rPr>
    </w:lvl>
  </w:abstractNum>
  <w:abstractNum w:abstractNumId="2">
    <w:nsid w:val="C26F08CF"/>
    <w:multiLevelType w:val="singleLevel"/>
    <w:tmpl w:val="C26F08CF"/>
    <w:lvl w:ilvl="0" w:tentative="0">
      <w:start w:val="8"/>
      <w:numFmt w:val="chineseCounting"/>
      <w:suff w:val="nothing"/>
      <w:lvlText w:val="%1、"/>
      <w:lvlJc w:val="left"/>
      <w:rPr>
        <w:rFonts w:hint="eastAsia"/>
      </w:rPr>
    </w:lvl>
  </w:abstractNum>
  <w:abstractNum w:abstractNumId="3">
    <w:nsid w:val="C8B16661"/>
    <w:multiLevelType w:val="singleLevel"/>
    <w:tmpl w:val="C8B16661"/>
    <w:lvl w:ilvl="0" w:tentative="0">
      <w:start w:val="1"/>
      <w:numFmt w:val="chineseCounting"/>
      <w:suff w:val="nothing"/>
      <w:lvlText w:val="%1、"/>
      <w:lvlJc w:val="left"/>
      <w:pPr>
        <w:ind w:left="-11"/>
      </w:pPr>
      <w:rPr>
        <w:rFonts w:hint="eastAsia"/>
      </w:rPr>
    </w:lvl>
  </w:abstractNum>
  <w:abstractNum w:abstractNumId="4">
    <w:nsid w:val="EB18EC01"/>
    <w:multiLevelType w:val="singleLevel"/>
    <w:tmpl w:val="EB18EC01"/>
    <w:lvl w:ilvl="0" w:tentative="0">
      <w:start w:val="3"/>
      <w:numFmt w:val="chineseCounting"/>
      <w:suff w:val="nothing"/>
      <w:lvlText w:val="%1、"/>
      <w:lvlJc w:val="left"/>
      <w:rPr>
        <w:rFonts w:hint="eastAsia"/>
      </w:rPr>
    </w:lvl>
  </w:abstractNum>
  <w:abstractNum w:abstractNumId="5">
    <w:nsid w:val="F2817BFC"/>
    <w:multiLevelType w:val="singleLevel"/>
    <w:tmpl w:val="F2817BFC"/>
    <w:lvl w:ilvl="0" w:tentative="0">
      <w:start w:val="1"/>
      <w:numFmt w:val="decimal"/>
      <w:lvlText w:val="(%1)"/>
      <w:lvlJc w:val="left"/>
      <w:pPr>
        <w:ind w:left="425" w:hanging="425"/>
      </w:pPr>
      <w:rPr>
        <w:rFonts w:hint="default"/>
      </w:rPr>
    </w:lvl>
  </w:abstractNum>
  <w:abstractNum w:abstractNumId="6">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7">
    <w:nsid w:val="FBF601AA"/>
    <w:multiLevelType w:val="singleLevel"/>
    <w:tmpl w:val="FBF601AA"/>
    <w:lvl w:ilvl="0" w:tentative="0">
      <w:start w:val="1"/>
      <w:numFmt w:val="decimal"/>
      <w:lvlText w:val="%1."/>
      <w:lvlJc w:val="left"/>
      <w:pPr>
        <w:tabs>
          <w:tab w:val="left" w:pos="312"/>
        </w:tabs>
      </w:pPr>
    </w:lvl>
  </w:abstractNum>
  <w:abstractNum w:abstractNumId="8">
    <w:nsid w:val="152756F7"/>
    <w:multiLevelType w:val="singleLevel"/>
    <w:tmpl w:val="152756F7"/>
    <w:lvl w:ilvl="0" w:tentative="0">
      <w:start w:val="2"/>
      <w:numFmt w:val="chineseCounting"/>
      <w:suff w:val="space"/>
      <w:lvlText w:val="第%1部分"/>
      <w:lvlJc w:val="left"/>
      <w:rPr>
        <w:rFonts w:hint="eastAsia"/>
      </w:rPr>
    </w:lvl>
  </w:abstractNum>
  <w:abstractNum w:abstractNumId="9">
    <w:nsid w:val="527764F4"/>
    <w:multiLevelType w:val="singleLevel"/>
    <w:tmpl w:val="527764F4"/>
    <w:lvl w:ilvl="0" w:tentative="0">
      <w:start w:val="1"/>
      <w:numFmt w:val="decimal"/>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rPr>
        <w:rFonts w:cs="Times New Roman"/>
      </w:rPr>
    </w:lvl>
  </w:abstractNum>
  <w:abstractNum w:abstractNumId="11">
    <w:nsid w:val="58B55C79"/>
    <w:multiLevelType w:val="singleLevel"/>
    <w:tmpl w:val="58B55C79"/>
    <w:lvl w:ilvl="0" w:tentative="0">
      <w:start w:val="1"/>
      <w:numFmt w:val="decimal"/>
      <w:suff w:val="nothing"/>
      <w:lvlText w:val="（%1）"/>
      <w:lvlJc w:val="left"/>
    </w:lvl>
  </w:abstractNum>
  <w:abstractNum w:abstractNumId="12">
    <w:nsid w:val="5A673C3C"/>
    <w:multiLevelType w:val="multilevel"/>
    <w:tmpl w:val="5A673C3C"/>
    <w:lvl w:ilvl="0" w:tentative="0">
      <w:start w:val="1"/>
      <w:numFmt w:val="decimal"/>
      <w:lvlText w:val="%1."/>
      <w:lvlJc w:val="left"/>
      <w:pPr>
        <w:ind w:left="0" w:firstLine="454"/>
      </w:pPr>
      <w:rPr>
        <w:rFonts w:hint="eastAsia" w:ascii="宋体" w:hAnsi="宋体" w:eastAsia="宋体"/>
        <w:b w:val="0"/>
        <w:sz w:val="24"/>
        <w:szCs w:val="24"/>
      </w:rPr>
    </w:lvl>
    <w:lvl w:ilvl="1" w:tentative="0">
      <w:start w:val="1"/>
      <w:numFmt w:val="decimal"/>
      <w:suff w:val="nothing"/>
      <w:lvlText w:val="%2)"/>
      <w:lvlJc w:val="left"/>
      <w:pPr>
        <w:ind w:left="0" w:firstLine="42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93E154C"/>
    <w:multiLevelType w:val="singleLevel"/>
    <w:tmpl w:val="693E154C"/>
    <w:lvl w:ilvl="0" w:tentative="0">
      <w:start w:val="1"/>
      <w:numFmt w:val="decimal"/>
      <w:suff w:val="nothing"/>
      <w:lvlText w:val="%1．"/>
      <w:lvlJc w:val="left"/>
      <w:pPr>
        <w:ind w:left="0" w:firstLine="400"/>
      </w:pPr>
      <w:rPr>
        <w:rFonts w:hint="default"/>
      </w:rPr>
    </w:lvl>
  </w:abstractNum>
  <w:abstractNum w:abstractNumId="14">
    <w:nsid w:val="6A7324BB"/>
    <w:multiLevelType w:val="singleLevel"/>
    <w:tmpl w:val="6A7324BB"/>
    <w:lvl w:ilvl="0" w:tentative="0">
      <w:start w:val="1"/>
      <w:numFmt w:val="decimal"/>
      <w:suff w:val="nothing"/>
      <w:lvlText w:val="（%1）"/>
      <w:lvlJc w:val="left"/>
    </w:lvl>
  </w:abstractNum>
  <w:abstractNum w:abstractNumId="15">
    <w:nsid w:val="6D91EDAE"/>
    <w:multiLevelType w:val="singleLevel"/>
    <w:tmpl w:val="6D91EDAE"/>
    <w:lvl w:ilvl="0" w:tentative="0">
      <w:start w:val="2"/>
      <w:numFmt w:val="decimal"/>
      <w:suff w:val="nothing"/>
      <w:lvlText w:val="（%1）"/>
      <w:lvlJc w:val="left"/>
    </w:lvl>
  </w:abstractNum>
  <w:num w:numId="1">
    <w:abstractNumId w:val="8"/>
  </w:num>
  <w:num w:numId="2">
    <w:abstractNumId w:val="15"/>
  </w:num>
  <w:num w:numId="3">
    <w:abstractNumId w:val="14"/>
  </w:num>
  <w:num w:numId="4">
    <w:abstractNumId w:val="4"/>
  </w:num>
  <w:num w:numId="5">
    <w:abstractNumId w:val="12"/>
  </w:num>
  <w:num w:numId="6">
    <w:abstractNumId w:val="13"/>
  </w:num>
  <w:num w:numId="7">
    <w:abstractNumId w:val="5"/>
  </w:num>
  <w:num w:numId="8">
    <w:abstractNumId w:val="1"/>
  </w:num>
  <w:num w:numId="9">
    <w:abstractNumId w:val="0"/>
  </w:num>
  <w:num w:numId="10">
    <w:abstractNumId w:val="6"/>
  </w:num>
  <w:num w:numId="11">
    <w:abstractNumId w:val="9"/>
  </w:num>
  <w:num w:numId="12">
    <w:abstractNumId w:val="11"/>
  </w:num>
  <w:num w:numId="13">
    <w:abstractNumId w:val="7"/>
  </w:num>
  <w:num w:numId="14">
    <w:abstractNumId w:val="2"/>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A73DD"/>
    <w:rsid w:val="3146660A"/>
    <w:rsid w:val="6EE16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Arial" w:hAnsi="Arial" w:eastAsia="黑体"/>
      <w:b/>
      <w:sz w:val="32"/>
      <w:szCs w:val="20"/>
    </w:rPr>
  </w:style>
  <w:style w:type="character" w:default="1" w:styleId="18">
    <w:name w:val="Default Paragraph Font"/>
    <w:semiHidden/>
    <w:uiPriority w:val="0"/>
  </w:style>
  <w:style w:type="table" w:default="1" w:styleId="17">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4">
    <w:name w:val="annotation text"/>
    <w:basedOn w:val="1"/>
    <w:qFormat/>
    <w:uiPriority w:val="0"/>
    <w:pPr>
      <w:jc w:val="left"/>
    </w:pPr>
  </w:style>
  <w:style w:type="paragraph" w:styleId="5">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6">
    <w:name w:val="Body Text Indent"/>
    <w:basedOn w:val="1"/>
    <w:next w:val="7"/>
    <w:qFormat/>
    <w:uiPriority w:val="0"/>
    <w:pPr>
      <w:spacing w:line="480" w:lineRule="exact"/>
      <w:ind w:firstLine="480" w:firstLineChars="200"/>
    </w:pPr>
    <w:rPr>
      <w:rFonts w:ascii="宋体" w:hAnsi="宋体"/>
      <w:sz w:val="24"/>
    </w:rPr>
  </w:style>
  <w:style w:type="paragraph" w:styleId="7">
    <w:name w:val="Body Text First Indent 2"/>
    <w:basedOn w:val="6"/>
    <w:next w:val="1"/>
    <w:qFormat/>
    <w:uiPriority w:val="0"/>
    <w:pPr>
      <w:adjustRightInd/>
      <w:spacing w:after="120" w:line="240" w:lineRule="auto"/>
      <w:ind w:left="420" w:leftChars="200" w:firstLine="210"/>
    </w:pPr>
    <w:rPr>
      <w:sz w:val="21"/>
    </w:rPr>
  </w:style>
  <w:style w:type="paragraph" w:styleId="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9">
    <w:name w:val="Plain Text"/>
    <w:basedOn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3"/>
    <w:next w:val="1"/>
    <w:qFormat/>
    <w:uiPriority w:val="0"/>
  </w:style>
  <w:style w:type="paragraph" w:styleId="13">
    <w:name w:val="index 1"/>
    <w:basedOn w:val="1"/>
    <w:next w:val="1"/>
    <w:qFormat/>
    <w:uiPriority w:val="0"/>
    <w:pPr>
      <w:adjustRightInd/>
      <w:spacing w:line="360" w:lineRule="auto"/>
      <w:ind w:firstLine="200" w:firstLineChars="200"/>
      <w:jc w:val="center"/>
    </w:pPr>
    <w:rPr>
      <w:sz w:val="24"/>
      <w:szCs w:val="20"/>
    </w:rPr>
  </w:style>
  <w:style w:type="paragraph" w:styleId="14">
    <w:name w:val="toc 2"/>
    <w:basedOn w:val="1"/>
    <w:next w:val="1"/>
    <w:qFormat/>
    <w:uiPriority w:val="0"/>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paragraph" w:styleId="16">
    <w:name w:val="Body Text First Indent"/>
    <w:basedOn w:val="5"/>
    <w:next w:val="1"/>
    <w:qFormat/>
    <w:uiPriority w:val="0"/>
    <w:pPr>
      <w:ind w:firstLine="420"/>
    </w:pPr>
    <w:rPr>
      <w:rFonts w:hAnsi="Times New Roman" w:cs="Times New Roman"/>
      <w:snapToGrid/>
      <w:szCs w:val="20"/>
    </w:rPr>
  </w:style>
  <w:style w:type="character" w:styleId="19">
    <w:name w:val="Strong"/>
    <w:qFormat/>
    <w:uiPriority w:val="22"/>
    <w:rPr>
      <w:b/>
      <w:bCs/>
    </w:rPr>
  </w:style>
  <w:style w:type="character" w:styleId="20">
    <w:name w:val="page number"/>
    <w:qFormat/>
    <w:uiPriority w:val="0"/>
    <w:rPr>
      <w:rFonts w:ascii="Arial" w:hAnsi="Arial" w:eastAsia="黑体" w:cs="Arial"/>
      <w:snapToGrid w:val="0"/>
      <w:kern w:val="0"/>
      <w:szCs w:val="21"/>
    </w:rPr>
  </w:style>
  <w:style w:type="character" w:styleId="21">
    <w:name w:val="HTML Sample"/>
    <w:basedOn w:val="18"/>
    <w:qFormat/>
    <w:uiPriority w:val="0"/>
    <w:rPr>
      <w:rFonts w:ascii="Courier New" w:hAnsi="Courier New"/>
    </w:rPr>
  </w:style>
  <w:style w:type="character" w:customStyle="1" w:styleId="22">
    <w:name w:val="标题 2 字符1"/>
    <w:qFormat/>
    <w:uiPriority w:val="0"/>
    <w:rPr>
      <w:rFonts w:ascii="仿宋_GB2312" w:hAnsi="仿宋" w:eastAsia="仿宋_GB2312"/>
      <w:b/>
      <w:bCs/>
      <w:sz w:val="32"/>
      <w:szCs w:val="32"/>
      <w:lang w:val="zh-CN"/>
    </w:rPr>
  </w:style>
  <w:style w:type="paragraph" w:customStyle="1" w:styleId="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4">
    <w:name w:val="正文2"/>
    <w:basedOn w:val="1"/>
    <w:qFormat/>
    <w:uiPriority w:val="0"/>
    <w:pPr>
      <w:spacing w:before="156" w:line="360" w:lineRule="auto"/>
      <w:ind w:firstLine="510" w:firstLineChars="200"/>
    </w:pPr>
    <w:rPr>
      <w:sz w:val="24"/>
      <w:szCs w:val="20"/>
    </w:rPr>
  </w:style>
  <w:style w:type="paragraph" w:customStyle="1" w:styleId="2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List Paragraph"/>
    <w:basedOn w:val="1"/>
    <w:qFormat/>
    <w:uiPriority w:val="34"/>
    <w:pPr>
      <w:spacing w:line="360" w:lineRule="auto"/>
      <w:ind w:firstLine="200" w:firstLineChars="200"/>
    </w:pPr>
    <w:rPr>
      <w:rFonts w:eastAsia="楷体_GB2312" w:cs="Lucida Sans"/>
      <w:sz w:val="24"/>
    </w:rPr>
  </w:style>
  <w:style w:type="character" w:customStyle="1" w:styleId="27">
    <w:name w:val="NormalCharacter"/>
    <w:semiHidden/>
    <w:qFormat/>
    <w:uiPriority w:val="0"/>
  </w:style>
  <w:style w:type="paragraph" w:customStyle="1" w:styleId="2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29">
    <w:name w:val="纯文本_0_0"/>
    <w:basedOn w:val="30"/>
    <w:qFormat/>
    <w:uiPriority w:val="0"/>
    <w:rPr>
      <w:rFonts w:ascii="宋体" w:hAnsi="Courier New"/>
      <w:szCs w:val="21"/>
    </w:rPr>
  </w:style>
  <w:style w:type="paragraph" w:customStyle="1" w:styleId="3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Body text|1"/>
    <w:basedOn w:val="1"/>
    <w:qFormat/>
    <w:uiPriority w:val="0"/>
    <w:pPr>
      <w:spacing w:line="360" w:lineRule="auto"/>
      <w:ind w:firstLine="400"/>
    </w:pPr>
    <w:rPr>
      <w:rFonts w:ascii="宋体" w:hAnsi="宋体" w:cs="宋体"/>
      <w:sz w:val="22"/>
      <w:szCs w:val="22"/>
      <w:lang w:val="zh-TW" w:eastAsia="zh-TW" w:bidi="zh-TW"/>
    </w:rPr>
  </w:style>
  <w:style w:type="paragraph" w:customStyle="1" w:styleId="33">
    <w:name w:val="Plain Text1"/>
    <w:basedOn w:val="34"/>
    <w:qFormat/>
    <w:uiPriority w:val="7"/>
    <w:pPr>
      <w:adjustRightInd/>
    </w:pPr>
    <w:rPr>
      <w:rFonts w:ascii="宋体" w:hAnsi="Courier New"/>
    </w:rPr>
  </w:style>
  <w:style w:type="paragraph" w:customStyle="1" w:styleId="34">
    <w:name w:val="Normal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953</Words>
  <Characters>1102</Characters>
  <Lines>0</Lines>
  <Paragraphs>0</Paragraphs>
  <TotalTime>4</TotalTime>
  <ScaleCrop>false</ScaleCrop>
  <LinksUpToDate>false</LinksUpToDate>
  <CharactersWithSpaces>1182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2025-07-02T11:26:00Z</dcterms:created>
  <dc:creator>82705</dc:creator>
  <cp:lastModifiedBy></cp:lastModifiedBy>
  <dcterms:modified xsi:type="dcterms:W3CDTF">2025-07-02T11:33:55Z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eyJoZGlkIjoiMzM2ZGE2NDJkNjdkZmVhMjVlMmE0NmFkY2ZmM2U1N2MiLCJ1c2VySWQiOiIzMTY0NDUwMTMifQ==</vt:lpwstr>
  </property>
  <property fmtid="{D5CDD505-2E9C-101B-9397-08002B2CF9AE}" pid="4" name="ICV">
    <vt:lpwstr>2C315A9762C3479E8B63D16191697B4D_12</vt:lpwstr>
  </property>
</Properties>
</file>