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bookmarkStart w:id="34" w:name="_GoBack"/>
      <w:bookmarkEnd w:id="34"/>
    </w:p>
    <w:p>
      <w:pPr>
        <w:pStyle w:val="4"/>
        <w:rPr>
          <w:rFonts w:ascii="宋体" w:hAnsi="宋体" w:eastAsia="宋体" w:cs="宋体"/>
        </w:rPr>
      </w:pPr>
    </w:p>
    <w:p>
      <w:pPr>
        <w:adjustRightInd/>
        <w:spacing w:line="360" w:lineRule="auto"/>
        <w:jc w:val="center"/>
        <w:rPr>
          <w:rFonts w:ascii="宋体" w:hAnsi="宋体" w:cs="宋体"/>
          <w:b/>
          <w:sz w:val="44"/>
          <w:szCs w:val="44"/>
        </w:rPr>
      </w:pPr>
      <w:r>
        <w:rPr>
          <w:rFonts w:hint="eastAsia" w:ascii="宋体" w:hAnsi="宋体" w:cs="宋体"/>
          <w:b/>
          <w:sz w:val="44"/>
          <w:szCs w:val="44"/>
        </w:rPr>
        <w:t>杭州市滨江区城市路灯维护管理项目</w:t>
      </w:r>
    </w:p>
    <w:p>
      <w:pPr>
        <w:adjustRightInd/>
        <w:spacing w:line="360" w:lineRule="auto"/>
        <w:jc w:val="center"/>
        <w:rPr>
          <w:rFonts w:ascii="宋体" w:hAnsi="宋体" w:cs="宋体"/>
          <w:sz w:val="48"/>
          <w:szCs w:val="48"/>
        </w:rPr>
      </w:pPr>
      <w:r>
        <w:rPr>
          <w:rFonts w:hint="eastAsia" w:ascii="宋体" w:hAnsi="宋体" w:cs="宋体"/>
          <w:b/>
          <w:sz w:val="44"/>
          <w:szCs w:val="44"/>
        </w:rPr>
        <w:t>（2023年-2025年）</w:t>
      </w: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pStyle w:val="5"/>
      </w:pP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eastAsia="宋体" w:cs="宋体"/>
          <w:sz w:val="30"/>
          <w:szCs w:val="30"/>
        </w:rPr>
        <w:t xml:space="preserve"> ZJJYZC-GZ202</w:t>
      </w:r>
      <w:r>
        <w:rPr>
          <w:rFonts w:hint="eastAsia" w:ascii="宋体" w:hAnsi="宋体" w:eastAsia="宋体" w:cs="宋体"/>
          <w:sz w:val="30"/>
          <w:szCs w:val="30"/>
          <w:lang w:val="en-US" w:eastAsia="zh-CN"/>
        </w:rPr>
        <w:t>21201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sz w:val="24"/>
        </w:rPr>
      </w:pPr>
    </w:p>
    <w:p>
      <w:pPr>
        <w:spacing w:line="360" w:lineRule="auto"/>
        <w:rPr>
          <w:rFonts w:ascii="宋体" w:hAnsi="宋体" w:cs="宋体"/>
          <w:sz w:val="30"/>
          <w:szCs w:val="30"/>
        </w:rPr>
      </w:pPr>
    </w:p>
    <w:p>
      <w:pPr>
        <w:spacing w:line="600" w:lineRule="auto"/>
        <w:ind w:firstLine="600" w:firstLineChars="200"/>
        <w:jc w:val="left"/>
        <w:rPr>
          <w:rFonts w:ascii="宋体" w:hAnsi="宋体" w:cs="宋体"/>
          <w:sz w:val="30"/>
          <w:szCs w:val="30"/>
        </w:rPr>
      </w:pPr>
      <w:r>
        <w:rPr>
          <w:rFonts w:hint="eastAsia" w:ascii="宋体" w:hAnsi="宋体" w:cs="宋体"/>
          <w:sz w:val="30"/>
          <w:szCs w:val="30"/>
        </w:rPr>
        <w:t xml:space="preserve">采 </w:t>
      </w:r>
      <w:r>
        <w:rPr>
          <w:rFonts w:hint="eastAsia" w:ascii="宋体" w:hAnsi="宋体" w:cs="宋体"/>
          <w:sz w:val="30"/>
          <w:szCs w:val="30"/>
          <w:lang w:val="en-US" w:eastAsia="zh-CN"/>
        </w:rPr>
        <w:t xml:space="preserve">  </w:t>
      </w:r>
      <w:r>
        <w:rPr>
          <w:rFonts w:hint="eastAsia" w:ascii="宋体" w:hAnsi="宋体" w:cs="宋体"/>
          <w:sz w:val="30"/>
          <w:szCs w:val="30"/>
        </w:rPr>
        <w:t>购</w:t>
      </w:r>
      <w:r>
        <w:rPr>
          <w:rFonts w:hint="eastAsia" w:ascii="宋体" w:hAnsi="宋体" w:cs="宋体"/>
          <w:sz w:val="30"/>
          <w:szCs w:val="30"/>
          <w:lang w:val="en-US" w:eastAsia="zh-CN"/>
        </w:rPr>
        <w:t xml:space="preserve">  </w:t>
      </w:r>
      <w:r>
        <w:rPr>
          <w:rFonts w:hint="eastAsia" w:ascii="宋体" w:hAnsi="宋体" w:cs="宋体"/>
          <w:sz w:val="30"/>
          <w:szCs w:val="30"/>
        </w:rPr>
        <w:t xml:space="preserve"> 人：杭州市滨江区综合行政执法局   （盖单位章）</w:t>
      </w:r>
    </w:p>
    <w:p>
      <w:pPr>
        <w:snapToGrid w:val="0"/>
        <w:spacing w:line="600" w:lineRule="auto"/>
        <w:ind w:firstLine="600" w:firstLineChars="200"/>
        <w:jc w:val="left"/>
        <w:rPr>
          <w:rFonts w:ascii="宋体" w:hAnsi="宋体" w:cs="宋体"/>
          <w:bCs/>
          <w:sz w:val="30"/>
          <w:szCs w:val="30"/>
        </w:rPr>
      </w:pPr>
      <w:r>
        <w:rPr>
          <w:rFonts w:hint="eastAsia" w:ascii="宋体" w:hAnsi="宋体" w:cs="宋体"/>
          <w:bCs/>
          <w:sz w:val="30"/>
          <w:szCs w:val="30"/>
        </w:rPr>
        <w:t>招标代理机构：</w:t>
      </w:r>
      <w:r>
        <w:rPr>
          <w:rFonts w:hint="eastAsia" w:ascii="宋体" w:hAnsi="宋体" w:cs="宋体"/>
          <w:sz w:val="30"/>
          <w:szCs w:val="30"/>
        </w:rPr>
        <w:t xml:space="preserve">浙江建银项目管理咨询有限公司 </w:t>
      </w:r>
      <w:r>
        <w:rPr>
          <w:rFonts w:hint="eastAsia" w:ascii="宋体" w:hAnsi="宋体" w:cs="宋体"/>
          <w:bCs/>
          <w:sz w:val="30"/>
          <w:szCs w:val="30"/>
        </w:rPr>
        <w:t>（</w:t>
      </w:r>
      <w:r>
        <w:rPr>
          <w:rFonts w:hint="eastAsia" w:ascii="宋体" w:hAnsi="宋体" w:cs="宋体"/>
          <w:sz w:val="30"/>
          <w:szCs w:val="30"/>
        </w:rPr>
        <w:t>盖单位章）</w:t>
      </w:r>
    </w:p>
    <w:p>
      <w:pPr>
        <w:snapToGrid w:val="0"/>
        <w:spacing w:line="600" w:lineRule="auto"/>
        <w:ind w:firstLine="640" w:firstLineChars="200"/>
        <w:rPr>
          <w:rFonts w:ascii="宋体" w:hAnsi="宋体" w:cs="宋体"/>
          <w:bCs/>
          <w:sz w:val="32"/>
          <w:szCs w:val="32"/>
        </w:rPr>
      </w:pPr>
      <w:r>
        <w:rPr>
          <w:rFonts w:hint="eastAsia" w:ascii="宋体" w:hAnsi="宋体" w:cs="宋体"/>
          <w:bCs/>
          <w:sz w:val="32"/>
          <w:szCs w:val="32"/>
        </w:rPr>
        <w:t>日        期：二〇二二年十</w:t>
      </w:r>
      <w:r>
        <w:rPr>
          <w:rFonts w:hint="eastAsia" w:ascii="宋体" w:hAnsi="宋体" w:cs="宋体"/>
          <w:bCs/>
          <w:sz w:val="32"/>
          <w:szCs w:val="32"/>
          <w:lang w:val="en-US" w:eastAsia="zh-CN"/>
        </w:rPr>
        <w:t>二</w:t>
      </w:r>
      <w:r>
        <w:rPr>
          <w:rFonts w:hint="eastAsia" w:ascii="宋体" w:hAnsi="宋体" w:cs="宋体"/>
          <w:bCs/>
          <w:sz w:val="32"/>
          <w:szCs w:val="32"/>
        </w:rPr>
        <w:t>月</w:t>
      </w:r>
      <w:r>
        <w:rPr>
          <w:rFonts w:hint="eastAsia" w:ascii="宋体" w:hAnsi="宋体" w:cs="宋体"/>
          <w:bCs/>
          <w:sz w:val="32"/>
          <w:szCs w:val="32"/>
          <w:lang w:val="en-US" w:eastAsia="zh-CN"/>
        </w:rPr>
        <w:t>六</w:t>
      </w:r>
      <w:r>
        <w:rPr>
          <w:rFonts w:hint="eastAsia" w:ascii="宋体" w:hAnsi="宋体" w:cs="宋体"/>
          <w:bCs/>
          <w:sz w:val="32"/>
          <w:szCs w:val="32"/>
        </w:rPr>
        <w:t>日</w:t>
      </w:r>
    </w:p>
    <w:p>
      <w:pPr>
        <w:spacing w:line="360" w:lineRule="auto"/>
        <w:jc w:val="center"/>
        <w:rPr>
          <w:rFonts w:ascii="宋体" w:hAnsi="宋体" w:cs="宋体"/>
          <w:sz w:val="24"/>
        </w:rPr>
        <w:sectPr>
          <w:headerReference r:id="rId5" w:type="first"/>
          <w:headerReference r:id="rId3" w:type="default"/>
          <w:headerReference r:id="rId4" w:type="even"/>
          <w:footerReference r:id="rId6" w:type="even"/>
          <w:pgSz w:w="11905" w:h="16838"/>
          <w:pgMar w:top="1701" w:right="1417" w:bottom="1417" w:left="1417" w:header="851" w:footer="992" w:gutter="0"/>
          <w:pgNumType w:fmt="decimal"/>
          <w:cols w:space="720" w:num="1"/>
          <w:titlePg/>
          <w:docGrid w:linePitch="312" w:charSpace="0"/>
        </w:sectPr>
      </w:pPr>
    </w:p>
    <w:p>
      <w:pPr>
        <w:pStyle w:val="112"/>
        <w:ind w:firstLine="420"/>
        <w:rPr>
          <w:rFonts w:hAnsi="宋体" w:cs="宋体"/>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pStyle w:val="27"/>
        <w:ind w:firstLine="420"/>
      </w:pPr>
    </w:p>
    <w:bookmarkEnd w:id="1"/>
    <w:p>
      <w:pPr>
        <w:snapToGrid w:val="0"/>
        <w:spacing w:line="360" w:lineRule="auto"/>
        <w:jc w:val="center"/>
        <w:rPr>
          <w:rStyle w:val="961"/>
          <w:rFonts w:ascii="宋体" w:hAnsi="宋体" w:cs="宋体"/>
          <w:kern w:val="0"/>
          <w:sz w:val="24"/>
          <w:lang w:val="zh-CN"/>
        </w:r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r>
        <w:rPr>
          <w:rStyle w:val="961"/>
          <w:rFonts w:hint="eastAsia" w:ascii="宋体" w:hAnsi="宋体" w:cs="宋体"/>
          <w:b/>
          <w:sz w:val="36"/>
          <w:szCs w:val="36"/>
        </w:rPr>
        <w:t>第一部分 招标公告</w:t>
      </w:r>
    </w:p>
    <w:tbl>
      <w:tblPr>
        <w:tblStyle w:val="62"/>
        <w:tblW w:w="924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9240" w:type="dxa"/>
            <w:tcBorders>
              <w:top w:val="single" w:color="000000" w:sz="4" w:space="0"/>
              <w:left w:val="single" w:color="000000" w:sz="4" w:space="0"/>
              <w:bottom w:val="single" w:color="000000" w:sz="4" w:space="0"/>
              <w:right w:val="single" w:color="000000" w:sz="4" w:space="0"/>
            </w:tcBorders>
            <w:noWrap w:val="0"/>
            <w:vAlign w:val="top"/>
          </w:tcPr>
          <w:p>
            <w:pPr>
              <w:pStyle w:val="962"/>
              <w:snapToGrid w:val="0"/>
              <w:spacing w:before="0" w:beforeAutospacing="0" w:after="0" w:afterAutospacing="0" w:line="360" w:lineRule="auto"/>
              <w:ind w:firstLine="482" w:firstLineChars="200"/>
              <w:rPr>
                <w:rStyle w:val="76"/>
                <w:rFonts w:ascii="宋体" w:hAnsi="宋体" w:eastAsia="宋体" w:cs="宋体"/>
                <w:b/>
                <w:bCs/>
                <w:color w:val="auto"/>
                <w:sz w:val="24"/>
                <w:szCs w:val="24"/>
              </w:rPr>
            </w:pPr>
            <w:r>
              <w:rPr>
                <w:rStyle w:val="76"/>
                <w:rFonts w:hint="eastAsia" w:ascii="宋体" w:hAnsi="宋体" w:eastAsia="宋体" w:cs="宋体"/>
                <w:b/>
                <w:bCs/>
                <w:color w:val="auto"/>
                <w:sz w:val="24"/>
                <w:szCs w:val="24"/>
              </w:rPr>
              <w:t>项目概况：</w:t>
            </w:r>
          </w:p>
          <w:p>
            <w:pPr>
              <w:pStyle w:val="962"/>
              <w:snapToGrid w:val="0"/>
              <w:spacing w:before="0" w:beforeAutospacing="0" w:after="0" w:afterAutospacing="0" w:line="360" w:lineRule="auto"/>
              <w:ind w:firstLine="482" w:firstLineChars="200"/>
              <w:rPr>
                <w:rStyle w:val="76"/>
                <w:rFonts w:ascii="宋体" w:hAnsi="宋体" w:eastAsia="宋体" w:cs="宋体"/>
                <w:b/>
                <w:bCs/>
                <w:color w:val="auto"/>
                <w:sz w:val="24"/>
                <w:szCs w:val="24"/>
              </w:rPr>
            </w:pPr>
            <w:r>
              <w:rPr>
                <w:rStyle w:val="76"/>
                <w:rFonts w:hint="eastAsia" w:ascii="宋体" w:hAnsi="宋体" w:eastAsia="宋体" w:cs="宋体"/>
                <w:b/>
                <w:bCs/>
                <w:color w:val="auto"/>
                <w:sz w:val="24"/>
                <w:szCs w:val="24"/>
                <w:u w:val="single"/>
              </w:rPr>
              <w:t xml:space="preserve">杭州市滨江区城市路灯维护管理项目（2023年-2025年） </w:t>
            </w:r>
            <w:r>
              <w:rPr>
                <w:rStyle w:val="76"/>
                <w:rFonts w:hint="eastAsia" w:ascii="宋体" w:hAnsi="宋体" w:eastAsia="宋体" w:cs="宋体"/>
                <w:b/>
                <w:bCs/>
                <w:color w:val="auto"/>
                <w:sz w:val="24"/>
                <w:szCs w:val="24"/>
              </w:rPr>
              <w:t>的潜在供应商应在</w:t>
            </w:r>
            <w:r>
              <w:rPr>
                <w:rStyle w:val="76"/>
                <w:rFonts w:hint="eastAsia" w:ascii="宋体" w:hAnsi="宋体" w:eastAsia="宋体" w:cs="宋体"/>
                <w:b/>
                <w:bCs/>
                <w:color w:val="auto"/>
                <w:sz w:val="24"/>
                <w:szCs w:val="24"/>
                <w:u w:val="single"/>
              </w:rPr>
              <w:t>政采云平台（https://www.zcygov.cn）</w:t>
            </w:r>
            <w:r>
              <w:rPr>
                <w:rStyle w:val="76"/>
                <w:rFonts w:hint="eastAsia" w:ascii="宋体" w:hAnsi="宋体" w:eastAsia="宋体" w:cs="宋体"/>
                <w:b/>
                <w:bCs/>
                <w:color w:val="auto"/>
                <w:sz w:val="24"/>
                <w:szCs w:val="24"/>
              </w:rPr>
              <w:t>获取（下载）采购文件，并于</w:t>
            </w:r>
            <w:r>
              <w:rPr>
                <w:rStyle w:val="76"/>
                <w:rFonts w:hint="eastAsia" w:ascii="宋体" w:hAnsi="宋体" w:eastAsia="宋体" w:cs="宋体"/>
                <w:b/>
                <w:bCs/>
                <w:color w:val="auto"/>
                <w:sz w:val="24"/>
                <w:szCs w:val="24"/>
                <w:u w:val="single"/>
              </w:rPr>
              <w:t>2022</w:t>
            </w:r>
            <w:r>
              <w:rPr>
                <w:rStyle w:val="76"/>
                <w:rFonts w:hint="eastAsia" w:ascii="宋体" w:hAnsi="宋体" w:eastAsia="宋体" w:cs="宋体"/>
                <w:b/>
                <w:bCs/>
                <w:color w:val="auto"/>
                <w:sz w:val="24"/>
                <w:szCs w:val="24"/>
                <w:u w:val="none"/>
              </w:rPr>
              <w:t>年</w:t>
            </w:r>
            <w:r>
              <w:rPr>
                <w:rStyle w:val="76"/>
                <w:rFonts w:hint="eastAsia" w:ascii="宋体" w:hAnsi="宋体" w:eastAsia="宋体" w:cs="宋体"/>
                <w:b/>
                <w:bCs/>
                <w:color w:val="auto"/>
                <w:sz w:val="24"/>
                <w:szCs w:val="24"/>
                <w:u w:val="single"/>
              </w:rPr>
              <w:t xml:space="preserve"> </w:t>
            </w:r>
            <w:r>
              <w:rPr>
                <w:rStyle w:val="76"/>
                <w:rFonts w:hint="eastAsia" w:cs="宋体"/>
                <w:b/>
                <w:bCs/>
                <w:color w:val="auto"/>
                <w:sz w:val="24"/>
                <w:szCs w:val="24"/>
                <w:u w:val="single"/>
                <w:lang w:val="en-US" w:eastAsia="zh-CN"/>
              </w:rPr>
              <w:t>12</w:t>
            </w:r>
            <w:r>
              <w:rPr>
                <w:rStyle w:val="76"/>
                <w:rFonts w:hint="eastAsia" w:ascii="宋体" w:hAnsi="宋体" w:eastAsia="宋体" w:cs="宋体"/>
                <w:b/>
                <w:bCs/>
                <w:color w:val="auto"/>
                <w:sz w:val="24"/>
                <w:szCs w:val="24"/>
                <w:u w:val="single"/>
              </w:rPr>
              <w:t xml:space="preserve"> </w:t>
            </w:r>
            <w:r>
              <w:rPr>
                <w:rStyle w:val="76"/>
                <w:rFonts w:hint="eastAsia" w:ascii="宋体" w:hAnsi="宋体" w:eastAsia="宋体" w:cs="宋体"/>
                <w:b/>
                <w:bCs/>
                <w:color w:val="auto"/>
                <w:sz w:val="24"/>
                <w:szCs w:val="24"/>
                <w:u w:val="none"/>
              </w:rPr>
              <w:t>月</w:t>
            </w:r>
            <w:r>
              <w:rPr>
                <w:rStyle w:val="76"/>
                <w:rFonts w:hint="eastAsia" w:ascii="宋体" w:hAnsi="宋体" w:eastAsia="宋体" w:cs="宋体"/>
                <w:b/>
                <w:bCs/>
                <w:color w:val="auto"/>
                <w:sz w:val="24"/>
                <w:szCs w:val="24"/>
                <w:u w:val="single"/>
              </w:rPr>
              <w:t xml:space="preserve"> </w:t>
            </w:r>
            <w:r>
              <w:rPr>
                <w:rStyle w:val="76"/>
                <w:rFonts w:hint="eastAsia" w:cs="宋体"/>
                <w:b/>
                <w:bCs/>
                <w:color w:val="auto"/>
                <w:sz w:val="24"/>
                <w:szCs w:val="24"/>
                <w:u w:val="single"/>
                <w:lang w:val="en-US" w:eastAsia="zh-CN"/>
              </w:rPr>
              <w:t>26</w:t>
            </w:r>
            <w:r>
              <w:rPr>
                <w:rStyle w:val="76"/>
                <w:rFonts w:hint="eastAsia" w:ascii="宋体" w:hAnsi="宋体" w:eastAsia="宋体" w:cs="宋体"/>
                <w:b/>
                <w:bCs/>
                <w:color w:val="auto"/>
                <w:sz w:val="24"/>
                <w:szCs w:val="24"/>
                <w:u w:val="single"/>
              </w:rPr>
              <w:t xml:space="preserve"> </w:t>
            </w:r>
            <w:r>
              <w:rPr>
                <w:rStyle w:val="76"/>
                <w:rFonts w:hint="eastAsia" w:ascii="宋体" w:hAnsi="宋体" w:eastAsia="宋体" w:cs="宋体"/>
                <w:b/>
                <w:bCs/>
                <w:color w:val="auto"/>
                <w:sz w:val="24"/>
                <w:szCs w:val="24"/>
              </w:rPr>
              <w:t>日</w:t>
            </w:r>
            <w:r>
              <w:rPr>
                <w:rStyle w:val="76"/>
                <w:rFonts w:hint="eastAsia" w:cs="宋体"/>
                <w:b/>
                <w:bCs/>
                <w:color w:val="auto"/>
                <w:sz w:val="24"/>
                <w:szCs w:val="24"/>
                <w:lang w:val="en-US" w:eastAsia="zh-CN"/>
              </w:rPr>
              <w:t>13</w:t>
            </w:r>
            <w:r>
              <w:rPr>
                <w:rStyle w:val="76"/>
                <w:rFonts w:hint="eastAsia" w:ascii="宋体" w:hAnsi="宋体" w:eastAsia="宋体" w:cs="宋体"/>
                <w:b/>
                <w:bCs/>
                <w:color w:val="auto"/>
                <w:sz w:val="24"/>
                <w:szCs w:val="24"/>
              </w:rPr>
              <w:t>：30（北京时间）前递交（上传）投标文件。</w:t>
            </w:r>
          </w:p>
        </w:tc>
      </w:tr>
    </w:tbl>
    <w:p>
      <w:pPr>
        <w:pStyle w:val="962"/>
        <w:numPr>
          <w:ilvl w:val="0"/>
          <w:numId w:val="1"/>
        </w:numPr>
        <w:snapToGrid w:val="0"/>
        <w:spacing w:before="0" w:beforeAutospacing="0" w:after="0" w:afterAutospacing="0" w:line="360" w:lineRule="auto"/>
        <w:ind w:left="0"/>
        <w:jc w:val="both"/>
        <w:rPr>
          <w:rStyle w:val="961"/>
          <w:rFonts w:cs="宋体"/>
          <w:color w:val="auto"/>
        </w:rPr>
      </w:pPr>
      <w:r>
        <w:rPr>
          <w:rStyle w:val="70"/>
          <w:rFonts w:hint="eastAsia" w:cs="宋体"/>
          <w:color w:val="auto"/>
        </w:rPr>
        <w:t>项目基本情况</w:t>
      </w:r>
      <w:r>
        <w:rPr>
          <w:rStyle w:val="961"/>
          <w:rFonts w:hint="eastAsia" w:cs="宋体"/>
          <w:color w:val="auto"/>
        </w:rPr>
        <w:t>                                  </w:t>
      </w:r>
    </w:p>
    <w:p>
      <w:pPr>
        <w:pStyle w:val="962"/>
        <w:snapToGrid w:val="0"/>
        <w:spacing w:before="0" w:beforeAutospacing="0" w:after="0" w:afterAutospacing="0" w:line="360" w:lineRule="auto"/>
        <w:ind w:firstLine="480" w:firstLineChars="200"/>
        <w:jc w:val="both"/>
        <w:rPr>
          <w:rStyle w:val="961"/>
          <w:rFonts w:cs="宋体"/>
          <w:color w:val="auto"/>
        </w:rPr>
      </w:pPr>
      <w:r>
        <w:rPr>
          <w:rStyle w:val="961"/>
          <w:rFonts w:hint="eastAsia" w:cs="宋体"/>
          <w:color w:val="auto"/>
        </w:rPr>
        <w:t>项目编号：  </w:t>
      </w:r>
    </w:p>
    <w:p>
      <w:pPr>
        <w:pStyle w:val="962"/>
        <w:snapToGrid w:val="0"/>
        <w:spacing w:before="0" w:beforeAutospacing="0" w:after="0" w:afterAutospacing="0" w:line="360" w:lineRule="auto"/>
        <w:rPr>
          <w:rStyle w:val="961"/>
          <w:rFonts w:cs="宋体"/>
        </w:rPr>
      </w:pPr>
      <w:r>
        <w:rPr>
          <w:rStyle w:val="961"/>
          <w:rFonts w:hint="eastAsia" w:cs="宋体"/>
          <w:color w:val="auto"/>
        </w:rPr>
        <w:t>   项目名称</w:t>
      </w:r>
      <w:r>
        <w:rPr>
          <w:rStyle w:val="961"/>
          <w:rFonts w:hint="eastAsia" w:cs="宋体"/>
        </w:rPr>
        <w:t xml:space="preserve">：杭州市滨江区城市路灯维护管理项目（2023年-2025年）   </w:t>
      </w:r>
    </w:p>
    <w:p>
      <w:pPr>
        <w:pStyle w:val="962"/>
        <w:snapToGrid w:val="0"/>
        <w:spacing w:before="0" w:beforeAutospacing="0" w:after="0" w:afterAutospacing="0" w:line="360" w:lineRule="auto"/>
        <w:ind w:firstLine="480" w:firstLineChars="200"/>
        <w:rPr>
          <w:rStyle w:val="961"/>
          <w:rFonts w:hint="default" w:ascii="Times New Roman" w:hAnsi="Times New Roman" w:eastAsia="宋体" w:cs="宋体"/>
          <w:lang w:val="en-US" w:eastAsia="zh-CN"/>
        </w:rPr>
      </w:pPr>
      <w:r>
        <w:rPr>
          <w:rStyle w:val="961"/>
          <w:rFonts w:hint="eastAsia" w:ascii="Times New Roman" w:hAnsi="Times New Roman" w:cs="宋体"/>
        </w:rPr>
        <w:t>预算金额（元）：</w:t>
      </w:r>
      <w:r>
        <w:rPr>
          <w:rStyle w:val="961"/>
          <w:rFonts w:hint="eastAsia" w:ascii="Times New Roman" w:hAnsi="Times New Roman" w:cs="宋体"/>
          <w:lang w:val="en-US" w:eastAsia="zh-CN"/>
        </w:rPr>
        <w:t>17010000</w:t>
      </w:r>
    </w:p>
    <w:p>
      <w:pPr>
        <w:pStyle w:val="962"/>
        <w:snapToGrid w:val="0"/>
        <w:spacing w:before="0" w:beforeAutospacing="0" w:after="0" w:afterAutospacing="0" w:line="360" w:lineRule="auto"/>
        <w:ind w:firstLine="480" w:firstLineChars="200"/>
        <w:rPr>
          <w:rStyle w:val="961"/>
          <w:rFonts w:ascii="Times New Roman" w:hAnsi="Times New Roman" w:cs="宋体"/>
        </w:rPr>
      </w:pPr>
      <w:r>
        <w:rPr>
          <w:rStyle w:val="961"/>
          <w:rFonts w:hint="eastAsia" w:ascii="Times New Roman" w:hAnsi="Times New Roman" w:cs="宋体"/>
        </w:rPr>
        <w:t>最高限价（元）：15795000</w:t>
      </w:r>
    </w:p>
    <w:p>
      <w:pPr>
        <w:pStyle w:val="962"/>
        <w:snapToGrid w:val="0"/>
        <w:spacing w:before="0" w:beforeAutospacing="0" w:after="0" w:afterAutospacing="0" w:line="360" w:lineRule="auto"/>
        <w:ind w:firstLine="480" w:firstLineChars="200"/>
        <w:rPr>
          <w:rStyle w:val="961"/>
          <w:rFonts w:cs="宋体"/>
        </w:rPr>
      </w:pPr>
      <w:r>
        <w:rPr>
          <w:rStyle w:val="961"/>
          <w:rFonts w:hint="eastAsia" w:cs="宋体"/>
        </w:rPr>
        <w:t>采购需求：</w:t>
      </w:r>
    </w:p>
    <w:p>
      <w:pPr>
        <w:pStyle w:val="962"/>
        <w:snapToGrid w:val="0"/>
        <w:spacing w:before="0" w:beforeAutospacing="0" w:after="0" w:afterAutospacing="0" w:line="360" w:lineRule="auto"/>
        <w:ind w:firstLine="480" w:firstLineChars="200"/>
        <w:rPr>
          <w:rStyle w:val="961"/>
          <w:rFonts w:cs="宋体"/>
        </w:rPr>
      </w:pPr>
      <w:r>
        <w:rPr>
          <w:rStyle w:val="961"/>
          <w:rFonts w:hint="eastAsia" w:cs="宋体"/>
        </w:rPr>
        <w:t>标项一:</w:t>
      </w:r>
    </w:p>
    <w:p>
      <w:pPr>
        <w:pStyle w:val="962"/>
        <w:snapToGrid w:val="0"/>
        <w:spacing w:before="0" w:beforeAutospacing="0" w:after="0" w:afterAutospacing="0" w:line="360" w:lineRule="auto"/>
        <w:ind w:firstLine="480" w:firstLineChars="200"/>
        <w:rPr>
          <w:rStyle w:val="961"/>
          <w:rFonts w:cs="宋体"/>
        </w:rPr>
      </w:pPr>
      <w:r>
        <w:rPr>
          <w:rStyle w:val="961"/>
          <w:rFonts w:hint="eastAsia" w:cs="宋体"/>
        </w:rPr>
        <w:t>标项名称:杭州市滨江区城市路灯维护管理项目（2023年-2025年）</w:t>
      </w:r>
    </w:p>
    <w:p>
      <w:pPr>
        <w:snapToGrid w:val="0"/>
        <w:spacing w:line="360" w:lineRule="auto"/>
        <w:ind w:firstLine="480" w:firstLineChars="200"/>
        <w:rPr>
          <w:rStyle w:val="961"/>
          <w:rFonts w:ascii="宋体" w:hAnsi="宋体" w:cs="宋体"/>
          <w:color w:val="000000"/>
          <w:sz w:val="24"/>
        </w:rPr>
      </w:pPr>
      <w:r>
        <w:rPr>
          <w:rStyle w:val="961"/>
          <w:rFonts w:hint="eastAsia" w:ascii="宋体" w:hAnsi="宋体" w:cs="宋体"/>
          <w:color w:val="000000"/>
          <w:sz w:val="24"/>
        </w:rPr>
        <w:t>数量:项</w:t>
      </w:r>
    </w:p>
    <w:p>
      <w:pPr>
        <w:snapToGrid w:val="0"/>
        <w:spacing w:line="360" w:lineRule="auto"/>
        <w:ind w:firstLine="480" w:firstLineChars="200"/>
        <w:rPr>
          <w:rStyle w:val="961"/>
          <w:rFonts w:ascii="宋体" w:hAnsi="宋体" w:cs="宋体"/>
          <w:color w:val="000000"/>
          <w:kern w:val="0"/>
          <w:sz w:val="24"/>
        </w:rPr>
      </w:pPr>
      <w:r>
        <w:rPr>
          <w:rStyle w:val="961"/>
          <w:rFonts w:hint="eastAsia" w:ascii="宋体" w:hAnsi="宋体" w:cs="宋体"/>
          <w:color w:val="000000"/>
          <w:sz w:val="24"/>
        </w:rPr>
        <w:t>预算金额（元</w:t>
      </w:r>
      <w:r>
        <w:rPr>
          <w:rStyle w:val="961"/>
          <w:rFonts w:hint="eastAsia" w:ascii="宋体" w:hAnsi="宋体" w:eastAsia="宋体" w:cs="宋体"/>
          <w:color w:val="000000"/>
          <w:sz w:val="24"/>
        </w:rPr>
        <w:t>）:</w:t>
      </w:r>
      <w:r>
        <w:rPr>
          <w:rStyle w:val="961"/>
          <w:rFonts w:hint="eastAsia" w:ascii="宋体" w:hAnsi="宋体" w:eastAsia="宋体" w:cs="宋体"/>
          <w:color w:val="000000"/>
          <w:sz w:val="24"/>
          <w:lang w:val="en-US" w:eastAsia="zh-CN"/>
        </w:rPr>
        <w:t>17010000</w:t>
      </w:r>
      <w:r>
        <w:rPr>
          <w:rStyle w:val="961"/>
          <w:rFonts w:hint="eastAsia" w:ascii="宋体" w:hAnsi="宋体" w:eastAsia="宋体" w:cs="宋体"/>
          <w:color w:val="000000"/>
          <w:sz w:val="24"/>
        </w:rPr>
        <w:t xml:space="preserve"> </w:t>
      </w:r>
    </w:p>
    <w:p>
      <w:pPr>
        <w:snapToGrid w:val="0"/>
        <w:spacing w:line="360" w:lineRule="auto"/>
        <w:ind w:firstLine="480" w:firstLineChars="200"/>
        <w:rPr>
          <w:rFonts w:ascii="宋体" w:hAnsi="宋体" w:cs="宋体"/>
          <w:color w:val="000000"/>
          <w:sz w:val="24"/>
        </w:rPr>
      </w:pPr>
      <w:r>
        <w:rPr>
          <w:rStyle w:val="961"/>
          <w:rFonts w:hint="eastAsia" w:ascii="宋体" w:hAnsi="宋体" w:cs="宋体"/>
          <w:color w:val="000000"/>
          <w:sz w:val="24"/>
        </w:rPr>
        <w:t>简要规格描述或项目基本概况介绍、用途：</w:t>
      </w:r>
      <w:r>
        <w:rPr>
          <w:rFonts w:hint="eastAsia" w:ascii="宋体" w:hAnsi="宋体"/>
          <w:bCs/>
          <w:color w:val="000000"/>
          <w:sz w:val="24"/>
          <w:szCs w:val="22"/>
        </w:rPr>
        <w:t xml:space="preserve">对杭州市滨江区范围内路灯照明设施的光源、灯具及配件、灯杆、支架、配电箱、地上（地下）管道、电线（电缆）、工作井、控制器、标识牌、附属设备等设施，进行日常维修、检测、更换、保洁、保养、油漆、设施巡查、防盗（看护、处理）、撞杆处理、应急保障（如防汛、抗台、抗雪、临时或重大任务保障）等处置，以保证路灯设施安全正常运行。具体详见采购文件。 </w:t>
      </w:r>
      <w:r>
        <w:rPr>
          <w:rFonts w:hint="eastAsia" w:ascii="宋体" w:hAnsi="宋体" w:cs="宋体"/>
          <w:color w:val="000000"/>
          <w:sz w:val="24"/>
        </w:rPr>
        <w:t xml:space="preserve"> </w:t>
      </w:r>
    </w:p>
    <w:p>
      <w:pPr>
        <w:snapToGrid w:val="0"/>
        <w:spacing w:line="360" w:lineRule="auto"/>
        <w:ind w:firstLine="480" w:firstLineChars="200"/>
        <w:rPr>
          <w:rStyle w:val="961"/>
          <w:rFonts w:ascii="宋体" w:hAnsi="宋体" w:cs="宋体"/>
          <w:color w:val="000000"/>
          <w:sz w:val="24"/>
        </w:rPr>
      </w:pPr>
      <w:r>
        <w:rPr>
          <w:rStyle w:val="961"/>
          <w:rFonts w:hint="eastAsia" w:ascii="宋体" w:hAnsi="宋体" w:cs="宋体"/>
          <w:sz w:val="24"/>
        </w:rPr>
        <w:t>合同履约期限：</w:t>
      </w:r>
      <w:r>
        <w:rPr>
          <w:rFonts w:hint="eastAsia" w:ascii="宋体" w:hAnsi="宋体"/>
          <w:bCs/>
          <w:color w:val="000000"/>
          <w:sz w:val="24"/>
          <w:szCs w:val="22"/>
        </w:rPr>
        <w:t>三年（具体以</w:t>
      </w:r>
      <w:r>
        <w:rPr>
          <w:rFonts w:hint="eastAsia" w:ascii="宋体" w:hAnsi="宋体"/>
          <w:bCs/>
          <w:color w:val="000000"/>
          <w:sz w:val="24"/>
          <w:szCs w:val="22"/>
          <w:lang w:val="zh-CN"/>
        </w:rPr>
        <w:t>合同</w:t>
      </w:r>
      <w:r>
        <w:rPr>
          <w:rFonts w:hint="eastAsia" w:ascii="宋体" w:hAnsi="宋体"/>
          <w:bCs/>
          <w:color w:val="000000"/>
          <w:sz w:val="24"/>
          <w:szCs w:val="22"/>
        </w:rPr>
        <w:t>约定时间为准</w:t>
      </w:r>
      <w:r>
        <w:rPr>
          <w:rFonts w:hint="eastAsia" w:ascii="宋体" w:hAnsi="宋体"/>
          <w:bCs/>
          <w:color w:val="000000"/>
          <w:sz w:val="24"/>
          <w:szCs w:val="22"/>
          <w:lang w:val="zh-CN"/>
        </w:rPr>
        <w:t>）。</w:t>
      </w:r>
    </w:p>
    <w:p>
      <w:pPr>
        <w:pStyle w:val="962"/>
        <w:snapToGrid w:val="0"/>
        <w:spacing w:before="0" w:beforeAutospacing="0" w:after="0" w:afterAutospacing="0" w:line="360" w:lineRule="auto"/>
        <w:ind w:firstLine="480" w:firstLineChars="200"/>
        <w:rPr>
          <w:rStyle w:val="961"/>
          <w:rFonts w:cs="宋体"/>
          <w:color w:val="auto"/>
        </w:rPr>
      </w:pPr>
      <w:r>
        <w:rPr>
          <w:rStyle w:val="961"/>
          <w:rFonts w:hint="eastAsia" w:cs="宋体"/>
          <w:color w:val="auto"/>
        </w:rPr>
        <w:t>本项目</w:t>
      </w:r>
      <w:r>
        <w:rPr>
          <w:rStyle w:val="961"/>
          <w:rFonts w:hint="eastAsia" w:cs="宋体"/>
          <w:b/>
          <w:bCs/>
        </w:rPr>
        <w:t>（是）</w:t>
      </w:r>
      <w:r>
        <w:rPr>
          <w:rStyle w:val="961"/>
          <w:rFonts w:hint="eastAsia" w:cs="宋体"/>
          <w:color w:val="auto"/>
        </w:rPr>
        <w:t>接受联合体投标。</w:t>
      </w:r>
    </w:p>
    <w:p>
      <w:pPr>
        <w:pStyle w:val="962"/>
        <w:snapToGrid w:val="0"/>
        <w:spacing w:before="0" w:beforeAutospacing="0" w:after="0" w:afterAutospacing="0" w:line="360" w:lineRule="auto"/>
        <w:rPr>
          <w:rStyle w:val="961"/>
          <w:rFonts w:cs="宋体"/>
          <w:color w:val="auto"/>
        </w:rPr>
      </w:pPr>
      <w:r>
        <w:rPr>
          <w:rStyle w:val="70"/>
          <w:rFonts w:hint="eastAsia" w:cs="宋体"/>
          <w:color w:val="auto"/>
        </w:rPr>
        <w:t>二、申请人的资格要求：</w:t>
      </w:r>
    </w:p>
    <w:p>
      <w:pPr>
        <w:pStyle w:val="962"/>
        <w:spacing w:before="0" w:beforeAutospacing="0" w:after="0" w:afterAutospacing="0" w:line="360" w:lineRule="auto"/>
        <w:rPr>
          <w:rStyle w:val="961"/>
          <w:rFonts w:cs="宋体"/>
          <w:color w:val="auto"/>
          <w:highlight w:val="none"/>
        </w:rPr>
      </w:pPr>
      <w:r>
        <w:rPr>
          <w:rStyle w:val="961"/>
          <w:rFonts w:hint="eastAsia" w:cs="宋体"/>
          <w:color w:val="auto"/>
        </w:rPr>
        <w:t> </w:t>
      </w:r>
      <w:r>
        <w:rPr>
          <w:rStyle w:val="961"/>
          <w:rFonts w:hint="eastAsia" w:cs="宋体"/>
          <w:color w:val="auto"/>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pStyle w:val="962"/>
        <w:spacing w:before="0" w:beforeAutospacing="0" w:after="0" w:afterAutospacing="0" w:line="360" w:lineRule="auto"/>
        <w:ind w:firstLine="480" w:firstLineChars="200"/>
        <w:rPr>
          <w:rStyle w:val="961"/>
          <w:rFonts w:hint="eastAsia" w:eastAsia="宋体" w:cs="宋体"/>
          <w:color w:val="auto"/>
          <w:highlight w:val="none"/>
          <w:lang w:val="en-US" w:eastAsia="zh-CN"/>
        </w:rPr>
      </w:pPr>
      <w:r>
        <w:rPr>
          <w:rStyle w:val="961"/>
          <w:rFonts w:hint="eastAsia" w:cs="宋体"/>
          <w:color w:val="auto"/>
          <w:highlight w:val="none"/>
        </w:rPr>
        <w:t>2、落实政府采购政策需满足的资格要求：</w:t>
      </w:r>
      <w:r>
        <w:rPr>
          <w:rStyle w:val="961"/>
          <w:rFonts w:hint="eastAsia" w:cs="宋体"/>
          <w:color w:val="auto"/>
          <w:highlight w:val="none"/>
          <w:lang w:val="en-US" w:eastAsia="zh-CN"/>
        </w:rPr>
        <w:t>无</w:t>
      </w:r>
    </w:p>
    <w:p>
      <w:pPr>
        <w:pStyle w:val="962"/>
        <w:spacing w:before="0" w:beforeAutospacing="0" w:after="0" w:afterAutospacing="0" w:line="360" w:lineRule="auto"/>
        <w:ind w:firstLine="480" w:firstLineChars="200"/>
        <w:rPr>
          <w:rStyle w:val="961"/>
          <w:rFonts w:cs="宋体"/>
          <w:color w:val="auto"/>
          <w:highlight w:val="none"/>
        </w:rPr>
      </w:pPr>
      <w:r>
        <w:rPr>
          <w:rStyle w:val="961"/>
          <w:rFonts w:hint="eastAsia" w:cs="宋体"/>
          <w:color w:val="auto"/>
          <w:highlight w:val="none"/>
        </w:rPr>
        <w:t>3、本项目的特定资格要求：具备建设行政主管部门颁发的城市及道路照明工程专业承包三级及以上资质。</w:t>
      </w:r>
    </w:p>
    <w:p>
      <w:pPr>
        <w:pStyle w:val="962"/>
        <w:spacing w:before="0" w:beforeAutospacing="0" w:after="0" w:afterAutospacing="0" w:line="360" w:lineRule="auto"/>
        <w:ind w:firstLine="482" w:firstLineChars="200"/>
        <w:rPr>
          <w:rStyle w:val="961"/>
          <w:rFonts w:cs="宋体"/>
          <w:color w:val="auto"/>
        </w:rPr>
      </w:pPr>
      <w:r>
        <w:rPr>
          <w:rStyle w:val="70"/>
          <w:rFonts w:hint="eastAsia" w:cs="宋体"/>
          <w:color w:val="auto"/>
        </w:rPr>
        <w:t>三、获取采购文件</w:t>
      </w:r>
      <w:r>
        <w:rPr>
          <w:rStyle w:val="961"/>
          <w:rFonts w:hint="eastAsia" w:cs="宋体"/>
          <w:color w:val="auto"/>
        </w:rPr>
        <w:t> </w:t>
      </w:r>
    </w:p>
    <w:p>
      <w:pPr>
        <w:pStyle w:val="962"/>
        <w:snapToGrid w:val="0"/>
        <w:spacing w:before="0" w:beforeAutospacing="0" w:after="0" w:afterAutospacing="0" w:line="360" w:lineRule="auto"/>
        <w:rPr>
          <w:rStyle w:val="961"/>
          <w:rFonts w:cs="宋体"/>
          <w:color w:val="auto"/>
        </w:rPr>
      </w:pPr>
      <w:r>
        <w:rPr>
          <w:rStyle w:val="961"/>
          <w:rFonts w:hint="eastAsia" w:cs="宋体"/>
          <w:color w:val="auto"/>
        </w:rPr>
        <w:t>  时间：</w:t>
      </w:r>
      <w:r>
        <w:rPr>
          <w:rStyle w:val="961"/>
          <w:rFonts w:hint="eastAsia" w:cs="宋体"/>
          <w:color w:val="auto"/>
          <w:kern w:val="2"/>
        </w:rPr>
        <w:t>自本公告发布之日起至投标截止时间止（每天上午00:00至12:00，下午12:00至23:59（北京时间，线上获取法定节假日均可，线下获取文件法定节假日除外）。</w:t>
      </w:r>
    </w:p>
    <w:p>
      <w:pPr>
        <w:pStyle w:val="962"/>
        <w:snapToGrid w:val="0"/>
        <w:spacing w:before="0" w:beforeAutospacing="0" w:after="0" w:afterAutospacing="0" w:line="360" w:lineRule="auto"/>
        <w:rPr>
          <w:rStyle w:val="961"/>
          <w:rFonts w:cs="宋体"/>
          <w:color w:val="auto"/>
        </w:rPr>
      </w:pPr>
      <w:r>
        <w:rPr>
          <w:rStyle w:val="961"/>
          <w:rFonts w:hint="eastAsia" w:cs="宋体"/>
          <w:color w:val="auto"/>
        </w:rPr>
        <w:t>  地点（网址）：政采云平台（https://www.zcygov.cn/） </w:t>
      </w:r>
    </w:p>
    <w:p>
      <w:pPr>
        <w:pStyle w:val="962"/>
        <w:snapToGrid w:val="0"/>
        <w:spacing w:before="0" w:beforeAutospacing="0" w:after="0" w:afterAutospacing="0" w:line="360" w:lineRule="auto"/>
        <w:rPr>
          <w:rStyle w:val="961"/>
          <w:rFonts w:cs="宋体"/>
          <w:color w:val="auto"/>
        </w:rPr>
      </w:pPr>
      <w:r>
        <w:rPr>
          <w:rStyle w:val="961"/>
          <w:rFonts w:hint="eastAsia" w:cs="宋体"/>
          <w:color w:val="auto"/>
        </w:rPr>
        <w:t>  方式：供应商登录政采云平台https://www.zcygov.cn/在线申请获取采购文件（进入“项目采购”应用，在获取采购文件菜单中选择项目，申请获取采购文件）。  </w:t>
      </w:r>
    </w:p>
    <w:p>
      <w:pPr>
        <w:pStyle w:val="962"/>
        <w:snapToGrid w:val="0"/>
        <w:spacing w:before="0" w:beforeAutospacing="0" w:after="0" w:afterAutospacing="0" w:line="360" w:lineRule="auto"/>
        <w:rPr>
          <w:rStyle w:val="961"/>
          <w:rFonts w:cs="宋体"/>
          <w:color w:val="auto"/>
        </w:rPr>
      </w:pPr>
      <w:r>
        <w:rPr>
          <w:rStyle w:val="961"/>
          <w:rFonts w:hint="eastAsia" w:cs="宋体"/>
          <w:color w:val="auto"/>
        </w:rPr>
        <w:t>  售价（元）：0 </w:t>
      </w:r>
    </w:p>
    <w:p>
      <w:pPr>
        <w:pStyle w:val="962"/>
        <w:snapToGrid w:val="0"/>
        <w:spacing w:before="0" w:beforeAutospacing="0" w:after="0" w:afterAutospacing="0" w:line="360" w:lineRule="auto"/>
        <w:jc w:val="both"/>
        <w:rPr>
          <w:rStyle w:val="961"/>
          <w:rFonts w:cs="宋体"/>
          <w:color w:val="auto"/>
        </w:rPr>
      </w:pPr>
      <w:r>
        <w:rPr>
          <w:rStyle w:val="70"/>
          <w:rFonts w:hint="eastAsia" w:cs="宋体"/>
          <w:color w:val="auto"/>
        </w:rPr>
        <w:t>四、提交投标文件截止时间、开标时间和地点</w:t>
      </w:r>
    </w:p>
    <w:p>
      <w:pPr>
        <w:pStyle w:val="962"/>
        <w:snapToGrid w:val="0"/>
        <w:spacing w:before="0" w:beforeAutospacing="0" w:after="0" w:afterAutospacing="0" w:line="360" w:lineRule="auto"/>
        <w:rPr>
          <w:rStyle w:val="961"/>
          <w:rFonts w:cs="宋体"/>
          <w:color w:val="auto"/>
        </w:rPr>
      </w:pPr>
      <w:r>
        <w:rPr>
          <w:rStyle w:val="961"/>
          <w:rFonts w:hint="eastAsia" w:cs="宋体"/>
          <w:color w:val="auto"/>
        </w:rPr>
        <w:t>  提交投标文件截止时间：2022年</w:t>
      </w:r>
      <w:r>
        <w:rPr>
          <w:rStyle w:val="961"/>
          <w:rFonts w:hint="eastAsia" w:cs="宋体"/>
          <w:color w:val="auto"/>
          <w:lang w:val="en-US" w:eastAsia="zh-CN"/>
        </w:rPr>
        <w:t>12</w:t>
      </w:r>
      <w:r>
        <w:rPr>
          <w:rStyle w:val="961"/>
          <w:rFonts w:hint="eastAsia" w:cs="宋体"/>
          <w:color w:val="auto"/>
        </w:rPr>
        <w:t>月</w:t>
      </w:r>
      <w:r>
        <w:rPr>
          <w:rStyle w:val="961"/>
          <w:rFonts w:hint="eastAsia" w:cs="宋体"/>
          <w:color w:val="auto"/>
          <w:lang w:val="en-US" w:eastAsia="zh-CN"/>
        </w:rPr>
        <w:t>26</w:t>
      </w:r>
      <w:r>
        <w:rPr>
          <w:rStyle w:val="961"/>
          <w:rFonts w:hint="eastAsia" w:cs="宋体"/>
          <w:color w:val="auto"/>
        </w:rPr>
        <w:t>日</w:t>
      </w:r>
      <w:r>
        <w:rPr>
          <w:rStyle w:val="961"/>
          <w:rFonts w:hint="eastAsia" w:cs="宋体"/>
          <w:color w:val="auto"/>
          <w:lang w:val="en-US" w:eastAsia="zh-CN"/>
        </w:rPr>
        <w:t>13：30</w:t>
      </w:r>
      <w:r>
        <w:rPr>
          <w:rStyle w:val="961"/>
          <w:rFonts w:hint="eastAsia" w:cs="宋体"/>
          <w:color w:val="auto"/>
        </w:rPr>
        <w:t>（北京时间）</w:t>
      </w:r>
    </w:p>
    <w:p>
      <w:pPr>
        <w:pStyle w:val="962"/>
        <w:snapToGrid w:val="0"/>
        <w:spacing w:before="0" w:beforeAutospacing="0" w:after="0" w:afterAutospacing="0" w:line="360" w:lineRule="auto"/>
        <w:rPr>
          <w:rStyle w:val="961"/>
          <w:rFonts w:cs="宋体"/>
          <w:color w:val="auto"/>
        </w:rPr>
      </w:pPr>
      <w:r>
        <w:rPr>
          <w:rStyle w:val="961"/>
          <w:rFonts w:hint="eastAsia" w:cs="宋体"/>
          <w:color w:val="auto"/>
        </w:rPr>
        <w:t>  投标地点（网址）：通过“政府采购云平台（www.zcygov.cn）”在线投标响应  </w:t>
      </w:r>
    </w:p>
    <w:p>
      <w:pPr>
        <w:pStyle w:val="962"/>
        <w:snapToGrid w:val="0"/>
        <w:spacing w:before="0" w:beforeAutospacing="0" w:after="0" w:afterAutospacing="0" w:line="360" w:lineRule="auto"/>
        <w:rPr>
          <w:rStyle w:val="961"/>
          <w:rFonts w:cs="宋体"/>
          <w:color w:val="auto"/>
        </w:rPr>
      </w:pPr>
      <w:r>
        <w:rPr>
          <w:rStyle w:val="961"/>
          <w:rFonts w:hint="eastAsia" w:cs="宋体"/>
          <w:color w:val="auto"/>
        </w:rPr>
        <w:t>  开标时间：</w:t>
      </w:r>
      <w:r>
        <w:rPr>
          <w:rStyle w:val="961"/>
          <w:rFonts w:hint="eastAsia" w:cs="宋体"/>
          <w:color w:val="auto"/>
        </w:rPr>
        <w:t>2022年</w:t>
      </w:r>
      <w:r>
        <w:rPr>
          <w:rStyle w:val="961"/>
          <w:rFonts w:hint="eastAsia" w:cs="宋体"/>
          <w:color w:val="auto"/>
          <w:lang w:val="en-US" w:eastAsia="zh-CN"/>
        </w:rPr>
        <w:t>12</w:t>
      </w:r>
      <w:r>
        <w:rPr>
          <w:rStyle w:val="961"/>
          <w:rFonts w:hint="eastAsia" w:cs="宋体"/>
          <w:color w:val="auto"/>
        </w:rPr>
        <w:t>月</w:t>
      </w:r>
      <w:r>
        <w:rPr>
          <w:rStyle w:val="961"/>
          <w:rFonts w:hint="eastAsia" w:cs="宋体"/>
          <w:color w:val="auto"/>
          <w:lang w:val="en-US" w:eastAsia="zh-CN"/>
        </w:rPr>
        <w:t>26</w:t>
      </w:r>
      <w:r>
        <w:rPr>
          <w:rStyle w:val="961"/>
          <w:rFonts w:hint="eastAsia" w:cs="宋体"/>
          <w:color w:val="auto"/>
        </w:rPr>
        <w:t>日</w:t>
      </w:r>
      <w:r>
        <w:rPr>
          <w:rStyle w:val="961"/>
          <w:rFonts w:hint="eastAsia" w:cs="宋体"/>
          <w:color w:val="auto"/>
          <w:lang w:val="en-US" w:eastAsia="zh-CN"/>
        </w:rPr>
        <w:t>13：30</w:t>
      </w:r>
      <w:r>
        <w:rPr>
          <w:rStyle w:val="961"/>
          <w:rFonts w:hint="eastAsia" w:cs="宋体"/>
          <w:color w:val="auto"/>
        </w:rPr>
        <w:t>（北京时间）</w:t>
      </w:r>
    </w:p>
    <w:p>
      <w:pPr>
        <w:pStyle w:val="962"/>
        <w:snapToGrid w:val="0"/>
        <w:spacing w:before="0" w:beforeAutospacing="0" w:after="0" w:afterAutospacing="0" w:line="360" w:lineRule="auto"/>
        <w:rPr>
          <w:rStyle w:val="70"/>
          <w:rFonts w:cs="宋体"/>
          <w:color w:val="auto"/>
        </w:rPr>
      </w:pPr>
      <w:r>
        <w:rPr>
          <w:rStyle w:val="961"/>
          <w:rFonts w:hint="eastAsia" w:cs="宋体"/>
          <w:color w:val="auto"/>
        </w:rPr>
        <w:t>  开标地点（网址）：在政府采购云平台（www.zcygov.cn）上开启投标文件 </w:t>
      </w:r>
    </w:p>
    <w:p>
      <w:pPr>
        <w:pStyle w:val="962"/>
        <w:snapToGrid w:val="0"/>
        <w:spacing w:before="0" w:beforeAutospacing="0" w:after="0" w:afterAutospacing="0" w:line="360" w:lineRule="auto"/>
        <w:ind w:firstLine="482" w:firstLineChars="200"/>
        <w:jc w:val="both"/>
        <w:rPr>
          <w:rStyle w:val="961"/>
          <w:rFonts w:cs="宋体"/>
          <w:color w:val="auto"/>
        </w:rPr>
      </w:pPr>
      <w:r>
        <w:rPr>
          <w:rStyle w:val="70"/>
          <w:rFonts w:hint="eastAsia" w:cs="宋体"/>
        </w:rPr>
        <w:t>五、</w:t>
      </w:r>
      <w:r>
        <w:rPr>
          <w:rStyle w:val="70"/>
          <w:rFonts w:hint="eastAsia" w:cs="宋体"/>
          <w:color w:val="auto"/>
        </w:rPr>
        <w:t>公告期限</w:t>
      </w:r>
      <w:r>
        <w:rPr>
          <w:rStyle w:val="961"/>
          <w:rFonts w:hint="eastAsia" w:cs="宋体"/>
          <w:color w:val="auto"/>
        </w:rPr>
        <w:t> </w:t>
      </w:r>
    </w:p>
    <w:p>
      <w:pPr>
        <w:pStyle w:val="962"/>
        <w:snapToGrid w:val="0"/>
        <w:spacing w:before="0" w:beforeAutospacing="0" w:after="0" w:afterAutospacing="0" w:line="360" w:lineRule="auto"/>
        <w:rPr>
          <w:rStyle w:val="961"/>
          <w:rFonts w:cs="宋体"/>
          <w:color w:val="auto"/>
        </w:rPr>
      </w:pPr>
      <w:r>
        <w:rPr>
          <w:rStyle w:val="961"/>
          <w:rFonts w:hint="eastAsia" w:cs="宋体"/>
          <w:color w:val="auto"/>
        </w:rPr>
        <w:t>    自本公告发布之日起5个工作日。</w:t>
      </w:r>
    </w:p>
    <w:p>
      <w:pPr>
        <w:pStyle w:val="962"/>
        <w:snapToGrid w:val="0"/>
        <w:spacing w:before="0" w:beforeAutospacing="0" w:after="0" w:afterAutospacing="0" w:line="360" w:lineRule="auto"/>
        <w:ind w:firstLine="482" w:firstLineChars="200"/>
        <w:jc w:val="both"/>
        <w:rPr>
          <w:rStyle w:val="961"/>
          <w:rFonts w:cs="宋体"/>
          <w:color w:val="auto"/>
        </w:rPr>
      </w:pPr>
      <w:r>
        <w:rPr>
          <w:rStyle w:val="70"/>
          <w:rFonts w:hint="eastAsia" w:cs="宋体"/>
          <w:color w:val="auto"/>
        </w:rPr>
        <w:t>六、其他补充事宜</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 xml:space="preserve">4、落实政府采购政策：包括保护环境、节约能源、促进中小企业发展等。详见招标文件的第二部分总则。 </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5、电子招投标的说明：（1）采购人、采购代理机构将依托政采云平台完成本项目的电子交易活动，平台不接受未按上述方式获取招标文件的供应商进行投标活动； （2）对未按上述方式获取招标文件的供应商对该文件提出的质疑，采购人或采购代理机构将不予处理；（3）不提供招标文件纸质版；（4）电子招投标：本项目以数据电文形式，依托“政府采购云平台（www.zcygov.cn）”进行招投标活动，不接受纸质投标文件；（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6）招标文件的获取：使用账号登录或者使用CA登录政采云平台；进入“项目采购”应用，在获取采购文件菜单中选择项目，获取招标文件；（7）投标文件的制作：在“政采云电子交易客户端”中完成“填写基本信息”、“导入投标文件”、“标书关联”、“标书检查”、“电子签名”、“生成电子标书”等操作；（8）投标文件的传输递交：供应商在投标截止时间前将加密的投标文件上传至政府采购云平台，还可以在投标截止时间前直接提交或者以邮政快递方式递交备份投标文件1份；备份投标文的制作、存储、密封详见招标文件第二部分第15点—“备份投标文件”；（9）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政采云平台“服务中心-帮助文档-项目采购-操作流程-电子招投标-政府采购项目电子交易管理操作指南-供应商” </w:t>
      </w:r>
    </w:p>
    <w:p>
      <w:pPr>
        <w:pStyle w:val="962"/>
        <w:snapToGrid w:val="0"/>
        <w:spacing w:before="0" w:beforeAutospacing="0" w:after="0" w:afterAutospacing="0" w:line="360" w:lineRule="auto"/>
        <w:ind w:firstLine="482" w:firstLineChars="200"/>
        <w:jc w:val="both"/>
        <w:rPr>
          <w:rStyle w:val="961"/>
          <w:rFonts w:cs="宋体"/>
          <w:color w:val="auto"/>
        </w:rPr>
      </w:pPr>
      <w:r>
        <w:rPr>
          <w:rStyle w:val="70"/>
          <w:rFonts w:hint="eastAsia" w:cs="宋体"/>
          <w:color w:val="auto"/>
        </w:rPr>
        <w:t>七、对本次采购提出询问、质疑、投诉，请按以下方式联系</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1.采购人信息</w:t>
      </w:r>
    </w:p>
    <w:p>
      <w:pPr>
        <w:snapToGrid w:val="0"/>
        <w:spacing w:line="360" w:lineRule="auto"/>
        <w:ind w:firstLine="480" w:firstLineChars="200"/>
        <w:jc w:val="left"/>
        <w:rPr>
          <w:rStyle w:val="961"/>
          <w:rFonts w:ascii="宋体" w:hAnsi="宋体" w:cs="宋体"/>
          <w:color w:val="auto"/>
          <w:kern w:val="0"/>
          <w:sz w:val="24"/>
          <w:highlight w:val="none"/>
        </w:rPr>
      </w:pPr>
      <w:r>
        <w:rPr>
          <w:rStyle w:val="961"/>
          <w:rFonts w:hint="eastAsia" w:ascii="宋体" w:hAnsi="宋体" w:cs="宋体"/>
          <w:color w:val="auto"/>
          <w:kern w:val="0"/>
          <w:sz w:val="24"/>
          <w:highlight w:val="none"/>
        </w:rPr>
        <w:t>名称：杭州市滨江区综合行政执法局</w:t>
      </w:r>
    </w:p>
    <w:p>
      <w:pPr>
        <w:snapToGrid w:val="0"/>
        <w:spacing w:line="360" w:lineRule="auto"/>
        <w:ind w:firstLine="480" w:firstLineChars="200"/>
        <w:jc w:val="left"/>
        <w:rPr>
          <w:rStyle w:val="961"/>
          <w:rFonts w:ascii="宋体" w:hAnsi="宋体" w:cs="宋体"/>
          <w:color w:val="auto"/>
          <w:kern w:val="0"/>
          <w:sz w:val="24"/>
          <w:highlight w:val="none"/>
        </w:rPr>
      </w:pPr>
      <w:r>
        <w:rPr>
          <w:rStyle w:val="961"/>
          <w:rFonts w:hint="eastAsia" w:ascii="宋体" w:hAnsi="宋体" w:cs="宋体"/>
          <w:color w:val="auto"/>
          <w:kern w:val="0"/>
          <w:sz w:val="24"/>
          <w:highlight w:val="none"/>
        </w:rPr>
        <w:t>地址：杭州市滨江区丹枫路275号</w:t>
      </w:r>
    </w:p>
    <w:p>
      <w:pPr>
        <w:snapToGrid w:val="0"/>
        <w:spacing w:line="360" w:lineRule="auto"/>
        <w:ind w:firstLine="480" w:firstLineChars="200"/>
        <w:jc w:val="left"/>
        <w:rPr>
          <w:rStyle w:val="961"/>
          <w:rFonts w:ascii="宋体" w:hAnsi="宋体" w:cs="宋体"/>
          <w:color w:val="auto"/>
          <w:kern w:val="0"/>
          <w:sz w:val="24"/>
          <w:highlight w:val="none"/>
        </w:rPr>
      </w:pPr>
      <w:r>
        <w:rPr>
          <w:rStyle w:val="961"/>
          <w:rFonts w:hint="eastAsia" w:ascii="宋体" w:hAnsi="宋体" w:cs="宋体"/>
          <w:color w:val="auto"/>
          <w:kern w:val="0"/>
          <w:sz w:val="24"/>
          <w:highlight w:val="none"/>
        </w:rPr>
        <w:t>项目联系人（询问）：汤炜</w:t>
      </w:r>
      <w:r>
        <w:rPr>
          <w:rFonts w:hint="eastAsia" w:ascii="宋体" w:hAnsi="宋体" w:cs="宋体"/>
          <w:color w:val="auto"/>
          <w:sz w:val="24"/>
          <w:highlight w:val="none"/>
        </w:rPr>
        <w:t xml:space="preserve"> </w:t>
      </w:r>
      <w:r>
        <w:rPr>
          <w:rStyle w:val="961"/>
          <w:rFonts w:hint="eastAsia" w:ascii="宋体" w:hAnsi="宋体" w:cs="宋体"/>
          <w:color w:val="auto"/>
          <w:kern w:val="0"/>
          <w:sz w:val="24"/>
          <w:highlight w:val="none"/>
        </w:rPr>
        <w:t xml:space="preserve"> </w:t>
      </w:r>
    </w:p>
    <w:p>
      <w:pPr>
        <w:snapToGrid w:val="0"/>
        <w:spacing w:line="360" w:lineRule="auto"/>
        <w:ind w:firstLine="480" w:firstLineChars="200"/>
        <w:jc w:val="left"/>
        <w:rPr>
          <w:rStyle w:val="961"/>
          <w:rFonts w:ascii="宋体" w:hAnsi="宋体" w:cs="宋体"/>
          <w:color w:val="auto"/>
          <w:kern w:val="0"/>
          <w:sz w:val="24"/>
          <w:highlight w:val="none"/>
        </w:rPr>
      </w:pPr>
      <w:r>
        <w:rPr>
          <w:rStyle w:val="961"/>
          <w:rFonts w:hint="eastAsia" w:ascii="宋体" w:hAnsi="宋体" w:cs="宋体"/>
          <w:color w:val="auto"/>
          <w:kern w:val="0"/>
          <w:sz w:val="24"/>
          <w:highlight w:val="none"/>
        </w:rPr>
        <w:t>联系电话（询问）：</w:t>
      </w:r>
      <w:r>
        <w:rPr>
          <w:rStyle w:val="961"/>
          <w:rFonts w:hint="eastAsia" w:ascii="宋体" w:hAnsi="宋体" w:cs="宋体"/>
          <w:color w:val="auto"/>
          <w:kern w:val="0"/>
          <w:sz w:val="24"/>
          <w:highlight w:val="none"/>
          <w:lang w:val="en-US" w:eastAsia="zh-CN"/>
        </w:rPr>
        <w:t>0571-</w:t>
      </w:r>
      <w:r>
        <w:rPr>
          <w:rFonts w:hint="eastAsia" w:ascii="宋体" w:hAnsi="宋体" w:cs="宋体"/>
          <w:color w:val="auto"/>
          <w:sz w:val="24"/>
          <w:highlight w:val="none"/>
        </w:rPr>
        <w:t>85776773</w:t>
      </w:r>
    </w:p>
    <w:p>
      <w:pPr>
        <w:snapToGrid w:val="0"/>
        <w:spacing w:line="360" w:lineRule="auto"/>
        <w:ind w:firstLine="480" w:firstLineChars="200"/>
        <w:jc w:val="left"/>
        <w:rPr>
          <w:rStyle w:val="961"/>
          <w:rFonts w:ascii="宋体" w:hAnsi="宋体" w:cs="宋体"/>
          <w:color w:val="auto"/>
          <w:kern w:val="0"/>
          <w:sz w:val="24"/>
          <w:highlight w:val="none"/>
        </w:rPr>
      </w:pPr>
      <w:r>
        <w:rPr>
          <w:rStyle w:val="961"/>
          <w:rFonts w:hint="eastAsia" w:ascii="宋体" w:hAnsi="宋体" w:cs="宋体"/>
          <w:color w:val="auto"/>
          <w:kern w:val="0"/>
          <w:sz w:val="24"/>
          <w:highlight w:val="none"/>
        </w:rPr>
        <w:t xml:space="preserve">质疑联系人： </w:t>
      </w:r>
      <w:r>
        <w:rPr>
          <w:rFonts w:hint="eastAsia" w:ascii="宋体" w:hAnsi="宋体" w:cs="宋体"/>
          <w:color w:val="auto"/>
          <w:sz w:val="24"/>
          <w:highlight w:val="none"/>
        </w:rPr>
        <w:t>黄孝炜</w:t>
      </w:r>
    </w:p>
    <w:p>
      <w:pPr>
        <w:snapToGrid w:val="0"/>
        <w:spacing w:line="360" w:lineRule="auto"/>
        <w:ind w:firstLine="480" w:firstLineChars="200"/>
        <w:jc w:val="left"/>
        <w:rPr>
          <w:rStyle w:val="961"/>
          <w:rFonts w:ascii="宋体" w:hAnsi="宋体" w:cs="宋体"/>
          <w:color w:val="auto"/>
          <w:kern w:val="0"/>
          <w:sz w:val="24"/>
          <w:highlight w:val="none"/>
        </w:rPr>
      </w:pPr>
      <w:r>
        <w:rPr>
          <w:rStyle w:val="961"/>
          <w:rFonts w:hint="eastAsia" w:ascii="宋体" w:hAnsi="宋体" w:cs="宋体"/>
          <w:color w:val="auto"/>
          <w:kern w:val="0"/>
          <w:sz w:val="24"/>
          <w:highlight w:val="none"/>
        </w:rPr>
        <w:t>质疑联系方式：</w:t>
      </w:r>
      <w:r>
        <w:rPr>
          <w:rStyle w:val="961"/>
          <w:rFonts w:hint="eastAsia" w:ascii="宋体" w:hAnsi="宋体" w:cs="宋体"/>
          <w:color w:val="auto"/>
          <w:kern w:val="0"/>
          <w:sz w:val="24"/>
          <w:highlight w:val="none"/>
          <w:lang w:val="en-US" w:eastAsia="zh-CN"/>
        </w:rPr>
        <w:t>0571-</w:t>
      </w:r>
      <w:r>
        <w:rPr>
          <w:rFonts w:hint="eastAsia" w:ascii="宋体" w:hAnsi="宋体" w:cs="宋体"/>
          <w:color w:val="auto"/>
          <w:sz w:val="24"/>
          <w:highlight w:val="none"/>
        </w:rPr>
        <w:t>86066379</w:t>
      </w:r>
    </w:p>
    <w:p>
      <w:pPr>
        <w:snapToGrid w:val="0"/>
        <w:spacing w:line="360" w:lineRule="auto"/>
        <w:ind w:firstLine="480" w:firstLineChars="200"/>
        <w:jc w:val="left"/>
        <w:rPr>
          <w:rStyle w:val="961"/>
          <w:rFonts w:ascii="宋体" w:hAnsi="宋体" w:cs="宋体"/>
          <w:kern w:val="0"/>
          <w:sz w:val="24"/>
        </w:rPr>
      </w:pP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2.采购代理机构信息</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 xml:space="preserve">名称：浙江建银项目管理咨询有限公司  </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 xml:space="preserve">地址：浙江省杭州市下城区体育场路216号11楼1101-1109室 </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 xml:space="preserve">项目联系人（询问）：程工 </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联系电话（询问）：</w:t>
      </w:r>
      <w:r>
        <w:rPr>
          <w:rStyle w:val="961"/>
          <w:rFonts w:hint="eastAsia" w:ascii="宋体" w:hAnsi="宋体" w:cs="宋体"/>
          <w:kern w:val="0"/>
          <w:sz w:val="24"/>
          <w:lang w:val="en-US" w:eastAsia="zh-CN"/>
        </w:rPr>
        <w:t>15968863167</w:t>
      </w:r>
      <w:r>
        <w:rPr>
          <w:rStyle w:val="961"/>
          <w:rFonts w:hint="eastAsia" w:ascii="宋体" w:hAnsi="宋体" w:cs="宋体"/>
          <w:kern w:val="0"/>
          <w:sz w:val="24"/>
        </w:rPr>
        <w:t xml:space="preserve"> </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 xml:space="preserve">质疑联系人：冯叶 </w:t>
      </w:r>
    </w:p>
    <w:p>
      <w:pPr>
        <w:snapToGrid w:val="0"/>
        <w:spacing w:line="360" w:lineRule="auto"/>
        <w:ind w:firstLine="480" w:firstLineChars="200"/>
        <w:jc w:val="left"/>
        <w:rPr>
          <w:rStyle w:val="961"/>
          <w:rFonts w:ascii="宋体" w:hAnsi="宋体" w:cs="宋体"/>
          <w:kern w:val="0"/>
          <w:sz w:val="24"/>
        </w:rPr>
      </w:pPr>
      <w:r>
        <w:rPr>
          <w:rStyle w:val="961"/>
          <w:rFonts w:hint="eastAsia" w:ascii="宋体" w:hAnsi="宋体" w:cs="宋体"/>
          <w:kern w:val="0"/>
          <w:sz w:val="24"/>
        </w:rPr>
        <w:t xml:space="preserve">质疑联系方式：15558071688  </w:t>
      </w:r>
    </w:p>
    <w:p>
      <w:pPr>
        <w:snapToGrid w:val="0"/>
        <w:spacing w:line="360" w:lineRule="auto"/>
        <w:ind w:firstLine="480" w:firstLineChars="200"/>
        <w:jc w:val="left"/>
        <w:rPr>
          <w:rStyle w:val="961"/>
          <w:rFonts w:ascii="宋体" w:hAnsi="宋体" w:cs="宋体"/>
          <w:kern w:val="0"/>
          <w:sz w:val="24"/>
        </w:rPr>
      </w:pPr>
    </w:p>
    <w:p>
      <w:pPr>
        <w:snapToGrid w:val="0"/>
        <w:spacing w:line="360" w:lineRule="auto"/>
        <w:ind w:firstLine="480" w:firstLineChars="200"/>
        <w:jc w:val="left"/>
        <w:rPr>
          <w:rStyle w:val="961"/>
          <w:rFonts w:ascii="宋体"/>
          <w:kern w:val="0"/>
          <w:sz w:val="24"/>
        </w:rPr>
      </w:pPr>
      <w:r>
        <w:rPr>
          <w:rStyle w:val="961"/>
          <w:rFonts w:ascii="宋体" w:hAnsi="宋体" w:cs="宋体"/>
          <w:kern w:val="0"/>
          <w:sz w:val="24"/>
        </w:rPr>
        <w:t>3.</w:t>
      </w:r>
      <w:r>
        <w:rPr>
          <w:rStyle w:val="961"/>
          <w:rFonts w:hint="eastAsia" w:ascii="宋体" w:hAnsi="宋体" w:cs="宋体"/>
          <w:kern w:val="0"/>
          <w:sz w:val="24"/>
        </w:rPr>
        <w:t>同级政府采购监督管理部门</w:t>
      </w:r>
    </w:p>
    <w:p>
      <w:pPr>
        <w:snapToGrid w:val="0"/>
        <w:spacing w:line="360" w:lineRule="auto"/>
        <w:ind w:firstLine="480" w:firstLineChars="200"/>
        <w:jc w:val="left"/>
        <w:rPr>
          <w:rStyle w:val="961"/>
          <w:rFonts w:ascii="宋体"/>
          <w:kern w:val="0"/>
          <w:sz w:val="24"/>
        </w:rPr>
      </w:pPr>
      <w:r>
        <w:rPr>
          <w:rStyle w:val="961"/>
          <w:rFonts w:hint="eastAsia" w:ascii="宋体" w:hAnsi="宋体" w:cs="宋体"/>
          <w:kern w:val="0"/>
          <w:sz w:val="24"/>
        </w:rPr>
        <w:t>名</w:t>
      </w:r>
      <w:r>
        <w:rPr>
          <w:rStyle w:val="961"/>
          <w:rFonts w:ascii="宋体"/>
          <w:kern w:val="0"/>
          <w:sz w:val="24"/>
        </w:rPr>
        <w:t> </w:t>
      </w:r>
      <w:r>
        <w:rPr>
          <w:rStyle w:val="961"/>
          <w:rFonts w:hint="eastAsia" w:ascii="宋体" w:hAnsi="宋体" w:cs="宋体"/>
          <w:kern w:val="0"/>
          <w:sz w:val="24"/>
        </w:rPr>
        <w:t>称：杭州市滨江区财政局</w:t>
      </w:r>
      <w:r>
        <w:rPr>
          <w:rStyle w:val="961"/>
          <w:rFonts w:ascii="宋体" w:hAnsi="宋体" w:cs="宋体"/>
          <w:kern w:val="0"/>
          <w:sz w:val="24"/>
        </w:rPr>
        <w:t xml:space="preserve">          </w:t>
      </w:r>
    </w:p>
    <w:p>
      <w:pPr>
        <w:snapToGrid w:val="0"/>
        <w:spacing w:line="360" w:lineRule="auto"/>
        <w:ind w:firstLine="480" w:firstLineChars="200"/>
        <w:jc w:val="left"/>
        <w:rPr>
          <w:rStyle w:val="961"/>
          <w:rFonts w:ascii="宋体"/>
          <w:kern w:val="0"/>
          <w:sz w:val="24"/>
        </w:rPr>
      </w:pPr>
      <w:r>
        <w:rPr>
          <w:rStyle w:val="961"/>
          <w:rFonts w:hint="eastAsia" w:ascii="宋体" w:hAnsi="宋体" w:cs="宋体"/>
          <w:kern w:val="0"/>
          <w:sz w:val="24"/>
        </w:rPr>
        <w:t>地址：杭州市滨江区江南大道</w:t>
      </w:r>
      <w:r>
        <w:rPr>
          <w:rStyle w:val="961"/>
          <w:rFonts w:ascii="宋体" w:hAnsi="宋体" w:cs="宋体"/>
          <w:kern w:val="0"/>
          <w:sz w:val="24"/>
        </w:rPr>
        <w:t>328</w:t>
      </w:r>
      <w:r>
        <w:rPr>
          <w:rStyle w:val="961"/>
          <w:rFonts w:hint="eastAsia" w:ascii="宋体" w:hAnsi="宋体" w:cs="宋体"/>
          <w:kern w:val="0"/>
          <w:sz w:val="24"/>
        </w:rPr>
        <w:t>号</w:t>
      </w:r>
      <w:r>
        <w:rPr>
          <w:rStyle w:val="961"/>
          <w:rFonts w:ascii="宋体"/>
          <w:kern w:val="0"/>
          <w:sz w:val="24"/>
        </w:rPr>
        <w:t>  </w:t>
      </w:r>
    </w:p>
    <w:p>
      <w:pPr>
        <w:snapToGrid w:val="0"/>
        <w:spacing w:line="360" w:lineRule="auto"/>
        <w:ind w:firstLine="480" w:firstLineChars="200"/>
        <w:jc w:val="left"/>
        <w:rPr>
          <w:rStyle w:val="961"/>
          <w:rFonts w:ascii="宋体"/>
          <w:kern w:val="0"/>
          <w:sz w:val="24"/>
        </w:rPr>
      </w:pPr>
      <w:r>
        <w:rPr>
          <w:rStyle w:val="961"/>
          <w:rFonts w:hint="eastAsia" w:ascii="宋体" w:hAnsi="宋体" w:cs="宋体"/>
          <w:kern w:val="0"/>
          <w:sz w:val="24"/>
        </w:rPr>
        <w:t>联系人：</w:t>
      </w:r>
      <w:r>
        <w:rPr>
          <w:rStyle w:val="961"/>
          <w:rFonts w:hint="eastAsia" w:ascii="宋体" w:hAnsi="宋体" w:cs="宋体"/>
          <w:kern w:val="0"/>
          <w:sz w:val="24"/>
          <w:lang w:val="en-US" w:eastAsia="zh-CN"/>
        </w:rPr>
        <w:t>祝</w:t>
      </w:r>
      <w:r>
        <w:rPr>
          <w:rStyle w:val="961"/>
          <w:rFonts w:hint="eastAsia" w:ascii="宋体" w:hAnsi="宋体" w:cs="宋体"/>
          <w:kern w:val="0"/>
          <w:sz w:val="24"/>
        </w:rPr>
        <w:t>先生</w:t>
      </w:r>
    </w:p>
    <w:p>
      <w:pPr>
        <w:snapToGrid w:val="0"/>
        <w:spacing w:line="360" w:lineRule="auto"/>
        <w:ind w:firstLine="480" w:firstLineChars="200"/>
        <w:jc w:val="left"/>
        <w:rPr>
          <w:rStyle w:val="961"/>
          <w:rFonts w:hint="default" w:ascii="宋体" w:eastAsia="宋体"/>
          <w:kern w:val="0"/>
          <w:sz w:val="24"/>
          <w:lang w:val="en-US" w:eastAsia="zh-CN"/>
        </w:rPr>
      </w:pPr>
      <w:r>
        <w:rPr>
          <w:rStyle w:val="961"/>
          <w:rFonts w:hint="eastAsia" w:ascii="宋体" w:hAnsi="宋体" w:cs="宋体"/>
          <w:kern w:val="0"/>
          <w:sz w:val="24"/>
        </w:rPr>
        <w:t>监督投诉电</w:t>
      </w:r>
      <w:r>
        <w:rPr>
          <w:rStyle w:val="961"/>
          <w:rFonts w:hint="eastAsia" w:ascii="宋体" w:hAnsi="宋体" w:cs="宋体"/>
          <w:kern w:val="0"/>
          <w:sz w:val="24"/>
          <w:highlight w:val="none"/>
        </w:rPr>
        <w:t>话：</w:t>
      </w:r>
      <w:r>
        <w:rPr>
          <w:rStyle w:val="961"/>
          <w:rFonts w:ascii="宋体" w:hAnsi="宋体" w:cs="宋体"/>
          <w:kern w:val="0"/>
          <w:sz w:val="24"/>
          <w:highlight w:val="none"/>
        </w:rPr>
        <w:t>0571-</w:t>
      </w:r>
      <w:r>
        <w:rPr>
          <w:rStyle w:val="961"/>
          <w:rFonts w:hint="eastAsia" w:ascii="宋体" w:hAnsi="宋体" w:cs="宋体"/>
          <w:kern w:val="0"/>
          <w:sz w:val="24"/>
          <w:highlight w:val="none"/>
          <w:lang w:val="en-US" w:eastAsia="zh-CN"/>
        </w:rPr>
        <w:t>89521210</w:t>
      </w:r>
    </w:p>
    <w:p>
      <w:pPr>
        <w:pStyle w:val="5"/>
        <w:rPr>
          <w:rStyle w:val="961"/>
          <w:rFonts w:ascii="宋体" w:hAnsi="宋体" w:cs="宋体"/>
          <w:color w:val="000000"/>
          <w:kern w:val="0"/>
          <w:sz w:val="24"/>
        </w:rPr>
      </w:pPr>
    </w:p>
    <w:p>
      <w:pPr>
        <w:rPr>
          <w:rStyle w:val="961"/>
          <w:rFonts w:ascii="宋体" w:hAnsi="宋体" w:cs="宋体"/>
          <w:color w:val="000000"/>
          <w:kern w:val="0"/>
          <w:sz w:val="24"/>
        </w:rPr>
      </w:pPr>
    </w:p>
    <w:p>
      <w:pPr>
        <w:pStyle w:val="2"/>
        <w:rPr>
          <w:rStyle w:val="961"/>
          <w:rFonts w:ascii="宋体" w:hAnsi="宋体" w:cs="宋体"/>
          <w:color w:val="000000"/>
          <w:kern w:val="0"/>
          <w:sz w:val="24"/>
        </w:rPr>
      </w:pPr>
    </w:p>
    <w:p>
      <w:pPr>
        <w:rPr>
          <w:rStyle w:val="961"/>
          <w:rFonts w:ascii="宋体" w:hAnsi="宋体" w:cs="宋体"/>
          <w:color w:val="000000"/>
          <w:kern w:val="0"/>
          <w:sz w:val="24"/>
        </w:rPr>
      </w:pPr>
    </w:p>
    <w:p>
      <w:pPr>
        <w:pStyle w:val="2"/>
        <w:rPr>
          <w:rStyle w:val="961"/>
          <w:rFonts w:ascii="宋体" w:hAnsi="宋体" w:cs="宋体"/>
          <w:color w:val="000000"/>
          <w:kern w:val="0"/>
          <w:sz w:val="24"/>
        </w:rPr>
      </w:pPr>
    </w:p>
    <w:p>
      <w:pPr>
        <w:rPr>
          <w:rStyle w:val="961"/>
          <w:rFonts w:ascii="宋体" w:hAnsi="宋体" w:cs="宋体"/>
          <w:color w:val="000000"/>
          <w:kern w:val="0"/>
          <w:sz w:val="24"/>
        </w:rPr>
      </w:pPr>
    </w:p>
    <w:p>
      <w:pPr>
        <w:rPr>
          <w:rStyle w:val="961"/>
          <w:rFonts w:ascii="宋体" w:hAnsi="宋体" w:cs="宋体"/>
          <w:color w:val="000000"/>
          <w:kern w:val="0"/>
          <w:sz w:val="24"/>
        </w:rPr>
      </w:pPr>
    </w:p>
    <w:p>
      <w:pPr>
        <w:pStyle w:val="35"/>
        <w:spacing w:line="360" w:lineRule="auto"/>
        <w:ind w:firstLine="723" w:firstLineChars="200"/>
        <w:jc w:val="center"/>
        <w:rPr>
          <w:rFonts w:hint="eastAsia" w:hAnsi="宋体" w:cs="宋体"/>
          <w:b/>
          <w:sz w:val="36"/>
          <w:szCs w:val="20"/>
        </w:rPr>
      </w:pPr>
    </w:p>
    <w:p>
      <w:pPr>
        <w:pStyle w:val="35"/>
        <w:spacing w:line="360" w:lineRule="auto"/>
        <w:ind w:firstLine="723" w:firstLineChars="200"/>
        <w:jc w:val="center"/>
        <w:rPr>
          <w:rFonts w:hAnsi="宋体" w:cs="宋体"/>
          <w:b/>
          <w:sz w:val="36"/>
          <w:szCs w:val="20"/>
        </w:rPr>
      </w:pPr>
      <w:r>
        <w:rPr>
          <w:rFonts w:hint="eastAsia" w:hAnsi="宋体" w:cs="宋体"/>
          <w:b/>
          <w:sz w:val="36"/>
          <w:szCs w:val="20"/>
        </w:rPr>
        <w:t>第二部分</w:t>
      </w:r>
      <w:bookmarkEnd w:id="6"/>
      <w:r>
        <w:rPr>
          <w:rFonts w:hint="eastAsia" w:hAnsi="宋体" w:cs="宋体"/>
          <w:b/>
          <w:sz w:val="36"/>
          <w:szCs w:val="20"/>
        </w:rPr>
        <w:t xml:space="preserve"> 投标人须知</w:t>
      </w:r>
      <w:bookmarkEnd w:id="7"/>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665"/>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17"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665"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755"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1</w:t>
            </w:r>
          </w:p>
        </w:tc>
        <w:tc>
          <w:tcPr>
            <w:tcW w:w="1665" w:type="dxa"/>
            <w:vMerge w:val="restart"/>
            <w:noWrap w:val="0"/>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755" w:type="dxa"/>
            <w:noWrap w:val="0"/>
            <w:vAlign w:val="center"/>
          </w:tcPr>
          <w:p>
            <w:pPr>
              <w:snapToGrid w:val="0"/>
              <w:spacing w:line="360" w:lineRule="auto"/>
              <w:jc w:val="left"/>
              <w:rPr>
                <w:rFonts w:ascii="宋体" w:hAnsi="宋体" w:cs="宋体"/>
                <w:sz w:val="24"/>
                <w:lang w:val="zh-CN"/>
              </w:rPr>
            </w:pPr>
            <w:r>
              <w:rPr>
                <w:rFonts w:hint="eastAsia" w:ascii="宋体" w:hAnsi="宋体" w:cs="宋体"/>
                <w:color w:val="000000"/>
                <w:kern w:val="0"/>
                <w:sz w:val="24"/>
                <w:lang w:val="zh-CN"/>
              </w:rPr>
              <w:t>本项目报综合单价，综合单价包含养护单盏路灯所需所有费用，包括但不限于人工费（包括人员工资、预计加班费用、社会保障费用、高温费等）、突发性及应急保障方面所发生的服务费、由于重大活动引起服务频次增加的费用、所需工具耗材费、综合管理费和税金、其他项目费等供应商认为完成本项目所需的一切费用均计入报价，</w:t>
            </w:r>
            <w:r>
              <w:rPr>
                <w:rFonts w:hint="eastAsia" w:ascii="宋体" w:hAnsi="宋体" w:cs="宋体"/>
                <w:sz w:val="24"/>
              </w:rPr>
              <w:t>开标一览表（报价表）是报价的唯一载体</w:t>
            </w:r>
            <w:r>
              <w:rPr>
                <w:rFonts w:hint="eastAsia" w:ascii="宋体" w:hAnsi="宋体" w:cs="宋体"/>
                <w:sz w:val="24"/>
                <w:lang w:val="zh-CN"/>
              </w:rPr>
              <w:t>。投标文件中价格全部采用人民币报价。招标文件未列明，而投标人认为必需的费用也需列入报价。</w:t>
            </w:r>
          </w:p>
          <w:p>
            <w:pPr>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本项目采购代理服务费由中标人向采购代理机构支付，相关成本支出由供应商自行考虑。</w:t>
            </w:r>
          </w:p>
          <w:p>
            <w:pPr>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其它需在报价中考虑的因素：</w:t>
            </w:r>
          </w:p>
          <w:p>
            <w:pPr>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用户需求中明确的需供应商承担的费用均应含在投标报价中；</w:t>
            </w:r>
          </w:p>
          <w:p>
            <w:pPr>
              <w:snapToGrid w:val="0"/>
              <w:spacing w:line="360" w:lineRule="auto"/>
              <w:ind w:firstLine="480" w:firstLineChars="200"/>
              <w:jc w:val="left"/>
              <w:rPr>
                <w:rFonts w:ascii="宋体" w:hAnsi="宋体" w:cs="宋体"/>
                <w:sz w:val="24"/>
              </w:rPr>
            </w:pPr>
            <w:r>
              <w:rPr>
                <w:rFonts w:hint="eastAsia" w:ascii="宋体" w:hAnsi="宋体" w:cs="宋体"/>
                <w:sz w:val="24"/>
              </w:rPr>
              <w:t>采购文件未明示但供应商认为可能产生的潜在费用支出均需自行考虑并计入投标总价中；</w:t>
            </w:r>
          </w:p>
          <w:p>
            <w:pPr>
              <w:pStyle w:val="112"/>
              <w:widowControl w:val="0"/>
              <w:spacing w:line="360" w:lineRule="auto"/>
              <w:ind w:firstLine="480"/>
              <w:jc w:val="left"/>
              <w:rPr>
                <w:rFonts w:hAnsi="宋体" w:cs="宋体"/>
                <w:sz w:val="24"/>
                <w:szCs w:val="24"/>
                <w:lang w:val="zh-CN"/>
              </w:rPr>
            </w:pPr>
            <w:r>
              <w:rPr>
                <w:rFonts w:hint="eastAsia" w:hAnsi="宋体" w:cs="宋体"/>
                <w:sz w:val="24"/>
                <w:szCs w:val="24"/>
              </w:rPr>
              <w:t>对于没有填报的项目，采购人将不再支付，并认为已包含在报价内。</w:t>
            </w:r>
          </w:p>
          <w:p>
            <w:pPr>
              <w:pStyle w:val="112"/>
              <w:widowControl w:val="0"/>
              <w:spacing w:line="360" w:lineRule="auto"/>
              <w:ind w:firstLine="482"/>
              <w:jc w:val="left"/>
              <w:rPr>
                <w:rFonts w:hAnsi="宋体" w:cs="宋体"/>
                <w:b/>
                <w:bCs/>
                <w:sz w:val="24"/>
                <w:szCs w:val="24"/>
                <w:lang w:val="zh-CN"/>
              </w:rPr>
            </w:pPr>
            <w:r>
              <w:rPr>
                <w:rFonts w:hint="eastAsia" w:hAnsi="宋体" w:cs="宋体"/>
                <w:b/>
                <w:bCs/>
                <w:sz w:val="24"/>
                <w:szCs w:val="24"/>
                <w:lang w:val="zh-CN"/>
              </w:rPr>
              <w:t>投标报价出现下列情形的，投标无效：</w:t>
            </w:r>
          </w:p>
          <w:p>
            <w:pPr>
              <w:pStyle w:val="112"/>
              <w:widowControl w:val="0"/>
              <w:spacing w:line="360" w:lineRule="auto"/>
              <w:ind w:firstLine="0" w:firstLineChars="0"/>
              <w:jc w:val="left"/>
              <w:rPr>
                <w:rFonts w:hAnsi="宋体" w:cs="宋体"/>
                <w:b/>
                <w:bCs/>
                <w:sz w:val="24"/>
                <w:szCs w:val="24"/>
                <w:lang w:val="zh-CN"/>
              </w:rPr>
            </w:pPr>
            <w:r>
              <w:rPr>
                <w:rFonts w:hint="eastAsia" w:hAnsi="宋体" w:cs="宋体"/>
                <w:b/>
                <w:bCs/>
                <w:sz w:val="24"/>
                <w:szCs w:val="24"/>
                <w:lang w:val="zh-CN"/>
              </w:rPr>
              <w:t>（</w:t>
            </w:r>
            <w:r>
              <w:rPr>
                <w:rFonts w:hint="eastAsia" w:hAnsi="宋体" w:cs="宋体"/>
                <w:b/>
                <w:bCs/>
                <w:sz w:val="24"/>
                <w:szCs w:val="24"/>
              </w:rPr>
              <w:t>1</w:t>
            </w:r>
            <w:r>
              <w:rPr>
                <w:rFonts w:hint="eastAsia" w:hAnsi="宋体" w:cs="宋体"/>
                <w:b/>
                <w:bCs/>
                <w:sz w:val="24"/>
                <w:szCs w:val="24"/>
                <w:lang w:val="zh-CN"/>
              </w:rPr>
              <w:t>）投标文件出现不是唯一的、有选择性投标报价的；</w:t>
            </w:r>
          </w:p>
          <w:p>
            <w:pPr>
              <w:pStyle w:val="112"/>
              <w:widowControl w:val="0"/>
              <w:spacing w:line="360" w:lineRule="auto"/>
              <w:ind w:firstLine="0" w:firstLineChars="0"/>
              <w:jc w:val="left"/>
              <w:rPr>
                <w:rFonts w:hAnsi="宋体" w:cs="宋体"/>
                <w:b/>
                <w:bCs/>
                <w:sz w:val="24"/>
                <w:szCs w:val="24"/>
                <w:lang w:val="zh-CN"/>
              </w:rPr>
            </w:pPr>
            <w:r>
              <w:rPr>
                <w:rFonts w:hint="eastAsia" w:hAnsi="宋体" w:cs="宋体"/>
                <w:b/>
                <w:bCs/>
                <w:sz w:val="24"/>
                <w:szCs w:val="24"/>
                <w:lang w:val="zh-CN"/>
              </w:rPr>
              <w:t>（</w:t>
            </w:r>
            <w:r>
              <w:rPr>
                <w:rFonts w:hint="eastAsia" w:hAnsi="宋体" w:cs="宋体"/>
                <w:b/>
                <w:bCs/>
                <w:sz w:val="24"/>
                <w:szCs w:val="24"/>
              </w:rPr>
              <w:t>2</w:t>
            </w:r>
            <w:r>
              <w:rPr>
                <w:rFonts w:hint="eastAsia" w:hAnsi="宋体" w:cs="宋体"/>
                <w:b/>
                <w:bCs/>
                <w:sz w:val="24"/>
                <w:szCs w:val="24"/>
                <w:lang w:val="zh-CN"/>
              </w:rPr>
              <w:t>）投标报价超过招标文件中规定的预算金额或者最高限价的;</w:t>
            </w:r>
          </w:p>
          <w:p>
            <w:pPr>
              <w:pStyle w:val="112"/>
              <w:widowControl w:val="0"/>
              <w:spacing w:line="360" w:lineRule="auto"/>
              <w:ind w:firstLine="0" w:firstLineChars="0"/>
              <w:jc w:val="left"/>
              <w:rPr>
                <w:rFonts w:hAnsi="宋体" w:cs="宋体"/>
                <w:b/>
                <w:bCs/>
                <w:sz w:val="24"/>
                <w:szCs w:val="24"/>
              </w:rPr>
            </w:pPr>
            <w:r>
              <w:rPr>
                <w:rFonts w:hint="eastAsia" w:hAnsi="宋体" w:cs="宋体"/>
                <w:b/>
                <w:bCs/>
                <w:sz w:val="24"/>
                <w:szCs w:val="24"/>
                <w:lang w:val="zh-CN"/>
              </w:rPr>
              <w:t>（</w:t>
            </w:r>
            <w:r>
              <w:rPr>
                <w:rFonts w:hint="eastAsia" w:hAnsi="宋体" w:cs="宋体"/>
                <w:b/>
                <w:bCs/>
                <w:sz w:val="24"/>
                <w:szCs w:val="24"/>
              </w:rPr>
              <w:t>3</w:t>
            </w:r>
            <w:r>
              <w:rPr>
                <w:rFonts w:hint="eastAsia" w:hAnsi="宋体" w:cs="宋体"/>
                <w:b/>
                <w:bCs/>
                <w:sz w:val="24"/>
                <w:szCs w:val="24"/>
                <w:lang w:val="zh-CN"/>
              </w:rPr>
              <w:t>）</w:t>
            </w:r>
            <w:r>
              <w:rPr>
                <w:rFonts w:hint="eastAsia" w:hAnsi="宋体" w:cs="宋体"/>
                <w:b/>
                <w:bCs/>
                <w:sz w:val="24"/>
                <w:szCs w:val="24"/>
              </w:rPr>
              <w:t>报价明显低于其他通过符合性审查投标人的报价，有可能影响产品质量或者不能诚信履约的，未能按要求提供书面说明或者提交相关证明材料证明其报价合理性的;</w:t>
            </w:r>
          </w:p>
          <w:p>
            <w:pPr>
              <w:pStyle w:val="112"/>
              <w:widowControl w:val="0"/>
              <w:spacing w:line="360" w:lineRule="auto"/>
              <w:ind w:firstLine="0" w:firstLineChars="0"/>
              <w:jc w:val="left"/>
              <w:rPr>
                <w:rFonts w:hAnsi="宋体" w:cs="宋体"/>
                <w:sz w:val="24"/>
                <w:szCs w:val="24"/>
              </w:rPr>
            </w:pPr>
            <w:r>
              <w:rPr>
                <w:rFonts w:hint="eastAsia" w:hAnsi="宋体" w:cs="宋体"/>
                <w:b/>
                <w:bCs/>
                <w:sz w:val="24"/>
                <w:szCs w:val="24"/>
                <w:lang w:val="zh-CN"/>
              </w:rPr>
              <w:t>（</w:t>
            </w:r>
            <w:r>
              <w:rPr>
                <w:rFonts w:hint="eastAsia" w:hAnsi="宋体" w:cs="宋体"/>
                <w:b/>
                <w:bCs/>
                <w:sz w:val="24"/>
                <w:szCs w:val="24"/>
              </w:rPr>
              <w:t>4</w:t>
            </w:r>
            <w:r>
              <w:rPr>
                <w:rFonts w:hint="eastAsia" w:hAnsi="宋体" w:cs="宋体"/>
                <w:b/>
                <w:bCs/>
                <w:sz w:val="24"/>
                <w:szCs w:val="24"/>
                <w:lang w:val="zh-CN"/>
              </w:rPr>
              <w:t>）</w:t>
            </w:r>
            <w:r>
              <w:rPr>
                <w:rFonts w:hint="eastAsia" w:hAnsi="宋体" w:cs="宋体"/>
                <w:b/>
                <w:bCs/>
                <w:sz w:val="24"/>
                <w:szCs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17" w:type="dxa"/>
            <w:vMerge w:val="continue"/>
            <w:noWrap w:val="0"/>
            <w:vAlign w:val="center"/>
          </w:tcPr>
          <w:p>
            <w:pPr>
              <w:pStyle w:val="112"/>
              <w:widowControl w:val="0"/>
              <w:spacing w:line="360" w:lineRule="auto"/>
              <w:ind w:firstLine="0" w:firstLineChars="0"/>
              <w:jc w:val="center"/>
              <w:rPr>
                <w:rFonts w:hAnsi="宋体" w:cs="宋体"/>
                <w:b/>
                <w:sz w:val="24"/>
                <w:szCs w:val="24"/>
              </w:rPr>
            </w:pPr>
          </w:p>
        </w:tc>
        <w:tc>
          <w:tcPr>
            <w:tcW w:w="1665" w:type="dxa"/>
            <w:vMerge w:val="continue"/>
            <w:noWrap w:val="0"/>
            <w:vAlign w:val="center"/>
          </w:tcPr>
          <w:p>
            <w:pPr>
              <w:snapToGrid w:val="0"/>
              <w:spacing w:line="360" w:lineRule="auto"/>
              <w:jc w:val="center"/>
              <w:rPr>
                <w:rFonts w:ascii="宋体" w:hAnsi="宋体" w:cs="宋体"/>
                <w:b/>
                <w:sz w:val="24"/>
              </w:rPr>
            </w:pPr>
          </w:p>
        </w:tc>
        <w:tc>
          <w:tcPr>
            <w:tcW w:w="7755" w:type="dxa"/>
            <w:noWrap w:val="0"/>
            <w:vAlign w:val="center"/>
          </w:tcPr>
          <w:p>
            <w:pPr>
              <w:pStyle w:val="112"/>
              <w:widowControl w:val="0"/>
              <w:spacing w:line="360" w:lineRule="auto"/>
              <w:ind w:firstLine="0" w:firstLineChars="0"/>
              <w:jc w:val="left"/>
              <w:rPr>
                <w:highlight w:val="none"/>
              </w:rPr>
            </w:pPr>
            <w:r>
              <w:rPr>
                <w:rFonts w:hint="eastAsia" w:hAnsi="宋体" w:cs="宋体"/>
                <w:b/>
                <w:bCs/>
                <w:sz w:val="24"/>
                <w:szCs w:val="24"/>
                <w:highlight w:val="none"/>
              </w:rPr>
              <w:t>最高限价：</w:t>
            </w:r>
            <w:r>
              <w:rPr>
                <w:rFonts w:hint="eastAsia" w:ascii="宋体" w:hAnsi="宋体" w:eastAsia="宋体" w:cs="宋体"/>
                <w:b/>
                <w:bCs/>
                <w:sz w:val="24"/>
                <w:szCs w:val="24"/>
                <w:highlight w:val="none"/>
                <w:u w:val="single"/>
              </w:rPr>
              <w:t>15795000</w:t>
            </w:r>
            <w:r>
              <w:rPr>
                <w:rFonts w:hint="eastAsia" w:ascii="宋体" w:hAnsi="宋体" w:eastAsia="宋体" w:cs="宋体"/>
                <w:b/>
                <w:bCs/>
                <w:sz w:val="24"/>
                <w:szCs w:val="24"/>
                <w:highlight w:val="none"/>
                <w:u w:val="none"/>
                <w:lang w:val="en-US" w:eastAsia="zh-CN"/>
              </w:rPr>
              <w:t>元</w:t>
            </w:r>
            <w:r>
              <w:rPr>
                <w:rFonts w:hint="eastAsia" w:hAnsi="宋体" w:cs="宋体"/>
                <w:b/>
                <w:bCs/>
                <w:sz w:val="24"/>
                <w:szCs w:val="24"/>
                <w:highlight w:val="none"/>
              </w:rPr>
              <w:t>，即</w:t>
            </w:r>
            <w:r>
              <w:rPr>
                <w:rFonts w:hint="eastAsia" w:hAnsi="宋体" w:cs="宋体"/>
                <w:b/>
                <w:bCs/>
                <w:sz w:val="24"/>
                <w:szCs w:val="24"/>
                <w:highlight w:val="none"/>
                <w:lang w:val="zh-CN"/>
              </w:rPr>
              <w:t>养护单盏路</w:t>
            </w:r>
            <w:r>
              <w:rPr>
                <w:rFonts w:hint="eastAsia" w:hAnsi="宋体" w:cs="宋体"/>
                <w:b/>
                <w:bCs/>
                <w:sz w:val="24"/>
                <w:szCs w:val="24"/>
                <w:highlight w:val="none"/>
              </w:rPr>
              <w:t>灯综合单价为</w:t>
            </w:r>
            <w:r>
              <w:rPr>
                <w:rFonts w:hint="eastAsia" w:hAnsi="宋体" w:cs="宋体"/>
                <w:b/>
                <w:bCs/>
                <w:sz w:val="24"/>
                <w:szCs w:val="24"/>
                <w:highlight w:val="none"/>
                <w:u w:val="single"/>
              </w:rPr>
              <w:t>195</w:t>
            </w:r>
            <w:r>
              <w:rPr>
                <w:rFonts w:hint="eastAsia" w:hAnsi="宋体" w:cs="宋体"/>
                <w:b/>
                <w:bCs/>
                <w:sz w:val="24"/>
                <w:szCs w:val="24"/>
                <w:highlight w:val="none"/>
              </w:rPr>
              <w:t>元，超出此报价的投标无效。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2</w:t>
            </w:r>
          </w:p>
        </w:tc>
        <w:tc>
          <w:tcPr>
            <w:tcW w:w="1665" w:type="dxa"/>
            <w:noWrap w:val="0"/>
            <w:vAlign w:val="center"/>
          </w:tcPr>
          <w:p>
            <w:pPr>
              <w:snapToGrid w:val="0"/>
              <w:spacing w:line="360" w:lineRule="auto"/>
              <w:ind w:firstLine="241" w:firstLineChars="100"/>
              <w:rPr>
                <w:rFonts w:ascii="宋体" w:hAnsi="宋体" w:cs="宋体"/>
                <w:b/>
                <w:sz w:val="24"/>
              </w:rPr>
            </w:pPr>
            <w:r>
              <w:rPr>
                <w:rFonts w:hint="eastAsia" w:ascii="宋体" w:hAnsi="宋体" w:cs="宋体"/>
                <w:b/>
                <w:sz w:val="24"/>
              </w:rPr>
              <w:t>分包或转包。</w:t>
            </w:r>
          </w:p>
        </w:tc>
        <w:tc>
          <w:tcPr>
            <w:tcW w:w="7755" w:type="dxa"/>
            <w:noWrap w:val="0"/>
            <w:vAlign w:val="center"/>
          </w:tcPr>
          <w:p>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（1）本项目不得转包；</w:t>
            </w:r>
          </w:p>
          <w:p>
            <w:pPr>
              <w:pStyle w:val="962"/>
              <w:spacing w:before="0" w:beforeAutospacing="0" w:after="0" w:afterAutospacing="0" w:line="360" w:lineRule="auto"/>
              <w:rPr>
                <w:rFonts w:ascii="宋体" w:hAnsi="宋体" w:cs="宋体"/>
                <w:sz w:val="24"/>
                <w:highlight w:val="none"/>
              </w:rPr>
            </w:pPr>
            <w:r>
              <w:rPr>
                <w:rFonts w:hint="eastAsia" w:ascii="宋体" w:hAnsi="宋体" w:cs="宋体"/>
                <w:color w:val="000000"/>
                <w:sz w:val="24"/>
                <w:highlight w:val="none"/>
              </w:rPr>
              <w:t>（2）</w:t>
            </w:r>
            <w:r>
              <w:rPr>
                <w:rStyle w:val="961"/>
                <w:rFonts w:hint="eastAsia" w:cs="宋体"/>
                <w:sz w:val="24"/>
                <w:highlight w:val="none"/>
                <w:lang w:val="en-US" w:eastAsia="zh-CN"/>
              </w:rPr>
              <w:t>投标人如是大型企业，</w:t>
            </w:r>
            <w:r>
              <w:rPr>
                <w:rStyle w:val="961"/>
                <w:rFonts w:hint="eastAsia" w:ascii="Times New Roman" w:hAnsi="Times New Roman" w:eastAsia="宋体" w:cs="宋体"/>
                <w:color w:val="auto"/>
                <w:highlight w:val="none"/>
                <w:lang w:val="en-US" w:eastAsia="zh-CN"/>
              </w:rPr>
              <w:t>采用</w:t>
            </w:r>
            <w:r>
              <w:rPr>
                <w:rStyle w:val="961"/>
                <w:rFonts w:hint="eastAsia" w:ascii="Times New Roman" w:hAnsi="Times New Roman" w:eastAsia="宋体" w:cs="宋体"/>
                <w:color w:val="auto"/>
                <w:highlight w:val="none"/>
              </w:rPr>
              <w:t>合同分包，提供分包意向协议和中小企业声明函，分包意向协议中中小企业合同金额应当达到</w:t>
            </w:r>
            <w:r>
              <w:rPr>
                <w:rStyle w:val="961"/>
                <w:rFonts w:hint="eastAsia" w:ascii="Times New Roman" w:hAnsi="Times New Roman" w:eastAsia="宋体" w:cs="宋体"/>
                <w:color w:val="auto"/>
                <w:highlight w:val="none"/>
                <w:lang w:val="en-US" w:eastAsia="zh-CN"/>
              </w:rPr>
              <w:t>40</w:t>
            </w:r>
            <w:r>
              <w:rPr>
                <w:rStyle w:val="961"/>
                <w:rFonts w:hint="eastAsia" w:ascii="Times New Roman" w:hAnsi="Times New Roman" w:eastAsia="宋体" w:cs="宋体"/>
                <w:color w:val="auto"/>
                <w:highlight w:val="none"/>
              </w:rPr>
              <w:t>% ，</w:t>
            </w:r>
            <w:r>
              <w:rPr>
                <w:rStyle w:val="961"/>
                <w:rFonts w:hint="eastAsia" w:ascii="Times New Roman" w:hAnsi="Times New Roman" w:eastAsia="宋体" w:cs="宋体"/>
                <w:color w:val="auto"/>
                <w:highlight w:val="none"/>
                <w:lang w:val="en-US" w:eastAsia="zh-CN"/>
              </w:rPr>
              <w:t>其中</w:t>
            </w:r>
            <w:r>
              <w:rPr>
                <w:rStyle w:val="961"/>
                <w:rFonts w:hint="eastAsia" w:ascii="Times New Roman" w:hAnsi="Times New Roman" w:eastAsia="宋体" w:cs="宋体"/>
                <w:color w:val="auto"/>
                <w:highlight w:val="none"/>
              </w:rPr>
              <w:t>小微企业</w:t>
            </w:r>
            <w:r>
              <w:rPr>
                <w:rStyle w:val="961"/>
                <w:rFonts w:hint="eastAsia" w:ascii="Times New Roman" w:hAnsi="Times New Roman" w:eastAsia="宋体" w:cs="宋体"/>
                <w:color w:val="auto"/>
                <w:highlight w:val="none"/>
                <w:lang w:val="en-US" w:eastAsia="zh-CN"/>
              </w:rPr>
              <w:t>比例不低于70%，</w:t>
            </w:r>
            <w:r>
              <w:rPr>
                <w:rStyle w:val="961"/>
                <w:rFonts w:hint="eastAsia" w:ascii="Times New Roman" w:hAnsi="Times New Roman" w:eastAsia="宋体" w:cs="宋体"/>
                <w:color w:val="auto"/>
                <w:highlight w:val="none"/>
              </w:rPr>
              <w:t>如果供应商本身提供所有标的均由中小企业制造、承建或承接，视同符合了资格条件，无需再向中小企业分包，无需提供分包意向协议；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3</w:t>
            </w:r>
          </w:p>
        </w:tc>
        <w:tc>
          <w:tcPr>
            <w:tcW w:w="1665" w:type="dxa"/>
            <w:vMerge w:val="restart"/>
            <w:noWrap w:val="0"/>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755" w:type="dxa"/>
            <w:noWrap w:val="0"/>
            <w:vAlign w:val="center"/>
          </w:tcPr>
          <w:p>
            <w:pPr>
              <w:spacing w:line="360" w:lineRule="auto"/>
              <w:jc w:val="left"/>
              <w:rPr>
                <w:rFonts w:ascii="宋体" w:hAnsi="宋体" w:cs="宋体"/>
                <w:sz w:val="24"/>
              </w:rPr>
            </w:pPr>
            <w:r>
              <w:rPr>
                <w:rFonts w:hint="eastAsia" w:ascii="宋体" w:hAnsi="宋体" w:cs="宋体"/>
                <w:sz w:val="24"/>
              </w:rPr>
              <w:t>（1）资格证明文件：见招标文件第二部分11.1。</w:t>
            </w:r>
          </w:p>
          <w:p>
            <w:pPr>
              <w:spacing w:line="360" w:lineRule="auto"/>
              <w:jc w:val="left"/>
              <w:rPr>
                <w:rFonts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noWrap w:val="0"/>
            <w:vAlign w:val="center"/>
          </w:tcPr>
          <w:p>
            <w:pPr>
              <w:pStyle w:val="112"/>
              <w:widowControl w:val="0"/>
              <w:spacing w:line="360" w:lineRule="auto"/>
              <w:ind w:firstLine="482"/>
              <w:jc w:val="center"/>
              <w:rPr>
                <w:rFonts w:hAnsi="宋体" w:cs="宋体"/>
                <w:b/>
                <w:sz w:val="24"/>
                <w:szCs w:val="24"/>
              </w:rPr>
            </w:pPr>
          </w:p>
        </w:tc>
        <w:tc>
          <w:tcPr>
            <w:tcW w:w="1665" w:type="dxa"/>
            <w:vMerge w:val="continue"/>
            <w:noWrap w:val="0"/>
            <w:vAlign w:val="center"/>
          </w:tcPr>
          <w:p>
            <w:pPr>
              <w:pStyle w:val="112"/>
              <w:widowControl w:val="0"/>
              <w:spacing w:line="360" w:lineRule="auto"/>
              <w:ind w:firstLine="482"/>
              <w:jc w:val="center"/>
              <w:rPr>
                <w:rFonts w:hAnsi="宋体" w:cs="宋体"/>
                <w:b/>
                <w:sz w:val="24"/>
                <w:szCs w:val="24"/>
              </w:rPr>
            </w:pPr>
          </w:p>
        </w:tc>
        <w:tc>
          <w:tcPr>
            <w:tcW w:w="7755" w:type="dxa"/>
            <w:noWrap w:val="0"/>
            <w:vAlign w:val="center"/>
          </w:tcPr>
          <w:p>
            <w:pPr>
              <w:spacing w:line="360" w:lineRule="auto"/>
              <w:jc w:val="left"/>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4</w:t>
            </w:r>
          </w:p>
        </w:tc>
        <w:tc>
          <w:tcPr>
            <w:tcW w:w="1665"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755" w:type="dxa"/>
            <w:noWrap w:val="0"/>
            <w:vAlign w:val="center"/>
          </w:tcPr>
          <w:p>
            <w:pPr>
              <w:spacing w:line="360" w:lineRule="auto"/>
              <w:jc w:val="left"/>
              <w:rPr>
                <w:rFonts w:ascii="宋体" w:hAnsi="宋体" w:cs="宋体"/>
                <w:sz w:val="24"/>
              </w:rPr>
            </w:pPr>
            <w:r>
              <w:rPr>
                <w:rFonts w:hint="eastAsia" w:ascii="宋体" w:hAnsi="宋体" w:cs="宋体"/>
                <w:sz w:val="24"/>
              </w:rPr>
              <w:t>不组织。投标人自行踏勘现场，费用自理。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5</w:t>
            </w:r>
          </w:p>
        </w:tc>
        <w:tc>
          <w:tcPr>
            <w:tcW w:w="1665"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755" w:type="dxa"/>
            <w:noWrap w:val="0"/>
            <w:vAlign w:val="center"/>
          </w:tcPr>
          <w:p>
            <w:pPr>
              <w:spacing w:line="360" w:lineRule="auto"/>
              <w:jc w:val="left"/>
              <w:rPr>
                <w:rFonts w:ascii="宋体" w:hAnsi="宋体" w:cs="宋体"/>
                <w:b/>
                <w:sz w:val="24"/>
              </w:rPr>
            </w:pP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6</w:t>
            </w:r>
          </w:p>
        </w:tc>
        <w:tc>
          <w:tcPr>
            <w:tcW w:w="1665" w:type="dxa"/>
            <w:noWrap w:val="0"/>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755" w:type="dxa"/>
            <w:noWrap w:val="0"/>
            <w:vAlign w:val="center"/>
          </w:tcPr>
          <w:p>
            <w:pPr>
              <w:spacing w:line="360" w:lineRule="auto"/>
              <w:jc w:val="left"/>
              <w:rPr>
                <w:rFonts w:ascii="宋体" w:hAnsi="宋体" w:cs="宋体"/>
                <w:b/>
                <w:kern w:val="0"/>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7</w:t>
            </w:r>
          </w:p>
        </w:tc>
        <w:tc>
          <w:tcPr>
            <w:tcW w:w="1665"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755" w:type="dxa"/>
            <w:noWrap w:val="0"/>
            <w:vAlign w:val="center"/>
          </w:tcPr>
          <w:p>
            <w:pPr>
              <w:spacing w:line="360" w:lineRule="auto"/>
              <w:jc w:val="left"/>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8</w:t>
            </w:r>
          </w:p>
        </w:tc>
        <w:tc>
          <w:tcPr>
            <w:tcW w:w="1665"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7755" w:type="dxa"/>
            <w:noWrap w:val="0"/>
            <w:vAlign w:val="center"/>
          </w:tcPr>
          <w:p>
            <w:pPr>
              <w:snapToGrid w:val="0"/>
              <w:spacing w:line="360" w:lineRule="auto"/>
              <w:jc w:val="left"/>
              <w:rPr>
                <w:rFonts w:ascii="宋体" w:hAnsi="宋体" w:cs="宋体"/>
                <w:sz w:val="24"/>
              </w:rPr>
            </w:pPr>
            <w:r>
              <w:rPr>
                <w:rFonts w:hint="eastAsia" w:ascii="宋体" w:hAnsi="宋体" w:cs="宋体"/>
                <w:kern w:val="0"/>
                <w:sz w:val="24"/>
              </w:rPr>
              <w:t>（1）标的：</w:t>
            </w:r>
            <w:r>
              <w:rPr>
                <w:rFonts w:hint="eastAsia" w:ascii="宋体" w:hAnsi="宋体" w:cs="宋体"/>
                <w:sz w:val="24"/>
                <w:u w:val="single"/>
              </w:rPr>
              <w:t xml:space="preserve"> 杭州市滨江区城市路灯维护管理项目（2023年-2025年）</w:t>
            </w:r>
            <w:r>
              <w:rPr>
                <w:rFonts w:hint="eastAsia" w:ascii="宋体" w:hAnsi="宋体" w:cs="宋体"/>
                <w:kern w:val="0"/>
                <w:sz w:val="24"/>
                <w:u w:val="single"/>
              </w:rPr>
              <w:t xml:space="preserve"> </w:t>
            </w:r>
            <w:r>
              <w:rPr>
                <w:rFonts w:hint="eastAsia" w:ascii="宋体" w:hAnsi="宋体" w:cs="宋体"/>
                <w:kern w:val="0"/>
                <w:sz w:val="24"/>
              </w:rPr>
              <w:t>，属</w:t>
            </w:r>
            <w:r>
              <w:rPr>
                <w:rFonts w:hint="eastAsia" w:ascii="宋体" w:hAnsi="宋体" w:cs="宋体"/>
                <w:sz w:val="24"/>
              </w:rPr>
              <w:t>于</w:t>
            </w:r>
            <w:r>
              <w:rPr>
                <w:rFonts w:hint="eastAsia" w:ascii="宋体" w:hAnsi="宋体" w:cs="宋体"/>
                <w:sz w:val="24"/>
                <w:u w:val="single"/>
              </w:rPr>
              <w:t xml:space="preserve"> </w:t>
            </w:r>
            <w:r>
              <w:rPr>
                <w:rFonts w:hint="eastAsia" w:ascii="宋体" w:hAnsi="宋体" w:cs="宋体"/>
                <w:color w:val="000000"/>
                <w:sz w:val="24"/>
                <w:u w:val="single"/>
                <w:shd w:val="clear" w:color="auto" w:fill="FFFFFF"/>
              </w:rPr>
              <w:t>其他未列明行业</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9</w:t>
            </w:r>
          </w:p>
        </w:tc>
        <w:tc>
          <w:tcPr>
            <w:tcW w:w="1665"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7755" w:type="dxa"/>
            <w:noWrap w:val="0"/>
            <w:vAlign w:val="center"/>
          </w:tcPr>
          <w:p>
            <w:pPr>
              <w:snapToGrid w:val="0"/>
              <w:spacing w:line="360" w:lineRule="auto"/>
              <w:jc w:val="left"/>
              <w:rPr>
                <w:rFonts w:ascii="宋体" w:hAnsi="宋体" w:cs="宋体"/>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10</w:t>
            </w:r>
          </w:p>
        </w:tc>
        <w:tc>
          <w:tcPr>
            <w:tcW w:w="1665" w:type="dxa"/>
            <w:vMerge w:val="restart"/>
            <w:noWrap w:val="0"/>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7755" w:type="dxa"/>
            <w:noWrap w:val="0"/>
            <w:vAlign w:val="center"/>
          </w:tcPr>
          <w:p>
            <w:pPr>
              <w:spacing w:line="360" w:lineRule="auto"/>
              <w:ind w:firstLine="480" w:firstLineChars="200"/>
              <w:jc w:val="left"/>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noWrap w:val="0"/>
            <w:vAlign w:val="center"/>
          </w:tcPr>
          <w:p>
            <w:pPr>
              <w:pStyle w:val="112"/>
              <w:widowControl w:val="0"/>
              <w:spacing w:line="360" w:lineRule="auto"/>
              <w:ind w:firstLine="482"/>
              <w:jc w:val="center"/>
              <w:rPr>
                <w:rFonts w:hAnsi="宋体" w:cs="宋体"/>
                <w:b/>
                <w:sz w:val="24"/>
                <w:szCs w:val="24"/>
              </w:rPr>
            </w:pPr>
          </w:p>
        </w:tc>
        <w:tc>
          <w:tcPr>
            <w:tcW w:w="1665" w:type="dxa"/>
            <w:vMerge w:val="continue"/>
            <w:noWrap w:val="0"/>
            <w:vAlign w:val="center"/>
          </w:tcPr>
          <w:p>
            <w:pPr>
              <w:pStyle w:val="112"/>
              <w:widowControl w:val="0"/>
              <w:spacing w:line="360" w:lineRule="auto"/>
              <w:ind w:firstLine="482"/>
              <w:jc w:val="center"/>
              <w:rPr>
                <w:rFonts w:hAnsi="宋体" w:cs="宋体"/>
                <w:b/>
                <w:sz w:val="24"/>
                <w:szCs w:val="24"/>
              </w:rPr>
            </w:pPr>
          </w:p>
        </w:tc>
        <w:tc>
          <w:tcPr>
            <w:tcW w:w="7755" w:type="dxa"/>
            <w:noWrap w:val="0"/>
            <w:vAlign w:val="center"/>
          </w:tcPr>
          <w:p>
            <w:pPr>
              <w:spacing w:line="360" w:lineRule="auto"/>
              <w:ind w:firstLine="480" w:firstLineChars="200"/>
              <w:jc w:val="left"/>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11</w:t>
            </w:r>
          </w:p>
        </w:tc>
        <w:tc>
          <w:tcPr>
            <w:tcW w:w="1665"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7755" w:type="dxa"/>
            <w:noWrap w:val="0"/>
            <w:vAlign w:val="center"/>
          </w:tcPr>
          <w:p>
            <w:pPr>
              <w:pStyle w:val="35"/>
              <w:spacing w:line="360" w:lineRule="auto"/>
              <w:jc w:val="left"/>
              <w:rPr>
                <w:rFonts w:hAnsi="宋体" w:cs="宋体"/>
                <w:kern w:val="28"/>
                <w:sz w:val="24"/>
                <w:szCs w:val="24"/>
              </w:rPr>
            </w:pPr>
            <w:r>
              <w:rPr>
                <w:rFonts w:hint="eastAsia" w:hAnsi="宋体" w:cs="宋体"/>
                <w:kern w:val="28"/>
                <w:sz w:val="24"/>
                <w:szCs w:val="24"/>
              </w:rPr>
              <w:t>备份投标文件送达地点：</w:t>
            </w:r>
            <w:r>
              <w:rPr>
                <w:rFonts w:hint="eastAsia" w:hAnsi="宋体" w:cs="宋体"/>
                <w:sz w:val="24"/>
                <w:szCs w:val="24"/>
                <w:u w:val="single"/>
              </w:rPr>
              <w:t xml:space="preserve"> </w:t>
            </w:r>
            <w:r>
              <w:rPr>
                <w:rFonts w:hint="eastAsia" w:ascii="宋体" w:hAnsi="宋体" w:eastAsia="宋体" w:cs="宋体"/>
                <w:kern w:val="28"/>
                <w:sz w:val="24"/>
                <w:szCs w:val="24"/>
                <w:u w:val="single"/>
              </w:rPr>
              <w:t>浙江省杭州市下城区体育场路216号11楼1101-1109室</w:t>
            </w:r>
            <w:r>
              <w:rPr>
                <w:rFonts w:hint="eastAsia" w:hAnsi="宋体" w:cs="宋体"/>
                <w:sz w:val="24"/>
                <w:szCs w:val="24"/>
                <w:u w:val="single"/>
              </w:rPr>
              <w:t xml:space="preserve"> </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程工</w:t>
            </w:r>
            <w:r>
              <w:rPr>
                <w:rFonts w:hint="eastAsia" w:ascii="宋体" w:hAnsi="宋体" w:eastAsia="宋体" w:cs="宋体"/>
                <w:kern w:val="28"/>
                <w:sz w:val="24"/>
                <w:szCs w:val="24"/>
                <w:u w:val="single"/>
                <w:lang w:val="en-US" w:eastAsia="zh-CN"/>
              </w:rPr>
              <w:t>15968863167。</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noWrap w:val="0"/>
            <w:vAlign w:val="center"/>
          </w:tcPr>
          <w:p>
            <w:pPr>
              <w:pStyle w:val="112"/>
              <w:widowControl w:val="0"/>
              <w:spacing w:line="360" w:lineRule="auto"/>
              <w:ind w:firstLine="0" w:firstLineChars="0"/>
              <w:jc w:val="center"/>
              <w:rPr>
                <w:rFonts w:hAnsi="宋体" w:cs="宋体"/>
                <w:b/>
                <w:sz w:val="24"/>
                <w:szCs w:val="24"/>
              </w:rPr>
            </w:pPr>
            <w:r>
              <w:rPr>
                <w:rFonts w:hint="eastAsia" w:hAnsi="宋体" w:cs="宋体"/>
                <w:b/>
                <w:sz w:val="24"/>
                <w:szCs w:val="24"/>
              </w:rPr>
              <w:t>12</w:t>
            </w:r>
          </w:p>
        </w:tc>
        <w:tc>
          <w:tcPr>
            <w:tcW w:w="1665" w:type="dxa"/>
            <w:noWrap w:val="0"/>
            <w:vAlign w:val="center"/>
          </w:tcPr>
          <w:p>
            <w:pPr>
              <w:spacing w:line="360" w:lineRule="auto"/>
              <w:jc w:val="center"/>
              <w:rPr>
                <w:rFonts w:ascii="宋体" w:hAnsi="宋体" w:cs="宋体"/>
                <w:snapToGrid w:val="0"/>
                <w:kern w:val="28"/>
                <w:sz w:val="24"/>
              </w:rPr>
            </w:pPr>
            <w:r>
              <w:rPr>
                <w:rFonts w:hint="eastAsia" w:ascii="宋体" w:hAnsi="宋体" w:cs="宋体"/>
                <w:b/>
                <w:bCs/>
                <w:snapToGrid w:val="0"/>
                <w:kern w:val="28"/>
                <w:sz w:val="24"/>
              </w:rPr>
              <w:t>招标代理服务费</w:t>
            </w:r>
          </w:p>
        </w:tc>
        <w:tc>
          <w:tcPr>
            <w:tcW w:w="7755" w:type="dxa"/>
            <w:noWrap w:val="0"/>
            <w:vAlign w:val="center"/>
          </w:tcPr>
          <w:p>
            <w:pPr>
              <w:spacing w:line="360" w:lineRule="auto"/>
              <w:jc w:val="left"/>
            </w:pPr>
            <w:r>
              <w:rPr>
                <w:rFonts w:hint="eastAsia" w:ascii="宋体" w:hAnsi="宋体" w:cs="宋体"/>
                <w:snapToGrid w:val="0"/>
                <w:kern w:val="28"/>
                <w:sz w:val="24"/>
              </w:rPr>
              <w:t>本项目的采购代理费由中标供应商支付，以项目中标价为基数（如单价采购或以费率形式采购的，以项目预算控制价为基数），计费标准按《计价格［</w:t>
            </w:r>
            <w:r>
              <w:rPr>
                <w:rFonts w:ascii="宋体" w:hAnsi="宋体" w:cs="宋体"/>
                <w:snapToGrid w:val="0"/>
                <w:kern w:val="28"/>
                <w:sz w:val="24"/>
              </w:rPr>
              <w:t>2002</w:t>
            </w:r>
            <w:r>
              <w:rPr>
                <w:rFonts w:hint="eastAsia" w:ascii="宋体" w:hAnsi="宋体" w:cs="宋体"/>
                <w:snapToGrid w:val="0"/>
                <w:kern w:val="28"/>
                <w:sz w:val="24"/>
              </w:rPr>
              <w:t>］</w:t>
            </w:r>
            <w:r>
              <w:rPr>
                <w:rFonts w:ascii="宋体" w:hAnsi="宋体" w:cs="宋体"/>
                <w:snapToGrid w:val="0"/>
                <w:kern w:val="28"/>
                <w:sz w:val="24"/>
              </w:rPr>
              <w:t>1980</w:t>
            </w:r>
            <w:r>
              <w:rPr>
                <w:rFonts w:hint="eastAsia" w:ascii="宋体" w:hAnsi="宋体" w:cs="宋体"/>
                <w:snapToGrid w:val="0"/>
                <w:kern w:val="28"/>
                <w:sz w:val="24"/>
              </w:rPr>
              <w:t>号》文件中招标代理服务费收费标准规定的计算办法和费率的百分之八十计算。结算方式及时间为：在领取中标通知书时由中标供应商一次性向采购代理机构付清。</w:t>
            </w:r>
          </w:p>
        </w:tc>
      </w:tr>
    </w:tbl>
    <w:p>
      <w:pPr>
        <w:pStyle w:val="112"/>
        <w:ind w:firstLine="643"/>
        <w:rPr>
          <w:rFonts w:hAnsi="宋体" w:cs="宋体"/>
          <w:b/>
          <w:sz w:val="32"/>
        </w:rPr>
      </w:pPr>
    </w:p>
    <w:p>
      <w:pPr>
        <w:rPr>
          <w:rFonts w:ascii="宋体" w:hAnsi="宋体" w:cs="宋体"/>
          <w:b/>
          <w:sz w:val="32"/>
          <w:szCs w:val="20"/>
        </w:rPr>
      </w:pPr>
    </w:p>
    <w:bookmarkEnd w:id="8"/>
    <w:p>
      <w:pPr>
        <w:adjustRightInd/>
        <w:spacing w:line="360" w:lineRule="auto"/>
        <w:ind w:firstLine="3845" w:firstLineChars="1197"/>
        <w:outlineLvl w:val="0"/>
        <w:rPr>
          <w:rFonts w:ascii="宋体" w:hAnsi="宋体" w:cs="宋体"/>
          <w:b/>
          <w:sz w:val="32"/>
          <w:szCs w:val="20"/>
        </w:rPr>
      </w:pPr>
      <w:bookmarkStart w:id="9" w:name="第三部分"/>
      <w:bookmarkStart w:id="10" w:name="_Toc164416483"/>
    </w:p>
    <w:p>
      <w:pPr>
        <w:adjustRightInd/>
        <w:spacing w:line="360" w:lineRule="auto"/>
        <w:ind w:firstLine="3845" w:firstLineChars="1197"/>
        <w:outlineLvl w:val="0"/>
        <w:rPr>
          <w:rFonts w:ascii="宋体" w:hAnsi="宋体" w:cs="宋体"/>
          <w:b/>
          <w:sz w:val="32"/>
          <w:szCs w:val="20"/>
        </w:rPr>
      </w:pPr>
    </w:p>
    <w:p>
      <w:pPr>
        <w:pStyle w:val="5"/>
        <w:rPr>
          <w:rFonts w:ascii="宋体" w:hAnsi="宋体" w:cs="宋体"/>
          <w:szCs w:val="20"/>
        </w:rPr>
      </w:pPr>
    </w:p>
    <w:p>
      <w:pPr>
        <w:rPr>
          <w:rFonts w:ascii="宋体" w:hAnsi="宋体" w:cs="宋体"/>
          <w:b/>
          <w:sz w:val="32"/>
          <w:szCs w:val="20"/>
        </w:rPr>
      </w:pPr>
    </w:p>
    <w:p>
      <w:pPr>
        <w:pStyle w:val="5"/>
        <w:rPr>
          <w:rFonts w:ascii="宋体" w:hAnsi="宋体" w:cs="宋体"/>
          <w:szCs w:val="20"/>
        </w:rPr>
      </w:pPr>
    </w:p>
    <w:p>
      <w:pPr>
        <w:rPr>
          <w:rFonts w:ascii="宋体" w:hAnsi="宋体" w:cs="宋体"/>
          <w:b/>
          <w:sz w:val="32"/>
          <w:szCs w:val="20"/>
        </w:rPr>
      </w:pPr>
    </w:p>
    <w:p>
      <w:pPr>
        <w:pStyle w:val="5"/>
        <w:rPr>
          <w:rFonts w:ascii="宋体" w:hAnsi="宋体" w:cs="宋体"/>
          <w:szCs w:val="20"/>
        </w:rPr>
      </w:pPr>
    </w:p>
    <w:p>
      <w:pPr>
        <w:rPr>
          <w:rFonts w:ascii="宋体" w:hAnsi="宋体" w:cs="宋体"/>
          <w:b/>
          <w:sz w:val="32"/>
          <w:szCs w:val="20"/>
        </w:rPr>
      </w:pPr>
    </w:p>
    <w:p>
      <w:pPr>
        <w:pStyle w:val="27"/>
        <w:ind w:firstLine="420"/>
      </w:pPr>
    </w:p>
    <w:p>
      <w:pPr>
        <w:pStyle w:val="24"/>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r>
        <w:rPr>
          <w:rFonts w:ascii="Wingdings" w:hAnsi="Wingdings" w:eastAsia="仿宋_GB2312" w:cs="Arial"/>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sz w:val="24"/>
        </w:rPr>
      </w:pPr>
      <w:r>
        <w:rPr>
          <w:rFonts w:ascii="宋体" w:hAnsi="宋体" w:cs="宋体"/>
          <w:sz w:val="24"/>
        </w:rPr>
        <w:t>3.3.1</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kern w:val="0"/>
          <w:sz w:val="24"/>
        </w:rPr>
      </w:pPr>
      <w:r>
        <w:rPr>
          <w:rFonts w:ascii="宋体" w:hAnsi="宋体" w:cs="宋体"/>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kern w:val="0"/>
          <w:sz w:val="24"/>
        </w:rPr>
      </w:pPr>
      <w:r>
        <w:rPr>
          <w:rFonts w:ascii="宋体" w:hAnsi="宋体" w:cs="宋体"/>
          <w:kern w:val="0"/>
          <w:sz w:val="24"/>
        </w:rPr>
        <w:t>3.3.2.1</w:t>
      </w:r>
      <w:r>
        <w:rPr>
          <w:rFonts w:hint="eastAsia" w:ascii="宋体" w:hAnsi="宋体"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宋体"/>
          <w:kern w:val="0"/>
          <w:sz w:val="24"/>
        </w:rPr>
      </w:pPr>
      <w:r>
        <w:rPr>
          <w:rFonts w:ascii="宋体" w:hAnsi="宋体" w:cs="宋体"/>
          <w:kern w:val="0"/>
          <w:sz w:val="24"/>
        </w:rPr>
        <w:t>3.3.2.2</w:t>
      </w:r>
      <w:r>
        <w:rPr>
          <w:rFonts w:hint="eastAsia" w:ascii="宋体" w:hAnsi="宋体" w:cs="宋体"/>
          <w:kern w:val="0"/>
          <w:sz w:val="24"/>
        </w:rPr>
        <w:t>在工程采购项目中，工程由中小企业承建，即工程施工单位为中小企业；</w:t>
      </w:r>
    </w:p>
    <w:p>
      <w:pPr>
        <w:widowControl/>
        <w:spacing w:line="360" w:lineRule="auto"/>
        <w:ind w:firstLine="480" w:firstLineChars="200"/>
        <w:jc w:val="left"/>
        <w:rPr>
          <w:rFonts w:ascii="宋体"/>
          <w:kern w:val="0"/>
          <w:sz w:val="24"/>
        </w:rPr>
      </w:pPr>
      <w:r>
        <w:rPr>
          <w:rFonts w:ascii="宋体" w:hAnsi="宋体" w:cs="宋体"/>
          <w:kern w:val="0"/>
          <w:sz w:val="24"/>
        </w:rPr>
        <w:t>3.3.2.3</w:t>
      </w:r>
      <w:r>
        <w:rPr>
          <w:rFonts w:hint="eastAsia" w:ascii="宋体" w:hAnsi="宋体" w:cs="宋体"/>
          <w:kern w:val="0"/>
          <w:sz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sz w:val="24"/>
        </w:rPr>
      </w:pPr>
      <w:r>
        <w:rPr>
          <w:rFonts w:ascii="宋体" w:hAnsi="宋体" w:cs="宋体"/>
          <w:sz w:val="24"/>
        </w:rPr>
        <w:t>3.3.3</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对于未预留份额专门面向中小企业的政府采购货物或服务项目，以及预留份额政府采购货物或服务项目中的非预留部分标项，对小型和微型企业的投标报价给予20</w:t>
      </w:r>
      <w:r>
        <w:rPr>
          <w:rFonts w:ascii="宋体" w:hAnsi="宋体" w:cs="宋体"/>
          <w:sz w:val="24"/>
        </w:rPr>
        <w:t>%</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sz w:val="24"/>
        </w:rPr>
        <w:t>30%</w:t>
      </w:r>
      <w:r>
        <w:rPr>
          <w:rFonts w:hint="eastAsia" w:ascii="宋体" w:hAnsi="宋体" w:cs="宋体"/>
          <w:sz w:val="24"/>
        </w:rPr>
        <w:t>以上的，对联合体或者大中型企业的报价给予6</w:t>
      </w:r>
      <w:r>
        <w:rPr>
          <w:rFonts w:ascii="宋体" w:hAnsi="宋体" w:cs="宋体"/>
          <w:sz w:val="24"/>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sz w:val="24"/>
        </w:rPr>
      </w:pPr>
      <w:r>
        <w:rPr>
          <w:rFonts w:ascii="宋体" w:hAnsi="宋体" w:cs="宋体"/>
          <w:sz w:val="24"/>
        </w:rPr>
        <w:t>3.3.4</w:t>
      </w:r>
      <w:r>
        <w:rPr>
          <w:rFonts w:hint="eastAsia" w:ascii="宋体" w:hAnsi="宋体" w:cs="宋体"/>
          <w:sz w:val="24"/>
        </w:rPr>
        <w:t>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w:t>
      </w:r>
    </w:p>
    <w:p>
      <w:pPr>
        <w:spacing w:line="360" w:lineRule="auto"/>
        <w:ind w:firstLine="480" w:firstLineChars="200"/>
        <w:rPr>
          <w:rFonts w:ascii="宋体"/>
          <w:sz w:val="24"/>
        </w:rPr>
      </w:pPr>
      <w:r>
        <w:rPr>
          <w:rFonts w:ascii="宋体" w:hAnsi="宋体" w:cs="宋体"/>
          <w:sz w:val="24"/>
        </w:rPr>
        <w:t>3.3.5</w:t>
      </w:r>
      <w:r>
        <w:rPr>
          <w:rFonts w:hint="eastAsia" w:ascii="宋体" w:hAnsi="宋体" w:cs="宋体"/>
          <w:sz w:val="24"/>
        </w:rPr>
        <w:t>符合《关于政府采购支持监狱企业发展有关问题的通知》（财库</w:t>
      </w:r>
      <w:r>
        <w:rPr>
          <w:rFonts w:ascii="宋体" w:hAnsi="宋体" w:cs="宋体"/>
          <w:sz w:val="24"/>
        </w:rPr>
        <w:t>[2014]68</w:t>
      </w:r>
      <w:r>
        <w:rPr>
          <w:rFonts w:hint="eastAsia" w:ascii="宋体" w:hAnsi="宋体" w:cs="宋体"/>
          <w:sz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sz w:val="24"/>
        </w:rPr>
      </w:pPr>
      <w:r>
        <w:rPr>
          <w:rFonts w:ascii="宋体" w:hAnsi="宋体" w:cs="宋体"/>
          <w:sz w:val="24"/>
        </w:rPr>
        <w:t>3.3.6</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ascii="宋体" w:hAnsi="宋体" w:cs="宋体"/>
          <w:sz w:val="24"/>
        </w:rPr>
        <w:t>3.3.7</w:t>
      </w:r>
      <w:r>
        <w:rPr>
          <w:rFonts w:hint="eastAsia" w:ascii="宋体" w:hAnsi="宋体" w:cs="宋体"/>
          <w:sz w:val="24"/>
        </w:rPr>
        <w:t>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8"/>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15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5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5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jc w:val="left"/>
        <w:rPr>
          <w:rFonts w:ascii="宋体" w:hAnsi="宋体" w:cs="宋体"/>
          <w:sz w:val="24"/>
          <w:lang w:val="zh-CN"/>
        </w:rPr>
      </w:pPr>
      <w:r>
        <w:rPr>
          <w:rFonts w:hint="eastAsia" w:ascii="宋体" w:hAnsi="宋体" w:cs="宋体"/>
          <w:sz w:val="24"/>
        </w:rPr>
        <w:t>11.1.1</w:t>
      </w:r>
      <w:r>
        <w:rPr>
          <w:rFonts w:hint="eastAsia" w:ascii="宋体" w:hAnsi="宋体" w:cs="宋体"/>
          <w:sz w:val="24"/>
          <w:lang w:val="zh-CN"/>
        </w:rPr>
        <w:t>有效的营业执照（或其他工商等登记证明材料）复印件并加盖公司公章；事业单位的，则提供有效的《事业单位法人证书》副本复印件并加盖单位公章；自然人的，则提供有效的身份证复印件并签字；</w:t>
      </w:r>
    </w:p>
    <w:p>
      <w:pPr>
        <w:snapToGrid w:val="0"/>
        <w:spacing w:line="360" w:lineRule="auto"/>
        <w:ind w:firstLine="960" w:firstLineChars="400"/>
        <w:rPr>
          <w:rFonts w:ascii="宋体" w:hAnsi="宋体" w:cs="宋体"/>
          <w:sz w:val="24"/>
        </w:rPr>
      </w:pPr>
      <w:r>
        <w:rPr>
          <w:rFonts w:hint="eastAsia" w:ascii="宋体" w:hAnsi="宋体" w:cs="宋体"/>
          <w:sz w:val="24"/>
        </w:rPr>
        <w:t>11.1.2符合参加政府采购活动应当具备的一般条件的承诺函；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11.2.3联合协议（如有）；</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11.2.4分包意向协议（如有）；</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11.3.2投标报价汇总表；</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5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5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5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5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5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59"/>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15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5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5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59"/>
        <w:spacing w:before="0"/>
        <w:ind w:firstLine="643"/>
        <w:rPr>
          <w:rFonts w:ascii="宋体" w:hAnsi="宋体" w:cs="宋体"/>
          <w:b/>
          <w:sz w:val="32"/>
        </w:rPr>
      </w:pPr>
    </w:p>
    <w:p>
      <w:pPr>
        <w:pStyle w:val="15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5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5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5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5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59"/>
        <w:spacing w:before="0"/>
        <w:ind w:firstLine="0" w:firstLineChars="0"/>
        <w:rPr>
          <w:rFonts w:ascii="宋体" w:hAnsi="宋体" w:cs="宋体"/>
          <w:b/>
          <w:szCs w:val="24"/>
        </w:rPr>
      </w:pPr>
      <w:r>
        <w:rPr>
          <w:rFonts w:hint="eastAsia" w:ascii="宋体" w:hAnsi="宋体" w:cs="宋体"/>
          <w:b/>
          <w:szCs w:val="24"/>
        </w:rPr>
        <w:t>20、信用信息查询</w:t>
      </w:r>
    </w:p>
    <w:p>
      <w:pPr>
        <w:pStyle w:val="15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5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5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5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5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5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5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5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5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w:t>
      </w:r>
    </w:p>
    <w:p>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5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5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5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5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5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5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5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包含消防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宋体" w:hAnsi="宋体" w:cs="宋体"/>
          <w:kern w:val="0"/>
          <w:sz w:val="24"/>
        </w:rPr>
        <w:sectPr>
          <w:footerReference r:id="rId8" w:type="first"/>
          <w:footerReference r:id="rId7" w:type="default"/>
          <w:pgSz w:w="11905" w:h="16838"/>
          <w:pgMar w:top="1701" w:right="1417" w:bottom="1417" w:left="1417" w:header="851" w:footer="992" w:gutter="0"/>
          <w:pgNumType w:fmt="decimal" w:start="1"/>
          <w:cols w:space="720" w:num="1"/>
          <w:titlePg/>
          <w:docGrid w:linePitch="312" w:charSpace="0"/>
        </w:sectPr>
      </w:pPr>
      <w:bookmarkStart w:id="12" w:name="_Hlt68403820"/>
      <w:bookmarkEnd w:id="12"/>
      <w:bookmarkStart w:id="13" w:name="_Hlt75236290"/>
      <w:bookmarkEnd w:id="13"/>
      <w:bookmarkStart w:id="14" w:name="_Hlt74707468"/>
      <w:bookmarkEnd w:id="14"/>
      <w:bookmarkStart w:id="15" w:name="_Hlt68057669"/>
      <w:bookmarkEnd w:id="15"/>
      <w:bookmarkStart w:id="16" w:name="_Hlt75236011"/>
      <w:bookmarkEnd w:id="16"/>
      <w:bookmarkStart w:id="17" w:name="_Hlt68072998"/>
      <w:bookmarkEnd w:id="17"/>
      <w:bookmarkStart w:id="18" w:name="_Hlt68073093"/>
      <w:bookmarkEnd w:id="18"/>
      <w:bookmarkStart w:id="19" w:name="_Hlt74729768"/>
      <w:bookmarkEnd w:id="19"/>
      <w:bookmarkStart w:id="20" w:name="_Hlt75236101"/>
      <w:bookmarkEnd w:id="20"/>
      <w:bookmarkStart w:id="21" w:name="_Hlt68072990"/>
      <w:bookmarkEnd w:id="21"/>
      <w:bookmarkStart w:id="22" w:name="_Hlt74714665"/>
      <w:bookmarkEnd w:id="22"/>
      <w:bookmarkStart w:id="23" w:name="_Hlt74730295"/>
      <w:bookmarkEnd w:id="23"/>
    </w:p>
    <w:bookmarkEnd w:id="9"/>
    <w:bookmarkEnd w:id="10"/>
    <w:p>
      <w:pPr>
        <w:spacing w:line="360" w:lineRule="auto"/>
        <w:jc w:val="center"/>
        <w:outlineLvl w:val="0"/>
        <w:rPr>
          <w:rFonts w:ascii="宋体" w:hAnsi="宋体" w:cs="宋体"/>
          <w:b/>
          <w:sz w:val="36"/>
          <w:szCs w:val="36"/>
        </w:rPr>
      </w:pPr>
      <w:bookmarkStart w:id="24" w:name="第四部分"/>
      <w:r>
        <w:rPr>
          <w:rFonts w:hint="eastAsia" w:ascii="宋体" w:hAnsi="宋体" w:cs="宋体"/>
          <w:b/>
          <w:sz w:val="36"/>
          <w:szCs w:val="36"/>
        </w:rPr>
        <w:t>第三部分   采购需求</w:t>
      </w:r>
      <w:bookmarkStart w:id="25" w:name="_Toc428547056"/>
      <w:bookmarkStart w:id="26" w:name="_Toc360109368"/>
      <w:bookmarkStart w:id="27" w:name="_Toc31830"/>
    </w:p>
    <w:p>
      <w:pPr>
        <w:spacing w:line="360" w:lineRule="auto"/>
        <w:jc w:val="left"/>
        <w:outlineLvl w:val="0"/>
        <w:rPr>
          <w:rFonts w:ascii="宋体" w:hAnsi="宋体" w:cs="宋体"/>
          <w:b/>
          <w:sz w:val="36"/>
          <w:szCs w:val="36"/>
        </w:rPr>
      </w:pPr>
      <w:r>
        <w:rPr>
          <w:rFonts w:hint="eastAsia" w:ascii="宋体" w:hAnsi="宋体" w:cs="宋体"/>
          <w:sz w:val="24"/>
        </w:rPr>
        <w:t>一、项目概况</w:t>
      </w:r>
      <w:bookmarkEnd w:id="25"/>
      <w:bookmarkEnd w:id="26"/>
      <w:bookmarkEnd w:id="27"/>
    </w:p>
    <w:p>
      <w:pPr>
        <w:pStyle w:val="968"/>
        <w:spacing w:line="360" w:lineRule="auto"/>
        <w:ind w:firstLine="480"/>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对杭州市滨江区范围内区管路灯照明设施的光源、灯具及配件、灯杆、支架、配电箱、地上（地下）管道、电线（电缆）、工作井、控制器、标识牌、附属设备等设施，进行日常维修、检测、更换、保洁、保养、油漆、设施巡查、防盗（看护、处理）、撞杆处理、应急保障（如防汛、抗台、抗雪、临时或重大任务保障）等处置，以保证路灯设施安全正常运行。</w:t>
      </w:r>
    </w:p>
    <w:p>
      <w:pPr>
        <w:pStyle w:val="968"/>
        <w:spacing w:line="360" w:lineRule="auto"/>
        <w:ind w:firstLine="480"/>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2、养护范围：杭州市滨江区范围内区管的城市道路路灯及附属设施。</w:t>
      </w:r>
    </w:p>
    <w:p>
      <w:pPr>
        <w:pStyle w:val="968"/>
        <w:spacing w:line="360" w:lineRule="auto"/>
        <w:ind w:firstLine="480"/>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3、养护数量：路灯暂估量为</w:t>
      </w:r>
      <w:r>
        <w:rPr>
          <w:rFonts w:hint="eastAsia" w:ascii="宋体" w:hAnsi="宋体" w:eastAsia="宋体" w:cs="宋体"/>
          <w:color w:val="000000"/>
          <w:kern w:val="0"/>
          <w:sz w:val="24"/>
          <w:szCs w:val="24"/>
          <w:u w:val="single"/>
          <w:lang w:val="en-US" w:eastAsia="zh-CN" w:bidi="ar-SA"/>
        </w:rPr>
        <w:t>27000</w:t>
      </w:r>
      <w:r>
        <w:rPr>
          <w:rFonts w:hint="eastAsia" w:ascii="宋体" w:hAnsi="宋体" w:eastAsia="宋体" w:cs="宋体"/>
          <w:color w:val="000000"/>
          <w:kern w:val="0"/>
          <w:sz w:val="24"/>
          <w:szCs w:val="24"/>
          <w:lang w:val="en-US" w:eastAsia="zh-CN" w:bidi="ar-SA"/>
        </w:rPr>
        <w:t>盏，以及路灯附属设施，具体数量根据实际普查结果动态调整。</w:t>
      </w:r>
    </w:p>
    <w:p>
      <w:pPr>
        <w:snapToGrid w:val="0"/>
        <w:spacing w:line="372" w:lineRule="auto"/>
        <w:ind w:firstLine="480" w:firstLineChars="200"/>
        <w:rPr>
          <w:rFonts w:ascii="宋体" w:hAnsi="Courier New" w:cs="宋体"/>
          <w:color w:val="000000"/>
          <w:sz w:val="24"/>
        </w:rPr>
      </w:pPr>
      <w:r>
        <w:rPr>
          <w:rFonts w:hint="eastAsia" w:hAnsi="宋体" w:cs="宋体"/>
          <w:color w:val="000000"/>
          <w:kern w:val="0"/>
          <w:sz w:val="24"/>
        </w:rPr>
        <w:t>4、</w:t>
      </w:r>
      <w:r>
        <w:rPr>
          <w:rFonts w:hint="eastAsia" w:ascii="宋体" w:hAnsi="宋体" w:cs="宋体"/>
          <w:color w:val="000000"/>
          <w:kern w:val="0"/>
          <w:sz w:val="24"/>
        </w:rPr>
        <w:t>质量标准</w:t>
      </w:r>
      <w:r>
        <w:rPr>
          <w:rFonts w:hint="eastAsia" w:hAnsi="宋体" w:cs="宋体"/>
          <w:color w:val="000000"/>
          <w:kern w:val="0"/>
          <w:sz w:val="24"/>
        </w:rPr>
        <w:t>：</w:t>
      </w:r>
      <w:r>
        <w:rPr>
          <w:rFonts w:hint="eastAsia" w:ascii="宋体" w:hAnsi="Courier New" w:cs="宋体"/>
          <w:color w:val="000000"/>
          <w:sz w:val="24"/>
        </w:rPr>
        <w:t>按照相关国家规范、标准执行。</w:t>
      </w:r>
    </w:p>
    <w:p>
      <w:pPr>
        <w:pStyle w:val="35"/>
        <w:snapToGrid w:val="0"/>
        <w:spacing w:line="372" w:lineRule="auto"/>
        <w:ind w:firstLine="480" w:firstLineChars="200"/>
        <w:outlineLvl w:val="0"/>
        <w:rPr>
          <w:rFonts w:cs="宋体"/>
          <w:color w:val="000000"/>
          <w:sz w:val="24"/>
          <w:szCs w:val="24"/>
        </w:rPr>
      </w:pPr>
      <w:r>
        <w:rPr>
          <w:rFonts w:hint="eastAsia" w:cs="宋体"/>
          <w:color w:val="000000"/>
          <w:sz w:val="24"/>
          <w:szCs w:val="24"/>
        </w:rPr>
        <w:t>5、服务期限：三年（具体以合同签订时间为准），合同一年一签，养护单位在合同服务期内年养护综合评分达到92分（含）以上的，采购人按有关程序与养护单位签订下一年度的养护合同。</w:t>
      </w:r>
    </w:p>
    <w:p>
      <w:pPr>
        <w:pStyle w:val="35"/>
        <w:snapToGrid w:val="0"/>
        <w:spacing w:line="372" w:lineRule="auto"/>
        <w:ind w:firstLine="480" w:firstLineChars="200"/>
        <w:outlineLvl w:val="0"/>
        <w:rPr>
          <w:rFonts w:cs="宋体"/>
          <w:color w:val="000000"/>
          <w:sz w:val="24"/>
          <w:szCs w:val="24"/>
        </w:rPr>
      </w:pPr>
      <w:r>
        <w:rPr>
          <w:rFonts w:hint="eastAsia" w:hAnsi="宋体" w:cs="宋体"/>
          <w:sz w:val="24"/>
          <w:szCs w:val="24"/>
        </w:rPr>
        <w:t>二、养护服务内容</w:t>
      </w:r>
    </w:p>
    <w:p>
      <w:pPr>
        <w:pStyle w:val="968"/>
        <w:spacing w:line="360" w:lineRule="auto"/>
        <w:ind w:firstLine="420"/>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1.运行与控制：对区管路灯及附属设施进行日常运行与控制。</w:t>
      </w:r>
    </w:p>
    <w:p>
      <w:pPr>
        <w:spacing w:line="360" w:lineRule="auto"/>
        <w:ind w:right="29" w:firstLine="480" w:firstLineChars="200"/>
        <w:rPr>
          <w:rFonts w:ascii="宋体" w:hAnsi="宋体" w:cs="宋体"/>
          <w:color w:val="000000"/>
          <w:kern w:val="0"/>
          <w:sz w:val="24"/>
          <w:highlight w:val="none"/>
        </w:rPr>
      </w:pPr>
      <w:r>
        <w:rPr>
          <w:rFonts w:hint="eastAsia" w:ascii="宋体" w:hAnsi="宋体" w:cs="宋体"/>
          <w:color w:val="000000"/>
          <w:kern w:val="0"/>
          <w:sz w:val="24"/>
        </w:rPr>
        <w:t>2.养护巡、检、修：道路功能照明灯具应每周至少巡检一次；架空线路每半年巡检一次；地埋电缆线路每年巡检一次；接地(或接零)装置每年在干燥季节巡检一次；独立的防雷装置应在每年的雷雨季节前巡检一次；漏电保护装置应每季巡检一次；集中控制装置、照明节电装置或其他智慧照明装置每半年巡检一次；中、高杆照明设施的卷扬机、钢丝绳、减速箱、导向滑轮等转动系统和控制系</w:t>
      </w:r>
      <w:r>
        <w:rPr>
          <w:rFonts w:hint="eastAsia" w:ascii="宋体" w:hAnsi="宋体" w:cs="宋体"/>
          <w:color w:val="000000"/>
          <w:kern w:val="0"/>
          <w:sz w:val="24"/>
          <w:highlight w:val="none"/>
        </w:rPr>
        <w:t>统应每年检修一次,并添加润滑油。设施被盜频发地段应安排防盜人员每天巡查；连续高温、台风、雷雨或冰雪等特殊自然灾害性气候，应按城市照明监管机构要求进行防火、防汛、防台、防雷、抗雪等专项检查，并增加巡检次数，必要时作临时断电处理；</w:t>
      </w:r>
      <w:r>
        <w:rPr>
          <w:rFonts w:hint="eastAsia" w:ascii="宋体" w:hAnsi="宋体" w:cs="宋体"/>
          <w:snapToGrid w:val="0"/>
          <w:color w:val="000000"/>
          <w:kern w:val="0"/>
          <w:sz w:val="24"/>
          <w:highlight w:val="none"/>
        </w:rPr>
        <w:t>做好照明设施的迁移、占用、改造等相关项目配合工作。</w:t>
      </w:r>
    </w:p>
    <w:p>
      <w:pPr>
        <w:spacing w:line="360" w:lineRule="auto"/>
        <w:ind w:right="29" w:firstLine="480" w:firstLineChars="200"/>
        <w:rPr>
          <w:rFonts w:ascii="宋体" w:hAnsi="宋体" w:cs="宋体"/>
          <w:color w:val="000000"/>
          <w:sz w:val="24"/>
          <w:highlight w:val="none"/>
        </w:rPr>
      </w:pPr>
      <w:r>
        <w:rPr>
          <w:rFonts w:hint="eastAsia" w:ascii="宋体" w:hAnsi="宋体" w:cs="宋体"/>
          <w:color w:val="000000"/>
          <w:sz w:val="24"/>
          <w:highlight w:val="none"/>
        </w:rPr>
        <w:t>巡查时需对存在问题的亮灯点位进行拍照、上报、留档记录。照片等影像资料需要有时间地点等水印。存在问题的亮灯点位整改后同样需要拍照留档，并将整改前后的对比照片按月度编制好后报采购人。每次巡检都需要留存巡检记录和影像资料，以备查验。</w:t>
      </w:r>
    </w:p>
    <w:p>
      <w:pPr>
        <w:pStyle w:val="968"/>
        <w:spacing w:line="360" w:lineRule="auto"/>
        <w:ind w:firstLine="420"/>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3.设施清洁、油漆：路灯设施每半年清洁一次；灯杆、灯架和配</w:t>
      </w:r>
      <w:r>
        <w:rPr>
          <w:rFonts w:hint="eastAsia" w:ascii="宋体" w:hAnsi="宋体" w:eastAsia="宋体" w:cs="宋体"/>
          <w:color w:val="000000"/>
          <w:kern w:val="0"/>
          <w:sz w:val="24"/>
          <w:szCs w:val="24"/>
          <w:lang w:val="en-US" w:eastAsia="zh-CN" w:bidi="ar-SA"/>
        </w:rPr>
        <w:t>电箱柜等锈蚀或油漆脱落面</w:t>
      </w:r>
      <w:r>
        <w:rPr>
          <w:rFonts w:hint="eastAsia" w:ascii="宋体" w:hAnsi="宋体" w:eastAsia="宋体" w:cs="宋体"/>
          <w:color w:val="000000"/>
          <w:kern w:val="0"/>
          <w:sz w:val="24"/>
          <w:szCs w:val="24"/>
          <w:highlight w:val="none"/>
          <w:lang w:val="en-US" w:eastAsia="zh-CN" w:bidi="ar-SA"/>
        </w:rPr>
        <w:t>积10%以内的补漆。</w:t>
      </w:r>
    </w:p>
    <w:p>
      <w:pPr>
        <w:spacing w:line="360" w:lineRule="auto"/>
        <w:ind w:right="29" w:firstLine="480" w:firstLineChars="200"/>
        <w:rPr>
          <w:rFonts w:ascii="宋体" w:hAnsi="宋体" w:cs="宋体"/>
          <w:color w:val="000000"/>
          <w:sz w:val="24"/>
          <w:highlight w:val="none"/>
        </w:rPr>
      </w:pPr>
      <w:r>
        <w:rPr>
          <w:rFonts w:hint="eastAsia" w:ascii="宋体" w:hAnsi="宋体" w:cs="宋体"/>
          <w:color w:val="000000"/>
          <w:kern w:val="0"/>
          <w:sz w:val="24"/>
          <w:highlight w:val="none"/>
        </w:rPr>
        <w:t>4.照明设施故障修复时间：单灯缺亮，1个工作日内修复；电线裸露、杆线吊挂、灯具脱落、灯杆倾斜、灯杆或门盖缺失、电缆井盖缺失等，应在1个小时内进行安全预措施，并在24小时内修复；发生大面积熄灯故障，24小时内修复；集中控制装置或其他智慧照明装置损坏，或控制时间、地点出现差错的，应在24小时内修复；因特殊情况可在规定时间内提出延期申请。如因养护单位未按照合同要求进行保养造成的损坏,由养护单位承担相应责任；</w:t>
      </w:r>
    </w:p>
    <w:p>
      <w:pPr>
        <w:spacing w:line="360" w:lineRule="auto"/>
        <w:ind w:right="29" w:firstLine="480" w:firstLineChars="200"/>
        <w:rPr>
          <w:rFonts w:ascii="宋体" w:hAnsi="宋体" w:cs="宋体"/>
          <w:color w:val="000000"/>
          <w:sz w:val="24"/>
          <w:highlight w:val="none"/>
        </w:rPr>
      </w:pPr>
      <w:r>
        <w:rPr>
          <w:rFonts w:hint="eastAsia" w:ascii="宋体" w:hAnsi="宋体" w:cs="宋体"/>
          <w:color w:val="000000"/>
          <w:kern w:val="0"/>
          <w:sz w:val="24"/>
          <w:highlight w:val="none"/>
        </w:rPr>
        <w:t>5.</w:t>
      </w:r>
      <w:r>
        <w:rPr>
          <w:rFonts w:hint="eastAsia" w:ascii="宋体" w:hAnsi="宋体" w:cs="宋体"/>
          <w:color w:val="000000"/>
          <w:sz w:val="24"/>
          <w:highlight w:val="none"/>
        </w:rPr>
        <w:t xml:space="preserve"> 遭遇非养护原因引起的意外事故（如雷击）或人为破坏造成的设施损坏，须立即采取应急抢修措施，避免养护范围内的所有设施遭受破坏，并做好赔偿、修复的调查工作。除不可抗力的自然环境因素外，因偷盗等人为因素导致的景观照明设施故障，养护单位应第一时间向采购人报告，必要时报警，并及时更换或维修故障设施，相关费用由供应商自行承担。</w:t>
      </w:r>
    </w:p>
    <w:p>
      <w:pPr>
        <w:pStyle w:val="968"/>
        <w:spacing w:line="360" w:lineRule="auto"/>
        <w:ind w:firstLine="420"/>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6.设施防腐处理：灯杆、灯架、吊线等受力受压件，以及依附其上的承重螺丝，和控制柜等附属设施，锈蚀深度不超过10%，其他非受力零部件，锈蚀深度不超过25%。锈蚀深度超过要求的零部件，应予以更换。</w:t>
      </w:r>
    </w:p>
    <w:p>
      <w:pPr>
        <w:pStyle w:val="968"/>
        <w:spacing w:line="360" w:lineRule="auto"/>
        <w:ind w:firstLine="420"/>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7.活动保障：对政府大型活动，外事等活动提供完善的保障方案和实施24小时值班制度，并确保设施完好率、亮灯率、整洁率达到100%。</w:t>
      </w:r>
    </w:p>
    <w:p>
      <w:pPr>
        <w:tabs>
          <w:tab w:val="left" w:pos="900"/>
        </w:tabs>
        <w:snapToGrid w:val="0"/>
        <w:spacing w:line="360" w:lineRule="auto"/>
        <w:ind w:firstLine="480" w:firstLineChars="200"/>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8.投标人应配合路灯专用箱变养护单位做好养护检测、应急抢修等保障工作</w:t>
      </w:r>
    </w:p>
    <w:p>
      <w:pPr>
        <w:tabs>
          <w:tab w:val="left" w:pos="900"/>
        </w:tabs>
        <w:snapToGrid w:val="0"/>
        <w:spacing w:line="360" w:lineRule="auto"/>
        <w:ind w:firstLine="480" w:firstLineChars="200"/>
        <w:rPr>
          <w:rFonts w:ascii="宋体" w:hAnsi="宋体" w:cs="宋体"/>
          <w:snapToGrid w:val="0"/>
          <w:color w:val="000000"/>
          <w:kern w:val="0"/>
          <w:sz w:val="24"/>
          <w:highlight w:val="none"/>
        </w:rPr>
      </w:pPr>
      <w:r>
        <w:rPr>
          <w:rFonts w:hint="eastAsia" w:ascii="宋体" w:hAnsi="宋体" w:cs="宋体"/>
          <w:sz w:val="24"/>
          <w:highlight w:val="none"/>
        </w:rPr>
        <w:t>三、养护质量标准和要求</w:t>
      </w:r>
    </w:p>
    <w:p>
      <w:pPr>
        <w:pStyle w:val="968"/>
        <w:spacing w:line="360" w:lineRule="auto"/>
        <w:ind w:firstLine="420"/>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1.养护质量标准：按照杭州市《城市照明设施养护维修服务标准》（DB3301/T 0165-2018）、《城市道路照明设计标准》（CJJ45-2015）、《城市道路照明工程施工及验收规程》（CJJ89-2012）及国家有关强制性标准的规定执行。</w:t>
      </w:r>
    </w:p>
    <w:p>
      <w:pPr>
        <w:spacing w:line="360" w:lineRule="auto"/>
        <w:ind w:firstLine="420"/>
        <w:rPr>
          <w:rFonts w:ascii="宋体" w:hAnsi="宋体" w:cs="宋体"/>
          <w:color w:val="000000"/>
          <w:kern w:val="0"/>
          <w:sz w:val="24"/>
          <w:highlight w:val="none"/>
        </w:rPr>
      </w:pPr>
      <w:r>
        <w:rPr>
          <w:rFonts w:hint="eastAsia" w:ascii="宋体" w:hAnsi="宋体" w:cs="宋体"/>
          <w:color w:val="000000"/>
          <w:kern w:val="0"/>
          <w:sz w:val="24"/>
          <w:highlight w:val="none"/>
        </w:rPr>
        <w:t>2.养护要求：照明亮灯率达到98%、设施完好率应达到98%，照明亮度、均匀度等技术性指标达到国家标准，重大活动等保障期间，按上级要求执行。</w:t>
      </w:r>
    </w:p>
    <w:p>
      <w:pPr>
        <w:spacing w:line="360" w:lineRule="auto"/>
        <w:ind w:firstLine="420"/>
        <w:rPr>
          <w:rFonts w:ascii="宋体" w:hAnsi="宋体" w:cs="宋体"/>
          <w:color w:val="000000"/>
          <w:kern w:val="0"/>
          <w:sz w:val="24"/>
          <w:highlight w:val="none"/>
        </w:rPr>
      </w:pPr>
      <w:r>
        <w:rPr>
          <w:rFonts w:hint="eastAsia" w:ascii="宋体" w:hAnsi="宋体" w:cs="宋体"/>
          <w:color w:val="000000"/>
          <w:kern w:val="0"/>
          <w:sz w:val="24"/>
          <w:highlight w:val="none"/>
        </w:rPr>
        <w:t>3.路灯设施的智能监控：投标人中标后需搭建智慧照明管理平台，对照明及其配套设备实现智能化监控。</w:t>
      </w:r>
      <w:r>
        <w:rPr>
          <w:rFonts w:hint="eastAsia" w:ascii="宋体" w:hAnsi="宋体" w:cs="宋体"/>
          <w:color w:val="000000"/>
          <w:sz w:val="24"/>
          <w:highlight w:val="none"/>
        </w:rPr>
        <w:t>设施量或者技术档案资料有变化时，应及时在智慧照明管理平台上进行更新。（新、改、扩建的道路照明设施验收合格并移交接管后，应在10个工作日内更新设施的基础资料。专项改造工程验收合格后，相关的照明设施基础资料更新应在5天内完成。）</w:t>
      </w:r>
    </w:p>
    <w:p>
      <w:pPr>
        <w:pStyle w:val="4"/>
        <w:ind w:left="0" w:firstLine="0"/>
        <w:rPr>
          <w:rFonts w:ascii="宋体" w:hAnsi="宋体" w:eastAsia="宋体" w:cs="宋体"/>
          <w:b w:val="0"/>
          <w:bCs w:val="0"/>
          <w:sz w:val="24"/>
          <w:szCs w:val="24"/>
          <w:highlight w:val="none"/>
        </w:rPr>
      </w:pPr>
      <w:r>
        <w:rPr>
          <w:rFonts w:hint="eastAsia" w:ascii="宋体" w:hAnsi="宋体" w:eastAsia="宋体" w:cs="宋体"/>
          <w:sz w:val="24"/>
          <w:szCs w:val="24"/>
          <w:highlight w:val="none"/>
          <w:lang w:val="en-US"/>
        </w:rPr>
        <w:t>四、</w:t>
      </w:r>
      <w:r>
        <w:rPr>
          <w:rFonts w:hint="eastAsia" w:ascii="宋体" w:hAnsi="宋体" w:eastAsia="宋体" w:cs="宋体"/>
          <w:sz w:val="24"/>
          <w:szCs w:val="24"/>
          <w:highlight w:val="none"/>
        </w:rPr>
        <w:t>养护期限</w:t>
      </w:r>
    </w:p>
    <w:p>
      <w:pPr>
        <w:spacing w:line="360" w:lineRule="auto"/>
        <w:ind w:firstLine="420"/>
        <w:rPr>
          <w:rFonts w:ascii="宋体" w:hAnsi="宋体" w:cs="宋体"/>
          <w:sz w:val="24"/>
          <w:highlight w:val="none"/>
        </w:rPr>
      </w:pPr>
      <w:r>
        <w:rPr>
          <w:rFonts w:hint="eastAsia" w:ascii="宋体" w:hAnsi="宋体" w:cs="宋体"/>
          <w:sz w:val="24"/>
          <w:highlight w:val="none"/>
        </w:rPr>
        <w:t>养护期三年，计划自2023年1月1日至2025年12月31日，养护交接期暂定为1个月。</w:t>
      </w:r>
    </w:p>
    <w:p>
      <w:pPr>
        <w:pStyle w:val="4"/>
        <w:ind w:left="0" w:firstLine="0"/>
        <w:rPr>
          <w:rFonts w:ascii="宋体" w:hAnsi="宋体" w:eastAsia="宋体" w:cs="宋体"/>
          <w:b w:val="0"/>
          <w:bCs w:val="0"/>
          <w:sz w:val="24"/>
          <w:szCs w:val="24"/>
          <w:highlight w:val="none"/>
        </w:rPr>
      </w:pPr>
      <w:r>
        <w:rPr>
          <w:rFonts w:hint="eastAsia" w:ascii="宋体" w:hAnsi="宋体" w:eastAsia="宋体" w:cs="宋体"/>
          <w:sz w:val="24"/>
          <w:szCs w:val="24"/>
          <w:highlight w:val="none"/>
          <w:lang w:val="en-US"/>
        </w:rPr>
        <w:t>五、</w:t>
      </w:r>
      <w:r>
        <w:rPr>
          <w:rFonts w:hint="eastAsia" w:ascii="宋体" w:hAnsi="宋体" w:eastAsia="宋体" w:cs="宋体"/>
          <w:sz w:val="24"/>
          <w:szCs w:val="24"/>
          <w:highlight w:val="none"/>
        </w:rPr>
        <w:t>养护服务人员要求</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▲1、人员配置：养护人员不少于</w:t>
      </w:r>
      <w:r>
        <w:rPr>
          <w:rFonts w:hint="eastAsia" w:ascii="宋体" w:hAnsi="宋体" w:cs="宋体"/>
          <w:sz w:val="24"/>
          <w:highlight w:val="none"/>
          <w:u w:val="single"/>
        </w:rPr>
        <w:t xml:space="preserve">15 </w:t>
      </w:r>
      <w:r>
        <w:rPr>
          <w:rFonts w:hint="eastAsia" w:ascii="宋体" w:hAnsi="宋体" w:cs="宋体"/>
          <w:sz w:val="24"/>
          <w:highlight w:val="none"/>
        </w:rPr>
        <w:t>人。其中：</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（1）项目负责人1名（具有机电工程或市政公用工程专业二级（含）以上注册建造师证书）；</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（2）技术负责人1名（具有机电工程或市政公用工程专业二级（含）以上注册建造师证书或中级以上职称）；</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（3）安全主管1名（具有有效的安全生产考核合格证书（C证））；</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（4）现场安全员不少于2名（具有有效的安全生产考核合格证书（C证））；</w:t>
      </w:r>
    </w:p>
    <w:p>
      <w:pPr>
        <w:spacing w:line="360" w:lineRule="auto"/>
        <w:ind w:right="29" w:firstLine="480" w:firstLineChars="200"/>
        <w:rPr>
          <w:rFonts w:ascii="宋体" w:hAnsi="宋体" w:cs="宋体"/>
          <w:color w:val="000000"/>
          <w:sz w:val="24"/>
          <w:highlight w:val="none"/>
        </w:rPr>
      </w:pPr>
      <w:r>
        <w:rPr>
          <w:rFonts w:hint="eastAsia" w:ascii="宋体" w:hAnsi="宋体" w:cs="宋体"/>
          <w:sz w:val="24"/>
          <w:highlight w:val="none"/>
        </w:rPr>
        <w:t>（5）</w:t>
      </w:r>
      <w:r>
        <w:rPr>
          <w:rFonts w:hint="eastAsia" w:ascii="宋体" w:hAnsi="宋体" w:cs="宋体"/>
          <w:color w:val="000000"/>
          <w:sz w:val="24"/>
          <w:highlight w:val="none"/>
        </w:rPr>
        <w:t>因该项目涉及高空带电作业，高处作业人员不少于2名（同时具有行业主管部门颁发的有效的高处作业证和电工证，要求作业类别为“高处作业”、高、低压或建筑电工作业）</w:t>
      </w:r>
      <w:r>
        <w:rPr>
          <w:rFonts w:hint="eastAsia" w:ascii="宋体" w:hAnsi="宋体" w:cs="宋体"/>
          <w:sz w:val="24"/>
          <w:highlight w:val="none"/>
        </w:rPr>
        <w:t>；</w:t>
      </w:r>
    </w:p>
    <w:p>
      <w:pPr>
        <w:spacing w:line="360" w:lineRule="auto"/>
        <w:ind w:right="29" w:firstLine="480" w:firstLineChars="200"/>
        <w:rPr>
          <w:rFonts w:ascii="宋体" w:hAnsi="宋体" w:cs="宋体"/>
          <w:color w:val="auto"/>
          <w:sz w:val="24"/>
          <w:highlight w:val="none"/>
        </w:rPr>
      </w:pPr>
      <w:r>
        <w:rPr>
          <w:rFonts w:hint="eastAsia" w:ascii="宋体" w:hAnsi="宋体" w:cs="宋体"/>
          <w:sz w:val="24"/>
          <w:highlight w:val="none"/>
        </w:rPr>
        <w:t>（6）电工不少于3名（具有行业</w:t>
      </w:r>
      <w:r>
        <w:rPr>
          <w:rFonts w:hint="eastAsia" w:ascii="宋体" w:hAnsi="宋体" w:cs="宋体"/>
          <w:color w:val="auto"/>
          <w:sz w:val="24"/>
          <w:highlight w:val="none"/>
        </w:rPr>
        <w:t>主管部门颁发的有效岗位证书，要求作业类别为电工作业且准操项目为高、低压或建筑电工作业，该项不得与高处作业人员重复）；</w:t>
      </w:r>
    </w:p>
    <w:p>
      <w:pPr>
        <w:spacing w:line="360" w:lineRule="auto"/>
        <w:ind w:right="29" w:firstLine="480" w:firstLineChars="200"/>
        <w:rPr>
          <w:rFonts w:ascii="宋体" w:hAnsi="宋体" w:cs="宋体"/>
          <w:color w:val="auto"/>
          <w:sz w:val="24"/>
          <w:highlight w:val="none"/>
        </w:rPr>
      </w:pPr>
      <w:r>
        <w:rPr>
          <w:rFonts w:hint="eastAsia" w:ascii="宋体" w:hAnsi="宋体" w:cs="宋体"/>
          <w:color w:val="auto"/>
          <w:sz w:val="24"/>
          <w:highlight w:val="none"/>
        </w:rPr>
        <w:t>（7）其他作业辅助人员（保修专线接线员等）不少于3名；</w:t>
      </w:r>
    </w:p>
    <w:p>
      <w:pPr>
        <w:spacing w:line="360" w:lineRule="auto"/>
        <w:ind w:right="29" w:firstLine="480" w:firstLineChars="200"/>
        <w:rPr>
          <w:rFonts w:ascii="宋体" w:hAnsi="宋体" w:cs="宋体"/>
          <w:color w:val="auto"/>
          <w:sz w:val="24"/>
          <w:highlight w:val="none"/>
        </w:rPr>
      </w:pPr>
      <w:r>
        <w:rPr>
          <w:rFonts w:hint="eastAsia" w:ascii="宋体" w:hAnsi="宋体" w:cs="宋体"/>
          <w:color w:val="auto"/>
          <w:sz w:val="24"/>
          <w:highlight w:val="none"/>
        </w:rPr>
        <w:t>（8）项目资料员、宣传专员不少于2名；</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注：以上所有人员需提供有效期内的相关证书复印件并加盖公章，且均须为投标人本单位在职人员，提供连续缴纳近6个月的社保证明。</w:t>
      </w:r>
    </w:p>
    <w:p>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2、供应商应配备胜任养护工作的专业作业人员参与养护服务工作，人员数量应符合本项目的实际需要。如供应商拟派的养护人员在本项目实施过程中，因素质、技术水平、服务质量、现场管理经验、采用的设备、文明安全生产等不符合采购文件的要求或与投标文件中的承诺不符，造成现场管理混乱、服务质</w:t>
      </w:r>
      <w:r>
        <w:rPr>
          <w:rFonts w:hint="eastAsia" w:ascii="宋体" w:hAnsi="宋体" w:cs="宋体"/>
          <w:sz w:val="24"/>
          <w:highlight w:val="none"/>
        </w:rPr>
        <w:t>量低劣时，采购人有权要求其重新调整充实专业服务人员，供应商必须接受，否则作违约处理，采购人可单方面终止合同。给采购人造成经济损失的，供应商还应予赔偿。</w:t>
      </w:r>
    </w:p>
    <w:p>
      <w:pPr>
        <w:spacing w:line="360" w:lineRule="auto"/>
        <w:ind w:firstLine="420"/>
        <w:rPr>
          <w:rFonts w:ascii="宋体" w:hAnsi="宋体" w:cs="宋体"/>
          <w:sz w:val="24"/>
          <w:highlight w:val="none"/>
        </w:rPr>
      </w:pPr>
      <w:r>
        <w:rPr>
          <w:rFonts w:hint="eastAsia" w:ascii="宋体" w:hAnsi="宋体" w:cs="宋体"/>
          <w:sz w:val="24"/>
          <w:highlight w:val="none"/>
        </w:rPr>
        <w:t>3、供应商应强化队伍的管理，建立上岗人员花名册，登记人员相关信息（身份证、暂住证、操作证），每年一次检查身体健康情况，相关信息在合同签订一个月内递交采购人备案；合同期间未经采购人批准禁止擅自更换养护人员。如有人员变更，需报采购人审批，通过审批且通知中标人后，变更人员应在24小时内到位，更换的人员的资历、工作经验、资质等不得低于原班组成员。</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 xml:space="preserve">4、照明启闭期间养护单位人员到岗率应达到50%以上，并上报每日巡查定位、巡查轨迹；重大活动或应急响应二级及以上人员到岗率应达到80%以上，并服从采购人统一安排、调配。 </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5、所有工作人员须确保在岗期间服装整齐、规范，养护作业时标识、标牌、围挡完整、统一，醺酒、**、生病及其他精神状态不佳者严禁养护作业。</w:t>
      </w:r>
    </w:p>
    <w:p>
      <w:pPr>
        <w:pStyle w:val="24"/>
        <w:rPr>
          <w:highlight w:val="none"/>
          <w:lang w:val="en-US"/>
        </w:rPr>
      </w:pPr>
      <w:r>
        <w:rPr>
          <w:rFonts w:hint="eastAsia" w:hAnsi="宋体" w:cs="宋体"/>
          <w:highlight w:val="none"/>
          <w:lang w:val="en-US"/>
        </w:rPr>
        <w:t>6、养护过程中所发生的安全责任，由中标人自行承担。</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b/>
          <w:bCs/>
          <w:sz w:val="24"/>
          <w:highlight w:val="none"/>
        </w:rPr>
        <w:t>、</w:t>
      </w:r>
      <w:r>
        <w:rPr>
          <w:rFonts w:hint="eastAsia" w:ascii="宋体" w:hAnsi="宋体"/>
          <w:b/>
          <w:bCs/>
          <w:color w:val="000000"/>
          <w:sz w:val="24"/>
          <w:highlight w:val="none"/>
        </w:rPr>
        <w:t>拟投入本项目所有的服务人员工资不得低于《杭州市人民政府关于调整市区最低工资标准的通知》（杭政函[2021]69号）规定的工资标准，必须落实职工劳保福利待遇。</w:t>
      </w:r>
      <w:r>
        <w:rPr>
          <w:rFonts w:hint="eastAsia" w:ascii="宋体" w:hAnsi="宋体" w:cs="宋体"/>
          <w:b/>
          <w:bCs/>
          <w:sz w:val="24"/>
          <w:highlight w:val="none"/>
          <w:lang w:val="zh-CN"/>
        </w:rPr>
        <w:t>必须</w:t>
      </w:r>
      <w:r>
        <w:rPr>
          <w:rFonts w:hint="eastAsia" w:ascii="宋体" w:hAnsi="宋体"/>
          <w:b/>
          <w:bCs/>
          <w:color w:val="000000"/>
          <w:sz w:val="24"/>
          <w:highlight w:val="none"/>
        </w:rPr>
        <w:t>保障职工休息休假权利（以上文件如有更新，以行业主管部门颁布的最新文件为准）</w:t>
      </w:r>
      <w:r>
        <w:rPr>
          <w:rFonts w:hint="eastAsia" w:ascii="宋体" w:hAnsi="宋体" w:cs="宋体"/>
          <w:b/>
          <w:bCs/>
          <w:sz w:val="24"/>
          <w:highlight w:val="none"/>
          <w:lang w:val="zh-CN"/>
        </w:rPr>
        <w:t>。供应商结合企业自身实力进行合理报价，还须考虑项目服务期内的人工工资根据最新的杭州市最低工资标准及时做出调整，但承包合同总价不作调整的因素（因人工费上涨引起费用增加的风险应考虑在投标总价内，采购人不另行支付)，否则评标委员可以认为低于成本价恶性竞争而判定为无效标。</w:t>
      </w:r>
    </w:p>
    <w:p>
      <w:pPr>
        <w:pStyle w:val="4"/>
        <w:ind w:left="0" w:firstLine="0"/>
        <w:rPr>
          <w:rFonts w:ascii="宋体" w:hAnsi="宋体" w:eastAsia="宋体" w:cs="宋体"/>
          <w:sz w:val="24"/>
          <w:szCs w:val="24"/>
          <w:highlight w:val="none"/>
        </w:rPr>
      </w:pPr>
      <w:r>
        <w:rPr>
          <w:rFonts w:hint="eastAsia" w:ascii="宋体" w:hAnsi="宋体" w:eastAsia="宋体" w:cs="宋体"/>
          <w:sz w:val="24"/>
          <w:szCs w:val="24"/>
          <w:highlight w:val="none"/>
          <w:lang w:val="en-US"/>
        </w:rPr>
        <w:t>六、</w:t>
      </w:r>
      <w:r>
        <w:rPr>
          <w:rFonts w:hint="eastAsia" w:ascii="宋体" w:hAnsi="宋体" w:eastAsia="宋体" w:cs="宋体"/>
          <w:sz w:val="24"/>
          <w:szCs w:val="24"/>
          <w:highlight w:val="none"/>
        </w:rPr>
        <w:t>养护服务设备要求</w:t>
      </w:r>
    </w:p>
    <w:p>
      <w:pPr>
        <w:pStyle w:val="35"/>
        <w:snapToGrid w:val="0"/>
        <w:spacing w:line="360" w:lineRule="auto"/>
        <w:ind w:firstLine="720" w:firstLineChars="300"/>
        <w:outlineLvl w:val="0"/>
        <w:rPr>
          <w:rFonts w:hAnsi="宋体" w:cs="宋体"/>
          <w:sz w:val="24"/>
          <w:szCs w:val="24"/>
          <w:highlight w:val="none"/>
        </w:rPr>
      </w:pPr>
      <w:r>
        <w:rPr>
          <w:rFonts w:hint="eastAsia" w:hAnsi="宋体" w:cs="宋体"/>
          <w:sz w:val="24"/>
          <w:szCs w:val="24"/>
          <w:highlight w:val="none"/>
        </w:rPr>
        <w:t>1、高空作业车（14米及以上）：不少于2辆。</w:t>
      </w:r>
    </w:p>
    <w:p>
      <w:pPr>
        <w:pStyle w:val="35"/>
        <w:snapToGrid w:val="0"/>
        <w:spacing w:line="360" w:lineRule="auto"/>
        <w:ind w:firstLine="720" w:firstLineChars="300"/>
        <w:outlineLvl w:val="0"/>
        <w:rPr>
          <w:rFonts w:hAnsi="宋体" w:cs="宋体"/>
          <w:sz w:val="24"/>
          <w:szCs w:val="24"/>
          <w:highlight w:val="none"/>
        </w:rPr>
      </w:pPr>
      <w:r>
        <w:rPr>
          <w:rFonts w:hint="eastAsia" w:hAnsi="宋体" w:cs="宋体"/>
          <w:sz w:val="24"/>
          <w:szCs w:val="24"/>
          <w:highlight w:val="none"/>
        </w:rPr>
        <w:t>2、巡查车：皮卡（车辆性质为救援抢险）不少于2辆，</w:t>
      </w:r>
    </w:p>
    <w:p>
      <w:pPr>
        <w:spacing w:line="360" w:lineRule="auto"/>
        <w:ind w:firstLine="420"/>
        <w:rPr>
          <w:rFonts w:ascii="宋体" w:hAnsi="宋体" w:cs="宋体"/>
          <w:b/>
          <w:bCs/>
          <w:sz w:val="24"/>
          <w:highlight w:val="none"/>
        </w:rPr>
      </w:pPr>
      <w:r>
        <w:rPr>
          <w:rFonts w:hint="eastAsia" w:ascii="宋体" w:hAnsi="宋体" w:cs="宋体"/>
          <w:b/>
          <w:bCs/>
          <w:sz w:val="24"/>
          <w:highlight w:val="none"/>
        </w:rPr>
        <w:t>注：投入本项目的保障车辆均需按采购人要求自行安装GPS定位系统，供采购方随时查看调取。</w:t>
      </w:r>
    </w:p>
    <w:p>
      <w:pPr>
        <w:pStyle w:val="35"/>
        <w:snapToGrid w:val="0"/>
        <w:spacing w:line="360" w:lineRule="auto"/>
        <w:outlineLvl w:val="0"/>
        <w:rPr>
          <w:rFonts w:hAnsi="宋体" w:cs="宋体"/>
          <w:b/>
          <w:bCs/>
          <w:sz w:val="24"/>
          <w:szCs w:val="24"/>
          <w:highlight w:val="none"/>
        </w:rPr>
      </w:pPr>
      <w:r>
        <w:rPr>
          <w:rFonts w:hint="eastAsia" w:hAnsi="宋体" w:cs="宋体"/>
          <w:b/>
          <w:bCs/>
          <w:sz w:val="24"/>
          <w:szCs w:val="24"/>
          <w:highlight w:val="none"/>
        </w:rPr>
        <w:t>七、其他相关要求：</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1、安全、文明作业</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1）养护人员须经过安全教育培训并按工种持证上岗，严格按规定穿戴工作服、绝缘鞋，安全帽、反光背心，佩戴工作证，严格遵守《电工操作规程》及有关安全规章制度进行维护和作业，巡查巡修须二人以上；维修抢修后做到工完料清、场净，无来电投诉等情况。中标人应对养护人员进行一年不少于二次的安全教育培训，并建立台帐。</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2）工程项目部应组织以安全法律法规、企业安全制度、施工现场安全管理规定及各工种安全技术操作规程为主要内容的三级安全教育培训和考核，严格执行特种作业安全生产相关规定，高处作业人员必须持证上岗，工程项目部每天要组织1～2次安全检查，对查出的安全隐患必须定措施、定时间、定人员整改，并做好安全隐患整改消项记录。</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3）现场养护人员必须正确穿戴安全防护用品，管理人员和工人所戴安全帽分色以示区别，作业操作时应穿软底鞋，不能穿拖鞋、硬底鞋以防滑倒；带病或身体不佳、情绪不稳定、恐高症者、精神病患者、酒后人员不许登高作业。6级以上强风、雷暴或其他恶劣气候条件下，禁止登高作业。</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（4）因投标人未履行安全生产职责，造成财物损失或人员伤亡的，由投标人自行承担全部责任。</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2、建立相应运行台帐</w:t>
      </w:r>
    </w:p>
    <w:p>
      <w:pPr>
        <w:spacing w:line="360" w:lineRule="auto"/>
        <w:ind w:right="29" w:firstLine="480" w:firstLineChars="200"/>
        <w:rPr>
          <w:rFonts w:hint="eastAsia" w:ascii="宋体" w:hAnsi="宋体" w:cs="宋体"/>
          <w:sz w:val="24"/>
          <w:highlight w:val="none"/>
        </w:rPr>
      </w:pPr>
      <w:r>
        <w:rPr>
          <w:rFonts w:hint="eastAsia" w:ascii="宋体" w:hAnsi="宋体" w:cs="宋体"/>
          <w:sz w:val="24"/>
          <w:highlight w:val="none"/>
        </w:rPr>
        <w:t>投标人每月制定台帐，定期或不定期的检查台帐、维修台帐，每季度形成该季度完整台帐交采购人审核。检查台帐反映每次检查时间、检查责任人、设备运行情况。维修台帐反映维修详细情况，台帐作为对维护工作的规定性考核内容。</w:t>
      </w:r>
    </w:p>
    <w:p>
      <w:pPr>
        <w:numPr>
          <w:ilvl w:val="0"/>
          <w:numId w:val="0"/>
        </w:numPr>
        <w:spacing w:line="360" w:lineRule="auto"/>
        <w:ind w:right="29" w:rightChars="0"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3、养护单位应有相应的安全生产管理制度及相应的安全生产应急预案，确保安全工作。</w:t>
      </w:r>
    </w:p>
    <w:p>
      <w:pPr>
        <w:numPr>
          <w:ilvl w:val="0"/>
          <w:numId w:val="0"/>
        </w:numPr>
        <w:spacing w:line="360" w:lineRule="auto"/>
        <w:ind w:right="29" w:rightChars="0"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4、养护单位应投保安全生产责任险及其他相关保险。</w:t>
      </w:r>
    </w:p>
    <w:p>
      <w:pPr>
        <w:spacing w:line="360" w:lineRule="auto"/>
        <w:ind w:right="29"/>
        <w:rPr>
          <w:rFonts w:ascii="宋体" w:hAnsi="宋体" w:cs="宋体"/>
          <w:b/>
          <w:bCs/>
          <w:sz w:val="24"/>
          <w:highlight w:val="none"/>
        </w:rPr>
      </w:pPr>
      <w:r>
        <w:rPr>
          <w:rFonts w:hint="eastAsia" w:ascii="宋体" w:hAnsi="宋体" w:cs="宋体"/>
          <w:b/>
          <w:bCs/>
          <w:sz w:val="24"/>
          <w:highlight w:val="none"/>
        </w:rPr>
        <w:t>八、验收移交：</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1、在合同期满前10个工作日内，由养护单位书面向采购人提出移交验收申请。</w:t>
      </w:r>
    </w:p>
    <w:p>
      <w:pPr>
        <w:spacing w:line="360" w:lineRule="auto"/>
        <w:ind w:right="29" w:firstLine="480" w:firstLineChars="200"/>
        <w:rPr>
          <w:rFonts w:ascii="宋体" w:hAnsi="宋体" w:cs="宋体"/>
          <w:sz w:val="24"/>
          <w:highlight w:val="none"/>
        </w:rPr>
      </w:pPr>
      <w:r>
        <w:rPr>
          <w:rFonts w:hint="eastAsia" w:ascii="宋体" w:hAnsi="宋体" w:cs="宋体"/>
          <w:sz w:val="24"/>
          <w:highlight w:val="none"/>
        </w:rPr>
        <w:t>2、养护单位必须将全部养护工作的档案、资料及时移交给采购人，交接好有关事宜。</w:t>
      </w:r>
    </w:p>
    <w:p>
      <w:pPr>
        <w:spacing w:line="360" w:lineRule="auto"/>
        <w:ind w:right="29" w:firstLine="480" w:firstLineChars="200"/>
        <w:rPr>
          <w:rFonts w:ascii="宋体" w:hAnsi="宋体" w:cs="宋体"/>
          <w:sz w:val="24"/>
        </w:rPr>
      </w:pPr>
      <w:r>
        <w:rPr>
          <w:rFonts w:hint="eastAsia" w:ascii="宋体" w:hAnsi="宋体" w:cs="宋体"/>
          <w:sz w:val="24"/>
        </w:rPr>
        <w:t>3、采购人应组织验收小组对整个照明设施进行最终验收，照明设施的原有数量、型号、规格应保持不变，照明设施应保持完好状态。否则采购人有权依情直接从履约保证金中得到补偿。</w:t>
      </w:r>
    </w:p>
    <w:p>
      <w:pPr>
        <w:spacing w:line="360" w:lineRule="auto"/>
        <w:ind w:right="29"/>
        <w:jc w:val="left"/>
        <w:rPr>
          <w:rFonts w:ascii="宋体" w:hAnsi="宋体" w:cs="宋体"/>
          <w:b/>
          <w:bCs/>
          <w:sz w:val="24"/>
        </w:rPr>
      </w:pPr>
      <w:r>
        <w:rPr>
          <w:rFonts w:hint="eastAsia" w:ascii="宋体" w:hAnsi="宋体" w:cs="宋体"/>
          <w:b/>
          <w:bCs/>
          <w:sz w:val="24"/>
        </w:rPr>
        <w:t>九、售后服务保障</w:t>
      </w:r>
    </w:p>
    <w:p>
      <w:pPr>
        <w:spacing w:line="360" w:lineRule="auto"/>
        <w:ind w:right="29" w:firstLine="480" w:firstLineChars="200"/>
        <w:rPr>
          <w:rFonts w:ascii="宋体" w:hAnsi="宋体" w:cs="宋体"/>
          <w:sz w:val="24"/>
        </w:rPr>
      </w:pPr>
      <w:r>
        <w:rPr>
          <w:rFonts w:hint="eastAsia" w:ascii="宋体" w:hAnsi="宋体" w:cs="宋体"/>
          <w:sz w:val="24"/>
        </w:rPr>
        <w:t>1、突发事故及时处理</w:t>
      </w:r>
    </w:p>
    <w:p>
      <w:pPr>
        <w:spacing w:line="360" w:lineRule="auto"/>
        <w:ind w:right="29" w:firstLine="480" w:firstLineChars="200"/>
        <w:rPr>
          <w:rFonts w:ascii="宋体" w:hAnsi="宋体" w:cs="宋体"/>
          <w:sz w:val="24"/>
        </w:rPr>
      </w:pPr>
      <w:r>
        <w:rPr>
          <w:rFonts w:hint="eastAsia" w:ascii="宋体" w:hAnsi="宋体" w:cs="宋体"/>
          <w:sz w:val="24"/>
        </w:rPr>
        <w:t>（1）照明设施发生故障的，应在接到故障通知后10分钟响应30分钟内赶到现场。应急修复不超过24小时；表箱故障修复不超过2小时；线路故障修复不超过24小时。灯具、电源故障修复不超过24小时，修复后及时予以反馈。</w:t>
      </w:r>
    </w:p>
    <w:p>
      <w:pPr>
        <w:spacing w:line="360" w:lineRule="auto"/>
        <w:ind w:right="29" w:firstLine="480" w:firstLineChars="200"/>
        <w:rPr>
          <w:rFonts w:ascii="宋体" w:hAnsi="宋体" w:cs="宋体"/>
          <w:sz w:val="24"/>
        </w:rPr>
      </w:pPr>
      <w:r>
        <w:rPr>
          <w:rFonts w:hint="eastAsia" w:ascii="宋体" w:hAnsi="宋体" w:cs="宋体"/>
          <w:sz w:val="24"/>
        </w:rPr>
        <w:t>（2）照明设施人为损坏或被盗，灯光设施脱落悬挂有危险隐患的，应在30分钟内赶到现场处理，采取必要的安全措施，并及时向公安机关报案，将报案回执单交采购人备案。</w:t>
      </w:r>
    </w:p>
    <w:p>
      <w:pPr>
        <w:spacing w:line="360" w:lineRule="auto"/>
        <w:ind w:right="29" w:firstLine="480" w:firstLineChars="200"/>
        <w:rPr>
          <w:rFonts w:ascii="宋体" w:hAnsi="宋体" w:cs="宋体"/>
          <w:sz w:val="24"/>
        </w:rPr>
      </w:pPr>
      <w:r>
        <w:rPr>
          <w:rFonts w:hint="eastAsia" w:ascii="宋体" w:hAnsi="宋体" w:cs="宋体"/>
          <w:sz w:val="24"/>
        </w:rPr>
        <w:t>（3）电缆偷盗问题48小时内修复，高架、快速路设施故障在72小时内修复。</w:t>
      </w:r>
    </w:p>
    <w:p>
      <w:pPr>
        <w:spacing w:line="360" w:lineRule="auto"/>
        <w:ind w:right="29" w:firstLine="480" w:firstLineChars="200"/>
        <w:rPr>
          <w:rFonts w:ascii="宋体" w:hAnsi="宋体" w:cs="宋体"/>
          <w:sz w:val="24"/>
        </w:rPr>
      </w:pPr>
      <w:r>
        <w:rPr>
          <w:rFonts w:hint="eastAsia" w:ascii="宋体" w:hAnsi="宋体" w:cs="宋体"/>
          <w:sz w:val="24"/>
        </w:rPr>
        <w:t>2、大型活动及灾害性天气保障有力</w:t>
      </w:r>
    </w:p>
    <w:p>
      <w:pPr>
        <w:spacing w:line="360" w:lineRule="auto"/>
        <w:ind w:right="29" w:firstLine="480" w:firstLineChars="200"/>
        <w:rPr>
          <w:rFonts w:ascii="宋体" w:hAnsi="宋体" w:cs="宋体"/>
          <w:sz w:val="24"/>
        </w:rPr>
      </w:pPr>
      <w:r>
        <w:rPr>
          <w:rFonts w:hint="eastAsia" w:ascii="宋体" w:hAnsi="宋体" w:cs="宋体"/>
          <w:sz w:val="24"/>
        </w:rPr>
        <w:t>（1）中标人应做好各类外事接待、节庆活动的亮灯保障，活动前采购人通知养护单位检查养护区域内设施，及时查、修复各类故障，亮灯率和设施完好率达到考核指标。</w:t>
      </w:r>
    </w:p>
    <w:p>
      <w:pPr>
        <w:pStyle w:val="35"/>
        <w:snapToGrid w:val="0"/>
        <w:spacing w:line="360" w:lineRule="auto"/>
        <w:jc w:val="left"/>
        <w:outlineLvl w:val="0"/>
        <w:rPr>
          <w:rFonts w:hAnsi="宋体" w:cs="宋体"/>
          <w:b/>
          <w:bCs/>
          <w:sz w:val="24"/>
          <w:szCs w:val="24"/>
        </w:rPr>
      </w:pPr>
      <w:r>
        <w:rPr>
          <w:rFonts w:hint="eastAsia" w:hAnsi="宋体" w:cs="宋体"/>
          <w:b/>
          <w:bCs/>
          <w:sz w:val="24"/>
          <w:szCs w:val="24"/>
        </w:rPr>
        <w:t>十、供应商报价：</w:t>
      </w:r>
    </w:p>
    <w:p>
      <w:pPr>
        <w:spacing w:line="360" w:lineRule="auto"/>
        <w:ind w:firstLine="480" w:firstLineChars="200"/>
        <w:rPr>
          <w:rFonts w:ascii="宋体" w:hAnsi="宋体" w:cs="宋体"/>
          <w:bCs/>
          <w:sz w:val="24"/>
        </w:rPr>
      </w:pPr>
      <w:r>
        <w:rPr>
          <w:rFonts w:hint="eastAsia" w:hAnsi="宋体" w:cs="宋体"/>
          <w:sz w:val="24"/>
        </w:rPr>
        <w:t>1、本项目报综合单价，</w:t>
      </w:r>
      <w:r>
        <w:rPr>
          <w:rFonts w:hint="eastAsia" w:ascii="宋体" w:hAnsi="宋体" w:cs="宋体"/>
          <w:color w:val="000000"/>
          <w:kern w:val="0"/>
          <w:sz w:val="24"/>
          <w:lang w:val="zh-CN"/>
        </w:rPr>
        <w:t>综合单价包含养护单盏路灯所需所有费用，包括但不限于人工费（包括人员工资、预计加班费用、社会保障费用、高温费等）、突发性及应急保障方面所发生的服务费、由于重大活动引起服务频次增加的费用、所需工具耗材费、综合管理费和税金、其他项目费等供应商认为完成本项目所需的一切费用，</w:t>
      </w:r>
      <w:r>
        <w:rPr>
          <w:rFonts w:hint="eastAsia" w:ascii="宋体" w:hAnsi="宋体" w:cs="宋体"/>
          <w:bCs/>
          <w:sz w:val="24"/>
        </w:rPr>
        <w:t>投标人结合项目情况及自身实力及市场行情进行合理报价。</w:t>
      </w:r>
    </w:p>
    <w:p>
      <w:pPr>
        <w:pStyle w:val="35"/>
        <w:snapToGrid w:val="0"/>
        <w:spacing w:line="360" w:lineRule="auto"/>
        <w:ind w:firstLine="480" w:firstLineChars="200"/>
        <w:outlineLvl w:val="0"/>
        <w:rPr>
          <w:rFonts w:hAnsi="宋体" w:cs="宋体"/>
          <w:sz w:val="24"/>
          <w:szCs w:val="24"/>
        </w:rPr>
      </w:pPr>
      <w:r>
        <w:rPr>
          <w:rFonts w:hint="eastAsia" w:hAnsi="宋体" w:cs="宋体"/>
          <w:sz w:val="24"/>
          <w:szCs w:val="24"/>
        </w:rPr>
        <w:t>2、养护期内除不可抗力的自然环境因素外，其它因人为因素、偷盗等原因导致的照明设施缺损，均由投标人负责及时更换或维修，并承担相关费用，该费用由投标人自行考虑,该报价纳入投标报价中。中标后，原灯具存在偷盗或人为造成不亮均由中标人负责维修和更换，相关费用计入投标报价中。</w:t>
      </w:r>
    </w:p>
    <w:p>
      <w:pPr>
        <w:pStyle w:val="35"/>
        <w:snapToGrid w:val="0"/>
        <w:spacing w:line="360" w:lineRule="auto"/>
        <w:ind w:firstLine="480" w:firstLineChars="200"/>
        <w:outlineLvl w:val="0"/>
        <w:rPr>
          <w:rFonts w:hAnsi="宋体" w:cs="宋体"/>
          <w:sz w:val="24"/>
          <w:szCs w:val="24"/>
        </w:rPr>
      </w:pPr>
      <w:r>
        <w:rPr>
          <w:rFonts w:hint="eastAsia" w:hAnsi="宋体" w:cs="宋体"/>
          <w:sz w:val="24"/>
          <w:szCs w:val="24"/>
        </w:rPr>
        <w:t>3、在养护过程中，对无法使用的灯具、光源、电器，更换时材料、元器件品牌的选择应与原使用品牌相同。对无法采购到的光源、电器，经采购人同意后可采用不低于同类光源、电器标准的其它品牌，相关费用计入投标总价中。</w:t>
      </w:r>
    </w:p>
    <w:p>
      <w:pPr>
        <w:pStyle w:val="35"/>
        <w:snapToGrid w:val="0"/>
        <w:spacing w:line="360" w:lineRule="auto"/>
        <w:ind w:firstLine="480" w:firstLineChars="200"/>
        <w:outlineLvl w:val="0"/>
        <w:rPr>
          <w:rFonts w:hAnsi="宋体" w:cs="宋体"/>
          <w:sz w:val="24"/>
          <w:szCs w:val="24"/>
        </w:rPr>
      </w:pPr>
      <w:r>
        <w:rPr>
          <w:rFonts w:hint="eastAsia" w:hAnsi="宋体" w:cs="宋体"/>
          <w:sz w:val="24"/>
          <w:szCs w:val="24"/>
        </w:rPr>
        <w:t>4、养护期内产生的各种费用（材料、运输、装卸、堆放、场地租用费及有关规费，风险费用等）应全面考虑并列入报价中。</w:t>
      </w:r>
    </w:p>
    <w:p>
      <w:pPr>
        <w:pStyle w:val="35"/>
        <w:snapToGrid w:val="0"/>
        <w:spacing w:line="360" w:lineRule="auto"/>
        <w:outlineLvl w:val="0"/>
        <w:rPr>
          <w:rFonts w:hAnsi="宋体" w:cs="宋体"/>
          <w:sz w:val="24"/>
          <w:szCs w:val="24"/>
          <w:highlight w:val="none"/>
        </w:rPr>
      </w:pPr>
      <w:r>
        <w:rPr>
          <w:rFonts w:hint="eastAsia" w:hAnsi="宋体" w:cs="宋体"/>
          <w:b/>
          <w:bCs/>
          <w:sz w:val="24"/>
          <w:szCs w:val="24"/>
          <w:highlight w:val="none"/>
        </w:rPr>
        <w:t>十一、履约保证金：</w:t>
      </w:r>
      <w:r>
        <w:rPr>
          <w:rFonts w:hint="eastAsia" w:hAnsi="宋体" w:cs="宋体"/>
          <w:sz w:val="24"/>
          <w:szCs w:val="24"/>
          <w:highlight w:val="none"/>
        </w:rPr>
        <w:t>养护单位在签定合同时向采购人交纳中标总额1%的履约保证金，履约保证金形式：银行转账、</w:t>
      </w:r>
      <w:r>
        <w:rPr>
          <w:rFonts w:hint="eastAsia" w:hAnsi="宋体" w:cs="宋体"/>
          <w:kern w:val="0"/>
          <w:sz w:val="24"/>
          <w:highlight w:val="none"/>
        </w:rPr>
        <w:t>支票、汇票、本票或者金融机构、担保机构出具的保函等，</w:t>
      </w:r>
      <w:r>
        <w:rPr>
          <w:rFonts w:hint="eastAsia" w:hAnsi="宋体" w:cs="宋体"/>
          <w:sz w:val="24"/>
          <w:szCs w:val="24"/>
          <w:highlight w:val="none"/>
        </w:rPr>
        <w:t>在服务期满后，采购人全额无息退还，养护单位需开具正规收据。</w:t>
      </w:r>
    </w:p>
    <w:p>
      <w:pPr>
        <w:pStyle w:val="25"/>
        <w:rPr>
          <w:rFonts w:ascii="宋体" w:hAnsi="宋体" w:cs="宋体"/>
          <w:b/>
          <w:bCs/>
          <w:sz w:val="24"/>
        </w:rPr>
      </w:pPr>
    </w:p>
    <w:p>
      <w:pPr>
        <w:rPr>
          <w:rFonts w:ascii="宋体" w:hAnsi="宋体" w:cs="宋体"/>
          <w:b/>
          <w:bCs/>
          <w:sz w:val="24"/>
        </w:rPr>
      </w:pPr>
    </w:p>
    <w:p>
      <w:pPr>
        <w:pStyle w:val="2"/>
        <w:rPr>
          <w:rFonts w:ascii="宋体" w:hAnsi="宋体" w:eastAsia="宋体" w:cs="宋体"/>
          <w:sz w:val="24"/>
          <w:szCs w:val="24"/>
          <w:lang w:val="en-US"/>
        </w:rPr>
      </w:pPr>
    </w:p>
    <w:p>
      <w:pPr>
        <w:rPr>
          <w:rFonts w:ascii="宋体" w:hAnsi="宋体" w:cs="宋体"/>
          <w:b/>
          <w:bCs/>
          <w:sz w:val="24"/>
        </w:rPr>
      </w:pPr>
    </w:p>
    <w:p>
      <w:pPr>
        <w:pStyle w:val="35"/>
        <w:snapToGrid w:val="0"/>
        <w:jc w:val="center"/>
        <w:outlineLvl w:val="0"/>
        <w:rPr>
          <w:rFonts w:hint="eastAsia" w:hAnsi="宋体" w:cs="宋体"/>
          <w:b/>
          <w:sz w:val="36"/>
          <w:szCs w:val="36"/>
        </w:rPr>
      </w:pPr>
    </w:p>
    <w:p>
      <w:pPr>
        <w:pStyle w:val="35"/>
        <w:snapToGrid w:val="0"/>
        <w:jc w:val="center"/>
        <w:outlineLvl w:val="0"/>
        <w:rPr>
          <w:rFonts w:hint="eastAsia" w:hAnsi="宋体" w:cs="宋体"/>
          <w:b/>
          <w:sz w:val="36"/>
          <w:szCs w:val="36"/>
        </w:rPr>
      </w:pPr>
    </w:p>
    <w:p>
      <w:pPr>
        <w:pStyle w:val="35"/>
        <w:snapToGrid w:val="0"/>
        <w:jc w:val="center"/>
        <w:outlineLvl w:val="0"/>
        <w:rPr>
          <w:rFonts w:hAnsi="宋体" w:cs="宋体"/>
          <w:b/>
          <w:sz w:val="36"/>
          <w:szCs w:val="36"/>
        </w:rPr>
      </w:pPr>
      <w:r>
        <w:rPr>
          <w:rFonts w:hint="eastAsia" w:hAnsi="宋体" w:cs="宋体"/>
          <w:b/>
          <w:sz w:val="36"/>
          <w:szCs w:val="36"/>
        </w:rPr>
        <w:t>第四部分   评标办法</w:t>
      </w:r>
    </w:p>
    <w:p>
      <w:pPr>
        <w:pStyle w:val="35"/>
        <w:snapToGrid w:val="0"/>
        <w:jc w:val="center"/>
        <w:outlineLvl w:val="0"/>
        <w:rPr>
          <w:rFonts w:hAnsi="宋体" w:cs="宋体"/>
          <w:b/>
          <w:sz w:val="32"/>
          <w:szCs w:val="32"/>
        </w:rPr>
      </w:pPr>
      <w:r>
        <w:rPr>
          <w:rFonts w:hint="eastAsia" w:hAnsi="宋体" w:cs="宋体"/>
          <w:b/>
          <w:sz w:val="32"/>
          <w:szCs w:val="32"/>
        </w:rPr>
        <w:t>评标办法前附表</w:t>
      </w:r>
    </w:p>
    <w:p>
      <w:pPr>
        <w:pStyle w:val="35"/>
        <w:snapToGrid w:val="0"/>
        <w:jc w:val="center"/>
        <w:outlineLvl w:val="0"/>
        <w:rPr>
          <w:rFonts w:hAnsi="宋体" w:cs="宋体"/>
          <w:b/>
          <w:sz w:val="32"/>
          <w:szCs w:val="32"/>
        </w:rPr>
      </w:pPr>
    </w:p>
    <w:tbl>
      <w:tblPr>
        <w:tblStyle w:val="63"/>
        <w:tblW w:w="10335"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303"/>
        <w:gridCol w:w="5755"/>
        <w:gridCol w:w="91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67" w:type="dxa"/>
            <w:noWrap w:val="0"/>
            <w:vAlign w:val="center"/>
          </w:tcPr>
          <w:p>
            <w:pPr>
              <w:spacing w:line="360" w:lineRule="auto"/>
              <w:jc w:val="center"/>
              <w:outlineLvl w:val="0"/>
              <w:rPr>
                <w:rFonts w:ascii="宋体" w:hAnsi="宋体" w:cs="宋体"/>
                <w:b/>
                <w:szCs w:val="21"/>
              </w:rPr>
            </w:pPr>
            <w:r>
              <w:rPr>
                <w:rFonts w:hint="eastAsia" w:ascii="宋体" w:hAnsi="宋体" w:cs="宋体"/>
                <w:b/>
                <w:szCs w:val="21"/>
              </w:rPr>
              <w:t>序号</w:t>
            </w:r>
          </w:p>
        </w:tc>
        <w:tc>
          <w:tcPr>
            <w:tcW w:w="1303" w:type="dxa"/>
            <w:noWrap w:val="0"/>
            <w:vAlign w:val="center"/>
          </w:tcPr>
          <w:p>
            <w:pPr>
              <w:spacing w:line="360" w:lineRule="auto"/>
              <w:jc w:val="center"/>
              <w:outlineLvl w:val="0"/>
              <w:rPr>
                <w:rFonts w:ascii="宋体" w:hAnsi="宋体" w:cs="宋体"/>
                <w:b/>
                <w:szCs w:val="21"/>
              </w:rPr>
            </w:pPr>
            <w:r>
              <w:rPr>
                <w:rFonts w:hint="eastAsia" w:ascii="宋体" w:hAnsi="宋体" w:cs="宋体"/>
                <w:b/>
                <w:szCs w:val="21"/>
              </w:rPr>
              <w:t>评审内容</w:t>
            </w:r>
          </w:p>
        </w:tc>
        <w:tc>
          <w:tcPr>
            <w:tcW w:w="5755" w:type="dxa"/>
            <w:noWrap w:val="0"/>
            <w:vAlign w:val="center"/>
          </w:tcPr>
          <w:p>
            <w:pPr>
              <w:spacing w:line="360" w:lineRule="auto"/>
              <w:jc w:val="center"/>
              <w:outlineLvl w:val="0"/>
              <w:rPr>
                <w:rFonts w:ascii="宋体" w:hAnsi="宋体" w:cs="宋体"/>
                <w:b/>
                <w:szCs w:val="21"/>
              </w:rPr>
            </w:pPr>
            <w:r>
              <w:rPr>
                <w:rFonts w:hint="eastAsia" w:ascii="宋体" w:hAnsi="宋体" w:cs="宋体"/>
                <w:b/>
                <w:szCs w:val="21"/>
              </w:rPr>
              <w:t>评分标准与细则</w:t>
            </w:r>
          </w:p>
        </w:tc>
        <w:tc>
          <w:tcPr>
            <w:tcW w:w="915" w:type="dxa"/>
            <w:noWrap w:val="0"/>
            <w:vAlign w:val="center"/>
          </w:tcPr>
          <w:p>
            <w:pPr>
              <w:spacing w:line="360" w:lineRule="auto"/>
              <w:jc w:val="center"/>
              <w:outlineLvl w:val="0"/>
              <w:rPr>
                <w:rFonts w:ascii="宋体" w:hAnsi="宋体" w:cs="宋体"/>
                <w:b/>
                <w:szCs w:val="21"/>
              </w:rPr>
            </w:pPr>
            <w:r>
              <w:rPr>
                <w:rFonts w:hint="eastAsia" w:ascii="宋体" w:hAnsi="宋体" w:cs="宋体"/>
                <w:b/>
                <w:szCs w:val="21"/>
              </w:rPr>
              <w:t>权重</w:t>
            </w:r>
          </w:p>
        </w:tc>
        <w:tc>
          <w:tcPr>
            <w:tcW w:w="1695" w:type="dxa"/>
            <w:noWrap w:val="0"/>
            <w:vAlign w:val="center"/>
          </w:tcPr>
          <w:p>
            <w:pPr>
              <w:spacing w:line="360" w:lineRule="auto"/>
              <w:jc w:val="center"/>
              <w:outlineLvl w:val="0"/>
              <w:rPr>
                <w:rFonts w:ascii="宋体" w:hAnsi="宋体" w:cs="宋体"/>
                <w:b/>
                <w:szCs w:val="21"/>
              </w:rPr>
            </w:pPr>
            <w:r>
              <w:rPr>
                <w:rFonts w:hint="eastAsia" w:ascii="宋体" w:hAnsi="宋体" w:cs="宋体"/>
                <w:b/>
                <w:szCs w:val="21"/>
              </w:rPr>
              <w:t>投标文件中评标标准相应的商务技术资料目录</w:t>
            </w:r>
            <w:r>
              <w:rPr>
                <w:rFonts w:hint="eastAsia" w:ascii="宋体" w:hAnsi="宋体" w:cs="宋体"/>
                <w:b/>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335" w:type="dxa"/>
            <w:gridSpan w:val="5"/>
            <w:noWrap w:val="0"/>
            <w:vAlign w:val="center"/>
          </w:tcPr>
          <w:p>
            <w:pPr>
              <w:pStyle w:val="35"/>
              <w:snapToGrid w:val="0"/>
              <w:spacing w:line="360" w:lineRule="auto"/>
              <w:outlineLvl w:val="0"/>
              <w:rPr>
                <w:rFonts w:hAnsi="宋体" w:cs="宋体"/>
                <w:b/>
              </w:rPr>
            </w:pPr>
            <w:r>
              <w:rPr>
                <w:rFonts w:hint="eastAsia" w:hAnsi="宋体" w:cs="宋体"/>
                <w:b/>
              </w:rPr>
              <w:t>一、技术、商务资信评审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1</w:t>
            </w:r>
          </w:p>
        </w:tc>
        <w:tc>
          <w:tcPr>
            <w:tcW w:w="1303" w:type="dxa"/>
            <w:noWrap w:val="0"/>
            <w:vAlign w:val="center"/>
          </w:tcPr>
          <w:p>
            <w:pPr>
              <w:pStyle w:val="45"/>
              <w:spacing w:line="360" w:lineRule="auto"/>
              <w:jc w:val="center"/>
              <w:rPr>
                <w:rFonts w:ascii="宋体" w:hAnsi="宋体" w:cs="宋体"/>
                <w:color w:val="auto"/>
                <w:szCs w:val="21"/>
              </w:rPr>
            </w:pPr>
            <w:r>
              <w:rPr>
                <w:rFonts w:hint="eastAsia" w:ascii="宋体" w:hAnsi="宋体" w:cs="宋体"/>
                <w:bCs/>
                <w:color w:val="auto"/>
                <w:szCs w:val="21"/>
              </w:rPr>
              <w:t>管理体系</w:t>
            </w:r>
          </w:p>
        </w:tc>
        <w:tc>
          <w:tcPr>
            <w:tcW w:w="5755" w:type="dxa"/>
            <w:noWrap w:val="0"/>
            <w:vAlign w:val="center"/>
          </w:tcPr>
          <w:p>
            <w:pPr>
              <w:spacing w:line="360" w:lineRule="auto"/>
              <w:jc w:val="left"/>
              <w:outlineLvl w:val="0"/>
              <w:rPr>
                <w:rFonts w:ascii="宋体" w:hAnsi="宋体" w:cs="宋体"/>
                <w:color w:val="auto"/>
                <w:szCs w:val="21"/>
              </w:rPr>
            </w:pPr>
            <w:r>
              <w:rPr>
                <w:rFonts w:hint="eastAsia" w:ascii="宋体" w:hAnsi="宋体" w:cs="宋体"/>
                <w:color w:val="auto"/>
                <w:szCs w:val="21"/>
              </w:rPr>
              <w:t>投标人具有有效期内的质量管理体系认证证书、环境管理体系认证证书、职业健康体系认证证书，1项得1分，本项最高得3分。（证明材料：有效期内的证书复印件）</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3分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2</w:t>
            </w:r>
          </w:p>
        </w:tc>
        <w:tc>
          <w:tcPr>
            <w:tcW w:w="1303" w:type="dxa"/>
            <w:noWrap w:val="0"/>
            <w:vAlign w:val="center"/>
          </w:tcPr>
          <w:p>
            <w:pPr>
              <w:spacing w:line="360" w:lineRule="auto"/>
              <w:jc w:val="center"/>
              <w:rPr>
                <w:rFonts w:ascii="宋体" w:hAnsi="宋体" w:cs="宋体"/>
                <w:color w:val="auto"/>
                <w:szCs w:val="21"/>
              </w:rPr>
            </w:pPr>
            <w:r>
              <w:rPr>
                <w:rFonts w:hint="eastAsia" w:ascii="宋体" w:hAnsi="宋体" w:cs="宋体"/>
                <w:color w:val="auto"/>
                <w:kern w:val="0"/>
                <w:szCs w:val="21"/>
                <w:lang w:val="zh-CN"/>
              </w:rPr>
              <w:t>类似业绩</w:t>
            </w:r>
          </w:p>
        </w:tc>
        <w:tc>
          <w:tcPr>
            <w:tcW w:w="5755" w:type="dxa"/>
            <w:noWrap w:val="0"/>
            <w:vAlign w:val="center"/>
          </w:tcPr>
          <w:p>
            <w:pPr>
              <w:spacing w:line="360" w:lineRule="auto"/>
              <w:jc w:val="left"/>
              <w:outlineLvl w:val="0"/>
              <w:rPr>
                <w:rFonts w:ascii="宋体" w:hAnsi="宋体" w:cs="宋体"/>
                <w:color w:val="auto"/>
                <w:szCs w:val="21"/>
              </w:rPr>
            </w:pPr>
            <w:r>
              <w:rPr>
                <w:rFonts w:hint="eastAsia" w:ascii="宋体" w:hAnsi="宋体" w:cs="宋体"/>
                <w:color w:val="auto"/>
                <w:kern w:val="0"/>
                <w:szCs w:val="21"/>
              </w:rPr>
              <w:t>投标人自2019年1月1日起承担过类似路灯养护业绩，1个得0.5分，最高得1分。（证明材料：路灯养护合同复印件加盖公章）。</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1分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noWrap w:val="0"/>
            <w:vAlign w:val="center"/>
          </w:tcPr>
          <w:p>
            <w:pPr>
              <w:spacing w:line="360" w:lineRule="auto"/>
              <w:jc w:val="center"/>
              <w:outlineLvl w:val="0"/>
              <w:rPr>
                <w:rFonts w:ascii="宋体" w:hAnsi="宋体" w:cs="宋体"/>
                <w:szCs w:val="21"/>
              </w:rPr>
            </w:pPr>
            <w:r>
              <w:rPr>
                <w:rFonts w:hint="eastAsia" w:ascii="宋体" w:hAnsi="宋体" w:cs="宋体"/>
                <w:szCs w:val="21"/>
              </w:rPr>
              <w:t>3</w:t>
            </w:r>
          </w:p>
        </w:tc>
        <w:tc>
          <w:tcPr>
            <w:tcW w:w="1303" w:type="dxa"/>
            <w:vMerge w:val="restart"/>
            <w:noWrap w:val="0"/>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养护方案及技术措施</w:t>
            </w:r>
          </w:p>
        </w:tc>
        <w:tc>
          <w:tcPr>
            <w:tcW w:w="5755" w:type="dxa"/>
            <w:noWrap w:val="0"/>
            <w:vAlign w:val="center"/>
          </w:tcPr>
          <w:p>
            <w:pPr>
              <w:spacing w:line="360" w:lineRule="auto"/>
              <w:jc w:val="left"/>
              <w:outlineLvl w:val="0"/>
              <w:rPr>
                <w:rFonts w:ascii="宋体" w:hAnsi="宋体" w:cs="宋体"/>
                <w:color w:val="auto"/>
                <w:kern w:val="0"/>
                <w:szCs w:val="21"/>
              </w:rPr>
            </w:pPr>
            <w:r>
              <w:rPr>
                <w:rFonts w:hint="eastAsia" w:ascii="宋体" w:hAnsi="宋体" w:cs="宋体"/>
                <w:bCs/>
                <w:color w:val="auto"/>
                <w:szCs w:val="21"/>
              </w:rPr>
              <w:t>（1）养护管理工作总体思路及方案：阐述养护管理工作总体思路及方案，方案详细且有针对性的得3分，不够完善的得1分，未提此项内容的不得分。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3分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auto"/>
                <w:kern w:val="0"/>
                <w:szCs w:val="21"/>
              </w:rPr>
            </w:pPr>
          </w:p>
        </w:tc>
        <w:tc>
          <w:tcPr>
            <w:tcW w:w="5755" w:type="dxa"/>
            <w:noWrap w:val="0"/>
            <w:vAlign w:val="center"/>
          </w:tcPr>
          <w:p>
            <w:pPr>
              <w:spacing w:line="360" w:lineRule="auto"/>
              <w:jc w:val="left"/>
              <w:outlineLvl w:val="0"/>
              <w:rPr>
                <w:rFonts w:ascii="宋体" w:hAnsi="宋体" w:cs="宋体"/>
                <w:bCs/>
                <w:color w:val="auto"/>
                <w:szCs w:val="21"/>
              </w:rPr>
            </w:pPr>
            <w:r>
              <w:rPr>
                <w:rFonts w:hint="eastAsia" w:ascii="宋体" w:hAnsi="宋体" w:cs="宋体"/>
                <w:bCs/>
                <w:color w:val="auto"/>
                <w:szCs w:val="21"/>
              </w:rPr>
              <w:t>（2）重点分析养护内容的现状及针对性的解决方案，方案详细且有针对性的得4分，不够完善的得2分，未提此项内容的不得分。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4分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000000"/>
                <w:kern w:val="0"/>
                <w:szCs w:val="21"/>
              </w:rPr>
            </w:pPr>
          </w:p>
        </w:tc>
        <w:tc>
          <w:tcPr>
            <w:tcW w:w="5755" w:type="dxa"/>
            <w:noWrap w:val="0"/>
            <w:vAlign w:val="center"/>
          </w:tcPr>
          <w:p>
            <w:pPr>
              <w:spacing w:line="360" w:lineRule="auto"/>
              <w:jc w:val="left"/>
              <w:outlineLvl w:val="0"/>
              <w:rPr>
                <w:rFonts w:ascii="宋体" w:hAnsi="宋体" w:cs="宋体"/>
                <w:bCs/>
                <w:color w:val="000000"/>
                <w:szCs w:val="21"/>
                <w:lang w:val="zh-CN"/>
              </w:rPr>
            </w:pPr>
            <w:r>
              <w:rPr>
                <w:rFonts w:hint="eastAsia" w:ascii="宋体" w:hAnsi="宋体" w:cs="宋体"/>
                <w:bCs/>
                <w:color w:val="000000"/>
                <w:szCs w:val="21"/>
                <w:lang w:val="zh-CN"/>
              </w:rPr>
              <w:t>（</w:t>
            </w:r>
            <w:r>
              <w:rPr>
                <w:rFonts w:hint="eastAsia" w:ascii="宋体" w:hAnsi="宋体" w:cs="宋体"/>
                <w:bCs/>
                <w:color w:val="000000"/>
                <w:szCs w:val="21"/>
              </w:rPr>
              <w:t>3</w:t>
            </w:r>
            <w:r>
              <w:rPr>
                <w:rFonts w:hint="eastAsia" w:ascii="宋体" w:hAnsi="宋体" w:cs="宋体"/>
                <w:bCs/>
                <w:color w:val="000000"/>
                <w:szCs w:val="21"/>
                <w:lang w:val="zh-CN"/>
              </w:rPr>
              <w:t>）养护管理工作具体措施：</w:t>
            </w:r>
          </w:p>
          <w:p>
            <w:pPr>
              <w:spacing w:line="360" w:lineRule="auto"/>
              <w:jc w:val="left"/>
              <w:outlineLvl w:val="0"/>
              <w:rPr>
                <w:rFonts w:ascii="宋体" w:hAnsi="宋体" w:cs="宋体"/>
                <w:bCs/>
                <w:color w:val="000000"/>
                <w:szCs w:val="21"/>
              </w:rPr>
            </w:pPr>
            <w:r>
              <w:rPr>
                <w:rFonts w:hint="eastAsia" w:ascii="宋体" w:hAnsi="宋体" w:cs="宋体"/>
                <w:bCs/>
                <w:color w:val="000000"/>
                <w:szCs w:val="21"/>
              </w:rPr>
              <w:t>①</w:t>
            </w:r>
            <w:r>
              <w:rPr>
                <w:rFonts w:hint="eastAsia" w:ascii="宋体" w:hAnsi="宋体" w:cs="宋体"/>
                <w:bCs/>
                <w:color w:val="000000"/>
                <w:szCs w:val="21"/>
                <w:lang w:val="zh-CN"/>
              </w:rPr>
              <w:t>是否有详细、突出重点、有针对性的养护措施，</w:t>
            </w:r>
            <w:r>
              <w:rPr>
                <w:rFonts w:hint="eastAsia" w:ascii="宋体" w:hAnsi="宋体" w:cs="宋体"/>
                <w:bCs/>
                <w:color w:val="000000"/>
                <w:szCs w:val="21"/>
              </w:rPr>
              <w:t>方案详细且有针对性的得5分，不够完善的得3分，内容简单且不够合理的得1分，未提此项内容的不得分。</w:t>
            </w:r>
          </w:p>
          <w:p>
            <w:pPr>
              <w:spacing w:line="360" w:lineRule="auto"/>
              <w:jc w:val="left"/>
              <w:outlineLvl w:val="0"/>
              <w:rPr>
                <w:rFonts w:ascii="宋体" w:hAnsi="宋体" w:cs="宋体"/>
                <w:bCs/>
                <w:color w:val="000000"/>
                <w:szCs w:val="21"/>
                <w:lang w:val="zh-CN"/>
              </w:rPr>
            </w:pPr>
            <w:r>
              <w:rPr>
                <w:rFonts w:hint="eastAsia" w:ascii="宋体" w:hAnsi="宋体" w:cs="宋体"/>
                <w:bCs/>
                <w:color w:val="000000"/>
                <w:szCs w:val="21"/>
              </w:rPr>
              <w:t>②</w:t>
            </w:r>
            <w:r>
              <w:rPr>
                <w:rFonts w:hint="eastAsia" w:ascii="宋体" w:hAnsi="宋体" w:cs="宋体"/>
                <w:bCs/>
                <w:color w:val="000000"/>
                <w:szCs w:val="21"/>
                <w:lang w:val="zh-CN"/>
              </w:rPr>
              <w:t>是否对各类养护问题采用不同的养护维修工艺或处理方法，</w:t>
            </w:r>
            <w:r>
              <w:rPr>
                <w:rFonts w:hint="eastAsia" w:ascii="宋体" w:hAnsi="宋体" w:cs="宋体"/>
                <w:bCs/>
                <w:color w:val="000000"/>
                <w:szCs w:val="21"/>
              </w:rPr>
              <w:t>方案详细且有针对性的得5分，不够完善的得3分，内容简单且不够合理的得1分，未提此项内容的不得分。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10分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000000"/>
                <w:kern w:val="0"/>
                <w:szCs w:val="21"/>
              </w:rPr>
            </w:pPr>
          </w:p>
        </w:tc>
        <w:tc>
          <w:tcPr>
            <w:tcW w:w="5755" w:type="dxa"/>
            <w:noWrap w:val="0"/>
            <w:vAlign w:val="center"/>
          </w:tcPr>
          <w:p>
            <w:pPr>
              <w:spacing w:line="360" w:lineRule="auto"/>
              <w:jc w:val="left"/>
              <w:outlineLvl w:val="0"/>
              <w:rPr>
                <w:rFonts w:ascii="宋体" w:hAnsi="宋体" w:cs="宋体"/>
                <w:color w:val="000000"/>
                <w:kern w:val="0"/>
                <w:szCs w:val="21"/>
              </w:rPr>
            </w:pPr>
            <w:r>
              <w:rPr>
                <w:rFonts w:hint="eastAsia" w:ascii="宋体" w:hAnsi="宋体" w:cs="宋体"/>
                <w:color w:val="000000"/>
                <w:kern w:val="0"/>
                <w:szCs w:val="21"/>
              </w:rPr>
              <w:t>（4）重大活动亮灯保障任务的专项方案。</w:t>
            </w:r>
          </w:p>
          <w:p>
            <w:pPr>
              <w:spacing w:line="360" w:lineRule="auto"/>
              <w:jc w:val="left"/>
              <w:outlineLvl w:val="0"/>
              <w:rPr>
                <w:rFonts w:ascii="宋体" w:hAnsi="宋体" w:cs="宋体"/>
                <w:color w:val="000000"/>
                <w:kern w:val="0"/>
                <w:szCs w:val="21"/>
              </w:rPr>
            </w:pPr>
            <w:r>
              <w:rPr>
                <w:rFonts w:hint="eastAsia" w:ascii="宋体" w:hAnsi="宋体" w:cs="宋体"/>
                <w:bCs/>
                <w:color w:val="000000"/>
                <w:szCs w:val="21"/>
              </w:rPr>
              <w:t>①</w:t>
            </w:r>
            <w:r>
              <w:rPr>
                <w:rFonts w:hint="eastAsia" w:ascii="宋体" w:hAnsi="宋体" w:cs="宋体"/>
                <w:color w:val="000000"/>
                <w:kern w:val="0"/>
                <w:szCs w:val="21"/>
              </w:rPr>
              <w:t>保障措施科学、合理，可行得5分；内容有所欠缺的得3分；</w:t>
            </w:r>
            <w:r>
              <w:rPr>
                <w:rFonts w:hint="eastAsia" w:ascii="宋体" w:hAnsi="宋体" w:cs="宋体"/>
                <w:bCs/>
                <w:color w:val="000000"/>
                <w:szCs w:val="21"/>
              </w:rPr>
              <w:t>内容简单且不够合理的得1分，未提此项内容的不得分</w:t>
            </w:r>
            <w:r>
              <w:rPr>
                <w:rFonts w:hint="eastAsia" w:ascii="宋体" w:hAnsi="宋体" w:cs="宋体"/>
                <w:color w:val="000000"/>
                <w:kern w:val="0"/>
                <w:szCs w:val="21"/>
              </w:rPr>
              <w:t>。</w:t>
            </w:r>
            <w:r>
              <w:rPr>
                <w:rFonts w:hint="eastAsia" w:ascii="宋体" w:hAnsi="宋体" w:cs="宋体"/>
                <w:bCs/>
                <w:color w:val="000000"/>
                <w:szCs w:val="21"/>
              </w:rPr>
              <w:t>②投标人每提供一份重大国际会议、赛事或活动保障服务荣誉证书的得0.5分，本项最高得1分。（证明材料：荣誉证书复印件）</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6分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outlineLvl w:val="0"/>
              <w:rPr>
                <w:rFonts w:ascii="宋体" w:hAnsi="宋体" w:cs="宋体"/>
                <w:szCs w:val="21"/>
              </w:rPr>
            </w:pPr>
          </w:p>
        </w:tc>
        <w:tc>
          <w:tcPr>
            <w:tcW w:w="5755" w:type="dxa"/>
            <w:noWrap w:val="0"/>
            <w:vAlign w:val="center"/>
          </w:tcPr>
          <w:p>
            <w:pPr>
              <w:spacing w:line="360" w:lineRule="auto"/>
              <w:jc w:val="left"/>
              <w:outlineLvl w:val="0"/>
              <w:rPr>
                <w:szCs w:val="21"/>
              </w:rPr>
            </w:pPr>
            <w:r>
              <w:rPr>
                <w:rFonts w:hint="eastAsia"/>
                <w:szCs w:val="21"/>
                <w:lang w:val="zh-CN"/>
              </w:rPr>
              <w:t>（</w:t>
            </w:r>
            <w:r>
              <w:rPr>
                <w:rFonts w:hint="eastAsia"/>
                <w:szCs w:val="21"/>
              </w:rPr>
              <w:t>5</w:t>
            </w:r>
            <w:r>
              <w:rPr>
                <w:rFonts w:hint="eastAsia"/>
                <w:szCs w:val="21"/>
                <w:lang w:val="zh-CN"/>
              </w:rPr>
              <w:t>）日常巡查方案：是否有详细健全的定期</w:t>
            </w:r>
            <w:r>
              <w:rPr>
                <w:rFonts w:hint="eastAsia" w:ascii="宋体" w:hAnsi="宋体" w:cs="宋体"/>
                <w:color w:val="000000"/>
                <w:kern w:val="0"/>
                <w:szCs w:val="21"/>
              </w:rPr>
              <w:t>巡检制度和运行情况报告制度</w:t>
            </w:r>
            <w:r>
              <w:rPr>
                <w:rFonts w:hint="eastAsia"/>
                <w:szCs w:val="21"/>
                <w:lang w:val="zh-CN"/>
              </w:rPr>
              <w:t>，能否确保定期全覆盖巡查到位，及时发现各类问题并处理。</w:t>
            </w:r>
            <w:r>
              <w:rPr>
                <w:rFonts w:hint="eastAsia" w:ascii="宋体" w:hAnsi="宋体" w:cs="宋体"/>
                <w:color w:val="000000"/>
                <w:kern w:val="0"/>
                <w:szCs w:val="21"/>
              </w:rPr>
              <w:t>确保照明设施安全正常运行，亮灯率达到98%。</w:t>
            </w:r>
            <w:r>
              <w:rPr>
                <w:rFonts w:hint="eastAsia"/>
                <w:szCs w:val="21"/>
              </w:rPr>
              <w:t>方案详细且有贴合实际的得5分，</w:t>
            </w:r>
            <w:r>
              <w:rPr>
                <w:rFonts w:hint="eastAsia" w:ascii="宋体" w:hAnsi="宋体" w:cs="宋体"/>
                <w:bCs/>
                <w:color w:val="000000"/>
                <w:szCs w:val="21"/>
              </w:rPr>
              <w:t>不够完善的得3分，内容简单且不够合理的得1分，未提此项内容的不得分。</w:t>
            </w:r>
          </w:p>
        </w:tc>
        <w:tc>
          <w:tcPr>
            <w:tcW w:w="915" w:type="dxa"/>
            <w:noWrap w:val="0"/>
            <w:vAlign w:val="center"/>
          </w:tcPr>
          <w:p>
            <w:pPr>
              <w:widowControl/>
              <w:spacing w:line="360" w:lineRule="auto"/>
              <w:jc w:val="center"/>
              <w:rPr>
                <w:rFonts w:ascii="宋体" w:hAnsi="宋体" w:cs="宋体"/>
                <w:bCs/>
                <w:szCs w:val="21"/>
              </w:rPr>
            </w:pPr>
            <w:r>
              <w:rPr>
                <w:rFonts w:hint="eastAsia" w:ascii="宋体" w:hAnsi="宋体" w:cs="宋体"/>
                <w:bCs/>
                <w:szCs w:val="21"/>
              </w:rPr>
              <w:t>5分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000000"/>
                <w:kern w:val="0"/>
                <w:szCs w:val="21"/>
              </w:rPr>
            </w:pPr>
          </w:p>
        </w:tc>
        <w:tc>
          <w:tcPr>
            <w:tcW w:w="5755" w:type="dxa"/>
            <w:noWrap w:val="0"/>
            <w:vAlign w:val="center"/>
          </w:tcPr>
          <w:p>
            <w:pPr>
              <w:spacing w:line="360" w:lineRule="auto"/>
              <w:jc w:val="left"/>
              <w:outlineLvl w:val="0"/>
            </w:pPr>
            <w:r>
              <w:rPr>
                <w:rFonts w:hint="eastAsia"/>
              </w:rPr>
              <w:t>（6）突发事件、自然灾害处理保障应急方案</w:t>
            </w:r>
            <w:r>
              <w:rPr>
                <w:rFonts w:hint="eastAsia"/>
              </w:rPr>
              <w:br w:type="textWrapping"/>
            </w:r>
            <w:r>
              <w:rPr>
                <w:rFonts w:hint="eastAsia"/>
              </w:rPr>
              <w:t>方案对可能遇到的问题及其应对措施的考虑情况，在服务期间巡检、故障处理的组织和联系机制，从合理性、有效性，方案科学、可靠且贴合实际等四个方面进行阐述，每个方面详细且有针对性的得1分,内容有所欠缺的每项得0.5分，不提供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4分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000000"/>
                <w:kern w:val="0"/>
                <w:szCs w:val="21"/>
                <w:lang w:val="zh-CN"/>
              </w:rPr>
            </w:pPr>
          </w:p>
        </w:tc>
        <w:tc>
          <w:tcPr>
            <w:tcW w:w="5755" w:type="dxa"/>
            <w:noWrap w:val="0"/>
            <w:vAlign w:val="center"/>
          </w:tcPr>
          <w:p>
            <w:pPr>
              <w:spacing w:line="360" w:lineRule="auto"/>
              <w:jc w:val="left"/>
              <w:outlineLvl w:val="0"/>
              <w:rPr>
                <w:rFonts w:ascii="宋体" w:hAnsi="宋体" w:cs="宋体"/>
                <w:szCs w:val="21"/>
                <w:highlight w:val="none"/>
              </w:rPr>
            </w:pPr>
            <w:r>
              <w:rPr>
                <w:rFonts w:hint="eastAsia" w:ascii="宋体" w:hAnsi="宋体" w:cs="宋体"/>
                <w:color w:val="000000"/>
                <w:kern w:val="0"/>
                <w:szCs w:val="21"/>
                <w:highlight w:val="none"/>
              </w:rPr>
              <w:t>（7）7*24小时受理报修服务值班方案。方案科学、合理、完善得</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分；内容有所欠缺的得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w:t>
            </w:r>
            <w:r>
              <w:rPr>
                <w:rFonts w:hint="eastAsia" w:ascii="宋体" w:hAnsi="宋体" w:cs="宋体"/>
                <w:bCs/>
                <w:color w:val="000000"/>
                <w:szCs w:val="21"/>
                <w:highlight w:val="none"/>
              </w:rPr>
              <w:t>内容简单且不够合理的得1分，未提此项内容的不得分。</w:t>
            </w:r>
          </w:p>
        </w:tc>
        <w:tc>
          <w:tcPr>
            <w:tcW w:w="915" w:type="dxa"/>
            <w:noWrap w:val="0"/>
            <w:vAlign w:val="center"/>
          </w:tcPr>
          <w:p>
            <w:pPr>
              <w:spacing w:line="360" w:lineRule="auto"/>
              <w:jc w:val="center"/>
              <w:outlineLvl w:val="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000000"/>
                <w:kern w:val="0"/>
                <w:szCs w:val="21"/>
                <w:lang w:val="zh-CN"/>
              </w:rPr>
            </w:pPr>
          </w:p>
        </w:tc>
        <w:tc>
          <w:tcPr>
            <w:tcW w:w="5755" w:type="dxa"/>
            <w:noWrap w:val="0"/>
            <w:vAlign w:val="center"/>
          </w:tcPr>
          <w:p>
            <w:pPr>
              <w:spacing w:line="360" w:lineRule="auto"/>
              <w:jc w:val="left"/>
              <w:outlineLvl w:val="0"/>
              <w:rPr>
                <w:rFonts w:ascii="宋体" w:hAnsi="宋体" w:cs="宋体"/>
                <w:color w:val="000000"/>
                <w:kern w:val="0"/>
                <w:szCs w:val="21"/>
              </w:rPr>
            </w:pPr>
            <w:r>
              <w:rPr>
                <w:rFonts w:hint="eastAsia" w:ascii="宋体" w:hAnsi="宋体" w:cs="宋体"/>
                <w:color w:val="000000"/>
                <w:kern w:val="0"/>
                <w:szCs w:val="21"/>
              </w:rPr>
              <w:t>（8）处理数字城管、12345、市民来电等工单的方案。</w:t>
            </w:r>
          </w:p>
          <w:p>
            <w:pPr>
              <w:spacing w:line="360" w:lineRule="auto"/>
              <w:jc w:val="left"/>
              <w:outlineLvl w:val="0"/>
              <w:rPr>
                <w:rFonts w:ascii="宋体" w:hAnsi="宋体" w:cs="宋体"/>
                <w:szCs w:val="21"/>
              </w:rPr>
            </w:pPr>
            <w:r>
              <w:rPr>
                <w:rFonts w:hint="eastAsia" w:ascii="宋体" w:hAnsi="宋体" w:cs="宋体"/>
                <w:color w:val="000000"/>
                <w:kern w:val="0"/>
                <w:szCs w:val="21"/>
              </w:rPr>
              <w:t>方案可行且高效得4分；内容有所欠缺的得2分；</w:t>
            </w:r>
            <w:r>
              <w:rPr>
                <w:rFonts w:hint="eastAsia" w:ascii="宋体" w:hAnsi="宋体" w:cs="宋体"/>
                <w:bCs/>
                <w:color w:val="000000"/>
                <w:szCs w:val="21"/>
              </w:rPr>
              <w:t>未提此项内容的不得分。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4分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000000"/>
                <w:kern w:val="0"/>
                <w:szCs w:val="21"/>
                <w:lang w:val="zh-CN"/>
              </w:rPr>
            </w:pPr>
          </w:p>
        </w:tc>
        <w:tc>
          <w:tcPr>
            <w:tcW w:w="5755" w:type="dxa"/>
            <w:noWrap w:val="0"/>
            <w:vAlign w:val="center"/>
          </w:tcPr>
          <w:p>
            <w:pPr>
              <w:spacing w:line="360" w:lineRule="auto"/>
              <w:jc w:val="left"/>
              <w:outlineLvl w:val="0"/>
              <w:rPr>
                <w:rFonts w:ascii="宋体" w:hAnsi="宋体" w:cs="宋体"/>
                <w:szCs w:val="21"/>
                <w:lang w:val="zh-CN"/>
              </w:rPr>
            </w:pPr>
            <w:r>
              <w:rPr>
                <w:rFonts w:hint="eastAsia" w:ascii="宋体" w:hAnsi="宋体" w:cs="宋体"/>
                <w:color w:val="000000"/>
                <w:kern w:val="0"/>
                <w:szCs w:val="21"/>
              </w:rPr>
              <w:t>（9）</w:t>
            </w:r>
            <w:r>
              <w:rPr>
                <w:rFonts w:hint="eastAsia" w:ascii="宋体" w:hAnsi="宋体" w:cs="宋体"/>
                <w:bCs/>
                <w:color w:val="000000"/>
                <w:szCs w:val="21"/>
                <w:lang w:val="zh-CN"/>
              </w:rPr>
              <w:t>安全文明养护：保障照明设施项目安全保证体系和安全管理制度，文明养护管理措施，环境保护相关措施。</w:t>
            </w:r>
            <w:r>
              <w:rPr>
                <w:rFonts w:hint="eastAsia" w:ascii="宋体" w:hAnsi="宋体" w:cs="宋体"/>
                <w:color w:val="000000"/>
                <w:kern w:val="0"/>
                <w:szCs w:val="21"/>
              </w:rPr>
              <w:t>方案科学、合理、完善得5分；内容有所欠缺的得3分；</w:t>
            </w:r>
            <w:r>
              <w:rPr>
                <w:rFonts w:hint="eastAsia" w:ascii="宋体" w:hAnsi="宋体" w:cs="宋体"/>
                <w:bCs/>
                <w:color w:val="000000"/>
                <w:szCs w:val="21"/>
              </w:rPr>
              <w:t>内容简单且不够合理的得1分，未提此项内容的不得分。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5分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000000"/>
                <w:kern w:val="0"/>
                <w:szCs w:val="21"/>
                <w:lang w:val="zh-CN"/>
              </w:rPr>
            </w:pPr>
          </w:p>
        </w:tc>
        <w:tc>
          <w:tcPr>
            <w:tcW w:w="5755" w:type="dxa"/>
            <w:noWrap w:val="0"/>
            <w:vAlign w:val="center"/>
          </w:tcPr>
          <w:p>
            <w:pPr>
              <w:spacing w:line="360" w:lineRule="auto"/>
              <w:jc w:val="left"/>
              <w:outlineLvl w:val="0"/>
              <w:rPr>
                <w:rFonts w:ascii="宋体" w:hAnsi="宋体" w:cs="宋体"/>
                <w:szCs w:val="21"/>
                <w:highlight w:val="none"/>
                <w:lang w:val="zh-CN"/>
              </w:rPr>
            </w:pPr>
            <w:r>
              <w:rPr>
                <w:rFonts w:hint="eastAsia" w:ascii="宋体" w:hAnsi="宋体" w:cs="宋体"/>
                <w:color w:val="000000"/>
                <w:kern w:val="0"/>
                <w:szCs w:val="21"/>
                <w:highlight w:val="none"/>
              </w:rPr>
              <w:t>（10）</w:t>
            </w:r>
            <w:r>
              <w:rPr>
                <w:rFonts w:hint="eastAsia" w:ascii="宋体" w:hAnsi="宋体" w:cs="宋体"/>
                <w:bCs/>
                <w:color w:val="000000"/>
                <w:szCs w:val="21"/>
                <w:highlight w:val="none"/>
                <w:lang w:val="zh-CN"/>
              </w:rPr>
              <w:t>有完善的档案管理、台账整理制度，日常养护、维修、检测、技术状况评价等资料的整理归档方案是否符合相关规范要求。</w:t>
            </w:r>
            <w:r>
              <w:rPr>
                <w:rFonts w:hint="eastAsia" w:ascii="宋体" w:hAnsi="宋体" w:cs="宋体"/>
                <w:color w:val="000000"/>
                <w:kern w:val="0"/>
                <w:szCs w:val="21"/>
                <w:highlight w:val="none"/>
              </w:rPr>
              <w:t>满足要求的得5分,内容有所欠缺的得3分；</w:t>
            </w:r>
            <w:r>
              <w:rPr>
                <w:rFonts w:hint="eastAsia" w:ascii="宋体" w:hAnsi="宋体" w:cs="宋体"/>
                <w:bCs/>
                <w:color w:val="000000"/>
                <w:szCs w:val="21"/>
                <w:highlight w:val="none"/>
              </w:rPr>
              <w:t>内容简单且不够合理的得1分，未提此项内容的不得分。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5分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000000"/>
                <w:kern w:val="0"/>
                <w:szCs w:val="21"/>
                <w:lang w:val="zh-CN"/>
              </w:rPr>
            </w:pPr>
          </w:p>
        </w:tc>
        <w:tc>
          <w:tcPr>
            <w:tcW w:w="5755" w:type="dxa"/>
            <w:noWrap w:val="0"/>
            <w:vAlign w:val="center"/>
          </w:tcPr>
          <w:p>
            <w:pPr>
              <w:spacing w:line="360" w:lineRule="auto"/>
              <w:jc w:val="left"/>
              <w:outlineLvl w:val="0"/>
              <w:rPr>
                <w:rFonts w:ascii="宋体" w:hAnsi="宋体" w:cs="宋体"/>
                <w:color w:val="000000"/>
                <w:kern w:val="0"/>
                <w:szCs w:val="21"/>
              </w:rPr>
            </w:pPr>
            <w:r>
              <w:rPr>
                <w:rFonts w:hint="eastAsia" w:ascii="宋体" w:hAnsi="宋体" w:cs="宋体"/>
                <w:color w:val="000000"/>
                <w:kern w:val="0"/>
                <w:szCs w:val="21"/>
              </w:rPr>
              <w:t>（11）投标人是否具有完备的管理组织、管理制度、</w:t>
            </w:r>
            <w:r>
              <w:rPr>
                <w:rFonts w:hint="eastAsia" w:ascii="宋体" w:hAnsi="宋体" w:cs="宋体"/>
                <w:bCs/>
                <w:szCs w:val="21"/>
                <w:lang w:val="zh-CN"/>
              </w:rPr>
              <w:t>考核监督制度等，是否科学合理并具有针对性和可操作性。</w:t>
            </w:r>
            <w:r>
              <w:rPr>
                <w:rFonts w:hint="eastAsia" w:ascii="宋体" w:hAnsi="宋体" w:cs="宋体"/>
                <w:color w:val="000000"/>
                <w:kern w:val="0"/>
                <w:szCs w:val="21"/>
              </w:rPr>
              <w:t>制度全面且科学合理的得5分，内容有所欠缺的得3分；</w:t>
            </w:r>
            <w:r>
              <w:rPr>
                <w:rFonts w:hint="eastAsia" w:ascii="宋体" w:hAnsi="宋体" w:cs="宋体"/>
                <w:bCs/>
                <w:color w:val="000000"/>
                <w:szCs w:val="21"/>
              </w:rPr>
              <w:t>内容简单且不够合理的得1分，未提此项内容的不得分。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5分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67" w:type="dxa"/>
            <w:vMerge w:val="continue"/>
            <w:noWrap w:val="0"/>
            <w:vAlign w:val="center"/>
          </w:tcPr>
          <w:p>
            <w:pPr>
              <w:spacing w:line="360" w:lineRule="auto"/>
              <w:jc w:val="center"/>
              <w:outlineLvl w:val="0"/>
              <w:rPr>
                <w:rFonts w:ascii="宋体" w:hAnsi="宋体" w:cs="宋体"/>
                <w:szCs w:val="21"/>
              </w:rPr>
            </w:pPr>
          </w:p>
        </w:tc>
        <w:tc>
          <w:tcPr>
            <w:tcW w:w="1303" w:type="dxa"/>
            <w:vMerge w:val="continue"/>
            <w:noWrap w:val="0"/>
            <w:vAlign w:val="center"/>
          </w:tcPr>
          <w:p>
            <w:pPr>
              <w:spacing w:line="360" w:lineRule="auto"/>
              <w:jc w:val="center"/>
              <w:rPr>
                <w:rFonts w:ascii="宋体" w:hAnsi="宋体" w:cs="宋体"/>
                <w:color w:val="000000"/>
                <w:kern w:val="0"/>
                <w:szCs w:val="21"/>
                <w:lang w:val="zh-CN"/>
              </w:rPr>
            </w:pPr>
          </w:p>
        </w:tc>
        <w:tc>
          <w:tcPr>
            <w:tcW w:w="5755" w:type="dxa"/>
            <w:noWrap w:val="0"/>
            <w:vAlign w:val="center"/>
          </w:tcPr>
          <w:p>
            <w:pPr>
              <w:spacing w:line="360" w:lineRule="auto"/>
              <w:jc w:val="left"/>
              <w:outlineLvl w:val="0"/>
              <w:rPr>
                <w:rFonts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t>12</w:t>
            </w:r>
            <w:r>
              <w:rPr>
                <w:rFonts w:hint="eastAsia" w:ascii="宋体" w:hAnsi="宋体" w:cs="宋体"/>
                <w:bCs/>
                <w:color w:val="000000"/>
                <w:szCs w:val="21"/>
                <w:highlight w:val="none"/>
                <w:lang w:val="zh-CN"/>
              </w:rPr>
              <w:t>）城市照明工作宣传方案：有定期宣传计划，能采用多种形式开展城市照明宣传工作。宣传计划</w:t>
            </w:r>
            <w:r>
              <w:rPr>
                <w:rFonts w:hint="eastAsia" w:ascii="宋体" w:hAnsi="宋体" w:cs="宋体"/>
                <w:color w:val="000000"/>
                <w:kern w:val="0"/>
                <w:szCs w:val="21"/>
                <w:highlight w:val="none"/>
              </w:rPr>
              <w:t>满足要求的得</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r>
              <w:rPr>
                <w:rFonts w:hint="eastAsia" w:ascii="宋体" w:hAnsi="宋体" w:cs="宋体"/>
                <w:bCs/>
                <w:color w:val="000000"/>
                <w:szCs w:val="21"/>
                <w:highlight w:val="none"/>
              </w:rPr>
              <w:t>宣传计划简单且不够合理的得</w:t>
            </w:r>
            <w:r>
              <w:rPr>
                <w:rFonts w:hint="eastAsia" w:ascii="宋体" w:hAnsi="宋体" w:cs="宋体"/>
                <w:bCs/>
                <w:color w:val="000000"/>
                <w:szCs w:val="21"/>
                <w:highlight w:val="none"/>
                <w:lang w:val="en-US" w:eastAsia="zh-CN"/>
              </w:rPr>
              <w:t>1</w:t>
            </w:r>
            <w:r>
              <w:rPr>
                <w:rFonts w:hint="eastAsia" w:ascii="宋体" w:hAnsi="宋体" w:cs="宋体"/>
                <w:bCs/>
                <w:color w:val="000000"/>
                <w:szCs w:val="21"/>
                <w:highlight w:val="none"/>
              </w:rPr>
              <w:t>分，未提此项内容的不得分。</w:t>
            </w:r>
          </w:p>
        </w:tc>
        <w:tc>
          <w:tcPr>
            <w:tcW w:w="915" w:type="dxa"/>
            <w:noWrap w:val="0"/>
            <w:vAlign w:val="center"/>
          </w:tcPr>
          <w:p>
            <w:pPr>
              <w:spacing w:line="360" w:lineRule="auto"/>
              <w:jc w:val="center"/>
              <w:outlineLvl w:val="0"/>
              <w:rPr>
                <w:rFonts w:ascii="宋体" w:hAnsi="宋体" w:cs="宋体"/>
                <w:szCs w:val="21"/>
                <w:highlight w:val="none"/>
              </w:rPr>
            </w:pPr>
            <w:r>
              <w:rPr>
                <w:rFonts w:hint="eastAsia" w:ascii="宋体" w:hAnsi="宋体" w:cs="宋体"/>
                <w:szCs w:val="21"/>
                <w:highlight w:val="none"/>
              </w:rPr>
              <w:t>3分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67" w:type="dxa"/>
            <w:noWrap w:val="0"/>
            <w:vAlign w:val="center"/>
          </w:tcPr>
          <w:p>
            <w:pPr>
              <w:pStyle w:val="35"/>
              <w:snapToGrid w:val="0"/>
              <w:spacing w:line="360" w:lineRule="auto"/>
              <w:jc w:val="center"/>
              <w:outlineLvl w:val="0"/>
              <w:rPr>
                <w:rFonts w:hAnsi="宋体" w:cs="宋体"/>
                <w:b/>
              </w:rPr>
            </w:pPr>
            <w:r>
              <w:rPr>
                <w:rFonts w:hint="eastAsia" w:hAnsi="宋体" w:cs="宋体"/>
                <w:snapToGrid/>
              </w:rPr>
              <w:t>4</w:t>
            </w:r>
          </w:p>
        </w:tc>
        <w:tc>
          <w:tcPr>
            <w:tcW w:w="1303" w:type="dxa"/>
            <w:noWrap w:val="0"/>
            <w:vAlign w:val="center"/>
          </w:tcPr>
          <w:p>
            <w:pPr>
              <w:spacing w:line="360" w:lineRule="auto"/>
              <w:jc w:val="center"/>
              <w:rPr>
                <w:rFonts w:ascii="宋体" w:hAnsi="宋体" w:cs="宋体"/>
                <w:szCs w:val="21"/>
              </w:rPr>
            </w:pPr>
            <w:r>
              <w:rPr>
                <w:rFonts w:hint="eastAsia" w:ascii="宋体" w:hAnsi="宋体" w:cs="宋体"/>
                <w:bCs/>
                <w:szCs w:val="21"/>
                <w:lang w:val="zh-CN"/>
              </w:rPr>
              <w:t>针对本项目，有完善的专业结构班子</w:t>
            </w:r>
          </w:p>
        </w:tc>
        <w:tc>
          <w:tcPr>
            <w:tcW w:w="5755" w:type="dxa"/>
            <w:noWrap w:val="0"/>
            <w:vAlign w:val="center"/>
          </w:tcPr>
          <w:p>
            <w:pPr>
              <w:spacing w:line="360" w:lineRule="auto"/>
              <w:jc w:val="left"/>
              <w:outlineLvl w:val="0"/>
              <w:rPr>
                <w:rFonts w:ascii="宋体" w:hAnsi="宋体" w:cs="宋体"/>
                <w:bCs/>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w:t>
            </w:r>
            <w:r>
              <w:rPr>
                <w:rFonts w:hint="eastAsia" w:ascii="宋体" w:hAnsi="宋体" w:cs="宋体"/>
                <w:bCs/>
                <w:color w:val="000000"/>
                <w:szCs w:val="21"/>
                <w:highlight w:val="none"/>
                <w:lang w:val="zh-CN"/>
              </w:rPr>
              <w:t>）</w:t>
            </w:r>
            <w:r>
              <w:rPr>
                <w:rFonts w:hint="eastAsia" w:ascii="宋体" w:hAnsi="宋体" w:cs="宋体"/>
                <w:bCs/>
                <w:szCs w:val="21"/>
                <w:highlight w:val="none"/>
                <w:lang w:val="zh-CN"/>
              </w:rPr>
              <w:t>班子成员专业结构是否合理、劳动力投入计划是否充足。合理且符合采购需求的得</w:t>
            </w:r>
            <w:r>
              <w:rPr>
                <w:rFonts w:hint="eastAsia" w:ascii="宋体" w:hAnsi="宋体" w:cs="宋体"/>
                <w:bCs/>
                <w:szCs w:val="21"/>
                <w:highlight w:val="none"/>
              </w:rPr>
              <w:t>3分，部分符合的得1分，未提此项内容的不得分。（3分）</w:t>
            </w:r>
          </w:p>
          <w:p>
            <w:pPr>
              <w:spacing w:line="360" w:lineRule="auto"/>
              <w:jc w:val="left"/>
              <w:outlineLvl w:val="0"/>
              <w:rPr>
                <w:rFonts w:ascii="宋体" w:hAnsi="宋体" w:cs="宋体"/>
                <w:color w:val="000000"/>
                <w:kern w:val="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）项目</w:t>
            </w:r>
            <w:r>
              <w:rPr>
                <w:rFonts w:hint="eastAsia" w:ascii="宋体" w:hAnsi="宋体" w:cs="宋体"/>
                <w:color w:val="000000"/>
                <w:kern w:val="0"/>
                <w:szCs w:val="21"/>
                <w:highlight w:val="none"/>
                <w:lang w:val="zh-CN"/>
              </w:rPr>
              <w:t>负责人：①</w:t>
            </w:r>
            <w:r>
              <w:rPr>
                <w:rFonts w:hint="eastAsia" w:ascii="宋体" w:hAnsi="宋体" w:cs="宋体"/>
                <w:color w:val="000000"/>
                <w:kern w:val="0"/>
                <w:szCs w:val="21"/>
                <w:highlight w:val="none"/>
              </w:rPr>
              <w:t>拟投入本项目的项目负责人具有机电工程或市政公用工程一级注册建造师证书的得2分。（证明材料：同时提供注册证书、连续缴纳近6个月的社保证明）②项目负责人自2019年1月1日起（以合同签订时间为准）具有类似路灯养护业绩的，1个得0.5分，本项最高得1分。（证明材料：合同复印件及能体现项目负责人相关信息的证明材料）（3分）</w:t>
            </w:r>
          </w:p>
          <w:p>
            <w:pPr>
              <w:spacing w:line="360" w:lineRule="auto"/>
              <w:jc w:val="left"/>
              <w:outlineLvl w:val="0"/>
              <w:rPr>
                <w:rFonts w:ascii="宋体" w:hAnsi="宋体" w:cs="宋体"/>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3</w:t>
            </w:r>
            <w:r>
              <w:rPr>
                <w:rFonts w:hint="eastAsia" w:ascii="宋体" w:hAnsi="宋体" w:cs="宋体"/>
                <w:color w:val="000000"/>
                <w:kern w:val="0"/>
                <w:szCs w:val="21"/>
                <w:highlight w:val="none"/>
                <w:lang w:val="zh-CN"/>
              </w:rPr>
              <w:t>）</w:t>
            </w:r>
            <w:r>
              <w:rPr>
                <w:rFonts w:hint="eastAsia" w:ascii="宋体" w:hAnsi="宋体" w:cs="宋体"/>
                <w:color w:val="000000"/>
                <w:kern w:val="0"/>
                <w:szCs w:val="21"/>
                <w:highlight w:val="none"/>
              </w:rPr>
              <w:t>拟投入本项目的班组人员在满足项目采购需求最低人员配置基础上，每增加一个同时具有高处作业证及高压电工（或低压电工）作业证的人员，1个得1分，本项最高得3分。（证明材料：同时提供行业主管部门颁发的有效作业证书、连续缴纳近6个月的社保证明，未提供不得分。）</w:t>
            </w:r>
          </w:p>
        </w:tc>
        <w:tc>
          <w:tcPr>
            <w:tcW w:w="915" w:type="dxa"/>
            <w:noWrap w:val="0"/>
            <w:vAlign w:val="center"/>
          </w:tcPr>
          <w:p>
            <w:pPr>
              <w:spacing w:line="360" w:lineRule="auto"/>
              <w:jc w:val="center"/>
              <w:outlineLvl w:val="0"/>
              <w:rPr>
                <w:rFonts w:ascii="宋体" w:hAnsi="宋体" w:cs="宋体"/>
                <w:szCs w:val="21"/>
                <w:highlight w:val="none"/>
              </w:rPr>
            </w:pPr>
            <w:r>
              <w:rPr>
                <w:rFonts w:hint="eastAsia" w:ascii="宋体" w:hAnsi="宋体" w:cs="宋体"/>
                <w:szCs w:val="21"/>
                <w:highlight w:val="none"/>
              </w:rPr>
              <w:t>9分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67" w:type="dxa"/>
            <w:noWrap w:val="0"/>
            <w:vAlign w:val="center"/>
          </w:tcPr>
          <w:p>
            <w:pPr>
              <w:pStyle w:val="35"/>
              <w:snapToGrid w:val="0"/>
              <w:spacing w:line="360" w:lineRule="auto"/>
              <w:jc w:val="center"/>
              <w:outlineLvl w:val="0"/>
              <w:rPr>
                <w:rFonts w:hAnsi="宋体" w:cs="宋体"/>
                <w:snapToGrid/>
              </w:rPr>
            </w:pPr>
            <w:r>
              <w:rPr>
                <w:rFonts w:hint="eastAsia" w:hAnsi="宋体" w:cs="宋体"/>
                <w:snapToGrid/>
              </w:rPr>
              <w:t>5</w:t>
            </w:r>
          </w:p>
        </w:tc>
        <w:tc>
          <w:tcPr>
            <w:tcW w:w="1303" w:type="dxa"/>
            <w:noWrap w:val="0"/>
            <w:vAlign w:val="center"/>
          </w:tcPr>
          <w:p>
            <w:pPr>
              <w:widowControl/>
              <w:adjustRightInd/>
              <w:spacing w:line="360" w:lineRule="auto"/>
              <w:jc w:val="center"/>
              <w:rPr>
                <w:rFonts w:ascii="宋体" w:hAnsi="宋体" w:cs="宋体"/>
                <w:bCs/>
                <w:szCs w:val="21"/>
                <w:lang w:val="zh-CN"/>
              </w:rPr>
            </w:pPr>
            <w:r>
              <w:rPr>
                <w:rFonts w:hint="eastAsia"/>
              </w:rPr>
              <w:t>拟投入本项目的设施设备</w:t>
            </w:r>
          </w:p>
        </w:tc>
        <w:tc>
          <w:tcPr>
            <w:tcW w:w="5755" w:type="dxa"/>
            <w:noWrap w:val="0"/>
            <w:vAlign w:val="center"/>
          </w:tcPr>
          <w:p>
            <w:pPr>
              <w:widowControl/>
              <w:adjustRightInd/>
              <w:spacing w:line="360" w:lineRule="auto"/>
              <w:jc w:val="left"/>
              <w:rPr>
                <w:highlight w:val="none"/>
                <w:lang w:val="zh-CN"/>
              </w:rPr>
            </w:pPr>
            <w:r>
              <w:rPr>
                <w:rFonts w:hint="eastAsia"/>
                <w:highlight w:val="none"/>
                <w:lang w:val="zh-CN"/>
              </w:rPr>
              <w:t>在满足项目采购需求对拟投入设备最低要求的基础上，供应商投入本项目的设施设备中：</w:t>
            </w:r>
          </w:p>
          <w:p>
            <w:pPr>
              <w:widowControl/>
              <w:adjustRightInd/>
              <w:spacing w:line="360" w:lineRule="auto"/>
              <w:jc w:val="left"/>
              <w:rPr>
                <w:highlight w:val="none"/>
                <w:lang w:val="zh-CN"/>
              </w:rPr>
            </w:pPr>
            <w:r>
              <w:rPr>
                <w:rFonts w:hint="eastAsia"/>
                <w:highlight w:val="none"/>
                <w:lang w:val="zh-CN"/>
              </w:rPr>
              <w:t>（</w:t>
            </w:r>
            <w:r>
              <w:rPr>
                <w:rFonts w:hint="eastAsia"/>
                <w:highlight w:val="none"/>
              </w:rPr>
              <w:t>1</w:t>
            </w:r>
            <w:r>
              <w:rPr>
                <w:rFonts w:hint="eastAsia"/>
                <w:highlight w:val="none"/>
                <w:lang w:val="zh-CN"/>
              </w:rPr>
              <w:t>）高空作业车（</w:t>
            </w:r>
            <w:r>
              <w:rPr>
                <w:rFonts w:hint="eastAsia"/>
                <w:highlight w:val="none"/>
              </w:rPr>
              <w:t>14米及以上</w:t>
            </w:r>
            <w:r>
              <w:rPr>
                <w:rFonts w:hint="eastAsia"/>
                <w:highlight w:val="none"/>
                <w:lang w:val="zh-CN"/>
              </w:rPr>
              <w:t>）：每增加一辆</w:t>
            </w:r>
            <w:r>
              <w:rPr>
                <w:rFonts w:hint="eastAsia"/>
                <w:highlight w:val="none"/>
              </w:rPr>
              <w:t>高空作业车得1分，最高得2分。</w:t>
            </w:r>
          </w:p>
          <w:p>
            <w:pPr>
              <w:widowControl/>
              <w:adjustRightInd/>
              <w:spacing w:line="360" w:lineRule="auto"/>
              <w:jc w:val="left"/>
              <w:rPr>
                <w:rFonts w:ascii="宋体" w:hAnsi="宋体" w:cs="宋体"/>
                <w:bCs/>
                <w:szCs w:val="21"/>
                <w:highlight w:val="none"/>
              </w:rPr>
            </w:pPr>
            <w:r>
              <w:rPr>
                <w:rFonts w:hint="eastAsia"/>
                <w:highlight w:val="none"/>
                <w:lang w:val="zh-CN"/>
              </w:rPr>
              <w:t>（</w:t>
            </w:r>
            <w:r>
              <w:rPr>
                <w:rFonts w:hint="eastAsia"/>
                <w:highlight w:val="none"/>
                <w:lang w:val="en-US" w:eastAsia="zh-CN"/>
              </w:rPr>
              <w:t>2</w:t>
            </w:r>
            <w:r>
              <w:rPr>
                <w:rFonts w:hint="eastAsia"/>
                <w:highlight w:val="none"/>
                <w:lang w:val="zh-CN"/>
              </w:rPr>
              <w:t>）</w:t>
            </w:r>
            <w:r>
              <w:rPr>
                <w:rFonts w:hint="eastAsia" w:ascii="宋体" w:hAnsi="宋体" w:cs="宋体"/>
                <w:bCs/>
                <w:szCs w:val="21"/>
                <w:highlight w:val="none"/>
              </w:rPr>
              <w:t>工程巡查车：每增加1辆得1分，本项最高得2分。</w:t>
            </w:r>
          </w:p>
          <w:p>
            <w:pPr>
              <w:pStyle w:val="24"/>
              <w:ind w:firstLine="0"/>
              <w:rPr>
                <w:color w:val="000000"/>
                <w:sz w:val="21"/>
                <w:szCs w:val="21"/>
                <w:highlight w:val="none"/>
                <w:lang w:val="en-US"/>
              </w:rPr>
            </w:pPr>
            <w:r>
              <w:rPr>
                <w:rFonts w:hint="eastAsia"/>
                <w:sz w:val="21"/>
                <w:szCs w:val="21"/>
                <w:highlight w:val="none"/>
              </w:rPr>
              <w:t>（</w:t>
            </w:r>
            <w:r>
              <w:rPr>
                <w:rFonts w:hint="eastAsia"/>
                <w:color w:val="000000"/>
                <w:sz w:val="21"/>
                <w:szCs w:val="21"/>
                <w:highlight w:val="none"/>
                <w:lang w:val="en-US"/>
              </w:rPr>
              <w:t>证明材料：（1）证明材料：设备自有的请提供行驶证复印件（车辆类型“非载货专项作业车”）、保险保单复印件、可看清车牌和车身全貌的照片</w:t>
            </w:r>
            <w:r>
              <w:rPr>
                <w:rFonts w:hint="eastAsia"/>
                <w:color w:val="000000"/>
                <w:sz w:val="21"/>
                <w:szCs w:val="21"/>
                <w:highlight w:val="none"/>
              </w:rPr>
              <w:t>；（</w:t>
            </w:r>
            <w:r>
              <w:rPr>
                <w:rFonts w:hint="eastAsia"/>
                <w:color w:val="000000"/>
                <w:sz w:val="21"/>
                <w:szCs w:val="21"/>
                <w:highlight w:val="none"/>
                <w:lang w:val="en-US" w:eastAsia="zh-CN"/>
              </w:rPr>
              <w:t>2</w:t>
            </w:r>
            <w:r>
              <w:rPr>
                <w:rFonts w:hint="eastAsia"/>
                <w:color w:val="000000"/>
                <w:sz w:val="21"/>
                <w:szCs w:val="21"/>
                <w:highlight w:val="none"/>
              </w:rPr>
              <w:t>）</w:t>
            </w:r>
            <w:r>
              <w:rPr>
                <w:rFonts w:hint="eastAsia"/>
                <w:color w:val="000000"/>
                <w:sz w:val="21"/>
                <w:szCs w:val="21"/>
                <w:highlight w:val="none"/>
                <w:lang w:val="en-US"/>
              </w:rPr>
              <w:t>证明材料：设备自有的请提供行驶证（车辆使用性质为“工程救险”）、保险保单复印件、可看清车牌和车身全貌的照片；</w:t>
            </w:r>
          </w:p>
          <w:p>
            <w:pPr>
              <w:pStyle w:val="24"/>
              <w:ind w:firstLine="0"/>
              <w:rPr>
                <w:highlight w:val="none"/>
              </w:rPr>
            </w:pPr>
            <w:r>
              <w:rPr>
                <w:rFonts w:hint="eastAsia"/>
                <w:color w:val="000000"/>
                <w:sz w:val="21"/>
                <w:szCs w:val="21"/>
                <w:highlight w:val="none"/>
                <w:lang w:val="en-US"/>
              </w:rPr>
              <w:t>租赁</w:t>
            </w:r>
            <w:r>
              <w:rPr>
                <w:rFonts w:hint="eastAsia"/>
                <w:color w:val="000000"/>
                <w:sz w:val="21"/>
                <w:szCs w:val="21"/>
                <w:highlight w:val="none"/>
              </w:rPr>
              <w:t>设备的，</w:t>
            </w:r>
            <w:r>
              <w:rPr>
                <w:rFonts w:hint="eastAsia"/>
                <w:color w:val="000000"/>
                <w:sz w:val="21"/>
                <w:szCs w:val="21"/>
                <w:highlight w:val="none"/>
                <w:lang w:val="en-US"/>
              </w:rPr>
              <w:t>除了需提供前述材料外，还需提供租赁协议</w:t>
            </w:r>
            <w:r>
              <w:rPr>
                <w:rFonts w:hint="eastAsia"/>
                <w:color w:val="000000"/>
                <w:sz w:val="21"/>
                <w:szCs w:val="21"/>
                <w:highlight w:val="none"/>
              </w:rPr>
              <w:t>。）</w:t>
            </w:r>
          </w:p>
        </w:tc>
        <w:tc>
          <w:tcPr>
            <w:tcW w:w="915" w:type="dxa"/>
            <w:noWrap w:val="0"/>
            <w:vAlign w:val="center"/>
          </w:tcPr>
          <w:p>
            <w:pPr>
              <w:spacing w:line="360" w:lineRule="auto"/>
              <w:jc w:val="center"/>
              <w:outlineLvl w:val="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1695" w:type="dxa"/>
            <w:noWrap w:val="0"/>
            <w:vAlign w:val="center"/>
          </w:tcPr>
          <w:p>
            <w:pPr>
              <w:spacing w:line="36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pStyle w:val="35"/>
              <w:snapToGrid w:val="0"/>
              <w:spacing w:line="360" w:lineRule="auto"/>
              <w:jc w:val="center"/>
              <w:outlineLvl w:val="0"/>
              <w:rPr>
                <w:rFonts w:hAnsi="宋体" w:cs="宋体"/>
                <w:snapToGrid/>
              </w:rPr>
            </w:pPr>
            <w:r>
              <w:rPr>
                <w:rFonts w:hint="eastAsia" w:hAnsi="宋体" w:cs="宋体"/>
                <w:snapToGrid/>
              </w:rPr>
              <w:t>6</w:t>
            </w:r>
          </w:p>
        </w:tc>
        <w:tc>
          <w:tcPr>
            <w:tcW w:w="1303" w:type="dxa"/>
            <w:noWrap w:val="0"/>
            <w:vAlign w:val="center"/>
          </w:tcPr>
          <w:p>
            <w:pPr>
              <w:widowControl/>
              <w:spacing w:line="360" w:lineRule="auto"/>
              <w:jc w:val="center"/>
              <w:rPr>
                <w:rFonts w:ascii="宋体" w:hAnsi="宋体" w:cs="宋体"/>
                <w:szCs w:val="21"/>
              </w:rPr>
            </w:pPr>
            <w:r>
              <w:rPr>
                <w:rFonts w:hint="eastAsia" w:ascii="宋体" w:hAnsi="宋体" w:cs="宋体"/>
                <w:color w:val="000000"/>
                <w:kern w:val="0"/>
                <w:szCs w:val="21"/>
              </w:rPr>
              <w:t>服务便捷性、快速响应性</w:t>
            </w:r>
          </w:p>
        </w:tc>
        <w:tc>
          <w:tcPr>
            <w:tcW w:w="5755" w:type="dxa"/>
            <w:noWrap w:val="0"/>
            <w:vAlign w:val="center"/>
          </w:tcPr>
          <w:p>
            <w:pPr>
              <w:spacing w:line="360" w:lineRule="auto"/>
              <w:jc w:val="left"/>
              <w:outlineLvl w:val="0"/>
            </w:pPr>
            <w:r>
              <w:rPr>
                <w:rFonts w:hint="eastAsia"/>
                <w:lang w:val="zh-CN"/>
              </w:rPr>
              <w:t>（</w:t>
            </w:r>
            <w:r>
              <w:rPr>
                <w:rFonts w:hint="eastAsia"/>
              </w:rPr>
              <w:t>1</w:t>
            </w:r>
            <w:r>
              <w:rPr>
                <w:rFonts w:hint="eastAsia"/>
                <w:lang w:val="zh-CN"/>
              </w:rPr>
              <w:t>）是否能够迅速响应采购人的要求、是否能够快速提供良好的售后服务支持，是否常年备有</w:t>
            </w:r>
            <w:r>
              <w:rPr>
                <w:rFonts w:hint="eastAsia"/>
              </w:rPr>
              <w:t>能够满足采购人要求的</w:t>
            </w:r>
            <w:r>
              <w:rPr>
                <w:rFonts w:hint="eastAsia"/>
                <w:lang w:val="zh-CN"/>
              </w:rPr>
              <w:t>备品、备件。</w:t>
            </w:r>
            <w:r>
              <w:rPr>
                <w:rFonts w:hint="eastAsia"/>
              </w:rPr>
              <w:t>方案科学、合理、完善得5分；</w:t>
            </w:r>
            <w:r>
              <w:rPr>
                <w:rFonts w:hint="eastAsia" w:ascii="宋体" w:hAnsi="宋体" w:cs="宋体"/>
                <w:color w:val="000000"/>
                <w:kern w:val="0"/>
                <w:szCs w:val="21"/>
              </w:rPr>
              <w:t>内容有所欠缺的得3分；</w:t>
            </w:r>
            <w:r>
              <w:rPr>
                <w:rFonts w:hint="eastAsia" w:ascii="宋体" w:hAnsi="宋体" w:cs="宋体"/>
                <w:bCs/>
                <w:color w:val="000000"/>
                <w:szCs w:val="21"/>
              </w:rPr>
              <w:t>内容简单且不够合理的得1分，未提此项内容的不得分。</w:t>
            </w:r>
          </w:p>
          <w:p>
            <w:pPr>
              <w:pStyle w:val="24"/>
              <w:ind w:firstLine="0"/>
              <w:rPr>
                <w:lang w:val="en-US"/>
              </w:rPr>
            </w:pPr>
            <w:r>
              <w:rPr>
                <w:rFonts w:hint="eastAsia" w:hAnsi="宋体" w:cs="宋体"/>
                <w:bCs/>
                <w:color w:val="000000"/>
                <w:sz w:val="21"/>
                <w:szCs w:val="21"/>
                <w:highlight w:val="none"/>
              </w:rPr>
              <w:t>（</w:t>
            </w:r>
            <w:r>
              <w:rPr>
                <w:rFonts w:hint="eastAsia" w:hAnsi="宋体" w:cs="宋体"/>
                <w:bCs/>
                <w:color w:val="000000"/>
                <w:sz w:val="21"/>
                <w:szCs w:val="21"/>
                <w:highlight w:val="none"/>
                <w:lang w:val="en-US"/>
              </w:rPr>
              <w:t>2</w:t>
            </w:r>
            <w:r>
              <w:rPr>
                <w:rFonts w:hint="eastAsia" w:hAnsi="宋体" w:cs="宋体"/>
                <w:bCs/>
                <w:color w:val="000000"/>
                <w:sz w:val="21"/>
                <w:szCs w:val="21"/>
                <w:highlight w:val="none"/>
              </w:rPr>
              <w:t>）为及时响应项目实施中的应急任务，需在项目所在地设立养护服务常驻点，有固定养护办公场所（办公及管理用房）及养护基地（机具停车场地、物资仓储）</w:t>
            </w:r>
            <w:r>
              <w:rPr>
                <w:rFonts w:hint="eastAsia" w:hAnsi="宋体" w:cs="宋体"/>
                <w:color w:val="000000"/>
                <w:kern w:val="0"/>
                <w:sz w:val="21"/>
                <w:szCs w:val="21"/>
                <w:highlight w:val="none"/>
              </w:rPr>
              <w:t>的自有或租赁仓库并且面积达到</w:t>
            </w:r>
            <w:r>
              <w:rPr>
                <w:rFonts w:hint="eastAsia" w:hAnsi="宋体" w:cs="宋体"/>
                <w:color w:val="000000"/>
                <w:kern w:val="0"/>
                <w:sz w:val="21"/>
                <w:szCs w:val="21"/>
                <w:highlight w:val="none"/>
                <w:lang w:val="en-US"/>
              </w:rPr>
              <w:t>1000</w:t>
            </w:r>
            <w:r>
              <w:rPr>
                <w:rFonts w:hint="eastAsia" w:hAnsi="宋体" w:cs="宋体"/>
                <w:color w:val="000000"/>
                <w:kern w:val="0"/>
                <w:sz w:val="21"/>
                <w:szCs w:val="21"/>
                <w:highlight w:val="none"/>
              </w:rPr>
              <w:t>平方米以上的得2分。承诺中标后设立养护场地的，得1分。（证明材料：产权证明或租赁合同的复印件并加盖公章，未按要求提供证明材料的不得分）。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7分</w:t>
            </w:r>
          </w:p>
        </w:tc>
        <w:tc>
          <w:tcPr>
            <w:tcW w:w="1695" w:type="dxa"/>
            <w:noWrap w:val="0"/>
            <w:vAlign w:val="center"/>
          </w:tcPr>
          <w:p>
            <w:pPr>
              <w:spacing w:line="360" w:lineRule="auto"/>
              <w:jc w:val="center"/>
              <w:outlineLvl w:val="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pStyle w:val="35"/>
              <w:snapToGrid w:val="0"/>
              <w:spacing w:line="360" w:lineRule="auto"/>
              <w:jc w:val="center"/>
              <w:outlineLvl w:val="0"/>
              <w:rPr>
                <w:rFonts w:hAnsi="宋体" w:cs="宋体"/>
                <w:snapToGrid/>
              </w:rPr>
            </w:pPr>
            <w:r>
              <w:rPr>
                <w:rFonts w:hint="eastAsia" w:hAnsi="宋体" w:cs="宋体"/>
                <w:snapToGrid/>
              </w:rPr>
              <w:t>7</w:t>
            </w:r>
          </w:p>
        </w:tc>
        <w:tc>
          <w:tcPr>
            <w:tcW w:w="1303" w:type="dxa"/>
            <w:noWrap w:val="0"/>
            <w:vAlign w:val="center"/>
          </w:tcPr>
          <w:p>
            <w:pPr>
              <w:widowControl/>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养护移交平稳过渡实施方案</w:t>
            </w:r>
          </w:p>
        </w:tc>
        <w:tc>
          <w:tcPr>
            <w:tcW w:w="5755" w:type="dxa"/>
            <w:noWrap w:val="0"/>
            <w:vAlign w:val="center"/>
          </w:tcPr>
          <w:p>
            <w:pPr>
              <w:widowControl/>
              <w:spacing w:line="360" w:lineRule="auto"/>
              <w:rPr>
                <w:rFonts w:ascii="宋体" w:hAnsi="宋体" w:cs="宋体"/>
                <w:bCs/>
                <w:color w:val="000000"/>
                <w:szCs w:val="21"/>
                <w:lang w:val="zh-CN"/>
              </w:rPr>
            </w:pPr>
            <w:r>
              <w:rPr>
                <w:rFonts w:hint="eastAsia" w:ascii="宋体" w:hAnsi="宋体" w:cs="宋体"/>
                <w:bCs/>
                <w:color w:val="000000"/>
                <w:szCs w:val="21"/>
                <w:lang w:val="zh-CN"/>
              </w:rPr>
              <w:t>投标人中标后养护移交平稳过渡实施方案：企业进出场交接计划措施、企业平稳过渡实施方案等相关措施。</w:t>
            </w:r>
            <w:r>
              <w:rPr>
                <w:rFonts w:hint="eastAsia" w:ascii="宋体" w:hAnsi="宋体" w:cs="宋体"/>
                <w:color w:val="000000"/>
                <w:kern w:val="0"/>
                <w:szCs w:val="21"/>
              </w:rPr>
              <w:t>方案科学、合理、完善得3分；内容有所欠缺的得1分；不提供不得分。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3分</w:t>
            </w:r>
          </w:p>
        </w:tc>
        <w:tc>
          <w:tcPr>
            <w:tcW w:w="1695" w:type="dxa"/>
            <w:noWrap w:val="0"/>
            <w:vAlign w:val="center"/>
          </w:tcPr>
          <w:p>
            <w:pPr>
              <w:spacing w:line="360" w:lineRule="auto"/>
              <w:jc w:val="center"/>
              <w:outlineLvl w:val="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pStyle w:val="35"/>
              <w:snapToGrid w:val="0"/>
              <w:spacing w:line="360" w:lineRule="auto"/>
              <w:jc w:val="center"/>
              <w:outlineLvl w:val="0"/>
              <w:rPr>
                <w:rFonts w:hAnsi="宋体" w:cs="宋体"/>
                <w:snapToGrid/>
              </w:rPr>
            </w:pPr>
            <w:r>
              <w:rPr>
                <w:rFonts w:hint="eastAsia" w:hAnsi="宋体" w:cs="宋体"/>
                <w:snapToGrid/>
              </w:rPr>
              <w:t>8</w:t>
            </w:r>
          </w:p>
        </w:tc>
        <w:tc>
          <w:tcPr>
            <w:tcW w:w="1303" w:type="dxa"/>
            <w:noWrap w:val="0"/>
            <w:vAlign w:val="center"/>
          </w:tcPr>
          <w:p>
            <w:pPr>
              <w:widowControl/>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合理化建议</w:t>
            </w:r>
          </w:p>
        </w:tc>
        <w:tc>
          <w:tcPr>
            <w:tcW w:w="5755" w:type="dxa"/>
            <w:noWrap w:val="0"/>
            <w:vAlign w:val="center"/>
          </w:tcPr>
          <w:p>
            <w:pPr>
              <w:widowControl/>
              <w:spacing w:line="360" w:lineRule="auto"/>
              <w:rPr>
                <w:lang w:val="zh-CN"/>
              </w:rPr>
            </w:pPr>
            <w:r>
              <w:rPr>
                <w:rFonts w:hint="eastAsia"/>
                <w:lang w:val="zh-CN"/>
              </w:rPr>
              <w:t>针对本项目的合理化建议。</w:t>
            </w:r>
          </w:p>
          <w:p>
            <w:pPr>
              <w:pStyle w:val="24"/>
              <w:ind w:firstLine="0"/>
              <w:rPr>
                <w:lang w:val="en-US"/>
              </w:rPr>
            </w:pPr>
            <w:r>
              <w:rPr>
                <w:rFonts w:hint="eastAsia" w:hAnsi="宋体" w:cs="宋体"/>
                <w:bCs/>
                <w:color w:val="000000"/>
                <w:sz w:val="21"/>
                <w:szCs w:val="21"/>
              </w:rPr>
              <w:t>方案合理且有针对性的得</w:t>
            </w:r>
            <w:r>
              <w:rPr>
                <w:rFonts w:hint="eastAsia" w:hAnsi="宋体" w:cs="宋体"/>
                <w:bCs/>
                <w:color w:val="000000"/>
                <w:sz w:val="21"/>
                <w:szCs w:val="21"/>
                <w:lang w:val="en-US"/>
              </w:rPr>
              <w:t>2分，不够完善的得1分，不提此项内容的不得分。</w:t>
            </w:r>
          </w:p>
        </w:tc>
        <w:tc>
          <w:tcPr>
            <w:tcW w:w="915" w:type="dxa"/>
            <w:noWrap w:val="0"/>
            <w:vAlign w:val="center"/>
          </w:tcPr>
          <w:p>
            <w:pPr>
              <w:spacing w:line="360" w:lineRule="auto"/>
              <w:jc w:val="center"/>
              <w:outlineLvl w:val="0"/>
              <w:rPr>
                <w:rFonts w:ascii="宋体" w:hAnsi="宋体" w:cs="宋体"/>
                <w:szCs w:val="21"/>
              </w:rPr>
            </w:pPr>
            <w:r>
              <w:rPr>
                <w:rFonts w:hint="eastAsia" w:ascii="宋体" w:hAnsi="宋体" w:cs="宋体"/>
                <w:szCs w:val="21"/>
              </w:rPr>
              <w:t>2分</w:t>
            </w:r>
          </w:p>
        </w:tc>
        <w:tc>
          <w:tcPr>
            <w:tcW w:w="1695" w:type="dxa"/>
            <w:noWrap w:val="0"/>
            <w:vAlign w:val="center"/>
          </w:tcPr>
          <w:p>
            <w:pPr>
              <w:spacing w:line="360" w:lineRule="auto"/>
              <w:jc w:val="center"/>
              <w:outlineLvl w:val="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pStyle w:val="35"/>
              <w:snapToGrid w:val="0"/>
              <w:spacing w:line="360" w:lineRule="auto"/>
              <w:jc w:val="center"/>
              <w:outlineLvl w:val="0"/>
              <w:rPr>
                <w:rFonts w:hAnsi="宋体" w:cs="宋体"/>
                <w:snapToGrid/>
              </w:rPr>
            </w:pPr>
            <w:r>
              <w:rPr>
                <w:rFonts w:hint="eastAsia" w:hAnsi="宋体" w:cs="宋体"/>
                <w:snapToGrid/>
              </w:rPr>
              <w:t>9</w:t>
            </w:r>
          </w:p>
        </w:tc>
        <w:tc>
          <w:tcPr>
            <w:tcW w:w="1303" w:type="dxa"/>
            <w:noWrap w:val="0"/>
            <w:vAlign w:val="center"/>
          </w:tcPr>
          <w:p>
            <w:pPr>
              <w:widowControl/>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优惠承诺</w:t>
            </w:r>
          </w:p>
        </w:tc>
        <w:tc>
          <w:tcPr>
            <w:tcW w:w="5755" w:type="dxa"/>
            <w:noWrap w:val="0"/>
            <w:vAlign w:val="center"/>
          </w:tcPr>
          <w:p>
            <w:pPr>
              <w:widowControl/>
              <w:spacing w:line="360" w:lineRule="auto"/>
              <w:rPr>
                <w:color w:val="auto"/>
                <w:highlight w:val="none"/>
                <w:lang w:val="zh-CN"/>
              </w:rPr>
            </w:pPr>
            <w:r>
              <w:rPr>
                <w:rFonts w:hint="eastAsia"/>
                <w:color w:val="auto"/>
                <w:highlight w:val="none"/>
                <w:lang w:val="zh-CN"/>
              </w:rPr>
              <w:t>投标人</w:t>
            </w:r>
            <w:r>
              <w:rPr>
                <w:rFonts w:hint="eastAsia" w:ascii="宋体" w:hAnsi="宋体" w:cs="宋体"/>
                <w:bCs/>
                <w:color w:val="auto"/>
                <w:szCs w:val="21"/>
                <w:highlight w:val="none"/>
              </w:rPr>
              <w:t>对采购人提供其他实质性优惠承诺（如照明设施提升改造计划等）的得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分，未提供此项内容的不得分</w:t>
            </w:r>
            <w:r>
              <w:rPr>
                <w:rFonts w:hint="eastAsia" w:ascii="宋体" w:hAnsi="宋体" w:cs="宋体"/>
                <w:color w:val="auto"/>
                <w:highlight w:val="none"/>
              </w:rPr>
              <w:t>（证明材料：提升改造计划书和相应承诺文件）</w:t>
            </w:r>
          </w:p>
        </w:tc>
        <w:tc>
          <w:tcPr>
            <w:tcW w:w="915" w:type="dxa"/>
            <w:noWrap w:val="0"/>
            <w:vAlign w:val="center"/>
          </w:tcPr>
          <w:p>
            <w:pPr>
              <w:spacing w:line="360" w:lineRule="auto"/>
              <w:jc w:val="center"/>
              <w:outlineLvl w:val="0"/>
              <w:rPr>
                <w:rFonts w:ascii="宋体" w:hAnsi="宋体" w:cs="宋体"/>
                <w:color w:val="auto"/>
                <w:szCs w:val="21"/>
              </w:rPr>
            </w:pPr>
            <w:r>
              <w:rPr>
                <w:rFonts w:hint="eastAsia" w:ascii="宋体" w:hAnsi="宋体" w:cs="宋体"/>
                <w:color w:val="auto"/>
                <w:szCs w:val="21"/>
              </w:rPr>
              <w:t>3分</w:t>
            </w:r>
          </w:p>
        </w:tc>
        <w:tc>
          <w:tcPr>
            <w:tcW w:w="1695" w:type="dxa"/>
            <w:noWrap w:val="0"/>
            <w:vAlign w:val="center"/>
          </w:tcPr>
          <w:p>
            <w:pPr>
              <w:spacing w:line="360" w:lineRule="auto"/>
              <w:jc w:val="center"/>
              <w:outlineLvl w:val="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725" w:type="dxa"/>
            <w:gridSpan w:val="3"/>
            <w:noWrap w:val="0"/>
            <w:vAlign w:val="center"/>
          </w:tcPr>
          <w:p>
            <w:pPr>
              <w:pStyle w:val="35"/>
              <w:snapToGrid w:val="0"/>
              <w:spacing w:line="360" w:lineRule="auto"/>
              <w:outlineLvl w:val="0"/>
              <w:rPr>
                <w:rFonts w:hAnsi="宋体" w:cs="宋体"/>
                <w:b/>
              </w:rPr>
            </w:pPr>
            <w:r>
              <w:rPr>
                <w:rFonts w:hint="eastAsia" w:hAnsi="宋体" w:cs="宋体"/>
                <w:b/>
              </w:rPr>
              <w:t>二、报价评审</w:t>
            </w:r>
          </w:p>
        </w:tc>
        <w:tc>
          <w:tcPr>
            <w:tcW w:w="2610" w:type="dxa"/>
            <w:gridSpan w:val="2"/>
            <w:noWrap w:val="0"/>
            <w:vAlign w:val="center"/>
          </w:tcPr>
          <w:p>
            <w:pPr>
              <w:pStyle w:val="35"/>
              <w:snapToGrid w:val="0"/>
              <w:spacing w:line="360" w:lineRule="auto"/>
              <w:outlineLvl w:val="0"/>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spacing w:line="360" w:lineRule="auto"/>
              <w:ind w:firstLine="210" w:firstLineChars="100"/>
              <w:outlineLvl w:val="0"/>
              <w:rPr>
                <w:rFonts w:ascii="宋体" w:hAnsi="宋体" w:cs="宋体"/>
                <w:szCs w:val="21"/>
              </w:rPr>
            </w:pPr>
            <w:r>
              <w:rPr>
                <w:rFonts w:hint="eastAsia" w:ascii="宋体" w:hAnsi="宋体" w:cs="宋体"/>
                <w:szCs w:val="21"/>
              </w:rPr>
              <w:t>1</w:t>
            </w:r>
          </w:p>
        </w:tc>
        <w:tc>
          <w:tcPr>
            <w:tcW w:w="1303" w:type="dxa"/>
            <w:noWrap w:val="0"/>
            <w:vAlign w:val="center"/>
          </w:tcPr>
          <w:p>
            <w:pPr>
              <w:spacing w:line="360" w:lineRule="auto"/>
              <w:jc w:val="center"/>
              <w:rPr>
                <w:rFonts w:ascii="宋体" w:hAnsi="宋体" w:cs="宋体"/>
                <w:szCs w:val="21"/>
              </w:rPr>
            </w:pPr>
            <w:r>
              <w:rPr>
                <w:rFonts w:hint="eastAsia" w:ascii="宋体" w:hAnsi="宋体" w:cs="宋体"/>
                <w:szCs w:val="21"/>
              </w:rPr>
              <w:t>报价评审</w:t>
            </w:r>
          </w:p>
        </w:tc>
        <w:tc>
          <w:tcPr>
            <w:tcW w:w="5755" w:type="dxa"/>
            <w:noWrap w:val="0"/>
            <w:vAlign w:val="center"/>
          </w:tcPr>
          <w:p>
            <w:pPr>
              <w:spacing w:line="360" w:lineRule="auto"/>
              <w:jc w:val="left"/>
              <w:outlineLvl w:val="0"/>
              <w:rPr>
                <w:rFonts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有效投标报价的最低价作为评标基准价，其最低报价为满分；按［投标报价得分=（评标基准价/投标报价）*10］的计算公式计算。</w:t>
            </w:r>
          </w:p>
          <w:p>
            <w:pPr>
              <w:spacing w:line="360" w:lineRule="auto"/>
              <w:ind w:firstLine="210" w:firstLineChars="100"/>
              <w:outlineLvl w:val="0"/>
              <w:rPr>
                <w:rFonts w:ascii="宋体" w:hAnsi="宋体" w:cs="宋体"/>
                <w:szCs w:val="21"/>
                <w:highlight w:val="none"/>
              </w:rPr>
            </w:pPr>
            <w:r>
              <w:rPr>
                <w:rFonts w:hint="eastAsia" w:ascii="宋体" w:hAnsi="宋体" w:cs="宋体"/>
                <w:szCs w:val="21"/>
                <w:highlight w:val="none"/>
              </w:rPr>
              <w:t>评标过程中，不得去掉报价中的最高报价和最低报价。</w:t>
            </w:r>
          </w:p>
          <w:p>
            <w:pPr>
              <w:spacing w:line="360" w:lineRule="auto"/>
              <w:ind w:firstLine="210" w:firstLineChars="100"/>
              <w:outlineLvl w:val="0"/>
              <w:rPr>
                <w:rFonts w:ascii="宋体" w:hAnsi="宋体" w:cs="宋体"/>
                <w:szCs w:val="21"/>
                <w:highlight w:val="none"/>
              </w:rPr>
            </w:pPr>
            <w:r>
              <w:rPr>
                <w:rFonts w:hint="eastAsia" w:ascii="宋体" w:hAnsi="宋体" w:cs="宋体"/>
                <w:szCs w:val="21"/>
                <w:highlight w:val="none"/>
              </w:rPr>
              <w:t>因落实政府采购政策需要进行价格调整的，以调整后的价格计算评标基准价和投标报价。</w:t>
            </w:r>
          </w:p>
        </w:tc>
        <w:tc>
          <w:tcPr>
            <w:tcW w:w="915" w:type="dxa"/>
            <w:noWrap w:val="0"/>
            <w:vAlign w:val="center"/>
          </w:tcPr>
          <w:p>
            <w:pPr>
              <w:spacing w:line="360" w:lineRule="auto"/>
              <w:jc w:val="center"/>
              <w:outlineLvl w:val="0"/>
              <w:rPr>
                <w:rFonts w:ascii="宋体" w:hAnsi="宋体" w:cs="宋体"/>
                <w:szCs w:val="21"/>
                <w:highlight w:val="none"/>
              </w:rPr>
            </w:pPr>
            <w:r>
              <w:rPr>
                <w:rFonts w:hint="eastAsia" w:ascii="宋体" w:hAnsi="宋体" w:cs="宋体"/>
                <w:szCs w:val="21"/>
                <w:highlight w:val="none"/>
              </w:rPr>
              <w:t>10分</w:t>
            </w:r>
          </w:p>
        </w:tc>
        <w:tc>
          <w:tcPr>
            <w:tcW w:w="1695" w:type="dxa"/>
            <w:noWrap w:val="0"/>
            <w:vAlign w:val="center"/>
          </w:tcPr>
          <w:p>
            <w:pPr>
              <w:spacing w:line="360" w:lineRule="auto"/>
              <w:jc w:val="center"/>
              <w:outlineLvl w:val="0"/>
              <w:rPr>
                <w:rFonts w:ascii="宋体" w:hAnsi="宋体" w:cs="宋体"/>
                <w:szCs w:val="21"/>
              </w:rPr>
            </w:pPr>
          </w:p>
        </w:tc>
      </w:tr>
    </w:tbl>
    <w:p>
      <w:pPr>
        <w:pStyle w:val="35"/>
        <w:snapToGrid w:val="0"/>
        <w:jc w:val="center"/>
        <w:outlineLvl w:val="0"/>
        <w:rPr>
          <w:rFonts w:hAnsi="宋体" w:cs="宋体"/>
          <w:b/>
          <w:sz w:val="32"/>
          <w:szCs w:val="32"/>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5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5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5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5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5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5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5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9"/>
        <w:spacing w:before="0"/>
        <w:ind w:firstLine="480"/>
        <w:rPr>
          <w:rFonts w:ascii="宋体"/>
          <w:kern w:val="0"/>
        </w:rPr>
      </w:pPr>
      <w:r>
        <w:rPr>
          <w:rFonts w:ascii="宋体" w:hAnsi="宋体" w:cs="宋体"/>
          <w:kern w:val="0"/>
        </w:rPr>
        <w:t>3.4.5</w:t>
      </w:r>
      <w:r>
        <w:rPr>
          <w:rFonts w:hint="eastAsia" w:ascii="宋体" w:hAnsi="宋体" w:cs="宋体"/>
          <w:kern w:val="0"/>
        </w:rPr>
        <w:t>对于未预留份额专门面向中小企业的政府采购货物或服务项目，以及预留份额政府采购货物或服务项目中的非预留部分标项，对小型和微型企业的投标报价给予2</w:t>
      </w:r>
      <w:r>
        <w:rPr>
          <w:rFonts w:ascii="宋体" w:hAnsi="宋体" w:cs="宋体"/>
          <w:kern w:val="0"/>
        </w:rPr>
        <w:t>0%</w:t>
      </w:r>
      <w:r>
        <w:rPr>
          <w:rFonts w:hint="eastAsia" w:ascii="宋体" w:hAnsi="宋体" w:cs="宋体"/>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kern w:val="0"/>
        </w:rPr>
        <w:t>30%</w:t>
      </w:r>
      <w:r>
        <w:rPr>
          <w:rFonts w:hint="eastAsia" w:ascii="宋体" w:hAnsi="宋体" w:cs="宋体"/>
          <w:kern w:val="0"/>
        </w:rPr>
        <w:t>以上的，对联合体或者大中型企业的报价给予6</w:t>
      </w:r>
      <w:r>
        <w:rPr>
          <w:rFonts w:ascii="宋体" w:hAnsi="宋体" w:cs="宋体"/>
          <w:kern w:val="0"/>
        </w:rPr>
        <w:t>%</w:t>
      </w:r>
      <w:r>
        <w:rPr>
          <w:rFonts w:hint="eastAsia" w:ascii="宋体" w:hAnsi="宋体" w:cs="宋体"/>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5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48"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spacing w:line="348" w:lineRule="auto"/>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48"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48"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48" w:lineRule="auto"/>
        <w:rPr>
          <w:rFonts w:cs="宋体"/>
        </w:rPr>
      </w:pPr>
      <w:r>
        <w:rPr>
          <w:rFonts w:hint="eastAsia" w:cs="宋体"/>
        </w:rPr>
        <w:t>5.1符合专业条件的供应商或者对招标文件作实质响应的供应商不足3家的；</w:t>
      </w:r>
    </w:p>
    <w:p>
      <w:pPr>
        <w:pStyle w:val="26"/>
        <w:snapToGrid w:val="0"/>
        <w:spacing w:line="348" w:lineRule="auto"/>
        <w:rPr>
          <w:rFonts w:cs="宋体"/>
        </w:rPr>
      </w:pPr>
      <w:r>
        <w:rPr>
          <w:rFonts w:hint="eastAsia" w:cs="宋体"/>
        </w:rPr>
        <w:t>5.2出现影响采购公正的违法、违规行为的；</w:t>
      </w:r>
    </w:p>
    <w:p>
      <w:pPr>
        <w:pStyle w:val="26"/>
        <w:snapToGrid w:val="0"/>
        <w:spacing w:line="348" w:lineRule="auto"/>
        <w:rPr>
          <w:rFonts w:cs="宋体"/>
        </w:rPr>
      </w:pPr>
      <w:r>
        <w:rPr>
          <w:rFonts w:hint="eastAsia" w:cs="宋体"/>
        </w:rPr>
        <w:t>5.3投标人的报价均超过了采购预算，采购人不能支付的；</w:t>
      </w:r>
    </w:p>
    <w:p>
      <w:pPr>
        <w:pStyle w:val="26"/>
        <w:snapToGrid w:val="0"/>
        <w:spacing w:line="348" w:lineRule="auto"/>
        <w:rPr>
          <w:rFonts w:cs="宋体"/>
        </w:rPr>
      </w:pPr>
      <w:r>
        <w:rPr>
          <w:rFonts w:hint="eastAsia" w:cs="宋体"/>
        </w:rPr>
        <w:t>5.4因重大变故，采购任务取消的。</w:t>
      </w:r>
    </w:p>
    <w:p>
      <w:pPr>
        <w:pStyle w:val="26"/>
        <w:snapToGrid w:val="0"/>
        <w:spacing w:line="348" w:lineRule="auto"/>
        <w:rPr>
          <w:rFonts w:cs="宋体"/>
        </w:rPr>
      </w:pPr>
      <w:r>
        <w:rPr>
          <w:rFonts w:hint="eastAsia" w:cs="宋体"/>
        </w:rPr>
        <w:t>废标后，采购机构应当将废标理由通知所有投标人。</w:t>
      </w:r>
    </w:p>
    <w:p>
      <w:pPr>
        <w:pStyle w:val="26"/>
        <w:snapToGrid w:val="0"/>
        <w:spacing w:line="348"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48"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48" w:lineRule="auto"/>
        <w:ind w:firstLine="600" w:firstLineChars="250"/>
        <w:rPr>
          <w:rFonts w:cs="宋体"/>
        </w:rPr>
      </w:pPr>
      <w:r>
        <w:rPr>
          <w:rFonts w:hint="eastAsia" w:cs="宋体"/>
        </w:rPr>
        <w:t>7.1未确定中标或者中标人的，终止本次政府采购活动，重新开展政府采购活动。</w:t>
      </w:r>
    </w:p>
    <w:p>
      <w:pPr>
        <w:pStyle w:val="26"/>
        <w:snapToGrid w:val="0"/>
        <w:spacing w:line="348"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48"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48" w:lineRule="auto"/>
        <w:rPr>
          <w:rFonts w:cs="宋体"/>
        </w:rPr>
      </w:pPr>
      <w:r>
        <w:rPr>
          <w:rFonts w:hint="eastAsia" w:cs="宋体"/>
        </w:rPr>
        <w:t>7.4政府采购合同已经履行，给采购人、供应商造成损失的，由责任人承担赔偿责任。</w:t>
      </w:r>
    </w:p>
    <w:p>
      <w:pPr>
        <w:pStyle w:val="26"/>
        <w:snapToGrid w:val="0"/>
        <w:spacing w:line="348"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24"/>
    <w:p>
      <w:pPr>
        <w:spacing w:line="360" w:lineRule="auto"/>
        <w:ind w:left="720" w:leftChars="343" w:firstLine="1084" w:firstLineChars="300"/>
        <w:outlineLvl w:val="0"/>
        <w:rPr>
          <w:rFonts w:ascii="宋体" w:hAnsi="宋体" w:cs="宋体"/>
          <w:b/>
          <w:sz w:val="36"/>
          <w:szCs w:val="36"/>
        </w:rPr>
      </w:pPr>
      <w:bookmarkStart w:id="28" w:name="第五部分"/>
      <w:bookmarkStart w:id="29" w:name="_Toc86217003"/>
      <w:r>
        <w:rPr>
          <w:rFonts w:hint="eastAsia" w:ascii="宋体" w:hAnsi="宋体" w:cs="宋体"/>
          <w:b/>
          <w:sz w:val="36"/>
          <w:szCs w:val="36"/>
        </w:rPr>
        <w:t xml:space="preserve"> </w:t>
      </w:r>
    </w:p>
    <w:p>
      <w:pPr>
        <w:pStyle w:val="45"/>
        <w:rPr>
          <w:rFonts w:ascii="宋体" w:hAnsi="宋体" w:cs="宋体"/>
          <w:b/>
          <w:sz w:val="36"/>
          <w:szCs w:val="36"/>
        </w:rPr>
      </w:pPr>
    </w:p>
    <w:p>
      <w:pPr>
        <w:rPr>
          <w:rFonts w:ascii="宋体" w:hAnsi="宋体" w:cs="宋体"/>
          <w:b/>
          <w:sz w:val="36"/>
          <w:szCs w:val="36"/>
        </w:rPr>
      </w:pPr>
    </w:p>
    <w:p>
      <w:pPr>
        <w:pStyle w:val="45"/>
        <w:rPr>
          <w:rFonts w:ascii="宋体" w:hAnsi="宋体" w:cs="宋体"/>
          <w:b/>
          <w:sz w:val="36"/>
          <w:szCs w:val="36"/>
        </w:rPr>
      </w:pPr>
    </w:p>
    <w:p>
      <w:pPr>
        <w:rPr>
          <w:rFonts w:ascii="宋体" w:hAnsi="宋体" w:cs="宋体"/>
          <w:b/>
          <w:sz w:val="36"/>
          <w:szCs w:val="36"/>
        </w:rPr>
      </w:pPr>
    </w:p>
    <w:p>
      <w:pPr>
        <w:pStyle w:val="45"/>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24"/>
        </w:rPr>
      </w:pPr>
      <w:r>
        <w:rPr>
          <w:rFonts w:hint="eastAsia" w:ascii="宋体" w:hAnsi="宋体" w:cs="宋体"/>
          <w:b/>
          <w:sz w:val="36"/>
          <w:szCs w:val="36"/>
        </w:rPr>
        <w:t>第五部分 拟签订的合同文本</w:t>
      </w:r>
    </w:p>
    <w:p>
      <w:pPr>
        <w:snapToGrid w:val="0"/>
        <w:spacing w:line="360" w:lineRule="auto"/>
        <w:ind w:firstLine="480" w:firstLineChars="200"/>
        <w:jc w:val="left"/>
        <w:rPr>
          <w:rStyle w:val="961"/>
          <w:rFonts w:ascii="宋体" w:hAnsi="宋体"/>
          <w:sz w:val="24"/>
        </w:rPr>
      </w:pPr>
      <w:bookmarkStart w:id="30" w:name="_Toc331685783"/>
      <w:r>
        <w:rPr>
          <w:rStyle w:val="961"/>
          <w:rFonts w:ascii="宋体" w:hAnsi="宋体"/>
          <w:sz w:val="24"/>
        </w:rPr>
        <w:t>说明：合同将由采购人（以下简称甲方）与经评审最终确定的中标人（以下简称乙方）结合本项目具体情况协商后签订，本合同为样稿。</w:t>
      </w:r>
    </w:p>
    <w:p>
      <w:pPr>
        <w:snapToGrid w:val="0"/>
        <w:spacing w:line="360" w:lineRule="auto"/>
        <w:rPr>
          <w:rStyle w:val="961"/>
          <w:rFonts w:ascii="宋体" w:hAnsi="宋体"/>
          <w:sz w:val="24"/>
        </w:rPr>
      </w:pPr>
    </w:p>
    <w:p>
      <w:pPr>
        <w:snapToGrid w:val="0"/>
        <w:spacing w:line="360" w:lineRule="auto"/>
        <w:rPr>
          <w:rStyle w:val="961"/>
          <w:rFonts w:ascii="宋体" w:hAnsi="宋体"/>
          <w:sz w:val="24"/>
          <w:u w:val="single"/>
        </w:rPr>
      </w:pPr>
      <w:r>
        <w:rPr>
          <w:rStyle w:val="961"/>
          <w:rFonts w:ascii="宋体" w:hAnsi="宋体"/>
          <w:sz w:val="24"/>
        </w:rPr>
        <w:t>合同编号：</w:t>
      </w:r>
    </w:p>
    <w:p>
      <w:pPr>
        <w:pStyle w:val="964"/>
        <w:spacing w:after="0"/>
        <w:ind w:firstLine="482"/>
        <w:jc w:val="center"/>
        <w:rPr>
          <w:rStyle w:val="961"/>
          <w:rFonts w:ascii="宋体" w:hAnsi="宋体"/>
          <w:b/>
          <w:szCs w:val="24"/>
        </w:rPr>
      </w:pPr>
    </w:p>
    <w:p>
      <w:pPr>
        <w:pStyle w:val="964"/>
        <w:spacing w:after="0"/>
        <w:ind w:left="0" w:leftChars="0" w:firstLineChars="0"/>
        <w:jc w:val="center"/>
        <w:rPr>
          <w:rStyle w:val="961"/>
          <w:rFonts w:ascii="宋体" w:hAnsi="宋体"/>
          <w:b/>
          <w:sz w:val="32"/>
          <w:szCs w:val="32"/>
        </w:rPr>
      </w:pPr>
      <w:r>
        <w:rPr>
          <w:rStyle w:val="961"/>
          <w:rFonts w:hint="eastAsia" w:ascii="宋体" w:hAnsi="宋体"/>
          <w:b/>
          <w:sz w:val="32"/>
          <w:szCs w:val="32"/>
        </w:rPr>
        <w:t>项目</w:t>
      </w:r>
      <w:r>
        <w:rPr>
          <w:rStyle w:val="961"/>
          <w:rFonts w:ascii="宋体" w:hAnsi="宋体"/>
          <w:b/>
          <w:sz w:val="32"/>
          <w:szCs w:val="32"/>
        </w:rPr>
        <w:t>采购合同书</w:t>
      </w:r>
    </w:p>
    <w:p>
      <w:pPr>
        <w:pStyle w:val="964"/>
        <w:spacing w:after="0"/>
        <w:rPr>
          <w:rStyle w:val="961"/>
          <w:rFonts w:ascii="宋体" w:hAnsi="宋体"/>
          <w:szCs w:val="24"/>
        </w:rPr>
      </w:pPr>
    </w:p>
    <w:p>
      <w:pPr>
        <w:pStyle w:val="964"/>
        <w:spacing w:after="0"/>
        <w:rPr>
          <w:rStyle w:val="961"/>
          <w:rFonts w:ascii="宋体" w:hAnsi="宋体"/>
          <w:szCs w:val="24"/>
        </w:rPr>
      </w:pPr>
    </w:p>
    <w:p>
      <w:pPr>
        <w:snapToGrid w:val="0"/>
        <w:spacing w:line="360" w:lineRule="auto"/>
        <w:rPr>
          <w:rStyle w:val="961"/>
          <w:rFonts w:ascii="宋体" w:hAnsi="宋体"/>
          <w:sz w:val="24"/>
        </w:rPr>
      </w:pPr>
    </w:p>
    <w:p>
      <w:pPr>
        <w:snapToGrid w:val="0"/>
        <w:spacing w:line="360" w:lineRule="auto"/>
        <w:ind w:left="960"/>
        <w:rPr>
          <w:rStyle w:val="961"/>
          <w:rFonts w:ascii="宋体" w:hAnsi="宋体"/>
          <w:sz w:val="24"/>
          <w:u w:val="single"/>
        </w:rPr>
      </w:pPr>
      <w:r>
        <w:rPr>
          <w:rStyle w:val="961"/>
          <w:rFonts w:ascii="宋体" w:hAnsi="宋体"/>
          <w:sz w:val="24"/>
        </w:rPr>
        <w:t>项目名称：</w:t>
      </w:r>
      <w:r>
        <w:rPr>
          <w:rStyle w:val="961"/>
          <w:rFonts w:hint="eastAsia" w:ascii="宋体" w:hAnsi="宋体"/>
          <w:sz w:val="24"/>
        </w:rPr>
        <w:t xml:space="preserve"> </w:t>
      </w:r>
      <w:r>
        <w:rPr>
          <w:rStyle w:val="961"/>
          <w:rFonts w:hint="eastAsia" w:ascii="宋体" w:hAnsi="宋体"/>
          <w:sz w:val="24"/>
          <w:u w:val="single"/>
        </w:rPr>
        <w:t xml:space="preserve">                                         </w:t>
      </w:r>
    </w:p>
    <w:p>
      <w:pPr>
        <w:pStyle w:val="967"/>
        <w:snapToGrid w:val="0"/>
        <w:rPr>
          <w:rStyle w:val="961"/>
          <w:rFonts w:ascii="宋体" w:hAnsi="宋体" w:eastAsia="宋体"/>
          <w:szCs w:val="24"/>
        </w:rPr>
      </w:pPr>
    </w:p>
    <w:p>
      <w:pPr>
        <w:snapToGrid w:val="0"/>
        <w:spacing w:line="360" w:lineRule="auto"/>
        <w:ind w:left="960"/>
        <w:rPr>
          <w:rStyle w:val="961"/>
          <w:rFonts w:ascii="宋体" w:hAnsi="宋体"/>
          <w:sz w:val="24"/>
          <w:u w:val="single"/>
        </w:rPr>
      </w:pPr>
      <w:r>
        <w:rPr>
          <w:rStyle w:val="961"/>
          <w:rFonts w:ascii="宋体" w:hAnsi="宋体"/>
          <w:sz w:val="24"/>
        </w:rPr>
        <w:t xml:space="preserve">甲  </w:t>
      </w:r>
      <w:r>
        <w:rPr>
          <w:rStyle w:val="961"/>
          <w:rFonts w:hint="eastAsia" w:ascii="宋体" w:hAnsi="宋体"/>
          <w:sz w:val="24"/>
        </w:rPr>
        <w:t xml:space="preserve"> </w:t>
      </w:r>
      <w:r>
        <w:rPr>
          <w:rStyle w:val="961"/>
          <w:rFonts w:ascii="宋体" w:hAnsi="宋体"/>
          <w:sz w:val="24"/>
        </w:rPr>
        <w:t>方：</w:t>
      </w:r>
      <w:r>
        <w:rPr>
          <w:rStyle w:val="961"/>
          <w:rFonts w:hint="eastAsia" w:ascii="宋体" w:hAnsi="宋体"/>
          <w:sz w:val="24"/>
          <w:u w:val="single"/>
        </w:rPr>
        <w:t xml:space="preserve">                                           </w:t>
      </w:r>
    </w:p>
    <w:p>
      <w:pPr>
        <w:snapToGrid w:val="0"/>
        <w:spacing w:line="360" w:lineRule="auto"/>
        <w:rPr>
          <w:rStyle w:val="961"/>
          <w:rFonts w:ascii="宋体" w:hAnsi="宋体"/>
          <w:sz w:val="24"/>
        </w:rPr>
      </w:pPr>
    </w:p>
    <w:p>
      <w:pPr>
        <w:snapToGrid w:val="0"/>
        <w:spacing w:line="360" w:lineRule="auto"/>
        <w:ind w:left="960"/>
        <w:rPr>
          <w:rStyle w:val="961"/>
          <w:rFonts w:ascii="宋体" w:hAnsi="宋体"/>
          <w:sz w:val="24"/>
          <w:u w:val="single"/>
        </w:rPr>
      </w:pPr>
      <w:r>
        <w:rPr>
          <w:rStyle w:val="961"/>
          <w:rFonts w:ascii="宋体" w:hAnsi="宋体"/>
          <w:sz w:val="24"/>
        </w:rPr>
        <w:t xml:space="preserve">乙  </w:t>
      </w:r>
      <w:r>
        <w:rPr>
          <w:rStyle w:val="961"/>
          <w:rFonts w:hint="eastAsia" w:ascii="宋体" w:hAnsi="宋体"/>
          <w:sz w:val="24"/>
        </w:rPr>
        <w:t xml:space="preserve"> </w:t>
      </w:r>
      <w:r>
        <w:rPr>
          <w:rStyle w:val="961"/>
          <w:rFonts w:ascii="宋体" w:hAnsi="宋体"/>
          <w:sz w:val="24"/>
        </w:rPr>
        <w:t>方：</w:t>
      </w:r>
      <w:r>
        <w:rPr>
          <w:rStyle w:val="961"/>
          <w:rFonts w:hint="eastAsia" w:ascii="宋体" w:hAnsi="宋体"/>
          <w:sz w:val="24"/>
        </w:rPr>
        <w:t xml:space="preserve"> </w:t>
      </w:r>
      <w:r>
        <w:rPr>
          <w:rStyle w:val="961"/>
          <w:rFonts w:hint="eastAsia" w:ascii="宋体" w:hAnsi="宋体"/>
          <w:sz w:val="24"/>
          <w:u w:val="single"/>
        </w:rPr>
        <w:t xml:space="preserve">                                          </w:t>
      </w:r>
    </w:p>
    <w:p>
      <w:pPr>
        <w:snapToGrid w:val="0"/>
        <w:spacing w:line="360" w:lineRule="auto"/>
        <w:rPr>
          <w:rStyle w:val="961"/>
          <w:rFonts w:ascii="宋体" w:hAnsi="宋体"/>
          <w:sz w:val="24"/>
        </w:rPr>
      </w:pPr>
    </w:p>
    <w:p>
      <w:pPr>
        <w:snapToGrid w:val="0"/>
        <w:spacing w:line="360" w:lineRule="auto"/>
        <w:ind w:firstLine="960" w:firstLineChars="400"/>
        <w:rPr>
          <w:rStyle w:val="961"/>
          <w:rFonts w:ascii="宋体" w:hAnsi="宋体"/>
          <w:sz w:val="24"/>
          <w:u w:val="single"/>
        </w:rPr>
      </w:pPr>
      <w:r>
        <w:rPr>
          <w:rStyle w:val="961"/>
          <w:rFonts w:ascii="宋体" w:hAnsi="宋体"/>
          <w:sz w:val="24"/>
        </w:rPr>
        <w:t>签订地：</w:t>
      </w:r>
      <w:r>
        <w:rPr>
          <w:rStyle w:val="961"/>
          <w:rFonts w:hint="eastAsia" w:ascii="宋体" w:hAnsi="宋体"/>
          <w:sz w:val="24"/>
          <w:u w:val="single"/>
        </w:rPr>
        <w:t xml:space="preserve">                                            </w:t>
      </w:r>
    </w:p>
    <w:p>
      <w:pPr>
        <w:snapToGrid w:val="0"/>
        <w:spacing w:line="360" w:lineRule="auto"/>
        <w:rPr>
          <w:rStyle w:val="961"/>
          <w:rFonts w:ascii="宋体" w:hAnsi="宋体"/>
          <w:sz w:val="24"/>
        </w:rPr>
      </w:pPr>
    </w:p>
    <w:p>
      <w:pPr>
        <w:snapToGrid w:val="0"/>
        <w:spacing w:line="360" w:lineRule="auto"/>
        <w:ind w:firstLine="960" w:firstLineChars="400"/>
        <w:rPr>
          <w:rStyle w:val="961"/>
          <w:rFonts w:ascii="宋体" w:hAnsi="宋体"/>
          <w:sz w:val="24"/>
          <w:u w:val="single"/>
        </w:rPr>
      </w:pPr>
      <w:r>
        <w:rPr>
          <w:rStyle w:val="961"/>
          <w:rFonts w:ascii="宋体" w:hAnsi="宋体"/>
          <w:sz w:val="24"/>
        </w:rPr>
        <w:t>签订日期：</w:t>
      </w:r>
      <w:r>
        <w:rPr>
          <w:rStyle w:val="961"/>
          <w:rFonts w:hint="eastAsia" w:ascii="宋体" w:hAnsi="宋体"/>
          <w:sz w:val="24"/>
        </w:rPr>
        <w:t xml:space="preserve">   </w:t>
      </w:r>
      <w:r>
        <w:rPr>
          <w:rStyle w:val="961"/>
          <w:rFonts w:ascii="宋体" w:hAnsi="宋体"/>
          <w:sz w:val="24"/>
        </w:rPr>
        <w:t>年</w:t>
      </w:r>
      <w:r>
        <w:rPr>
          <w:rStyle w:val="961"/>
          <w:rFonts w:hint="eastAsia" w:ascii="宋体" w:hAnsi="宋体"/>
          <w:sz w:val="24"/>
        </w:rPr>
        <w:t xml:space="preserve">  </w:t>
      </w:r>
      <w:r>
        <w:rPr>
          <w:rStyle w:val="961"/>
          <w:rFonts w:ascii="宋体" w:hAnsi="宋体"/>
          <w:sz w:val="24"/>
        </w:rPr>
        <w:t>月</w:t>
      </w:r>
      <w:r>
        <w:rPr>
          <w:rStyle w:val="961"/>
          <w:rFonts w:hint="eastAsia" w:ascii="宋体" w:hAnsi="宋体"/>
          <w:sz w:val="24"/>
        </w:rPr>
        <w:t xml:space="preserve">  </w:t>
      </w:r>
      <w:r>
        <w:rPr>
          <w:rStyle w:val="961"/>
          <w:rFonts w:ascii="宋体" w:hAnsi="宋体"/>
          <w:sz w:val="24"/>
        </w:rPr>
        <w:t>日</w:t>
      </w:r>
    </w:p>
    <w:p>
      <w:pPr>
        <w:snapToGrid w:val="0"/>
        <w:spacing w:line="360" w:lineRule="auto"/>
        <w:ind w:firstLine="640"/>
        <w:jc w:val="center"/>
        <w:rPr>
          <w:rStyle w:val="961"/>
          <w:rFonts w:ascii="宋体" w:hAnsi="宋体"/>
          <w:sz w:val="24"/>
        </w:rPr>
        <w:sectPr>
          <w:headerReference r:id="rId9" w:type="default"/>
          <w:footerReference r:id="rId10" w:type="default"/>
          <w:pgSz w:w="11905" w:h="16838"/>
          <w:pgMar w:top="1701" w:right="1417" w:bottom="1417" w:left="1417" w:header="851" w:footer="992" w:gutter="0"/>
          <w:pgNumType w:fmt="decimal"/>
          <w:cols w:space="720" w:num="1"/>
          <w:titlePg/>
          <w:docGrid w:linePitch="462" w:charSpace="0"/>
        </w:sectPr>
      </w:pP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甲方：</w:t>
      </w:r>
      <w:r>
        <w:rPr>
          <w:rFonts w:hint="eastAsia" w:ascii="宋体" w:hAnsi="宋体" w:cs="宋体"/>
          <w:color w:val="000000"/>
          <w:sz w:val="24"/>
          <w:u w:val="single"/>
        </w:rPr>
        <w:t xml:space="preserve">                                      </w:t>
      </w:r>
      <w:r>
        <w:rPr>
          <w:rFonts w:hint="eastAsia" w:ascii="宋体" w:hAnsi="宋体" w:cs="宋体"/>
          <w:color w:val="000000"/>
          <w:sz w:val="24"/>
        </w:rPr>
        <w:t>（以下简称甲方）</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乙方：</w:t>
      </w:r>
      <w:r>
        <w:rPr>
          <w:rFonts w:hint="eastAsia" w:ascii="宋体" w:hAnsi="宋体" w:cs="宋体"/>
          <w:color w:val="000000"/>
          <w:sz w:val="24"/>
          <w:u w:val="single"/>
        </w:rPr>
        <w:t xml:space="preserve">                                      </w:t>
      </w:r>
      <w:r>
        <w:rPr>
          <w:rFonts w:hint="eastAsia" w:ascii="宋体" w:hAnsi="宋体" w:cs="宋体"/>
          <w:color w:val="000000"/>
          <w:sz w:val="24"/>
        </w:rPr>
        <w:t>（以下简称乙方）</w:t>
      </w:r>
    </w:p>
    <w:p>
      <w:pPr>
        <w:snapToGrid w:val="0"/>
        <w:spacing w:line="360" w:lineRule="auto"/>
        <w:ind w:firstLine="480"/>
        <w:jc w:val="left"/>
        <w:rPr>
          <w:rFonts w:ascii="宋体" w:hAnsi="宋体" w:cs="宋体"/>
          <w:color w:val="000000"/>
          <w:sz w:val="24"/>
        </w:rPr>
      </w:pPr>
      <w:r>
        <w:rPr>
          <w:rFonts w:hint="eastAsia" w:ascii="宋体" w:hAnsi="宋体" w:cs="宋体"/>
          <w:color w:val="000000"/>
          <w:sz w:val="24"/>
          <w:lang w:val="zh-CN"/>
        </w:rPr>
        <w:t>根据《中华人民共和国民法典》、《中华人民共和国政府采购法》等相关法律法规之规定，按照平等、自愿、公平和诚实信用的原则，经</w:t>
      </w:r>
      <w:r>
        <w:rPr>
          <w:rFonts w:hint="eastAsia" w:ascii="宋体" w:hAnsi="宋体" w:cs="宋体"/>
          <w:color w:val="000000"/>
          <w:sz w:val="24"/>
          <w:u w:val="single"/>
        </w:rPr>
        <w:t xml:space="preserve">   </w:t>
      </w:r>
      <w:r>
        <w:rPr>
          <w:rFonts w:hint="eastAsia" w:ascii="宋体" w:hAnsi="宋体" w:cs="宋体"/>
          <w:color w:val="000000"/>
          <w:sz w:val="24"/>
          <w:u w:val="single"/>
          <w:lang w:val="zh-CN"/>
        </w:rPr>
        <w:t>杭州市滨江区综合行政执法局</w:t>
      </w:r>
      <w:r>
        <w:rPr>
          <w:rFonts w:hint="eastAsia" w:ascii="宋体" w:hAnsi="宋体" w:cs="宋体"/>
          <w:color w:val="000000"/>
          <w:sz w:val="24"/>
          <w:u w:val="single"/>
        </w:rPr>
        <w:t xml:space="preserve">   </w:t>
      </w:r>
      <w:r>
        <w:rPr>
          <w:rFonts w:hint="eastAsia" w:ascii="宋体" w:hAnsi="宋体" w:cs="宋体"/>
          <w:color w:val="000000"/>
          <w:sz w:val="24"/>
          <w:lang w:val="zh-CN"/>
        </w:rPr>
        <w:t>(以下简称：甲方)和</w:t>
      </w:r>
      <w:r>
        <w:rPr>
          <w:rFonts w:hint="eastAsia" w:ascii="宋体" w:hAnsi="宋体" w:cs="宋体"/>
          <w:color w:val="000000"/>
          <w:sz w:val="24"/>
          <w:u w:val="single"/>
        </w:rPr>
        <w:t xml:space="preserve">   （中标供应商名称）   </w:t>
      </w:r>
      <w:r>
        <w:rPr>
          <w:rFonts w:hint="eastAsia" w:ascii="宋体" w:hAnsi="宋体" w:cs="宋体"/>
          <w:color w:val="000000"/>
          <w:sz w:val="24"/>
          <w:lang w:val="zh-CN"/>
        </w:rPr>
        <w:t>(以下简称：乙方)协商一致，约定以下合同</w:t>
      </w:r>
      <w:r>
        <w:rPr>
          <w:rFonts w:hint="eastAsia" w:ascii="宋体" w:hAnsi="宋体" w:cs="宋体"/>
          <w:color w:val="000000"/>
          <w:sz w:val="24"/>
        </w:rPr>
        <w:t>条款，以兹共同遵守、全面履行。</w:t>
      </w:r>
    </w:p>
    <w:bookmarkEnd w:id="30"/>
    <w:p>
      <w:pPr>
        <w:snapToGrid w:val="0"/>
        <w:spacing w:line="360" w:lineRule="auto"/>
        <w:ind w:firstLine="482" w:firstLineChars="200"/>
        <w:rPr>
          <w:rFonts w:ascii="宋体" w:hAnsi="宋体" w:cs="宋体"/>
          <w:b/>
          <w:bCs/>
          <w:snapToGrid w:val="0"/>
          <w:color w:val="auto"/>
          <w:sz w:val="24"/>
          <w:highlight w:val="none"/>
        </w:rPr>
      </w:pPr>
      <w:r>
        <w:rPr>
          <w:rFonts w:hint="eastAsia" w:ascii="宋体" w:hAnsi="宋体" w:cs="宋体"/>
          <w:b/>
          <w:bCs/>
          <w:snapToGrid w:val="0"/>
          <w:color w:val="auto"/>
          <w:sz w:val="24"/>
          <w:highlight w:val="none"/>
        </w:rPr>
        <w:t>第一条：养护服务期限</w:t>
      </w:r>
    </w:p>
    <w:p>
      <w:pPr>
        <w:snapToGrid w:val="0"/>
        <w:spacing w:line="360" w:lineRule="auto"/>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三年，自  年  月  日起至  年 月  日止。考核每年一次，在合同期限内，乙方能严格履行合同，绩效评价好，年养护考核合格或以上，甲方支付相应的维护费。</w:t>
      </w:r>
    </w:p>
    <w:p>
      <w:pPr>
        <w:snapToGrid w:val="0"/>
        <w:spacing w:line="360" w:lineRule="auto"/>
        <w:ind w:firstLine="482" w:firstLineChars="200"/>
        <w:rPr>
          <w:rFonts w:ascii="宋体" w:hAnsi="宋体" w:cs="宋体"/>
          <w:b/>
          <w:bCs/>
          <w:snapToGrid w:val="0"/>
          <w:color w:val="auto"/>
          <w:sz w:val="24"/>
          <w:highlight w:val="none"/>
        </w:rPr>
      </w:pPr>
      <w:r>
        <w:rPr>
          <w:rFonts w:hint="eastAsia" w:ascii="宋体" w:hAnsi="宋体" w:cs="宋体"/>
          <w:b/>
          <w:bCs/>
          <w:snapToGrid w:val="0"/>
          <w:color w:val="auto"/>
          <w:sz w:val="24"/>
          <w:highlight w:val="none"/>
        </w:rPr>
        <w:t>第二条：养护目的、范围、数量、单价</w:t>
      </w:r>
    </w:p>
    <w:p>
      <w:pPr>
        <w:pStyle w:val="112"/>
        <w:tabs>
          <w:tab w:val="center" w:pos="4201"/>
          <w:tab w:val="right" w:leader="dot" w:pos="9298"/>
        </w:tabs>
        <w:adjustRightInd w:val="0"/>
        <w:snapToGrid w:val="0"/>
        <w:spacing w:line="360" w:lineRule="auto"/>
        <w:ind w:firstLine="480"/>
        <w:rPr>
          <w:rFonts w:hAnsi="宋体" w:cs="宋体"/>
          <w:color w:val="auto"/>
          <w:kern w:val="2"/>
          <w:sz w:val="24"/>
          <w:szCs w:val="24"/>
          <w:highlight w:val="none"/>
        </w:rPr>
      </w:pPr>
      <w:r>
        <w:rPr>
          <w:rFonts w:hint="eastAsia" w:hAnsi="宋体" w:cs="宋体"/>
          <w:bCs/>
          <w:snapToGrid w:val="0"/>
          <w:color w:val="auto"/>
          <w:sz w:val="24"/>
          <w:szCs w:val="24"/>
          <w:highlight w:val="none"/>
        </w:rPr>
        <w:t>1.养护目的：</w:t>
      </w:r>
      <w:r>
        <w:rPr>
          <w:rFonts w:hint="eastAsia" w:hAnsi="宋体" w:cs="宋体"/>
          <w:color w:val="auto"/>
          <w:sz w:val="24"/>
          <w:szCs w:val="24"/>
          <w:highlight w:val="none"/>
        </w:rPr>
        <w:t>对杭州市滨江区区范围内的路灯照明设施进行养护维修作业，确保路灯设施安全运行。</w:t>
      </w:r>
    </w:p>
    <w:p>
      <w:pPr>
        <w:pStyle w:val="968"/>
        <w:spacing w:line="360" w:lineRule="auto"/>
        <w:ind w:firstLine="480"/>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2、养护范围：杭州市滨江区范围内区管的城市道路路灯及附属设施。</w:t>
      </w:r>
    </w:p>
    <w:p>
      <w:pPr>
        <w:pStyle w:val="968"/>
        <w:spacing w:line="360" w:lineRule="auto"/>
        <w:ind w:firstLine="480"/>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3、养护数量：路灯暂估量为</w:t>
      </w:r>
      <w:r>
        <w:rPr>
          <w:rFonts w:hint="eastAsia" w:ascii="宋体" w:hAnsi="宋体" w:eastAsia="宋体" w:cs="宋体"/>
          <w:color w:val="auto"/>
          <w:kern w:val="0"/>
          <w:sz w:val="24"/>
          <w:szCs w:val="24"/>
          <w:highlight w:val="none"/>
          <w:u w:val="single"/>
          <w:lang w:val="en-US" w:eastAsia="zh-CN" w:bidi="ar-SA"/>
        </w:rPr>
        <w:t>27000</w:t>
      </w:r>
      <w:r>
        <w:rPr>
          <w:rFonts w:hint="eastAsia" w:ascii="宋体" w:hAnsi="宋体" w:eastAsia="宋体" w:cs="宋体"/>
          <w:color w:val="auto"/>
          <w:kern w:val="0"/>
          <w:sz w:val="24"/>
          <w:szCs w:val="24"/>
          <w:highlight w:val="none"/>
          <w:lang w:val="en-US" w:eastAsia="zh-CN" w:bidi="ar-SA"/>
        </w:rPr>
        <w:t>盏，以及路灯附属设施，具体数量根据实际普查结果动态调整。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4.合同金额及付款方式：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（1）养护数量：根据甲方的普查结果计算，原则上设施量每半年普查一次，根据普查结果动态调整。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（2）养护单价：路灯养护费以盏为计算单位，单盏年维护费为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line="360" w:lineRule="auto"/>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shd w:val="pct10" w:color="auto" w:fill="FFFFFF"/>
        </w:rPr>
        <w:t>（3）合同总价：年养护合同总价不超过</w:t>
      </w:r>
      <w:r>
        <w:rPr>
          <w:rFonts w:hint="eastAsia" w:ascii="宋体" w:hAnsi="宋体" w:cs="宋体"/>
          <w:color w:val="auto"/>
          <w:sz w:val="24"/>
          <w:highlight w:val="none"/>
          <w:u w:val="single"/>
          <w:shd w:val="pct10" w:color="auto" w:fill="FFFFFF"/>
        </w:rPr>
        <w:t xml:space="preserve">      </w:t>
      </w:r>
      <w:r>
        <w:rPr>
          <w:rFonts w:hint="eastAsia" w:ascii="宋体" w:hAnsi="宋体" w:cs="宋体"/>
          <w:color w:val="auto"/>
          <w:sz w:val="24"/>
          <w:highlight w:val="none"/>
          <w:shd w:val="pct10" w:color="auto" w:fill="FFFFFF"/>
        </w:rPr>
        <w:t>万元。</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第三条：养护的涵义及内容</w:t>
      </w:r>
    </w:p>
    <w:p>
      <w:pPr>
        <w:snapToGrid w:val="0"/>
        <w:spacing w:line="360" w:lineRule="auto"/>
        <w:ind w:right="25" w:rightChars="12" w:firstLine="480" w:firstLineChars="200"/>
        <w:rPr>
          <w:rFonts w:ascii="宋体" w:hAnsi="宋体" w:cs="宋体"/>
          <w:color w:val="auto"/>
          <w:sz w:val="24"/>
          <w:highlight w:val="none"/>
        </w:rPr>
      </w:pPr>
      <w:r>
        <w:rPr>
          <w:rFonts w:hint="eastAsia" w:ascii="宋体" w:hAnsi="宋体" w:cs="宋体"/>
          <w:color w:val="auto"/>
          <w:sz w:val="24"/>
          <w:highlight w:val="none"/>
        </w:rPr>
        <w:t>1.养护的涵义：是指对杭州市滨江区范围内路灯照明设施的光源、灯具及配件、灯杆、支架、配电箱、地上（地下）管道、电线（电缆）、工作井、控制器、标识牌、附属设备等设施，进行日常维修、检测、更换、保洁、保养、油漆、设施巡查、防盗（看护、处理）、撞杆处理、应急保障（如防汛、抗台、抗雪、临时或重大任务保障）等处置，以保证路灯设施安全正常运行。</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2.养护的内容：</w:t>
      </w:r>
    </w:p>
    <w:p>
      <w:pPr>
        <w:spacing w:line="360" w:lineRule="auto"/>
        <w:ind w:right="29" w:firstLine="480" w:firstLineChars="200"/>
        <w:rPr>
          <w:rFonts w:ascii="宋体" w:hAnsi="宋体" w:cs="宋体"/>
          <w:color w:val="000000"/>
          <w:kern w:val="0"/>
          <w:sz w:val="24"/>
          <w:highlight w:val="none"/>
        </w:rPr>
      </w:pPr>
      <w:r>
        <w:rPr>
          <w:rFonts w:hint="eastAsia" w:ascii="宋体" w:hAnsi="宋体" w:cs="宋体"/>
          <w:color w:val="000000"/>
          <w:kern w:val="0"/>
          <w:sz w:val="24"/>
        </w:rPr>
        <w:t>道路功能照明灯具应每周至少巡检一次；架空线路每半年巡检一次；地埋电缆线路每年巡检一次；接地(或接零)装置每年在干燥季节巡检一次；独立的防雷装置应在每年的雷雨季节前巡检一次；漏电保护装置应每季巡检一次；集中控制装置、照明节电装置或其他智慧照明装置每半年巡检一次；</w:t>
      </w:r>
      <w:r>
        <w:rPr>
          <w:rFonts w:hint="eastAsia" w:ascii="宋体" w:hAnsi="宋体" w:cs="宋体"/>
          <w:color w:val="000000"/>
          <w:kern w:val="0"/>
          <w:sz w:val="24"/>
          <w:highlight w:val="none"/>
        </w:rPr>
        <w:t>中、高杆照明设施的卷扬机、钢丝绳、减速箱、导向滑轮等转动系统和控制系统应每年检修一次,并添加润滑油。设施被盜频发地段应安排防盜人员每天巡查；连续高温、台风、雷雨或冰雪等特殊自然灾害性气候，应按城市照明监管机构要求进行防火、防汛、防台、防雷、抗雪等专项检查，并增加巡检次数，必要时作临时断电处理；</w:t>
      </w:r>
      <w:r>
        <w:rPr>
          <w:rFonts w:hint="eastAsia" w:ascii="宋体" w:hAnsi="宋体" w:cs="宋体"/>
          <w:snapToGrid w:val="0"/>
          <w:color w:val="000000"/>
          <w:kern w:val="0"/>
          <w:sz w:val="24"/>
          <w:highlight w:val="none"/>
        </w:rPr>
        <w:t>做好照明设施的迁移、占用、改造等相关项目配合工作。</w:t>
      </w:r>
    </w:p>
    <w:p>
      <w:pPr>
        <w:spacing w:line="360" w:lineRule="auto"/>
        <w:ind w:right="29" w:firstLine="480" w:firstLineChars="200"/>
        <w:rPr>
          <w:rFonts w:ascii="宋体" w:hAnsi="宋体" w:cs="宋体"/>
          <w:color w:val="000000"/>
          <w:sz w:val="24"/>
          <w:highlight w:val="none"/>
        </w:rPr>
      </w:pPr>
      <w:r>
        <w:rPr>
          <w:rFonts w:hint="eastAsia" w:ascii="宋体" w:hAnsi="宋体" w:cs="宋体"/>
          <w:color w:val="000000"/>
          <w:sz w:val="24"/>
          <w:highlight w:val="none"/>
        </w:rPr>
        <w:t>巡查时需对存在问题的亮灯点位进行拍照、上报、留档记录。照片等影像资料需要有时间地点等水印。存在问题的亮灯点位整改后同样需要拍照留档，并将整改前后的对比照片按月度编制好后报</w:t>
      </w:r>
      <w:r>
        <w:rPr>
          <w:rFonts w:hint="eastAsia" w:ascii="宋体" w:hAnsi="宋体" w:cs="宋体"/>
          <w:color w:val="000000"/>
          <w:sz w:val="24"/>
          <w:highlight w:val="none"/>
          <w:lang w:val="en-US" w:eastAsia="zh-CN"/>
        </w:rPr>
        <w:t>甲方</w:t>
      </w:r>
      <w:r>
        <w:rPr>
          <w:rFonts w:hint="eastAsia" w:ascii="宋体" w:hAnsi="宋体" w:cs="宋体"/>
          <w:color w:val="000000"/>
          <w:sz w:val="24"/>
          <w:highlight w:val="none"/>
        </w:rPr>
        <w:t>。每次巡检都需要留存巡检记录和影像资料，以备查验。</w:t>
      </w:r>
    </w:p>
    <w:p>
      <w:pPr>
        <w:pStyle w:val="968"/>
        <w:spacing w:line="360" w:lineRule="auto"/>
        <w:ind w:firstLine="420"/>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3.设施清洁、油漆：路灯设施每半年清洁一次；灯杆、灯架和配电箱柜等锈蚀或油漆脱落面积10%以内的补漆。</w:t>
      </w:r>
    </w:p>
    <w:p>
      <w:pPr>
        <w:spacing w:line="360" w:lineRule="auto"/>
        <w:ind w:right="29" w:firstLine="480" w:firstLineChars="200"/>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rPr>
        <w:t>4.照明设施故障修复时间：单灯缺亮，1个工作日内修复；电线裸露、杆线吊挂、灯具脱落、灯杆倾斜、灯杆或门盖缺失、电缆井盖缺失等，应在1个小时内进行安全预措施，并在24小时内修复；发生大面积熄灯故障，24小时内修复；集中控制装置或其他智慧照明装置损坏，或控制时间、地点出现差错的，应在24小时内修复；因特殊情况可在规定时间内提出延期申请。如因养护单位未按照合同要求进行保养造成的损坏,由养护单位承担相应责任</w:t>
      </w:r>
      <w:r>
        <w:rPr>
          <w:rFonts w:hint="eastAsia" w:ascii="宋体" w:hAnsi="宋体" w:cs="宋体"/>
          <w:color w:val="000000"/>
          <w:kern w:val="0"/>
          <w:sz w:val="24"/>
          <w:highlight w:val="none"/>
          <w:lang w:eastAsia="zh-CN"/>
        </w:rPr>
        <w:t>。</w:t>
      </w:r>
    </w:p>
    <w:p>
      <w:pPr>
        <w:spacing w:line="360" w:lineRule="auto"/>
        <w:ind w:right="29" w:firstLine="480" w:firstLineChars="200"/>
        <w:rPr>
          <w:rFonts w:ascii="宋体" w:hAnsi="宋体" w:cs="宋体"/>
          <w:color w:val="000000"/>
          <w:sz w:val="24"/>
        </w:rPr>
      </w:pPr>
      <w:r>
        <w:rPr>
          <w:rFonts w:hint="eastAsia" w:ascii="宋体" w:hAnsi="宋体" w:cs="宋体"/>
          <w:color w:val="000000"/>
          <w:kern w:val="0"/>
          <w:sz w:val="24"/>
          <w:highlight w:val="none"/>
        </w:rPr>
        <w:t>5.</w:t>
      </w:r>
      <w:r>
        <w:rPr>
          <w:rFonts w:hint="eastAsia" w:ascii="宋体" w:hAnsi="宋体" w:cs="宋体"/>
          <w:color w:val="000000"/>
          <w:sz w:val="24"/>
          <w:highlight w:val="none"/>
        </w:rPr>
        <w:t xml:space="preserve"> 遭遇非养护原因引起的意外事故（如雷击）或人为破坏造成的</w:t>
      </w:r>
      <w:r>
        <w:rPr>
          <w:rFonts w:hint="eastAsia" w:ascii="宋体" w:hAnsi="宋体" w:cs="宋体"/>
          <w:color w:val="000000"/>
          <w:sz w:val="24"/>
        </w:rPr>
        <w:t>设施损坏，须立即采取应急抢修措施，避免养护范围内的所有设施遭受破坏，并做好赔偿、修复的调查工作。除不可抗力的自然环境因素外，因偷盗等人为因素导致的景观照明设施故障，养护单位应第一时间向</w:t>
      </w:r>
      <w:r>
        <w:rPr>
          <w:rFonts w:hint="eastAsia" w:ascii="宋体" w:hAnsi="宋体" w:cs="宋体"/>
          <w:color w:val="000000"/>
          <w:sz w:val="24"/>
          <w:lang w:val="en-US" w:eastAsia="zh-CN"/>
        </w:rPr>
        <w:t>甲方</w:t>
      </w:r>
      <w:r>
        <w:rPr>
          <w:rFonts w:hint="eastAsia" w:ascii="宋体" w:hAnsi="宋体" w:cs="宋体"/>
          <w:color w:val="000000"/>
          <w:sz w:val="24"/>
        </w:rPr>
        <w:t>报告，必要时报警，并及时更换或维修故障设施，相关费用由</w:t>
      </w:r>
      <w:r>
        <w:rPr>
          <w:rFonts w:hint="eastAsia" w:ascii="宋体" w:hAnsi="宋体" w:cs="宋体"/>
          <w:color w:val="000000"/>
          <w:sz w:val="24"/>
          <w:lang w:val="en-US" w:eastAsia="zh-CN"/>
        </w:rPr>
        <w:t>乙方</w:t>
      </w:r>
      <w:r>
        <w:rPr>
          <w:rFonts w:hint="eastAsia" w:ascii="宋体" w:hAnsi="宋体" w:cs="宋体"/>
          <w:color w:val="000000"/>
          <w:sz w:val="24"/>
        </w:rPr>
        <w:t>自行承担。</w:t>
      </w:r>
    </w:p>
    <w:p>
      <w:pPr>
        <w:pStyle w:val="968"/>
        <w:spacing w:line="360" w:lineRule="auto"/>
        <w:ind w:firstLine="420"/>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lang w:val="en-US" w:eastAsia="zh-CN" w:bidi="ar-SA"/>
        </w:rPr>
        <w:t>6.设施防腐处理：灯杆、灯</w:t>
      </w:r>
      <w:r>
        <w:rPr>
          <w:rFonts w:hint="eastAsia" w:ascii="宋体" w:hAnsi="宋体" w:eastAsia="宋体" w:cs="宋体"/>
          <w:color w:val="000000"/>
          <w:kern w:val="0"/>
          <w:sz w:val="24"/>
          <w:szCs w:val="24"/>
          <w:highlight w:val="none"/>
          <w:lang w:val="en-US" w:eastAsia="zh-CN" w:bidi="ar-SA"/>
        </w:rPr>
        <w:t>架、吊线等受力受压件，以及依附其上的承重螺丝，和控制柜等附属设施，锈蚀深度不超过10%，其他非受力零部件，锈蚀深度不超过25%。锈蚀深度超过要求的零部件，应予以更换。</w:t>
      </w:r>
    </w:p>
    <w:p>
      <w:pPr>
        <w:pStyle w:val="968"/>
        <w:spacing w:line="360" w:lineRule="auto"/>
        <w:ind w:firstLine="420"/>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7.活动保障：对政府大型活动，外事等活动提供完善的保障方案和实施24小时值班制度，并确保设施完好率、亮灯率、整洁率达到100%。</w:t>
      </w:r>
    </w:p>
    <w:p>
      <w:pPr>
        <w:tabs>
          <w:tab w:val="left" w:pos="900"/>
        </w:tabs>
        <w:snapToGrid w:val="0"/>
        <w:spacing w:line="360" w:lineRule="auto"/>
        <w:ind w:firstLine="480" w:firstLineChars="200"/>
        <w:rPr>
          <w:rFonts w:hint="eastAsia" w:ascii="宋体" w:hAnsi="宋体" w:eastAsia="宋体" w:cs="宋体"/>
          <w:snapToGrid w:val="0"/>
          <w:color w:val="000000"/>
          <w:kern w:val="0"/>
          <w:sz w:val="24"/>
          <w:highlight w:val="none"/>
          <w:lang w:eastAsia="zh-CN"/>
        </w:rPr>
      </w:pPr>
      <w:r>
        <w:rPr>
          <w:rFonts w:hint="eastAsia" w:ascii="宋体" w:hAnsi="宋体" w:cs="宋体"/>
          <w:snapToGrid w:val="0"/>
          <w:color w:val="000000"/>
          <w:kern w:val="0"/>
          <w:sz w:val="24"/>
          <w:highlight w:val="none"/>
        </w:rPr>
        <w:t>8.</w:t>
      </w:r>
      <w:r>
        <w:rPr>
          <w:rFonts w:hint="eastAsia" w:ascii="宋体" w:hAnsi="宋体" w:cs="宋体"/>
          <w:snapToGrid w:val="0"/>
          <w:color w:val="000000"/>
          <w:kern w:val="0"/>
          <w:sz w:val="24"/>
          <w:highlight w:val="none"/>
          <w:lang w:val="en-US" w:eastAsia="zh-CN"/>
        </w:rPr>
        <w:t>乙方</w:t>
      </w:r>
      <w:r>
        <w:rPr>
          <w:rFonts w:hint="eastAsia" w:ascii="宋体" w:hAnsi="宋体" w:cs="宋体"/>
          <w:snapToGrid w:val="0"/>
          <w:color w:val="000000"/>
          <w:kern w:val="0"/>
          <w:sz w:val="24"/>
          <w:highlight w:val="none"/>
        </w:rPr>
        <w:t>应配合路灯专用箱变养护单位做好养护检测、应急抢修等保障工作</w:t>
      </w:r>
      <w:r>
        <w:rPr>
          <w:rFonts w:hint="eastAsia" w:ascii="宋体" w:hAnsi="宋体" w:cs="宋体"/>
          <w:snapToGrid w:val="0"/>
          <w:color w:val="000000"/>
          <w:kern w:val="0"/>
          <w:sz w:val="24"/>
          <w:highlight w:val="none"/>
          <w:lang w:eastAsia="zh-CN"/>
        </w:rPr>
        <w:t>。</w:t>
      </w:r>
    </w:p>
    <w:p>
      <w:pPr>
        <w:snapToGrid w:val="0"/>
        <w:spacing w:line="360" w:lineRule="auto"/>
        <w:ind w:right="25" w:rightChars="12" w:firstLine="482" w:firstLineChars="200"/>
        <w:rPr>
          <w:rFonts w:ascii="宋体" w:hAnsi="宋体" w:cs="宋体"/>
          <w:b/>
          <w:color w:val="000000"/>
          <w:sz w:val="24"/>
          <w:highlight w:val="none"/>
        </w:rPr>
      </w:pPr>
      <w:r>
        <w:rPr>
          <w:rFonts w:hint="eastAsia" w:ascii="宋体" w:hAnsi="宋体" w:cs="宋体"/>
          <w:b/>
          <w:color w:val="000000"/>
          <w:sz w:val="24"/>
          <w:highlight w:val="none"/>
        </w:rPr>
        <w:t>第四条：养护方式</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1.乙方在确定的范围内以包工包料的方式实施路灯养护单价包干，总价按实际设施量结算。</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2.除特殊材料及新工艺、新材料需报甲方认可外，养护所需一般材料、成品、设备等，均由乙方自行解决，对无法使用的灯具、光源、电器等，更换时品牌的选择应与原使用品牌相同。对无法采购到的光源,经甲方同意,可采用不低于同类光源、电器的其它品牌。</w:t>
      </w:r>
    </w:p>
    <w:p>
      <w:pPr>
        <w:snapToGrid w:val="0"/>
        <w:spacing w:line="360" w:lineRule="auto"/>
        <w:ind w:right="25" w:rightChars="12" w:firstLine="482" w:firstLineChars="200"/>
        <w:rPr>
          <w:rFonts w:ascii="宋体" w:hAnsi="宋体" w:cs="宋体"/>
          <w:b/>
          <w:color w:val="000000"/>
          <w:sz w:val="24"/>
        </w:rPr>
      </w:pPr>
      <w:r>
        <w:rPr>
          <w:rFonts w:hint="eastAsia" w:ascii="宋体" w:hAnsi="宋体" w:cs="宋体"/>
          <w:b/>
          <w:color w:val="000000"/>
          <w:sz w:val="24"/>
        </w:rPr>
        <w:t>第五条：养护质量标准和要求</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rPr>
        <w:t>1.养护质量标准：按</w:t>
      </w:r>
      <w:r>
        <w:rPr>
          <w:rFonts w:hint="eastAsia" w:ascii="宋体" w:hAnsi="宋体" w:cs="宋体"/>
          <w:color w:val="000000"/>
          <w:sz w:val="24"/>
          <w:highlight w:val="none"/>
        </w:rPr>
        <w:t>照杭州市《城市照明设施养护维修服务标准》（DB3301/T 0165-2015）、</w:t>
      </w:r>
      <w:r>
        <w:rPr>
          <w:rFonts w:hint="eastAsia" w:ascii="宋体" w:hAnsi="宋体" w:cs="宋体"/>
          <w:snapToGrid w:val="0"/>
          <w:color w:val="000000"/>
          <w:kern w:val="0"/>
          <w:sz w:val="24"/>
          <w:highlight w:val="none"/>
        </w:rPr>
        <w:t>《城市道路照明设计标准》（CJJ45-2015）、《城市道路照明工程施工及验收规程》（CJJ89-2012）及国家有关强制性标准的规定执行。</w:t>
      </w:r>
    </w:p>
    <w:p>
      <w:pPr>
        <w:snapToGrid w:val="0"/>
        <w:spacing w:line="360" w:lineRule="auto"/>
        <w:ind w:firstLine="480" w:firstLineChars="200"/>
        <w:rPr>
          <w:rFonts w:ascii="宋体" w:hAnsi="宋体" w:cs="宋体"/>
          <w:bCs/>
          <w:snapToGrid w:val="0"/>
          <w:color w:val="000000"/>
          <w:sz w:val="24"/>
          <w:highlight w:val="none"/>
        </w:rPr>
      </w:pPr>
      <w:r>
        <w:rPr>
          <w:rFonts w:hint="eastAsia" w:ascii="宋体" w:hAnsi="宋体" w:cs="宋体"/>
          <w:color w:val="000000"/>
          <w:sz w:val="24"/>
          <w:highlight w:val="none"/>
        </w:rPr>
        <w:t>2.养护要求：</w:t>
      </w:r>
      <w:r>
        <w:rPr>
          <w:rFonts w:hint="eastAsia" w:ascii="宋体" w:hAnsi="宋体" w:cs="宋体"/>
          <w:color w:val="000000"/>
          <w:kern w:val="0"/>
          <w:sz w:val="24"/>
          <w:highlight w:val="none"/>
        </w:rPr>
        <w:t>照明亮灯率达到98%、设施完好率应达到98%，照明亮度、均匀度等技术性指标达到国家标准，重大活动等保障期间，按上级要求执行。</w:t>
      </w:r>
    </w:p>
    <w:p>
      <w:pPr>
        <w:spacing w:line="360" w:lineRule="auto"/>
        <w:ind w:firstLine="420"/>
        <w:rPr>
          <w:rFonts w:ascii="宋体" w:hAnsi="宋体" w:cs="宋体"/>
          <w:color w:val="000000"/>
          <w:kern w:val="0"/>
          <w:sz w:val="24"/>
          <w:highlight w:val="none"/>
        </w:rPr>
      </w:pPr>
      <w:r>
        <w:rPr>
          <w:rFonts w:hint="eastAsia" w:ascii="宋体" w:hAnsi="宋体" w:cs="宋体"/>
          <w:color w:val="000000"/>
          <w:kern w:val="0"/>
          <w:sz w:val="24"/>
          <w:highlight w:val="none"/>
        </w:rPr>
        <w:t>3.路灯设施的智能监控：</w:t>
      </w:r>
      <w:r>
        <w:rPr>
          <w:rFonts w:hint="eastAsia" w:ascii="宋体" w:hAnsi="宋体" w:cs="宋体"/>
          <w:color w:val="000000"/>
          <w:kern w:val="0"/>
          <w:sz w:val="24"/>
          <w:highlight w:val="none"/>
          <w:lang w:val="en-US" w:eastAsia="zh-CN"/>
        </w:rPr>
        <w:t>乙方</w:t>
      </w:r>
      <w:r>
        <w:rPr>
          <w:rFonts w:hint="eastAsia" w:ascii="宋体" w:hAnsi="宋体" w:cs="宋体"/>
          <w:color w:val="000000"/>
          <w:kern w:val="0"/>
          <w:sz w:val="24"/>
          <w:highlight w:val="none"/>
        </w:rPr>
        <w:t>需搭建智慧照明管理平台，对照明及其配套设备实现智能化监控。</w:t>
      </w:r>
      <w:r>
        <w:rPr>
          <w:rFonts w:hint="eastAsia" w:ascii="宋体" w:hAnsi="宋体" w:cs="宋体"/>
          <w:color w:val="000000"/>
          <w:sz w:val="24"/>
          <w:highlight w:val="none"/>
        </w:rPr>
        <w:t>设施量或者技术档案资料有变化时，应及时在智慧照明管理平台上进行更新。（新、改、扩建的道路照明设施验收合格并移交接管后，应在10个工作日内更新设施的基础资料。专项改造工程验收合格后，相关的照明设施基础资料更新应在5天内完成。）</w:t>
      </w:r>
    </w:p>
    <w:p>
      <w:pPr>
        <w:snapToGrid w:val="0"/>
        <w:spacing w:line="360" w:lineRule="auto"/>
        <w:ind w:right="25" w:rightChars="12" w:firstLine="482" w:firstLineChars="200"/>
        <w:rPr>
          <w:rFonts w:ascii="宋体" w:hAnsi="宋体" w:cs="宋体"/>
          <w:b/>
          <w:color w:val="000000"/>
          <w:sz w:val="24"/>
          <w:highlight w:val="none"/>
        </w:rPr>
      </w:pPr>
      <w:r>
        <w:rPr>
          <w:rFonts w:hint="eastAsia" w:ascii="宋体" w:hAnsi="宋体" w:cs="宋体"/>
          <w:b/>
          <w:color w:val="000000"/>
          <w:sz w:val="24"/>
          <w:highlight w:val="none"/>
        </w:rPr>
        <w:t>第六条：甲方的权利、职责与义务</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1.甲方的权利：</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（1）对合同范围内的路灯设施养护质量进行监管。</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（2）及时按合同约定支付路灯照明设施的养护费用。</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（3）在约定的时间内对乙方的设施日常养护情况，进行随机抽查和考核，抽查和考核每月不少于一次。</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（4）在有必要的情况下，可要求乙方对设施进行特殊养护。</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（5）甲方以及其委派的任何人，均可以对乙方养护范围内的设施养护状况进行检查。</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2.甲方的职责与义务：</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（1）向乙方提供有关路灯照明设施养护的规范性文件、相关的技术规程和考核办法，及各类报表样式。</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（2）及时审核、下达乙方上报的月度养护计划、总结。</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（3）对乙方养护工作进行检查、督促，对设施完好状况进行跟踪检测；发现乙方未按规范要求进行养护时，应按合同约定进行处理；发现设施处于危急状况时立即限期要求乙方按应急预案采取应急措施。</w:t>
      </w:r>
    </w:p>
    <w:p>
      <w:pPr>
        <w:tabs>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（4）对乙方养护工作中采用新工艺、新材料、新方法的适用性、安全性进行审查，同意后方可实施。</w:t>
      </w:r>
    </w:p>
    <w:p>
      <w:pPr>
        <w:tabs>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（5）协助乙方处理因不可抗力的自然因素造成的设施损坏事件。</w:t>
      </w:r>
    </w:p>
    <w:p>
      <w:pPr>
        <w:tabs>
          <w:tab w:val="left" w:pos="5175"/>
        </w:tabs>
        <w:snapToGrid w:val="0"/>
        <w:spacing w:line="360" w:lineRule="auto"/>
        <w:ind w:right="25" w:rightChars="12" w:firstLine="482" w:firstLineChars="200"/>
        <w:rPr>
          <w:rFonts w:ascii="宋体" w:hAnsi="宋体" w:cs="宋体"/>
          <w:b/>
          <w:color w:val="000000"/>
          <w:sz w:val="24"/>
        </w:rPr>
      </w:pPr>
      <w:r>
        <w:rPr>
          <w:rFonts w:hint="eastAsia" w:ascii="宋体" w:hAnsi="宋体" w:cs="宋体"/>
          <w:b/>
          <w:color w:val="000000"/>
          <w:sz w:val="24"/>
        </w:rPr>
        <w:t>第七条：乙方的权利、职责与义务</w:t>
      </w:r>
    </w:p>
    <w:p>
      <w:pPr>
        <w:tabs>
          <w:tab w:val="left" w:pos="5175"/>
        </w:tabs>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1.乙方的权利：</w:t>
      </w:r>
    </w:p>
    <w:p>
      <w:pPr>
        <w:tabs>
          <w:tab w:val="left" w:pos="5175"/>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（1）按照本合同确定的养护设施范围，经甲方确认的实际养护设施量及考核情况,取得相应养护经费。</w:t>
      </w:r>
    </w:p>
    <w:p>
      <w:pPr>
        <w:tabs>
          <w:tab w:val="left" w:pos="5175"/>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（2）编制年度、月度养护施工计划，经甲方审定同意后，安排日常养护工作。</w:t>
      </w:r>
    </w:p>
    <w:p>
      <w:pPr>
        <w:tabs>
          <w:tab w:val="left" w:pos="5175"/>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（3）乙方根据设施养护维修率情况，向甲方报送设施提升改造项目。</w:t>
      </w:r>
    </w:p>
    <w:p>
      <w:pPr>
        <w:tabs>
          <w:tab w:val="left" w:pos="5175"/>
        </w:tabs>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2.乙方的职责与义务：</w:t>
      </w:r>
    </w:p>
    <w:p>
      <w:pPr>
        <w:tabs>
          <w:tab w:val="left" w:pos="851"/>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（1）按照现行的有关规范要求，并根据合同的各项规定，精心组织养护，保证设施正常运行。</w:t>
      </w:r>
    </w:p>
    <w:p>
      <w:pPr>
        <w:tabs>
          <w:tab w:val="left" w:pos="851"/>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（2）掌握合同范围内设施动态，及时发现、防止和处理设施缺陷，确保路灯照明设施完好和安全运行。</w:t>
      </w:r>
    </w:p>
    <w:p>
      <w:pPr>
        <w:tabs>
          <w:tab w:val="left" w:pos="851"/>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承担结果。</w:t>
      </w:r>
    </w:p>
    <w:p>
      <w:pPr>
        <w:tabs>
          <w:tab w:val="left" w:pos="851"/>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（4）对合同范围内的所有路灯照明设施按有关规定进行巡查，在重大活动期间和节假日应加大巡查频率，必要时采取监护措施。</w:t>
      </w:r>
    </w:p>
    <w:p>
      <w:pPr>
        <w:tabs>
          <w:tab w:val="left" w:pos="851"/>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（5）根据养护计划编制养护方案，并应在每月月底前报送当月完成的工作量和下月的计划。</w:t>
      </w:r>
    </w:p>
    <w:p>
      <w:pPr>
        <w:tabs>
          <w:tab w:val="left" w:pos="851"/>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（6）配合甲方做好合同范围内设施量及设施现状调查工作，并为甲方的检测和检查等提供协助。</w:t>
      </w:r>
    </w:p>
    <w:p>
      <w:pPr>
        <w:tabs>
          <w:tab w:val="left" w:pos="851"/>
          <w:tab w:val="left" w:pos="900"/>
          <w:tab w:val="left" w:pos="108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（7）养护期内，乙方有责任发现并及时制止合同范围内的所有设施免遭人为等因素导致的损坏和侵害，并做好赔偿、修复的调查工作。</w:t>
      </w:r>
    </w:p>
    <w:p>
      <w:pPr>
        <w:tabs>
          <w:tab w:val="left" w:pos="851"/>
          <w:tab w:val="left" w:pos="900"/>
          <w:tab w:val="left" w:pos="108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（8）养护期内，除不可抗力的自然环境因素外，其它因人为因素、偷盗等原因导致的路灯照明设施缺损，由乙方负责及时更换或维修，并承担相关费用。</w:t>
      </w:r>
    </w:p>
    <w:p>
      <w:pPr>
        <w:tabs>
          <w:tab w:val="left" w:pos="851"/>
          <w:tab w:val="left" w:pos="900"/>
          <w:tab w:val="left" w:pos="108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养护期内，涉及被占用、拆除、迁移等的设施，需经甲方审批同意，并及时向甲方提供变更后的资料和设备清单；涉及新增、拆除的路灯设施，以甲方书面通知为准，并从新增、拆除之日起，调整设施养护费，和设施用电电费。</w:t>
      </w:r>
    </w:p>
    <w:p>
      <w:pPr>
        <w:tabs>
          <w:tab w:val="left" w:pos="851"/>
          <w:tab w:val="left" w:pos="900"/>
          <w:tab w:val="left" w:pos="108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（10）对发现的缺亮、故障和缺陷进行及时修复并做好反馈工作，确保设备完好可靠。</w:t>
      </w:r>
    </w:p>
    <w:p>
      <w:pPr>
        <w:tabs>
          <w:tab w:val="left" w:pos="851"/>
          <w:tab w:val="left" w:pos="900"/>
          <w:tab w:val="left" w:pos="108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（11）保持照明设备的清洁，无明显的污垢。</w:t>
      </w:r>
    </w:p>
    <w:p>
      <w:pPr>
        <w:tabs>
          <w:tab w:val="left" w:pos="540"/>
          <w:tab w:val="left" w:pos="720"/>
          <w:tab w:val="left" w:pos="780"/>
        </w:tabs>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（12）由于乙方原因，养护质量未达到合同约定的养护标准，乙方应采取补救措施，所产生的费用由乙方负责。</w:t>
      </w:r>
    </w:p>
    <w:p>
      <w:pPr>
        <w:tabs>
          <w:tab w:val="left" w:pos="720"/>
          <w:tab w:val="left" w:pos="1260"/>
        </w:tabs>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（13）应建立健全路灯照明的资料台帐，确保图纸资料的完整性、正确性，每发现1处（项）扣除维护费500元。</w:t>
      </w:r>
    </w:p>
    <w:p>
      <w:pPr>
        <w:pStyle w:val="58"/>
        <w:shd w:val="clear" w:color="auto" w:fill="FFFFFF"/>
        <w:adjustRightInd w:val="0"/>
        <w:snapToGrid w:val="0"/>
        <w:jc w:val="both"/>
        <w:rPr>
          <w:rFonts w:ascii="宋体" w:hAnsi="宋体" w:eastAsia="宋体" w:cs="宋体"/>
          <w:color w:val="000000"/>
          <w:sz w:val="24"/>
          <w:szCs w:val="24"/>
        </w:rPr>
      </w:pPr>
      <w:r>
        <w:rPr>
          <w:rFonts w:hint="eastAsia" w:ascii="宋体" w:hAnsi="宋体" w:eastAsia="宋体" w:cs="宋体"/>
          <w:color w:val="000000"/>
          <w:sz w:val="24"/>
          <w:szCs w:val="24"/>
        </w:rPr>
        <w:t>（14）</w:t>
      </w:r>
      <w:r>
        <w:rPr>
          <w:rFonts w:hint="eastAsia" w:ascii="宋体" w:hAnsi="宋体" w:eastAsia="宋体" w:cs="宋体"/>
          <w:snapToGrid w:val="0"/>
          <w:color w:val="000000"/>
          <w:sz w:val="24"/>
          <w:szCs w:val="24"/>
        </w:rPr>
        <w:t>应</w:t>
      </w:r>
      <w:r>
        <w:rPr>
          <w:rFonts w:hint="eastAsia" w:ascii="宋体" w:hAnsi="宋体" w:eastAsia="宋体" w:cs="宋体"/>
          <w:color w:val="000000"/>
          <w:sz w:val="24"/>
          <w:szCs w:val="24"/>
        </w:rPr>
        <w:t>按要求报送各类宣传资料，及工作总结资料。</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color w:val="000000"/>
          <w:sz w:val="24"/>
        </w:rPr>
        <w:t>（15）</w:t>
      </w:r>
      <w:r>
        <w:rPr>
          <w:rFonts w:hint="eastAsia" w:ascii="宋体" w:hAnsi="宋体" w:cs="宋体"/>
          <w:snapToGrid w:val="0"/>
          <w:color w:val="000000"/>
          <w:kern w:val="0"/>
          <w:sz w:val="24"/>
        </w:rPr>
        <w:t>应建立养护档案，健全日常养护作业记录，认真做好台帐的整理和归档工作；每个月月底前3个工作日之内，将全部养护档案资料移交甲方一份。</w:t>
      </w:r>
    </w:p>
    <w:p>
      <w:pPr>
        <w:tabs>
          <w:tab w:val="left" w:pos="851"/>
          <w:tab w:val="left" w:pos="900"/>
          <w:tab w:val="left" w:pos="108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（16）本合同终止时，乙方必须向甲方移交其使用的全部档案资料。</w:t>
      </w:r>
    </w:p>
    <w:p>
      <w:pPr>
        <w:snapToGrid w:val="0"/>
        <w:spacing w:line="360" w:lineRule="auto"/>
        <w:ind w:right="25" w:rightChars="12" w:firstLine="482" w:firstLineChars="200"/>
        <w:rPr>
          <w:rFonts w:ascii="宋体" w:hAnsi="宋体" w:cs="宋体"/>
          <w:b/>
          <w:color w:val="000000"/>
          <w:sz w:val="24"/>
        </w:rPr>
      </w:pPr>
      <w:r>
        <w:rPr>
          <w:rFonts w:hint="eastAsia" w:ascii="宋体" w:hAnsi="宋体" w:cs="宋体"/>
          <w:b/>
          <w:color w:val="000000"/>
          <w:sz w:val="24"/>
        </w:rPr>
        <w:t>第八条：突发事件处理及防汛、防台、抗雪（防冻）等应急处置</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1.乙方应成立突发事件应急处理领导小组和应急抢险突击队，切实按照相关政策文件制定的预案组织实施。认真做好防汛、抗台、抗雪及突发事件应急抢险工作，确保人员、设备、材料“三落实”，并做好数据、影像资料和台帐的记录、存档，及时向甲方反映情况，严格服从甲方的统一指挥和安排。</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2.若发生非养护原因引起的意外事故或人为破坏造成的设施损坏，乙方应立即采取相关措施或临时应急措施，消除安全隐患，并通知甲方和相关部门。</w:t>
      </w:r>
    </w:p>
    <w:p>
      <w:pPr>
        <w:snapToGrid w:val="0"/>
        <w:spacing w:line="360" w:lineRule="auto"/>
        <w:ind w:right="25" w:rightChars="12" w:firstLine="482" w:firstLineChars="200"/>
        <w:rPr>
          <w:rFonts w:ascii="宋体" w:hAnsi="宋体" w:cs="宋体"/>
          <w:b/>
          <w:color w:val="000000"/>
          <w:sz w:val="24"/>
        </w:rPr>
      </w:pPr>
      <w:r>
        <w:rPr>
          <w:rFonts w:hint="eastAsia" w:ascii="宋体" w:hAnsi="宋体" w:cs="宋体"/>
          <w:b/>
          <w:color w:val="000000"/>
          <w:sz w:val="24"/>
        </w:rPr>
        <w:t>第九条：“三来件”处置</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color w:val="000000"/>
          <w:sz w:val="24"/>
        </w:rPr>
        <w:t>“三来件”处置：</w:t>
      </w:r>
      <w:r>
        <w:rPr>
          <w:rFonts w:hint="eastAsia" w:ascii="宋体" w:hAnsi="宋体" w:cs="宋体"/>
          <w:snapToGrid w:val="0"/>
          <w:color w:val="000000"/>
          <w:kern w:val="0"/>
          <w:sz w:val="24"/>
        </w:rPr>
        <w:t>乙方应建立24小时值班制度，及时处理“三来件”事项，保证办结率和回复率达到100%，满意率98%以上。</w:t>
      </w:r>
    </w:p>
    <w:p>
      <w:pPr>
        <w:snapToGrid w:val="0"/>
        <w:spacing w:line="360" w:lineRule="auto"/>
        <w:ind w:right="25" w:rightChars="12" w:firstLine="482" w:firstLineChars="200"/>
        <w:rPr>
          <w:rFonts w:ascii="宋体" w:hAnsi="宋体" w:cs="宋体"/>
          <w:b/>
          <w:color w:val="000000"/>
          <w:sz w:val="24"/>
        </w:rPr>
      </w:pPr>
      <w:r>
        <w:rPr>
          <w:rFonts w:hint="eastAsia" w:ascii="宋体" w:hAnsi="宋体" w:cs="宋体"/>
          <w:b/>
          <w:color w:val="000000"/>
          <w:sz w:val="24"/>
        </w:rPr>
        <w:t>第十条：安全生产、文明施工</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1.为确保安全、文明施工，乙方应该本着“安全第一，预防为主”的原则，建全安全管理组织体系；严格贯彻国家、省、市和劳动保护、安全生产部门颁发的有关安全生产、消防工作的方针、政策、法规、条例、规定等执行。</w:t>
      </w:r>
    </w:p>
    <w:p>
      <w:pPr>
        <w:tabs>
          <w:tab w:val="left" w:pos="851"/>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2.乙方对全部现场作业和施工方法的适应、稳妥和安全性承担全部责任。在养护工作中，力求采用成熟的工艺、材料和方法。</w:t>
      </w:r>
    </w:p>
    <w:p>
      <w:pPr>
        <w:tabs>
          <w:tab w:val="left" w:pos="851"/>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3.乙方要制定应急预案，配合做好亮灯的服务及安全保障工作，并报甲方备案。</w:t>
      </w:r>
    </w:p>
    <w:p>
      <w:pPr>
        <w:tabs>
          <w:tab w:val="left" w:pos="851"/>
          <w:tab w:val="left" w:pos="9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4.乙方建立健全的安全体制和安全学习制度，不断提高工作人员的安全意识；工作人员必须经过专业培训并持证上岗，设置专人负责，甲方有权要求乙方撤换工作不能胜任或玩忽职守、工作不负责的人员。</w:t>
      </w:r>
    </w:p>
    <w:p>
      <w:pPr>
        <w:snapToGrid w:val="0"/>
        <w:spacing w:line="360" w:lineRule="auto"/>
        <w:ind w:right="25" w:rightChars="12" w:firstLine="480" w:firstLineChars="200"/>
        <w:rPr>
          <w:rFonts w:ascii="宋体" w:hAnsi="宋体" w:cs="宋体"/>
          <w:color w:val="000000"/>
          <w:sz w:val="24"/>
        </w:rPr>
      </w:pPr>
      <w:r>
        <w:rPr>
          <w:rFonts w:hint="eastAsia" w:ascii="宋体" w:hAnsi="宋体" w:cs="宋体"/>
          <w:color w:val="000000"/>
          <w:sz w:val="24"/>
        </w:rPr>
        <w:t>5.合同期间，由于乙方安全措施不力、养护工作不到位、违反安全操作规程而导致责任事故或第三方人身和财产损失，乙方应负责予以妥善处理，所发生的费用均由乙方自负，甲方保留追究责任的权利。如甲方因此遭到第三方索赔的，有权全额向乙方追偿。</w:t>
      </w:r>
    </w:p>
    <w:p>
      <w:pPr>
        <w:snapToGrid w:val="0"/>
        <w:spacing w:line="360" w:lineRule="auto"/>
        <w:ind w:right="25" w:rightChars="12" w:firstLine="482" w:firstLineChars="200"/>
        <w:rPr>
          <w:rFonts w:ascii="宋体" w:hAnsi="宋体" w:cs="宋体"/>
          <w:b/>
          <w:color w:val="000000"/>
          <w:sz w:val="24"/>
        </w:rPr>
      </w:pPr>
      <w:r>
        <w:rPr>
          <w:rFonts w:hint="eastAsia" w:ascii="宋体" w:hAnsi="宋体" w:cs="宋体"/>
          <w:b/>
          <w:color w:val="000000"/>
          <w:sz w:val="24"/>
        </w:rPr>
        <w:t>第十一条：考核依据及经费支付方式</w:t>
      </w:r>
    </w:p>
    <w:p>
      <w:pPr>
        <w:snapToGrid w:val="0"/>
        <w:spacing w:line="360" w:lineRule="auto"/>
        <w:ind w:firstLine="480" w:firstLineChars="200"/>
        <w:rPr>
          <w:rFonts w:ascii="宋体" w:hAnsi="宋体" w:cs="宋体"/>
          <w:snapToGrid w:val="0"/>
          <w:color w:val="000000"/>
          <w:kern w:val="0"/>
          <w:sz w:val="24"/>
          <w:highlight w:val="none"/>
        </w:rPr>
      </w:pPr>
      <w:r>
        <w:rPr>
          <w:rFonts w:hint="eastAsia" w:ascii="宋体" w:hAnsi="宋体" w:cs="宋体"/>
          <w:snapToGrid w:val="0"/>
          <w:color w:val="000000"/>
          <w:kern w:val="0"/>
          <w:sz w:val="24"/>
        </w:rPr>
        <w:t>1.考核依据：按照《城管</w:t>
      </w:r>
      <w:r>
        <w:rPr>
          <w:rFonts w:hint="eastAsia" w:ascii="宋体" w:hAnsi="宋体" w:cs="宋体"/>
          <w:snapToGrid w:val="0"/>
          <w:color w:val="000000"/>
          <w:kern w:val="0"/>
          <w:sz w:val="24"/>
          <w:highlight w:val="none"/>
        </w:rPr>
        <w:t>目标考核评分细则（市容景观长效管理）》、《杭州市道路照明设施养护考核办法（试行）》</w:t>
      </w:r>
      <w:r>
        <w:rPr>
          <w:rFonts w:hint="eastAsia" w:ascii="宋体" w:hAnsi="宋体" w:cs="宋体"/>
          <w:bCs/>
          <w:snapToGrid w:val="0"/>
          <w:color w:val="000000"/>
          <w:sz w:val="24"/>
          <w:highlight w:val="none"/>
        </w:rPr>
        <w:t>（</w:t>
      </w:r>
      <w:r>
        <w:rPr>
          <w:rFonts w:hint="eastAsia" w:ascii="宋体" w:hAnsi="宋体" w:cs="宋体"/>
          <w:color w:val="000000"/>
          <w:sz w:val="24"/>
          <w:highlight w:val="none"/>
        </w:rPr>
        <w:t>杭亮监﹝2013﹞6号）</w:t>
      </w:r>
      <w:r>
        <w:rPr>
          <w:rFonts w:hint="eastAsia" w:ascii="宋体" w:hAnsi="宋体" w:cs="宋体"/>
          <w:snapToGrid w:val="0"/>
          <w:color w:val="000000"/>
          <w:kern w:val="0"/>
          <w:sz w:val="24"/>
          <w:highlight w:val="none"/>
        </w:rPr>
        <w:t>等相关规定要求。</w:t>
      </w:r>
    </w:p>
    <w:p>
      <w:pPr>
        <w:snapToGrid w:val="0"/>
        <w:spacing w:line="360" w:lineRule="auto"/>
        <w:ind w:firstLine="480" w:firstLineChars="200"/>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2.考核评分：日常养护考核按百分制评价，考核得分在92分以上（含92分）为合格，92分以下为不合格，得分在92分以下，按照（92分-月度考核成绩）*当月养护经费的1%计算。一年内连续2个月养护考核成绩或3次以上（含3次）养护成绩不合格，年养护考核不合格。具体详见《杭州市道路照明设施养护考评考核评分表》。</w:t>
      </w:r>
    </w:p>
    <w:p>
      <w:pPr>
        <w:snapToGrid w:val="0"/>
        <w:spacing w:line="360"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3.年经费支付方式：</w:t>
      </w:r>
    </w:p>
    <w:p>
      <w:pPr>
        <w:snapToGrid w:val="0"/>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eastAsia="zh-CN"/>
        </w:rPr>
        <w:t>）</w:t>
      </w:r>
      <w:r>
        <w:rPr>
          <w:rFonts w:hint="eastAsia" w:ascii="宋体" w:hAnsi="宋体" w:cs="宋体"/>
          <w:snapToGrid w:val="0"/>
          <w:color w:val="auto"/>
          <w:kern w:val="0"/>
          <w:sz w:val="24"/>
          <w:highlight w:val="none"/>
        </w:rPr>
        <w:t>养护费用按</w:t>
      </w:r>
      <w:r>
        <w:rPr>
          <w:rFonts w:hint="eastAsia" w:ascii="宋体" w:hAnsi="宋体" w:cs="宋体"/>
          <w:snapToGrid w:val="0"/>
          <w:color w:val="auto"/>
          <w:kern w:val="0"/>
          <w:sz w:val="24"/>
          <w:highlight w:val="none"/>
          <w:lang w:val="en-US" w:eastAsia="zh-CN"/>
        </w:rPr>
        <w:t>上一年度</w:t>
      </w:r>
      <w:r>
        <w:rPr>
          <w:rFonts w:hint="eastAsia" w:ascii="宋体" w:hAnsi="宋体" w:cs="宋体"/>
          <w:snapToGrid w:val="0"/>
          <w:color w:val="auto"/>
          <w:kern w:val="0"/>
          <w:sz w:val="24"/>
          <w:highlight w:val="none"/>
        </w:rPr>
        <w:t>普查设施量*综合养护单价</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按实结算。每年年底普查一次设施数量。</w:t>
      </w:r>
    </w:p>
    <w:p>
      <w:pPr>
        <w:snapToGrid w:val="0"/>
        <w:spacing w:line="360" w:lineRule="auto"/>
        <w:ind w:firstLine="480" w:firstLineChars="200"/>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lang w:val="en-US" w:eastAsia="zh-CN"/>
        </w:rPr>
        <w:t>2</w:t>
      </w:r>
      <w:r>
        <w:rPr>
          <w:rFonts w:hint="eastAsia" w:ascii="宋体" w:hAnsi="宋体" w:eastAsia="宋体" w:cs="宋体"/>
          <w:b w:val="0"/>
          <w:bCs/>
          <w:color w:val="auto"/>
          <w:kern w:val="2"/>
          <w:sz w:val="24"/>
          <w:szCs w:val="24"/>
          <w:highlight w:val="none"/>
          <w:lang w:eastAsia="zh-CN"/>
        </w:rPr>
        <w:t>）合同生效以及具备实施条件后</w:t>
      </w:r>
      <w:r>
        <w:rPr>
          <w:rFonts w:hint="eastAsia" w:ascii="宋体" w:hAnsi="宋体" w:eastAsia="宋体" w:cs="宋体"/>
          <w:b w:val="0"/>
          <w:bCs/>
          <w:color w:val="auto"/>
          <w:kern w:val="2"/>
          <w:sz w:val="24"/>
          <w:szCs w:val="24"/>
          <w:highlight w:val="none"/>
          <w:lang w:val="en-US" w:eastAsia="zh-CN"/>
        </w:rPr>
        <w:t>7个工作日内支付合同总价（暂定）</w:t>
      </w:r>
      <w:r>
        <w:rPr>
          <w:rFonts w:hint="eastAsia" w:ascii="宋体" w:hAnsi="宋体" w:eastAsia="宋体" w:cs="宋体"/>
          <w:b w:val="0"/>
          <w:bCs/>
          <w:color w:val="auto"/>
          <w:kern w:val="2"/>
          <w:sz w:val="24"/>
          <w:szCs w:val="24"/>
          <w:highlight w:val="none"/>
        </w:rPr>
        <w:t>的</w:t>
      </w:r>
      <w:r>
        <w:rPr>
          <w:rFonts w:hint="eastAsia" w:ascii="宋体" w:hAnsi="宋体" w:eastAsia="宋体" w:cs="宋体"/>
          <w:b w:val="0"/>
          <w:bCs/>
          <w:color w:val="auto"/>
          <w:kern w:val="2"/>
          <w:sz w:val="24"/>
          <w:szCs w:val="24"/>
          <w:highlight w:val="none"/>
          <w:u w:val="none"/>
        </w:rPr>
        <w:t xml:space="preserve"> </w:t>
      </w:r>
      <w:r>
        <w:rPr>
          <w:rFonts w:hint="eastAsia" w:ascii="宋体" w:hAnsi="宋体" w:eastAsia="宋体" w:cs="宋体"/>
          <w:b w:val="0"/>
          <w:bCs/>
          <w:color w:val="auto"/>
          <w:kern w:val="2"/>
          <w:sz w:val="24"/>
          <w:szCs w:val="24"/>
          <w:highlight w:val="none"/>
          <w:u w:val="none"/>
          <w:lang w:val="en-US" w:eastAsia="zh-CN"/>
        </w:rPr>
        <w:t>40</w:t>
      </w:r>
      <w:r>
        <w:rPr>
          <w:rFonts w:hint="eastAsia" w:ascii="宋体" w:hAnsi="宋体" w:eastAsia="宋体" w:cs="宋体"/>
          <w:b w:val="0"/>
          <w:bCs/>
          <w:color w:val="auto"/>
          <w:kern w:val="2"/>
          <w:sz w:val="24"/>
          <w:szCs w:val="24"/>
          <w:highlight w:val="none"/>
        </w:rPr>
        <w:t>%</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lang w:val="en-US" w:eastAsia="zh-CN"/>
        </w:rPr>
        <w:t>剩余60%按季度支付（扣除相应考核扣款及其他罚款款项后）。</w:t>
      </w:r>
    </w:p>
    <w:p>
      <w:pPr>
        <w:snapToGrid w:val="0"/>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eastAsia="宋体" w:cs="宋体"/>
          <w:b w:val="0"/>
          <w:bCs/>
          <w:color w:val="auto"/>
          <w:kern w:val="2"/>
          <w:sz w:val="24"/>
          <w:szCs w:val="24"/>
          <w:highlight w:val="none"/>
          <w:lang w:val="en-US" w:eastAsia="zh-CN"/>
        </w:rPr>
        <w:t>（3）</w:t>
      </w:r>
      <w:r>
        <w:rPr>
          <w:rFonts w:hint="eastAsia" w:ascii="宋体" w:hAnsi="宋体" w:cs="宋体"/>
          <w:snapToGrid w:val="0"/>
          <w:color w:val="auto"/>
          <w:kern w:val="0"/>
          <w:sz w:val="24"/>
          <w:highlight w:val="none"/>
          <w:lang w:val="en-US" w:eastAsia="zh-CN"/>
        </w:rPr>
        <w:t>如有</w:t>
      </w:r>
      <w:r>
        <w:rPr>
          <w:rFonts w:hint="eastAsia" w:ascii="宋体" w:hAnsi="宋体" w:cs="宋体"/>
          <w:snapToGrid w:val="0"/>
          <w:color w:val="auto"/>
          <w:kern w:val="0"/>
          <w:sz w:val="24"/>
          <w:highlight w:val="none"/>
        </w:rPr>
        <w:t>新增设施量</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养护费用在下一年度服务期开始进行计算。</w:t>
      </w:r>
    </w:p>
    <w:p>
      <w:pPr>
        <w:snapToGrid w:val="0"/>
        <w:spacing w:line="360" w:lineRule="auto"/>
        <w:ind w:firstLine="480" w:firstLineChars="200"/>
      </w:pP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遇特殊情况停运部分照明设备，停运期间按综合单价*50%*停运路灯数量*停运天数/365天的计算方式支付偷盗风险包干费。</w:t>
      </w:r>
    </w:p>
    <w:p>
      <w:pPr>
        <w:snapToGrid w:val="0"/>
        <w:spacing w:line="360" w:lineRule="auto"/>
        <w:ind w:right="25" w:rightChars="12" w:firstLine="482" w:firstLineChars="200"/>
        <w:rPr>
          <w:rFonts w:ascii="宋体" w:hAnsi="宋体" w:cs="宋体"/>
          <w:b/>
          <w:color w:val="000000"/>
          <w:sz w:val="24"/>
        </w:rPr>
      </w:pPr>
      <w:r>
        <w:rPr>
          <w:rFonts w:hint="eastAsia" w:ascii="宋体" w:hAnsi="宋体" w:cs="宋体"/>
          <w:b/>
          <w:color w:val="000000"/>
          <w:sz w:val="24"/>
        </w:rPr>
        <w:t>第十二条：履约保证金</w:t>
      </w:r>
    </w:p>
    <w:p>
      <w:pPr>
        <w:tabs>
          <w:tab w:val="left" w:pos="540"/>
          <w:tab w:val="left" w:pos="720"/>
          <w:tab w:val="left" w:pos="780"/>
        </w:tabs>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乙方在签定合同时向甲方交纳中标总额1%的履约保证金，履约保证金形式：银行转账、支票、汇票、本票或者金融机构、担保机构出具的保函等，在服务期满后，甲方全额无息退还，乙方需开具正规收据。</w:t>
      </w:r>
    </w:p>
    <w:p>
      <w:pPr>
        <w:snapToGrid w:val="0"/>
        <w:spacing w:line="360" w:lineRule="auto"/>
        <w:ind w:right="25" w:rightChars="12" w:firstLine="482" w:firstLineChars="200"/>
        <w:rPr>
          <w:rFonts w:ascii="宋体" w:hAnsi="宋体" w:cs="宋体"/>
          <w:b/>
          <w:color w:val="000000"/>
          <w:sz w:val="24"/>
        </w:rPr>
      </w:pPr>
      <w:r>
        <w:rPr>
          <w:rFonts w:hint="eastAsia" w:ascii="宋体" w:hAnsi="宋体" w:cs="宋体"/>
          <w:b/>
          <w:color w:val="000000"/>
          <w:sz w:val="24"/>
        </w:rPr>
        <w:t>第十三条：违约责任</w:t>
      </w:r>
    </w:p>
    <w:p>
      <w:pPr>
        <w:tabs>
          <w:tab w:val="left" w:pos="540"/>
          <w:tab w:val="left" w:pos="720"/>
          <w:tab w:val="left" w:pos="780"/>
        </w:tabs>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1.非财政资金计划安排原因，甲方未按合同约定，逾期支付养护款达3个月以上，乙方可停止养护工作，造成的损失由甲方承担。</w:t>
      </w:r>
    </w:p>
    <w:p>
      <w:pPr>
        <w:pStyle w:val="58"/>
        <w:shd w:val="clear" w:color="auto" w:fill="FFFFFF"/>
        <w:adjustRightInd w:val="0"/>
        <w:snapToGrid w:val="0"/>
        <w:jc w:val="both"/>
        <w:rPr>
          <w:rFonts w:ascii="宋体" w:hAnsi="宋体" w:eastAsia="宋体" w:cs="宋体"/>
          <w:color w:val="000000"/>
          <w:sz w:val="24"/>
          <w:szCs w:val="24"/>
        </w:rPr>
      </w:pPr>
      <w:r>
        <w:rPr>
          <w:rFonts w:hint="eastAsia" w:ascii="宋体" w:hAnsi="宋体" w:eastAsia="宋体" w:cs="宋体"/>
          <w:color w:val="000000"/>
          <w:sz w:val="24"/>
          <w:szCs w:val="24"/>
        </w:rPr>
        <w:t>2.由于乙方上周巡检、维护处理不到位，经甲方核实问题确实存在，且情况较为严重的，每1处（件）扣除维护经费500元人民币。</w:t>
      </w:r>
    </w:p>
    <w:p>
      <w:pPr>
        <w:pStyle w:val="58"/>
        <w:shd w:val="clear" w:color="auto" w:fill="FFFFFF"/>
        <w:adjustRightInd w:val="0"/>
        <w:snapToGrid w:val="0"/>
        <w:jc w:val="both"/>
        <w:rPr>
          <w:rFonts w:ascii="宋体" w:hAnsi="宋体" w:eastAsia="宋体" w:cs="宋体"/>
          <w:color w:val="000000"/>
          <w:sz w:val="24"/>
          <w:szCs w:val="24"/>
        </w:rPr>
      </w:pPr>
      <w:r>
        <w:rPr>
          <w:rFonts w:hint="eastAsia" w:ascii="宋体" w:hAnsi="宋体" w:eastAsia="宋体" w:cs="宋体"/>
          <w:color w:val="000000"/>
          <w:sz w:val="24"/>
          <w:szCs w:val="24"/>
        </w:rPr>
        <w:t>3.由于乙方养护不到位，造成路灯配电箱、变压器、低压配电柜、控制器及附属设备等设施，安全警示标识标牌脱落、悬挂不到位等，每1处（件）扣除维护经费500元人民币。</w:t>
      </w:r>
    </w:p>
    <w:p>
      <w:pPr>
        <w:pStyle w:val="58"/>
        <w:shd w:val="clear" w:color="auto" w:fill="FFFFFF"/>
        <w:adjustRightInd w:val="0"/>
        <w:snapToGrid w:val="0"/>
        <w:rPr>
          <w:rFonts w:ascii="宋体" w:hAnsi="宋体" w:eastAsia="宋体" w:cs="宋体"/>
          <w:color w:val="000000"/>
          <w:sz w:val="24"/>
          <w:szCs w:val="24"/>
        </w:rPr>
      </w:pPr>
      <w:r>
        <w:rPr>
          <w:rFonts w:hint="eastAsia" w:ascii="宋体" w:hAnsi="宋体" w:eastAsia="宋体" w:cs="宋体"/>
          <w:color w:val="000000"/>
          <w:sz w:val="24"/>
          <w:szCs w:val="24"/>
        </w:rPr>
        <w:t>4.由于乙方养护不到位，被甲方查处的安全隐患苗头，每1件扣除维护经费1000元人民币。</w:t>
      </w:r>
    </w:p>
    <w:p>
      <w:pPr>
        <w:tabs>
          <w:tab w:val="left" w:pos="720"/>
          <w:tab w:val="left" w:pos="1260"/>
        </w:tabs>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5.乙方应严格遵守电力等部门的安全管理规定，服从安检人员的稽查，对违章行为按相关部门有关规定进行处罚。如因乙方未能全面履行本合同义务导致甲方因此遭到行政处罚的，甲方有权向乙方全额追偿，且乙方应向甲方另行承担违约金每次2000元。情节严重的视为违约，甲方有权终止合同。</w:t>
      </w:r>
    </w:p>
    <w:p>
      <w:pPr>
        <w:tabs>
          <w:tab w:val="left" w:pos="540"/>
          <w:tab w:val="left" w:pos="720"/>
          <w:tab w:val="left" w:pos="780"/>
        </w:tabs>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6.乙方未按照甲方要求及时有效对问题进行整改，每发生一件逾期未整改的扣除维护费2000元，逾期第2天起，每1天扣除维护费500元，直至问题整改完毕。</w:t>
      </w:r>
    </w:p>
    <w:p>
      <w:pPr>
        <w:tabs>
          <w:tab w:val="left" w:pos="540"/>
          <w:tab w:val="left" w:pos="720"/>
          <w:tab w:val="left" w:pos="780"/>
        </w:tabs>
        <w:snapToGrid w:val="0"/>
        <w:spacing w:line="360" w:lineRule="auto"/>
        <w:ind w:firstLine="480" w:firstLineChars="200"/>
        <w:rPr>
          <w:rFonts w:ascii="宋体" w:hAnsi="宋体" w:cs="宋体"/>
          <w:snapToGrid w:val="0"/>
          <w:color w:val="000000"/>
          <w:kern w:val="0"/>
          <w:sz w:val="24"/>
          <w:highlight w:val="none"/>
        </w:rPr>
      </w:pPr>
      <w:r>
        <w:rPr>
          <w:rFonts w:hint="eastAsia" w:ascii="宋体" w:hAnsi="宋体" w:cs="宋体"/>
          <w:snapToGrid w:val="0"/>
          <w:color w:val="000000"/>
          <w:kern w:val="0"/>
          <w:sz w:val="24"/>
        </w:rPr>
        <w:t>7.由于乙方养护不到位或</w:t>
      </w:r>
      <w:r>
        <w:rPr>
          <w:rFonts w:hint="eastAsia" w:ascii="宋体" w:hAnsi="宋体" w:cs="宋体"/>
          <w:snapToGrid w:val="0"/>
          <w:color w:val="000000"/>
          <w:kern w:val="0"/>
          <w:sz w:val="24"/>
          <w:highlight w:val="none"/>
        </w:rPr>
        <w:t>不文明施工等情况而被新闻媒体曝光或发生有责投诉，每发生一次，处以2000元人民币的扣款。事后未及时妥善处理，造成恶劣社会舆论影响的，视情节轻重扣除当月维护费用的10%-30%直至终止维护合同。</w:t>
      </w:r>
    </w:p>
    <w:p>
      <w:pPr>
        <w:tabs>
          <w:tab w:val="left" w:pos="540"/>
          <w:tab w:val="left" w:pos="720"/>
          <w:tab w:val="left" w:pos="780"/>
        </w:tabs>
        <w:snapToGrid w:val="0"/>
        <w:spacing w:line="360" w:lineRule="auto"/>
        <w:ind w:firstLine="480" w:firstLineChars="200"/>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8.乙方未按照投标文件要求配备人员、设备、车辆等，每发现一次，当月考核结果不合格，并扣除相应的养护费用。</w:t>
      </w:r>
    </w:p>
    <w:p>
      <w:pPr>
        <w:tabs>
          <w:tab w:val="left" w:pos="540"/>
          <w:tab w:val="left" w:pos="720"/>
          <w:tab w:val="left" w:pos="780"/>
        </w:tabs>
        <w:snapToGrid w:val="0"/>
        <w:spacing w:line="360" w:lineRule="auto"/>
        <w:ind w:firstLine="480" w:firstLineChars="200"/>
        <w:rPr>
          <w:rFonts w:ascii="宋体" w:hAnsi="宋体" w:cs="宋体"/>
          <w:color w:val="000000"/>
          <w:sz w:val="24"/>
          <w:highlight w:val="none"/>
        </w:rPr>
      </w:pPr>
      <w:r>
        <w:rPr>
          <w:rFonts w:hint="eastAsia" w:ascii="宋体" w:hAnsi="宋体" w:cs="宋体"/>
          <w:snapToGrid w:val="0"/>
          <w:color w:val="000000"/>
          <w:kern w:val="0"/>
          <w:sz w:val="24"/>
          <w:highlight w:val="none"/>
        </w:rPr>
        <w:t>10.养护台账资料。配合甲方做好设施养护台账资料整理与搜集，按要求及时反馈相关信息数据，定期向甲方报送养护台账资料，每逾期报送1次扣除维护经费500元人民币。</w:t>
      </w:r>
    </w:p>
    <w:p>
      <w:pPr>
        <w:tabs>
          <w:tab w:val="left" w:pos="720"/>
          <w:tab w:val="left" w:pos="1260"/>
        </w:tabs>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highlight w:val="none"/>
        </w:rPr>
        <w:t>11.乙方应当按照本合同约定完成养护任</w:t>
      </w:r>
      <w:r>
        <w:rPr>
          <w:rFonts w:hint="eastAsia" w:ascii="宋体" w:hAnsi="宋体" w:cs="宋体"/>
          <w:snapToGrid w:val="0"/>
          <w:color w:val="000000"/>
          <w:kern w:val="0"/>
          <w:sz w:val="24"/>
        </w:rPr>
        <w:t>务，不得向他人转包或分包。一经发现，甲方有权立即终止本合同，并扣除当年年度总价款5％的违约金。</w:t>
      </w:r>
    </w:p>
    <w:p>
      <w:pPr>
        <w:tabs>
          <w:tab w:val="left" w:pos="720"/>
          <w:tab w:val="left" w:pos="1260"/>
        </w:tabs>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12.乙方在设施养护费过程中，1年（1个养护周期）内连续2个月养护成绩或发生3次（含3次）养护成绩不合格，甲方有权立即终止本合同。</w:t>
      </w:r>
    </w:p>
    <w:p>
      <w:pPr>
        <w:pStyle w:val="58"/>
        <w:keepNext w:val="0"/>
        <w:keepLines w:val="0"/>
        <w:pageBreakBefore w:val="0"/>
        <w:shd w:val="clear" w:color="auto" w:fill="FFFFFF"/>
        <w:kinsoku/>
        <w:wordWrap/>
        <w:overflowPunct/>
        <w:topLinePunct w:val="0"/>
        <w:autoSpaceDE/>
        <w:autoSpaceDN/>
        <w:bidi w:val="0"/>
        <w:adjustRightInd w:val="0"/>
        <w:snapToGrid w:val="0"/>
        <w:spacing w:line="336" w:lineRule="auto"/>
        <w:jc w:val="both"/>
        <w:textAlignment w:val="auto"/>
        <w:rPr>
          <w:rFonts w:ascii="宋体" w:hAnsi="宋体" w:eastAsia="宋体" w:cs="宋体"/>
          <w:color w:val="000000"/>
          <w:sz w:val="24"/>
          <w:szCs w:val="24"/>
        </w:rPr>
      </w:pPr>
      <w:r>
        <w:rPr>
          <w:rFonts w:hint="eastAsia" w:ascii="宋体" w:hAnsi="宋体" w:eastAsia="宋体" w:cs="宋体"/>
          <w:color w:val="000000"/>
          <w:sz w:val="24"/>
          <w:szCs w:val="24"/>
        </w:rPr>
        <w:t>13.乙方在养护上有突出表现，勇于承担社会责任，增加百姓获得感的，经甲方研究，可给予适当奖励。</w:t>
      </w:r>
    </w:p>
    <w:p>
      <w:pPr>
        <w:keepNext w:val="0"/>
        <w:keepLines w:val="0"/>
        <w:pageBreakBefore w:val="0"/>
        <w:tabs>
          <w:tab w:val="left" w:pos="720"/>
          <w:tab w:val="left" w:pos="1260"/>
        </w:tabs>
        <w:kinsoku/>
        <w:wordWrap/>
        <w:overflowPunct/>
        <w:topLinePunct w:val="0"/>
        <w:autoSpaceDE/>
        <w:autoSpaceDN/>
        <w:bidi w:val="0"/>
        <w:adjustRightInd w:val="0"/>
        <w:snapToGrid w:val="0"/>
        <w:spacing w:line="336" w:lineRule="auto"/>
        <w:ind w:firstLine="482" w:firstLineChars="200"/>
        <w:textAlignment w:val="auto"/>
        <w:rPr>
          <w:rFonts w:ascii="宋体" w:hAnsi="宋体" w:cs="宋体"/>
          <w:snapToGrid w:val="0"/>
          <w:color w:val="000000"/>
          <w:kern w:val="0"/>
          <w:sz w:val="24"/>
        </w:rPr>
      </w:pPr>
      <w:r>
        <w:rPr>
          <w:rFonts w:hint="eastAsia" w:ascii="宋体" w:hAnsi="宋体" w:cs="宋体"/>
          <w:b/>
          <w:color w:val="000000"/>
          <w:sz w:val="24"/>
        </w:rPr>
        <w:t>第十四条：其他约定</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000000"/>
          <w:sz w:val="24"/>
        </w:rPr>
      </w:pPr>
      <w:r>
        <w:rPr>
          <w:rFonts w:hint="eastAsia" w:ascii="宋体" w:hAnsi="宋体" w:cs="宋体"/>
          <w:color w:val="000000"/>
          <w:sz w:val="24"/>
        </w:rPr>
        <w:t>1.下列内容不包括在本合同养护经费内：</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000000"/>
          <w:sz w:val="24"/>
        </w:rPr>
      </w:pPr>
      <w:r>
        <w:rPr>
          <w:rFonts w:hint="eastAsia" w:ascii="宋体" w:hAnsi="宋体" w:cs="宋体"/>
          <w:color w:val="000000"/>
          <w:sz w:val="24"/>
        </w:rPr>
        <w:t>（1）不可抗力或非乙方人为因素造成设施损坏需抢修或维修，经甲方核实同意发生的抢修费用。</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000000"/>
          <w:sz w:val="24"/>
        </w:rPr>
      </w:pPr>
      <w:r>
        <w:rPr>
          <w:rFonts w:hint="eastAsia" w:ascii="宋体" w:hAnsi="宋体" w:cs="宋体"/>
          <w:color w:val="000000"/>
          <w:sz w:val="24"/>
        </w:rPr>
        <w:t>（2）经上级审批立项的专项工程费用。</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000000"/>
          <w:sz w:val="24"/>
        </w:rPr>
      </w:pPr>
      <w:r>
        <w:rPr>
          <w:rFonts w:hint="eastAsia" w:ascii="宋体" w:hAnsi="宋体" w:cs="宋体"/>
          <w:color w:val="000000"/>
          <w:sz w:val="24"/>
        </w:rPr>
        <w:t>（3）配合甲方完成本合同约定养护内容以外的工作所发生的费用。</w:t>
      </w:r>
    </w:p>
    <w:p>
      <w:pPr>
        <w:keepNext w:val="0"/>
        <w:keepLines w:val="0"/>
        <w:pageBreakBefore w:val="0"/>
        <w:tabs>
          <w:tab w:val="left" w:pos="900"/>
        </w:tabs>
        <w:kinsoku/>
        <w:wordWrap/>
        <w:overflowPunct/>
        <w:topLinePunct w:val="0"/>
        <w:autoSpaceDE/>
        <w:autoSpaceDN/>
        <w:bidi w:val="0"/>
        <w:adjustRightInd w:val="0"/>
        <w:snapToGrid w:val="0"/>
        <w:spacing w:line="336" w:lineRule="auto"/>
        <w:ind w:firstLine="480" w:firstLineChars="200"/>
        <w:textAlignment w:val="auto"/>
        <w:rPr>
          <w:rFonts w:ascii="宋体" w:hAnsi="宋体" w:cs="宋体"/>
          <w:snapToGrid w:val="0"/>
          <w:color w:val="000000"/>
          <w:kern w:val="0"/>
          <w:sz w:val="24"/>
        </w:rPr>
      </w:pPr>
      <w:r>
        <w:rPr>
          <w:rFonts w:hint="eastAsia" w:ascii="宋体" w:hAnsi="宋体" w:cs="宋体"/>
          <w:snapToGrid w:val="0"/>
          <w:color w:val="000000"/>
          <w:kern w:val="0"/>
          <w:sz w:val="24"/>
        </w:rPr>
        <w:t>2.不可抗力：不可抗力是指《中华人民共和国合同法》所列举的不可抗力。不可抗力一旦发生，证明文件由法律规定部门签署，并由甲方、乙方协商合同逾期履行和继续履行或终止履行的方法，在此情况下，任何一方不能要求损失赔偿。</w:t>
      </w:r>
    </w:p>
    <w:p>
      <w:pPr>
        <w:keepNext w:val="0"/>
        <w:keepLines w:val="0"/>
        <w:pageBreakBefore w:val="0"/>
        <w:kinsoku/>
        <w:wordWrap/>
        <w:overflowPunct/>
        <w:topLinePunct w:val="0"/>
        <w:autoSpaceDE/>
        <w:autoSpaceDN/>
        <w:bidi w:val="0"/>
        <w:adjustRightInd w:val="0"/>
        <w:snapToGrid w:val="0"/>
        <w:spacing w:line="336" w:lineRule="auto"/>
        <w:ind w:right="25" w:rightChars="12" w:firstLine="482" w:firstLineChars="200"/>
        <w:textAlignment w:val="auto"/>
        <w:rPr>
          <w:rFonts w:ascii="宋体" w:hAnsi="宋体" w:cs="宋体"/>
          <w:b/>
          <w:color w:val="000000"/>
          <w:sz w:val="24"/>
        </w:rPr>
      </w:pPr>
      <w:r>
        <w:rPr>
          <w:rFonts w:hint="eastAsia" w:ascii="宋体" w:hAnsi="宋体" w:cs="宋体"/>
          <w:b/>
          <w:color w:val="000000"/>
          <w:sz w:val="24"/>
        </w:rPr>
        <w:t>第十五条：相关争议解决</w:t>
      </w:r>
    </w:p>
    <w:p>
      <w:pPr>
        <w:keepNext w:val="0"/>
        <w:keepLines w:val="0"/>
        <w:pageBreakBefore w:val="0"/>
        <w:kinsoku/>
        <w:wordWrap/>
        <w:overflowPunct/>
        <w:topLinePunct w:val="0"/>
        <w:autoSpaceDE/>
        <w:autoSpaceDN/>
        <w:bidi w:val="0"/>
        <w:adjustRightInd w:val="0"/>
        <w:snapToGrid w:val="0"/>
        <w:spacing w:line="336" w:lineRule="auto"/>
        <w:ind w:right="25" w:rightChars="12" w:firstLine="480" w:firstLineChars="200"/>
        <w:textAlignment w:val="auto"/>
        <w:rPr>
          <w:rFonts w:ascii="宋体" w:hAnsi="宋体" w:cs="宋体"/>
          <w:color w:val="000000"/>
          <w:sz w:val="24"/>
        </w:rPr>
      </w:pPr>
      <w:r>
        <w:rPr>
          <w:rFonts w:hint="eastAsia" w:ascii="宋体" w:hAnsi="宋体" w:cs="宋体"/>
          <w:color w:val="000000"/>
          <w:sz w:val="24"/>
        </w:rPr>
        <w:t>本合同发生争议时，双方应友好协商解决，协商不一致的，由甲方主管部门决定处置方法。</w:t>
      </w:r>
    </w:p>
    <w:p>
      <w:pPr>
        <w:keepNext w:val="0"/>
        <w:keepLines w:val="0"/>
        <w:pageBreakBefore w:val="0"/>
        <w:kinsoku/>
        <w:wordWrap/>
        <w:overflowPunct/>
        <w:topLinePunct w:val="0"/>
        <w:autoSpaceDE/>
        <w:autoSpaceDN/>
        <w:bidi w:val="0"/>
        <w:adjustRightInd w:val="0"/>
        <w:snapToGrid w:val="0"/>
        <w:spacing w:line="336" w:lineRule="auto"/>
        <w:ind w:right="25" w:rightChars="12" w:firstLine="482" w:firstLineChars="200"/>
        <w:textAlignment w:val="auto"/>
        <w:rPr>
          <w:rFonts w:ascii="宋体" w:hAnsi="宋体" w:cs="宋体"/>
          <w:b/>
          <w:color w:val="000000"/>
          <w:sz w:val="24"/>
        </w:rPr>
      </w:pPr>
      <w:r>
        <w:rPr>
          <w:rFonts w:hint="eastAsia" w:ascii="宋体" w:hAnsi="宋体" w:cs="宋体"/>
          <w:b/>
          <w:color w:val="000000"/>
          <w:sz w:val="24"/>
        </w:rPr>
        <w:t>第十六条：合同生效</w:t>
      </w:r>
    </w:p>
    <w:p>
      <w:pPr>
        <w:keepNext w:val="0"/>
        <w:keepLines w:val="0"/>
        <w:pageBreakBefore w:val="0"/>
        <w:kinsoku/>
        <w:wordWrap/>
        <w:overflowPunct/>
        <w:topLinePunct w:val="0"/>
        <w:autoSpaceDE/>
        <w:autoSpaceDN/>
        <w:bidi w:val="0"/>
        <w:adjustRightInd w:val="0"/>
        <w:snapToGrid w:val="0"/>
        <w:spacing w:line="336" w:lineRule="auto"/>
        <w:ind w:left="-2" w:leftChars="-1" w:firstLine="480" w:firstLineChars="200"/>
        <w:textAlignment w:val="auto"/>
        <w:rPr>
          <w:rFonts w:ascii="宋体" w:hAnsi="宋体" w:cs="宋体"/>
          <w:snapToGrid w:val="0"/>
          <w:color w:val="000000"/>
          <w:kern w:val="0"/>
          <w:sz w:val="24"/>
        </w:rPr>
      </w:pPr>
      <w:r>
        <w:rPr>
          <w:rFonts w:hint="eastAsia" w:ascii="宋体" w:hAnsi="宋体" w:cs="宋体"/>
          <w:snapToGrid w:val="0"/>
          <w:color w:val="000000"/>
          <w:kern w:val="0"/>
          <w:sz w:val="24"/>
        </w:rPr>
        <w:t>1.本合同经双方法定代表人或其委托人签字并加盖公章之日起生效。</w:t>
      </w:r>
    </w:p>
    <w:p>
      <w:pPr>
        <w:keepNext w:val="0"/>
        <w:keepLines w:val="0"/>
        <w:pageBreakBefore w:val="0"/>
        <w:kinsoku/>
        <w:wordWrap/>
        <w:overflowPunct/>
        <w:topLinePunct w:val="0"/>
        <w:autoSpaceDE/>
        <w:autoSpaceDN/>
        <w:bidi w:val="0"/>
        <w:adjustRightInd w:val="0"/>
        <w:snapToGrid w:val="0"/>
        <w:spacing w:line="336" w:lineRule="auto"/>
        <w:ind w:left="-2" w:leftChars="-1" w:firstLine="480" w:firstLineChars="200"/>
        <w:textAlignment w:val="auto"/>
        <w:rPr>
          <w:rFonts w:ascii="宋体" w:hAnsi="宋体" w:cs="宋体"/>
          <w:snapToGrid w:val="0"/>
          <w:color w:val="000000"/>
          <w:kern w:val="0"/>
          <w:sz w:val="24"/>
          <w:highlight w:val="none"/>
        </w:rPr>
      </w:pPr>
      <w:r>
        <w:rPr>
          <w:rFonts w:hint="eastAsia" w:ascii="宋体" w:hAnsi="宋体" w:cs="宋体"/>
          <w:snapToGrid w:val="0"/>
          <w:color w:val="000000"/>
          <w:kern w:val="0"/>
          <w:sz w:val="24"/>
        </w:rPr>
        <w:t>2.本合同一式四</w:t>
      </w:r>
      <w:r>
        <w:rPr>
          <w:rFonts w:hint="eastAsia" w:ascii="宋体" w:hAnsi="宋体" w:cs="宋体"/>
          <w:snapToGrid w:val="0"/>
          <w:color w:val="000000"/>
          <w:kern w:val="0"/>
          <w:sz w:val="24"/>
          <w:highlight w:val="none"/>
        </w:rPr>
        <w:t>份，甲、乙双方各执二份。</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3.合同履行期内甲乙双方均不得随意变更或解除合同。合同若有未尽事宜，需经双方共同协商，订立补充合同，补充合同与本合同有同等法律效力。</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附件：《杭州市道路照明设施养护考评考核评分表》</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甲方：                              乙方：</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（盖章）                           （盖章）</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法人代表：                          法人代表：</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授权代表：                          授权代表：             </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日期：                              日期：           </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电话:                               电话：                </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单位地址：                          单位地址： </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银行账号：                          银行账号：        </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开户行：                            开户行：    </w:t>
      </w: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p>
    <w:p>
      <w:pPr>
        <w:pStyle w:val="968"/>
        <w:keepNext w:val="0"/>
        <w:keepLines w:val="0"/>
        <w:pageBreakBefore w:val="0"/>
        <w:tabs>
          <w:tab w:val="left" w:pos="855"/>
        </w:tabs>
        <w:kinsoku/>
        <w:wordWrap/>
        <w:overflowPunct/>
        <w:topLinePunct w:val="0"/>
        <w:autoSpaceDE/>
        <w:autoSpaceDN/>
        <w:bidi w:val="0"/>
        <w:adjustRightInd w:val="0"/>
        <w:spacing w:line="336" w:lineRule="auto"/>
        <w:ind w:firstLine="480"/>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签订时间：   年  月  日</w:t>
      </w:r>
    </w:p>
    <w:p>
      <w:pPr>
        <w:pStyle w:val="968"/>
        <w:tabs>
          <w:tab w:val="left" w:pos="855"/>
        </w:tabs>
        <w:spacing w:line="360" w:lineRule="auto"/>
        <w:ind w:firstLine="480"/>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 xml:space="preserve">           </w:t>
      </w: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28"/>
      <w:r>
        <w:rPr>
          <w:rFonts w:hint="eastAsia" w:ascii="宋体" w:hAnsi="宋体" w:cs="宋体"/>
          <w:b/>
          <w:sz w:val="36"/>
          <w:szCs w:val="20"/>
        </w:rPr>
        <w:t xml:space="preserve"> </w:t>
      </w:r>
      <w:bookmarkEnd w:id="2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   录</w:t>
      </w:r>
    </w:p>
    <w:p>
      <w:pPr>
        <w:snapToGrid w:val="0"/>
        <w:spacing w:line="360" w:lineRule="auto"/>
        <w:rPr>
          <w:rFonts w:ascii="宋体" w:hAnsi="宋体" w:cs="宋体"/>
          <w:sz w:val="24"/>
          <w:lang w:val="zh-CN"/>
        </w:rPr>
      </w:pPr>
    </w:p>
    <w:p>
      <w:pPr>
        <w:snapToGrid w:val="0"/>
        <w:spacing w:line="360" w:lineRule="auto"/>
        <w:ind w:firstLine="480" w:firstLineChars="200"/>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）有效的营业执照（或其他工商等登记证明材料）复印件并加盖公司公章；事业单位的，则提供有效的《事业单位法人证书》副本复印件并加盖单位公章；自然人的，</w:t>
      </w:r>
      <w:r>
        <w:rPr>
          <w:rFonts w:hint="eastAsia" w:ascii="宋体" w:hAnsi="宋体" w:cs="宋体"/>
          <w:sz w:val="24"/>
        </w:rPr>
        <w:t xml:space="preserve"> </w:t>
      </w:r>
      <w:r>
        <w:rPr>
          <w:rFonts w:hint="eastAsia" w:ascii="宋体" w:hAnsi="宋体" w:cs="宋体"/>
          <w:sz w:val="24"/>
          <w:lang w:val="zh-CN"/>
        </w:rPr>
        <w:t>则提供有效的身份证复印件并签字；</w:t>
      </w:r>
    </w:p>
    <w:p>
      <w:pPr>
        <w:snapToGrid w:val="0"/>
        <w:spacing w:line="360" w:lineRule="auto"/>
        <w:ind w:firstLine="480" w:firstLineChars="200"/>
        <w:rPr>
          <w:rFonts w:ascii="宋体" w:hAnsi="宋体" w:cs="宋体"/>
          <w:sz w:val="24"/>
        </w:rPr>
      </w:pPr>
      <w:r>
        <w:rPr>
          <w:rFonts w:hint="eastAsia" w:ascii="宋体" w:hAnsi="宋体" w:cs="宋体"/>
          <w:sz w:val="24"/>
        </w:rPr>
        <w:t>（2）符合参加政府采购活动应当具备的一般条件的承诺函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（3）落实政府采购政策需满足的资格要求</w:t>
      </w:r>
    </w:p>
    <w:p>
      <w:pPr>
        <w:snapToGrid w:val="0"/>
        <w:spacing w:line="360" w:lineRule="auto"/>
        <w:ind w:firstLine="480" w:firstLineChars="200"/>
        <w:rPr>
          <w:rFonts w:ascii="宋体" w:hAnsi="宋体" w:cs="宋体"/>
          <w:sz w:val="24"/>
        </w:rPr>
      </w:pPr>
      <w:r>
        <w:rPr>
          <w:rFonts w:hint="eastAsia" w:ascii="宋体" w:hAnsi="宋体" w:cs="宋体"/>
          <w:sz w:val="24"/>
        </w:rPr>
        <w:t>（4）本项目的特定资格要求</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b/>
          <w:kern w:val="0"/>
          <w:sz w:val="32"/>
          <w:szCs w:val="32"/>
          <w:lang w:val="zh-CN"/>
        </w:rPr>
      </w:pPr>
      <w:r>
        <w:rPr>
          <w:rFonts w:hint="eastAsia" w:ascii="宋体" w:hAnsi="宋体" w:cs="宋体"/>
          <w:kern w:val="0"/>
          <w:sz w:val="24"/>
        </w:rPr>
        <w:br w:type="page"/>
      </w:r>
      <w:r>
        <w:rPr>
          <w:rFonts w:hint="eastAsia" w:ascii="宋体" w:hAnsi="宋体" w:cs="宋体"/>
          <w:b/>
          <w:kern w:val="0"/>
          <w:sz w:val="32"/>
          <w:szCs w:val="32"/>
        </w:rPr>
        <w:t xml:space="preserve"> 一、</w:t>
      </w:r>
      <w:r>
        <w:rPr>
          <w:rFonts w:hint="eastAsia" w:ascii="宋体" w:hAnsi="宋体" w:cs="宋体"/>
          <w:b/>
          <w:kern w:val="0"/>
          <w:sz w:val="32"/>
          <w:szCs w:val="32"/>
          <w:lang w:val="zh-CN"/>
        </w:rPr>
        <w:t>有效的营业执照（或其他工商等登记证明材料）复印件并加盖公司公章；事业单位的，则提供有效的《事业单位法人证书》副本复印件并加盖单位公章；自然人的，</w:t>
      </w:r>
      <w:r>
        <w:rPr>
          <w:rFonts w:hint="eastAsia" w:ascii="宋体" w:hAnsi="宋体" w:cs="宋体"/>
          <w:b/>
          <w:kern w:val="0"/>
          <w:sz w:val="32"/>
          <w:szCs w:val="32"/>
        </w:rPr>
        <w:t xml:space="preserve"> </w:t>
      </w:r>
      <w:r>
        <w:rPr>
          <w:rFonts w:hint="eastAsia" w:ascii="宋体" w:hAnsi="宋体" w:cs="宋体"/>
          <w:b/>
          <w:kern w:val="0"/>
          <w:sz w:val="32"/>
          <w:szCs w:val="32"/>
          <w:lang w:val="zh-CN"/>
        </w:rPr>
        <w:t>则提供有效的身份证复印件并签字；</w:t>
      </w:r>
    </w:p>
    <w:p>
      <w:pPr>
        <w:pStyle w:val="5"/>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pStyle w:val="112"/>
        <w:ind w:firstLine="420"/>
        <w:rPr>
          <w:rFonts w:hAnsi="宋体" w:cs="宋体"/>
        </w:rPr>
      </w:pPr>
    </w:p>
    <w:p>
      <w:pPr>
        <w:numPr>
          <w:ilvl w:val="0"/>
          <w:numId w:val="2"/>
        </w:numPr>
        <w:snapToGrid w:val="0"/>
        <w:spacing w:line="360" w:lineRule="auto"/>
        <w:ind w:left="479" w:leftChars="228"/>
        <w:rPr>
          <w:rFonts w:ascii="宋体" w:hAnsi="宋体" w:cs="宋体"/>
          <w:sz w:val="24"/>
        </w:rPr>
      </w:pPr>
      <w:r>
        <w:rPr>
          <w:rFonts w:hint="eastAsia" w:ascii="宋体" w:hAnsi="宋体" w:cs="宋体"/>
          <w:sz w:val="24"/>
        </w:rPr>
        <w:t>投标函</w:t>
      </w:r>
    </w:p>
    <w:p>
      <w:pPr>
        <w:snapToGrid w:val="0"/>
        <w:spacing w:line="360" w:lineRule="auto"/>
        <w:ind w:firstLine="480" w:firstLineChars="200"/>
        <w:rPr>
          <w:rFonts w:ascii="宋体" w:hAnsi="宋体" w:cs="宋体"/>
        </w:rPr>
      </w:pPr>
      <w:r>
        <w:rPr>
          <w:rFonts w:hint="eastAsia" w:ascii="宋体" w:hAnsi="宋体" w:cs="宋体"/>
          <w:sz w:val="24"/>
        </w:rPr>
        <w:t>（2）授权委托书或法定代表人（单位负责人、自然人本人）身份证明</w:t>
      </w:r>
    </w:p>
    <w:p>
      <w:pPr>
        <w:snapToGrid w:val="0"/>
        <w:spacing w:line="360" w:lineRule="auto"/>
        <w:ind w:firstLine="480" w:firstLineChars="200"/>
        <w:rPr>
          <w:rFonts w:ascii="宋体" w:hAnsi="宋体" w:cs="宋体"/>
        </w:rPr>
      </w:pPr>
      <w:r>
        <w:rPr>
          <w:rFonts w:hint="eastAsia" w:ascii="宋体" w:hAnsi="宋体" w:cs="宋体"/>
          <w:sz w:val="24"/>
        </w:rPr>
        <w:t>（3）符合性审查资料</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p>
    <w:p>
      <w:pPr>
        <w:snapToGrid w:val="0"/>
        <w:spacing w:line="360" w:lineRule="auto"/>
        <w:ind w:left="479" w:leftChars="228"/>
        <w:rPr>
          <w:rFonts w:ascii="宋体" w:hAnsi="宋体" w:cs="宋体"/>
        </w:rPr>
      </w:pPr>
      <w:r>
        <w:rPr>
          <w:rFonts w:hint="eastAsia" w:ascii="宋体" w:hAnsi="宋体" w:cs="宋体"/>
          <w:sz w:val="24"/>
        </w:rPr>
        <w:t>（5）商务技术偏离表</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112"/>
        <w:ind w:firstLine="420"/>
        <w:rPr>
          <w:rFonts w:hAnsi="宋体" w:cs="宋体"/>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w:t>
      </w: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rPr>
          <w:rFonts w:ascii="宋体" w:hAnsi="宋体" w:cs="宋体"/>
          <w:kern w:val="0"/>
          <w:sz w:val="24"/>
          <w:lang w:val="zh-CN"/>
        </w:rPr>
      </w:pPr>
    </w:p>
    <w:p>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bCs/>
          <w:sz w:val="24"/>
        </w:rPr>
      </w:pPr>
      <w:r>
        <w:rPr>
          <w:rFonts w:hint="eastAsia" w:ascii="宋体" w:hAnsi="宋体" w:cs="宋体"/>
          <w:b/>
          <w:kern w:val="0"/>
          <w:sz w:val="32"/>
          <w:szCs w:val="32"/>
          <w:lang w:val="zh-CN"/>
        </w:rPr>
        <w:t xml:space="preserve">  </w:t>
      </w:r>
      <w:r>
        <w:rPr>
          <w:rFonts w:hint="eastAsia" w:ascii="宋体"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9207" w:type="dxa"/>
            <w:noWrap w:val="0"/>
            <w:vAlign w:val="top"/>
          </w:tcPr>
          <w:p>
            <w:pPr>
              <w:pStyle w:val="175"/>
              <w:adjustRightInd w:val="0"/>
              <w:spacing w:line="360" w:lineRule="auto"/>
              <w:rPr>
                <w:rFonts w:hAnsi="宋体" w:cs="宋体"/>
                <w:bCs/>
                <w:sz w:val="24"/>
              </w:rPr>
            </w:pPr>
            <w:r>
              <w:rPr>
                <w:rFonts w:hint="eastAsia" w:hAnsi="宋体" w:cs="宋体"/>
                <w:bCs/>
                <w:sz w:val="24"/>
              </w:rPr>
              <w:t>正面：                                 反面：</w:t>
            </w: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112"/>
        <w:ind w:firstLine="643"/>
        <w:rPr>
          <w:rFonts w:hAnsi="宋体" w:cs="宋体"/>
          <w:b/>
          <w:sz w:val="32"/>
          <w:szCs w:val="32"/>
          <w:lang w:val="zh-CN"/>
        </w:rPr>
      </w:pPr>
    </w:p>
    <w:p>
      <w:pPr>
        <w:pStyle w:val="112"/>
        <w:ind w:firstLine="420"/>
        <w:rPr>
          <w:rFonts w:hAnsi="宋体" w:cs="宋体"/>
          <w:lang w:val="zh-CN"/>
        </w:rPr>
      </w:pPr>
    </w:p>
    <w:p>
      <w:pPr>
        <w:jc w:val="center"/>
        <w:rPr>
          <w:rFonts w:hint="eastAsia" w:ascii="仿宋_GB2312" w:hAnsi="仿宋" w:eastAsia="仿宋_GB2312" w:cs="仿宋_GB2312"/>
          <w:b/>
          <w:kern w:val="0"/>
          <w:sz w:val="32"/>
          <w:szCs w:val="32"/>
          <w:lang w:val="zh-CN"/>
        </w:rPr>
      </w:pPr>
    </w:p>
    <w:p>
      <w:pPr>
        <w:jc w:val="center"/>
        <w:rPr>
          <w:rFonts w:hint="eastAsia"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hint="eastAsia" w:ascii="宋体" w:hAnsi="宋体" w:eastAsia="宋体" w:cs="宋体"/>
          <w:sz w:val="24"/>
        </w:rPr>
      </w:pPr>
    </w:p>
    <w:p>
      <w:pPr>
        <w:pStyle w:val="2"/>
        <w:rPr>
          <w:rFonts w:hint="eastAsia"/>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napToGrid w:val="0"/>
        <w:spacing w:line="360" w:lineRule="auto"/>
        <w:rPr>
          <w:rFonts w:ascii="宋体" w:hAnsi="宋体" w:cs="宋体"/>
          <w:bCs/>
          <w:sz w:val="24"/>
        </w:rPr>
      </w:pPr>
      <w:r>
        <w:rPr>
          <w:rFonts w:hint="eastAsia" w:ascii="宋体"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7" w:hRule="atLeast"/>
          <w:jc w:val="center"/>
        </w:trPr>
        <w:tc>
          <w:tcPr>
            <w:tcW w:w="9207" w:type="dxa"/>
            <w:noWrap w:val="0"/>
            <w:vAlign w:val="top"/>
          </w:tcPr>
          <w:p>
            <w:pPr>
              <w:pStyle w:val="175"/>
              <w:adjustRightInd w:val="0"/>
              <w:spacing w:line="360" w:lineRule="auto"/>
              <w:rPr>
                <w:rFonts w:hAnsi="宋体" w:cs="宋体"/>
                <w:bCs/>
                <w:sz w:val="24"/>
              </w:rPr>
            </w:pPr>
            <w:r>
              <w:rPr>
                <w:rFonts w:hint="eastAsia" w:hAnsi="宋体" w:cs="宋体"/>
                <w:bCs/>
                <w:sz w:val="24"/>
              </w:rPr>
              <w:t>正面：                                 反面：</w:t>
            </w: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p>
            <w:pPr>
              <w:pStyle w:val="175"/>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rPr>
          <w:rFonts w:ascii="仿宋_GB2312" w:hAnsi="仿宋" w:eastAsia="仿宋_GB2312" w:cs="仿宋_GB2312"/>
          <w:kern w:val="0"/>
          <w:sz w:val="24"/>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5"/>
        <w:spacing w:line="360" w:lineRule="auto"/>
        <w:rPr>
          <w:rFonts w:hAnsi="宋体" w:cs="宋体"/>
          <w:bCs/>
          <w:sz w:val="24"/>
        </w:rPr>
      </w:pPr>
    </w:p>
    <w:p>
      <w:pPr>
        <w:pStyle w:val="175"/>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5"/>
              <w:adjustRightInd w:val="0"/>
              <w:spacing w:line="360" w:lineRule="auto"/>
              <w:rPr>
                <w:rFonts w:hAnsi="宋体" w:cs="宋体"/>
                <w:bCs/>
                <w:sz w:val="24"/>
              </w:rPr>
            </w:pPr>
            <w:r>
              <w:rPr>
                <w:rFonts w:hint="eastAsia" w:hAnsi="宋体" w:cs="宋体"/>
                <w:bCs/>
                <w:sz w:val="24"/>
              </w:rPr>
              <w:t>正面：                                 反面：</w:t>
            </w:r>
          </w:p>
          <w:p>
            <w:pPr>
              <w:pStyle w:val="175"/>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rPr>
        <w:t>三、</w:t>
      </w:r>
      <w:r>
        <w:rPr>
          <w:rFonts w:hint="eastAsia" w:ascii="宋体" w:hAnsi="宋体" w:eastAsia="宋体" w:cs="宋体"/>
          <w:b/>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四、</w:t>
      </w:r>
      <w:r>
        <w:rPr>
          <w:rFonts w:hint="eastAsia" w:ascii="宋体" w:hAnsi="宋体" w:eastAsia="宋体" w:cs="宋体"/>
          <w:kern w:val="0"/>
          <w:sz w:val="24"/>
          <w:u w:val="single"/>
        </w:rPr>
        <w:t>（联合体其中一方成员名称）</w:t>
      </w:r>
      <w:r>
        <w:rPr>
          <w:rFonts w:hint="eastAsia" w:ascii="宋体" w:hAnsi="宋体" w:eastAsia="宋体" w:cs="宋体"/>
          <w:kern w:val="0"/>
          <w:sz w:val="24"/>
        </w:rPr>
        <w:t>提供的全部</w:t>
      </w:r>
      <w:r>
        <w:rPr>
          <w:rFonts w:hint="eastAsia" w:ascii="宋体" w:hAnsi="宋体" w:eastAsia="宋体" w:cs="宋体"/>
          <w:kern w:val="0"/>
          <w:sz w:val="24"/>
          <w:lang w:val="en-US" w:eastAsia="zh-CN"/>
        </w:rPr>
        <w:t>服务</w:t>
      </w:r>
      <w:r>
        <w:rPr>
          <w:rFonts w:hint="eastAsia" w:ascii="宋体" w:hAnsi="宋体" w:eastAsia="宋体" w:cs="宋体"/>
          <w:kern w:val="0"/>
          <w:sz w:val="24"/>
        </w:rPr>
        <w:t>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（未预留份额专门面向中小企业采购的采购项目，以及预留份额中的非预留部分采购包，接受联合体投标的，联合体其中一方提供的</w:t>
      </w:r>
      <w:r>
        <w:rPr>
          <w:rFonts w:hint="eastAsia" w:ascii="宋体" w:hAnsi="宋体" w:eastAsia="宋体" w:cs="宋体"/>
          <w:b/>
          <w:kern w:val="0"/>
          <w:sz w:val="24"/>
          <w:lang w:val="en-US" w:eastAsia="zh-CN"/>
        </w:rPr>
        <w:t>服务</w:t>
      </w:r>
      <w:r>
        <w:rPr>
          <w:rFonts w:hint="eastAsia" w:ascii="宋体" w:hAnsi="宋体" w:eastAsia="宋体" w:cs="宋体"/>
          <w:b/>
          <w:kern w:val="0"/>
          <w:sz w:val="24"/>
          <w:lang w:val="zh-CN"/>
        </w:rPr>
        <w:t>全部由小微企业</w:t>
      </w:r>
      <w:r>
        <w:rPr>
          <w:rFonts w:hint="eastAsia" w:ascii="宋体" w:hAnsi="宋体" w:eastAsia="宋体" w:cs="宋体"/>
          <w:b/>
          <w:kern w:val="0"/>
          <w:sz w:val="24"/>
          <w:lang w:val="en-US" w:eastAsia="zh-CN"/>
        </w:rPr>
        <w:t>提供</w:t>
      </w:r>
      <w:r>
        <w:rPr>
          <w:rFonts w:hint="eastAsia" w:ascii="宋体" w:hAnsi="宋体" w:eastAsia="宋体" w:cs="宋体"/>
          <w:b/>
          <w:kern w:val="0"/>
          <w:sz w:val="24"/>
          <w:lang w:val="zh-CN"/>
        </w:rPr>
        <w:t xml:space="preserve">，且其合同份额占到合同总金额 </w:t>
      </w:r>
      <w:r>
        <w:rPr>
          <w:rFonts w:hint="eastAsia" w:ascii="宋体" w:hAnsi="宋体" w:eastAsia="宋体" w:cs="宋体"/>
          <w:b/>
          <w:kern w:val="0"/>
          <w:sz w:val="24"/>
          <w:lang w:val="en-US" w:eastAsia="zh-CN"/>
        </w:rPr>
        <w:t>30</w:t>
      </w:r>
      <w:r>
        <w:rPr>
          <w:rFonts w:hint="eastAsia" w:ascii="宋体" w:hAnsi="宋体" w:eastAsia="宋体" w:cs="宋体"/>
          <w:b/>
          <w:kern w:val="0"/>
          <w:sz w:val="24"/>
          <w:lang w:val="zh-CN"/>
        </w:rPr>
        <w:t>%以上，对联合体报价给予</w:t>
      </w:r>
      <w:r>
        <w:rPr>
          <w:rFonts w:hint="eastAsia" w:ascii="宋体" w:hAnsi="宋体" w:eastAsia="宋体" w:cs="宋体"/>
          <w:b/>
          <w:kern w:val="0"/>
          <w:sz w:val="24"/>
          <w:lang w:val="en-US" w:eastAsia="zh-CN"/>
        </w:rPr>
        <w:t>6</w:t>
      </w:r>
      <w:r>
        <w:rPr>
          <w:rFonts w:hint="eastAsia" w:ascii="宋体" w:hAnsi="宋体" w:eastAsia="宋体" w:cs="宋体"/>
          <w:b/>
          <w:kern w:val="0"/>
          <w:sz w:val="24"/>
          <w:lang w:val="zh-CN"/>
        </w:rPr>
        <w:t>%的扣除）</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napToGrid w:val="0"/>
        <w:spacing w:line="360" w:lineRule="auto"/>
        <w:ind w:right="480"/>
        <w:rPr>
          <w:rFonts w:hint="eastAsia" w:ascii="宋体" w:hAnsi="宋体" w:eastAsia="宋体" w:cs="宋体"/>
          <w:b/>
          <w:kern w:val="0"/>
          <w:sz w:val="32"/>
          <w:szCs w:val="32"/>
          <w:lang w:val="zh-CN"/>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四、分包意向协议</w:t>
      </w:r>
    </w:p>
    <w:p>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4"/>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（未预留份额专门面向中小企业采购的采购项目，以及预留份额中的非预留部分采购包，允许分包的，分包供应商提供的</w:t>
      </w:r>
      <w:r>
        <w:rPr>
          <w:rFonts w:hint="eastAsia" w:ascii="宋体" w:hAnsi="宋体" w:eastAsia="宋体" w:cs="宋体"/>
          <w:b/>
          <w:kern w:val="0"/>
          <w:sz w:val="24"/>
          <w:lang w:val="en-US" w:eastAsia="zh-CN"/>
        </w:rPr>
        <w:t>服务</w:t>
      </w:r>
      <w:r>
        <w:rPr>
          <w:rFonts w:hint="eastAsia" w:ascii="宋体" w:hAnsi="宋体" w:eastAsia="宋体" w:cs="宋体"/>
          <w:b/>
          <w:kern w:val="0"/>
          <w:sz w:val="24"/>
          <w:lang w:val="zh-CN"/>
        </w:rPr>
        <w:t>全部由小微企业</w:t>
      </w:r>
      <w:r>
        <w:rPr>
          <w:rFonts w:hint="eastAsia" w:ascii="宋体" w:hAnsi="宋体" w:eastAsia="宋体" w:cs="宋体"/>
          <w:b/>
          <w:kern w:val="0"/>
          <w:sz w:val="24"/>
          <w:lang w:val="en-US" w:eastAsia="zh-CN"/>
        </w:rPr>
        <w:t>提供</w:t>
      </w:r>
      <w:r>
        <w:rPr>
          <w:rFonts w:hint="eastAsia" w:ascii="宋体" w:hAnsi="宋体" w:eastAsia="宋体" w:cs="宋体"/>
          <w:b/>
          <w:kern w:val="0"/>
          <w:sz w:val="24"/>
          <w:lang w:val="zh-CN"/>
        </w:rPr>
        <w:t>，且其合同份额占到合同总金额 30%以上的，对大中型企业的报价给予</w:t>
      </w:r>
      <w:r>
        <w:rPr>
          <w:rFonts w:hint="eastAsia" w:ascii="宋体" w:hAnsi="宋体" w:eastAsia="宋体" w:cs="宋体"/>
          <w:b/>
          <w:kern w:val="0"/>
          <w:sz w:val="24"/>
          <w:lang w:val="en-US" w:eastAsia="zh-CN"/>
        </w:rPr>
        <w:t>6</w:t>
      </w:r>
      <w:r>
        <w:rPr>
          <w:rFonts w:hint="eastAsia" w:ascii="宋体" w:hAnsi="宋体" w:eastAsia="宋体" w:cs="宋体"/>
          <w:b/>
          <w:kern w:val="0"/>
          <w:sz w:val="24"/>
          <w:lang w:val="zh-CN"/>
        </w:rPr>
        <w:t>%的扣除）</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宋体" w:hAnsi="宋体" w:cs="宋体"/>
                <w:sz w:val="24"/>
              </w:rPr>
            </w:pPr>
            <w:r>
              <w:rPr>
                <w:rFonts w:hint="eastAsia" w:ascii="宋体" w:hAnsi="宋体" w:cs="宋体"/>
                <w:sz w:val="24"/>
              </w:rPr>
              <w:t>1</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noWrap w:val="0"/>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noWrap w:val="0"/>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ascii="宋体" w:hAnsi="宋体" w:cs="宋体"/>
                <w:sz w:val="24"/>
              </w:rPr>
            </w:pPr>
            <w:r>
              <w:rPr>
                <w:rFonts w:hint="eastAsia" w:ascii="宋体" w:hAnsi="宋体" w:cs="宋体"/>
                <w:sz w:val="24"/>
              </w:rPr>
              <w:t>2</w:t>
            </w:r>
          </w:p>
        </w:tc>
        <w:tc>
          <w:tcPr>
            <w:tcW w:w="4991" w:type="dxa"/>
            <w:noWrap w:val="0"/>
            <w:vAlign w:val="top"/>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noWrap w:val="0"/>
            <w:vAlign w:val="top"/>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4"/>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宋体" w:hAnsi="宋体" w:cs="宋体"/>
                <w:sz w:val="24"/>
              </w:rPr>
            </w:pPr>
            <w:r>
              <w:rPr>
                <w:rFonts w:hint="eastAsia" w:ascii="宋体" w:hAnsi="宋体" w:cs="宋体"/>
                <w:sz w:val="24"/>
              </w:rPr>
              <w:t>3</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pPr>
              <w:rPr>
                <w:rFonts w:ascii="宋体" w:hAnsi="宋体" w:cs="宋体"/>
                <w:sz w:val="24"/>
              </w:rPr>
            </w:pPr>
            <w:r>
              <w:rPr>
                <w:rFonts w:hint="eastAsia" w:ascii="宋体" w:hAnsi="宋体" w:cs="宋体"/>
                <w:sz w:val="24"/>
              </w:rPr>
              <w:t>投标函</w:t>
            </w:r>
          </w:p>
        </w:tc>
        <w:tc>
          <w:tcPr>
            <w:tcW w:w="1418" w:type="dxa"/>
            <w:noWrap w:val="0"/>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宋体" w:hAnsi="宋体" w:cs="宋体"/>
                <w:sz w:val="24"/>
              </w:rPr>
            </w:pPr>
            <w:r>
              <w:rPr>
                <w:rFonts w:hint="eastAsia" w:ascii="宋体" w:hAnsi="宋体" w:cs="宋体"/>
                <w:sz w:val="24"/>
              </w:rPr>
              <w:t>4</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noWrap w:val="0"/>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noWrap w:val="0"/>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lang w:val="en-US" w:eastAsia="zh-CN"/>
        </w:rPr>
        <w:t>六</w:t>
      </w:r>
      <w:r>
        <w:rPr>
          <w:rFonts w:hint="eastAsia" w:ascii="宋体" w:hAnsi="宋体" w:cs="宋体"/>
          <w:b/>
          <w:kern w:val="0"/>
          <w:sz w:val="32"/>
          <w:szCs w:val="32"/>
        </w:rPr>
        <w:t>、评标标准相应的商务技术资料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pacing w:line="360" w:lineRule="auto"/>
        <w:jc w:val="left"/>
        <w:rPr>
          <w:rStyle w:val="961"/>
          <w:rFonts w:hint="eastAsia" w:ascii="宋体" w:hAnsi="宋体"/>
          <w:b/>
          <w:kern w:val="0"/>
          <w:sz w:val="24"/>
        </w:rPr>
      </w:pPr>
    </w:p>
    <w:p>
      <w:pPr>
        <w:spacing w:line="360" w:lineRule="auto"/>
        <w:jc w:val="left"/>
        <w:rPr>
          <w:rStyle w:val="961"/>
          <w:rFonts w:ascii="宋体" w:hAnsi="宋体"/>
          <w:b/>
          <w:kern w:val="0"/>
          <w:sz w:val="24"/>
        </w:rPr>
      </w:pPr>
      <w:r>
        <w:rPr>
          <w:rStyle w:val="961"/>
          <w:rFonts w:hint="eastAsia" w:ascii="宋体" w:hAnsi="宋体"/>
          <w:b/>
          <w:kern w:val="0"/>
          <w:sz w:val="24"/>
        </w:rPr>
        <w:t>附件1</w:t>
      </w:r>
    </w:p>
    <w:p>
      <w:pPr>
        <w:spacing w:line="360" w:lineRule="auto"/>
        <w:jc w:val="center"/>
        <w:rPr>
          <w:rStyle w:val="961"/>
          <w:rFonts w:ascii="宋体" w:hAnsi="宋体"/>
          <w:b/>
          <w:kern w:val="0"/>
          <w:sz w:val="32"/>
          <w:szCs w:val="32"/>
        </w:rPr>
      </w:pPr>
      <w:r>
        <w:rPr>
          <w:rStyle w:val="961"/>
          <w:rFonts w:ascii="宋体" w:hAnsi="宋体"/>
          <w:b/>
          <w:kern w:val="0"/>
          <w:sz w:val="32"/>
          <w:szCs w:val="32"/>
        </w:rPr>
        <w:t>供应商基本情况表</w:t>
      </w:r>
    </w:p>
    <w:p>
      <w:pPr>
        <w:spacing w:line="360" w:lineRule="auto"/>
        <w:jc w:val="left"/>
        <w:rPr>
          <w:rStyle w:val="961"/>
          <w:rFonts w:ascii="宋体" w:hAnsi="宋体" w:cs="宋体"/>
          <w:bCs/>
        </w:rPr>
      </w:pPr>
      <w:r>
        <w:rPr>
          <w:rStyle w:val="961"/>
          <w:rFonts w:ascii="宋体" w:hAnsi="宋体" w:cs="宋体"/>
          <w:bCs/>
        </w:rPr>
        <w:t>项目名称：                                        项目编号：</w:t>
      </w:r>
    </w:p>
    <w:tbl>
      <w:tblPr>
        <w:tblStyle w:val="62"/>
        <w:tblW w:w="872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1720"/>
        <w:gridCol w:w="1859"/>
        <w:gridCol w:w="1758"/>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4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公司名称</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4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注册资金</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4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地址、邮编</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4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主要业务范围</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4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企业性质</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4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成立时间</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4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生产经营场所规模（平方）</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87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公司领导班子构成情况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法人代表</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公司经理</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872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公司人员职称构成情况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76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人员总数（人）</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76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76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人员构成（%）</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管理人员</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技术人员</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后勤人员</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76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76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上年度末资产及负债情况</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总资产</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固定资产净额</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流动资产</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资产负债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exact"/>
        </w:trPr>
        <w:tc>
          <w:tcPr>
            <w:tcW w:w="176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2" w:hRule="exac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r>
              <w:rPr>
                <w:rStyle w:val="961"/>
                <w:rFonts w:ascii="宋体" w:hAnsi="宋体"/>
                <w:szCs w:val="21"/>
              </w:rPr>
              <w:t>企业概况</w:t>
            </w:r>
          </w:p>
        </w:tc>
        <w:tc>
          <w:tcPr>
            <w:tcW w:w="695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961"/>
                <w:rFonts w:ascii="宋体" w:hAnsi="宋体"/>
                <w:szCs w:val="21"/>
              </w:rPr>
            </w:pPr>
          </w:p>
        </w:tc>
      </w:tr>
    </w:tbl>
    <w:p>
      <w:pPr>
        <w:snapToGrid w:val="0"/>
        <w:spacing w:line="360" w:lineRule="auto"/>
        <w:ind w:firstLine="4830" w:firstLineChars="2300"/>
        <w:rPr>
          <w:rStyle w:val="961"/>
          <w:rFonts w:ascii="宋体" w:hAnsi="宋体"/>
        </w:rPr>
      </w:pPr>
    </w:p>
    <w:p>
      <w:pPr>
        <w:snapToGrid w:val="0"/>
        <w:spacing w:line="360" w:lineRule="auto"/>
        <w:ind w:firstLine="5760" w:firstLineChars="2400"/>
        <w:rPr>
          <w:rStyle w:val="961"/>
          <w:rFonts w:ascii="宋体" w:hAnsi="宋体"/>
          <w:kern w:val="0"/>
          <w:sz w:val="24"/>
        </w:rPr>
      </w:pPr>
      <w:r>
        <w:rPr>
          <w:rStyle w:val="961"/>
          <w:rFonts w:hint="eastAsia" w:ascii="宋体" w:hAnsi="宋体"/>
          <w:kern w:val="0"/>
          <w:sz w:val="24"/>
        </w:rPr>
        <w:t>投标人</w:t>
      </w:r>
      <w:r>
        <w:rPr>
          <w:rStyle w:val="961"/>
          <w:rFonts w:ascii="宋体" w:hAnsi="宋体"/>
          <w:kern w:val="0"/>
          <w:sz w:val="24"/>
          <w:lang w:val="zh-CN"/>
        </w:rPr>
        <w:t>名称(电子签名)：</w:t>
      </w:r>
    </w:p>
    <w:p>
      <w:pPr>
        <w:snapToGrid w:val="0"/>
        <w:spacing w:line="360" w:lineRule="auto"/>
        <w:rPr>
          <w:rStyle w:val="961"/>
          <w:rFonts w:ascii="宋体" w:hAnsi="宋体"/>
          <w:kern w:val="0"/>
          <w:sz w:val="24"/>
          <w:lang w:val="zh-CN"/>
        </w:rPr>
      </w:pPr>
      <w:r>
        <w:rPr>
          <w:rStyle w:val="961"/>
          <w:rFonts w:ascii="宋体" w:hAnsi="宋体"/>
          <w:kern w:val="0"/>
          <w:sz w:val="24"/>
          <w:lang w:val="zh-CN"/>
        </w:rPr>
        <w:t xml:space="preserve">                                                 日期：  年  月   日</w:t>
      </w:r>
    </w:p>
    <w:p>
      <w:pPr>
        <w:spacing w:line="360" w:lineRule="auto"/>
        <w:rPr>
          <w:rStyle w:val="961"/>
          <w:rFonts w:ascii="宋体" w:hAnsi="宋体"/>
          <w:b/>
        </w:rPr>
      </w:pPr>
    </w:p>
    <w:p>
      <w:pPr>
        <w:spacing w:line="360" w:lineRule="auto"/>
        <w:rPr>
          <w:rStyle w:val="961"/>
          <w:rFonts w:ascii="宋体" w:hAnsi="宋体"/>
          <w:b/>
        </w:rPr>
      </w:pPr>
    </w:p>
    <w:p>
      <w:pPr>
        <w:spacing w:line="360" w:lineRule="auto"/>
        <w:jc w:val="left"/>
        <w:rPr>
          <w:rStyle w:val="961"/>
          <w:rFonts w:ascii="宋体" w:hAnsi="宋体"/>
          <w:b/>
          <w:kern w:val="0"/>
          <w:sz w:val="24"/>
        </w:rPr>
      </w:pPr>
      <w:r>
        <w:rPr>
          <w:rStyle w:val="961"/>
          <w:rFonts w:hint="eastAsia" w:ascii="宋体" w:hAnsi="宋体"/>
          <w:b/>
          <w:kern w:val="0"/>
          <w:sz w:val="24"/>
        </w:rPr>
        <w:t>附件2</w:t>
      </w:r>
    </w:p>
    <w:p>
      <w:pPr>
        <w:spacing w:line="360" w:lineRule="auto"/>
        <w:jc w:val="center"/>
        <w:rPr>
          <w:rStyle w:val="961"/>
          <w:rFonts w:ascii="宋体" w:hAnsi="宋体"/>
          <w:b/>
          <w:sz w:val="32"/>
          <w:szCs w:val="32"/>
        </w:rPr>
      </w:pPr>
      <w:r>
        <w:rPr>
          <w:rStyle w:val="961"/>
          <w:rFonts w:ascii="宋体" w:hAnsi="宋体"/>
          <w:b/>
          <w:sz w:val="32"/>
          <w:szCs w:val="32"/>
        </w:rPr>
        <w:t>类似项目业绩一览表</w:t>
      </w:r>
    </w:p>
    <w:p>
      <w:pPr>
        <w:spacing w:line="360" w:lineRule="auto"/>
        <w:ind w:firstLine="210" w:firstLineChars="100"/>
        <w:jc w:val="left"/>
        <w:rPr>
          <w:rStyle w:val="961"/>
        </w:rPr>
      </w:pPr>
      <w:r>
        <w:rPr>
          <w:rStyle w:val="961"/>
          <w:rFonts w:ascii="宋体" w:hAnsi="宋体" w:cs="宋体"/>
          <w:bCs/>
        </w:rPr>
        <w:t>项目名称：                                              项目编号：</w:t>
      </w:r>
    </w:p>
    <w:tbl>
      <w:tblPr>
        <w:tblStyle w:val="62"/>
        <w:tblW w:w="9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1470"/>
        <w:gridCol w:w="1281"/>
        <w:gridCol w:w="1356"/>
        <w:gridCol w:w="1773"/>
        <w:gridCol w:w="1365"/>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875" w:type="dxa"/>
            <w:shd w:val="clear" w:color="auto" w:fill="FFFFFF"/>
            <w:noWrap w:val="0"/>
            <w:vAlign w:val="center"/>
          </w:tcPr>
          <w:p>
            <w:pPr>
              <w:jc w:val="center"/>
              <w:rPr>
                <w:rStyle w:val="961"/>
                <w:rFonts w:ascii="宋体" w:hAnsi="宋体"/>
                <w:szCs w:val="22"/>
                <w:lang w:val="zh-CN"/>
              </w:rPr>
            </w:pPr>
            <w:r>
              <w:rPr>
                <w:rStyle w:val="961"/>
                <w:rFonts w:ascii="宋体" w:hAnsi="宋体"/>
                <w:szCs w:val="22"/>
                <w:lang w:val="zh-CN"/>
              </w:rPr>
              <w:t>序号</w:t>
            </w:r>
          </w:p>
        </w:tc>
        <w:tc>
          <w:tcPr>
            <w:tcW w:w="1470" w:type="dxa"/>
            <w:shd w:val="clear" w:color="auto" w:fill="FFFFFF"/>
            <w:noWrap w:val="0"/>
            <w:vAlign w:val="center"/>
          </w:tcPr>
          <w:p>
            <w:pPr>
              <w:jc w:val="center"/>
              <w:rPr>
                <w:rStyle w:val="961"/>
                <w:rFonts w:ascii="宋体" w:hAnsi="宋体"/>
                <w:szCs w:val="22"/>
                <w:lang w:val="zh-CN"/>
              </w:rPr>
            </w:pPr>
            <w:r>
              <w:rPr>
                <w:rStyle w:val="961"/>
                <w:rFonts w:ascii="宋体" w:hAnsi="宋体"/>
                <w:szCs w:val="22"/>
                <w:lang w:val="zh-CN"/>
              </w:rPr>
              <w:t>项目名称</w:t>
            </w:r>
          </w:p>
        </w:tc>
        <w:tc>
          <w:tcPr>
            <w:tcW w:w="1281" w:type="dxa"/>
            <w:shd w:val="clear" w:color="auto" w:fill="FFFFFF"/>
            <w:noWrap w:val="0"/>
            <w:vAlign w:val="center"/>
          </w:tcPr>
          <w:p>
            <w:pPr>
              <w:jc w:val="center"/>
              <w:rPr>
                <w:rStyle w:val="961"/>
                <w:rFonts w:ascii="宋体" w:hAnsi="宋体"/>
                <w:szCs w:val="22"/>
                <w:lang w:val="zh-CN"/>
              </w:rPr>
            </w:pPr>
            <w:r>
              <w:rPr>
                <w:rStyle w:val="961"/>
                <w:rFonts w:ascii="宋体" w:hAnsi="宋体"/>
                <w:szCs w:val="22"/>
                <w:lang w:val="zh-CN"/>
              </w:rPr>
              <w:t>项目</w:t>
            </w:r>
          </w:p>
          <w:p>
            <w:pPr>
              <w:jc w:val="center"/>
              <w:rPr>
                <w:rStyle w:val="961"/>
                <w:rFonts w:ascii="宋体" w:hAnsi="宋体"/>
                <w:szCs w:val="22"/>
                <w:lang w:val="zh-CN"/>
              </w:rPr>
            </w:pPr>
            <w:r>
              <w:rPr>
                <w:rStyle w:val="961"/>
                <w:rFonts w:ascii="宋体" w:hAnsi="宋体"/>
                <w:szCs w:val="22"/>
                <w:lang w:val="zh-CN"/>
              </w:rPr>
              <w:t>类型</w:t>
            </w:r>
          </w:p>
        </w:tc>
        <w:tc>
          <w:tcPr>
            <w:tcW w:w="1356" w:type="dxa"/>
            <w:shd w:val="clear" w:color="auto" w:fill="FFFFFF"/>
            <w:noWrap w:val="0"/>
            <w:vAlign w:val="center"/>
          </w:tcPr>
          <w:p>
            <w:pPr>
              <w:jc w:val="center"/>
              <w:rPr>
                <w:rStyle w:val="961"/>
                <w:rFonts w:ascii="宋体" w:hAnsi="宋体"/>
                <w:szCs w:val="22"/>
                <w:lang w:val="zh-CN"/>
              </w:rPr>
            </w:pPr>
            <w:r>
              <w:rPr>
                <w:rStyle w:val="961"/>
                <w:rFonts w:ascii="宋体" w:hAnsi="宋体"/>
                <w:szCs w:val="22"/>
                <w:lang w:val="zh-CN"/>
              </w:rPr>
              <w:t>简要描述</w:t>
            </w:r>
          </w:p>
        </w:tc>
        <w:tc>
          <w:tcPr>
            <w:tcW w:w="1773" w:type="dxa"/>
            <w:shd w:val="clear" w:color="auto" w:fill="FFFFFF"/>
            <w:noWrap w:val="0"/>
            <w:vAlign w:val="center"/>
          </w:tcPr>
          <w:p>
            <w:pPr>
              <w:jc w:val="center"/>
              <w:rPr>
                <w:rStyle w:val="961"/>
                <w:rFonts w:ascii="宋体" w:hAnsi="宋体"/>
                <w:szCs w:val="22"/>
                <w:lang w:val="zh-CN"/>
              </w:rPr>
            </w:pPr>
            <w:r>
              <w:rPr>
                <w:rStyle w:val="961"/>
                <w:rFonts w:ascii="宋体" w:hAnsi="宋体"/>
                <w:szCs w:val="22"/>
                <w:lang w:val="zh-CN"/>
              </w:rPr>
              <w:t>项目金额</w:t>
            </w:r>
          </w:p>
          <w:p>
            <w:pPr>
              <w:jc w:val="center"/>
              <w:rPr>
                <w:rStyle w:val="961"/>
                <w:rFonts w:ascii="宋体" w:hAnsi="宋体"/>
                <w:szCs w:val="22"/>
                <w:lang w:val="zh-CN"/>
              </w:rPr>
            </w:pPr>
            <w:r>
              <w:rPr>
                <w:rStyle w:val="961"/>
                <w:rFonts w:ascii="宋体" w:hAnsi="宋体"/>
                <w:szCs w:val="22"/>
                <w:lang w:val="zh-CN"/>
              </w:rPr>
              <w:t>（万元）</w:t>
            </w:r>
          </w:p>
        </w:tc>
        <w:tc>
          <w:tcPr>
            <w:tcW w:w="1365" w:type="dxa"/>
            <w:shd w:val="clear" w:color="auto" w:fill="FFFFFF"/>
            <w:noWrap w:val="0"/>
            <w:vAlign w:val="center"/>
          </w:tcPr>
          <w:p>
            <w:pPr>
              <w:jc w:val="center"/>
              <w:rPr>
                <w:rStyle w:val="961"/>
                <w:rFonts w:ascii="宋体" w:hAnsi="宋体"/>
                <w:szCs w:val="22"/>
                <w:lang w:val="zh-CN"/>
              </w:rPr>
            </w:pPr>
            <w:r>
              <w:rPr>
                <w:rStyle w:val="961"/>
                <w:rFonts w:ascii="宋体" w:hAnsi="宋体"/>
                <w:szCs w:val="22"/>
                <w:lang w:val="zh-CN"/>
              </w:rPr>
              <w:t>合同签订时间</w:t>
            </w:r>
          </w:p>
        </w:tc>
        <w:tc>
          <w:tcPr>
            <w:tcW w:w="1175" w:type="dxa"/>
            <w:shd w:val="clear" w:color="auto" w:fill="FFFFFF"/>
            <w:noWrap w:val="0"/>
            <w:vAlign w:val="center"/>
          </w:tcPr>
          <w:p>
            <w:pPr>
              <w:jc w:val="center"/>
              <w:rPr>
                <w:rStyle w:val="961"/>
                <w:rFonts w:ascii="宋体" w:hAnsi="宋体"/>
                <w:szCs w:val="22"/>
                <w:lang w:val="zh-CN"/>
              </w:rPr>
            </w:pPr>
            <w:r>
              <w:rPr>
                <w:rStyle w:val="961"/>
                <w:rFonts w:ascii="宋体" w:hAnsi="宋体"/>
                <w:szCs w:val="22"/>
                <w:lang w:val="zh-CN"/>
              </w:rPr>
              <w:t>项目单位</w:t>
            </w:r>
          </w:p>
          <w:p>
            <w:pPr>
              <w:jc w:val="center"/>
              <w:rPr>
                <w:rStyle w:val="961"/>
                <w:rFonts w:ascii="宋体" w:hAnsi="宋体"/>
                <w:szCs w:val="22"/>
                <w:lang w:val="zh-CN"/>
              </w:rPr>
            </w:pPr>
            <w:r>
              <w:rPr>
                <w:rStyle w:val="961"/>
                <w:rFonts w:ascii="宋体" w:hAnsi="宋体"/>
                <w:szCs w:val="22"/>
                <w:lang w:val="zh-CN"/>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 w:type="dxa"/>
            <w:noWrap w:val="0"/>
            <w:vAlign w:val="top"/>
          </w:tcPr>
          <w:p>
            <w:pPr>
              <w:spacing w:line="360" w:lineRule="auto"/>
              <w:rPr>
                <w:rStyle w:val="961"/>
                <w:rFonts w:ascii="宋体" w:hAnsi="宋体"/>
                <w:szCs w:val="22"/>
                <w:lang w:val="zh-CN"/>
              </w:rPr>
            </w:pPr>
          </w:p>
        </w:tc>
        <w:tc>
          <w:tcPr>
            <w:tcW w:w="1470" w:type="dxa"/>
            <w:noWrap w:val="0"/>
            <w:vAlign w:val="top"/>
          </w:tcPr>
          <w:p>
            <w:pPr>
              <w:spacing w:line="360" w:lineRule="auto"/>
              <w:rPr>
                <w:rStyle w:val="961"/>
                <w:rFonts w:ascii="宋体" w:hAnsi="宋体"/>
                <w:szCs w:val="22"/>
                <w:lang w:val="zh-CN"/>
              </w:rPr>
            </w:pPr>
          </w:p>
        </w:tc>
        <w:tc>
          <w:tcPr>
            <w:tcW w:w="1281" w:type="dxa"/>
            <w:noWrap w:val="0"/>
            <w:vAlign w:val="top"/>
          </w:tcPr>
          <w:p>
            <w:pPr>
              <w:spacing w:line="360" w:lineRule="auto"/>
              <w:rPr>
                <w:rStyle w:val="961"/>
                <w:rFonts w:ascii="宋体" w:hAnsi="宋体"/>
                <w:szCs w:val="22"/>
                <w:lang w:val="zh-CN"/>
              </w:rPr>
            </w:pPr>
          </w:p>
        </w:tc>
        <w:tc>
          <w:tcPr>
            <w:tcW w:w="1356" w:type="dxa"/>
            <w:noWrap w:val="0"/>
            <w:vAlign w:val="top"/>
          </w:tcPr>
          <w:p>
            <w:pPr>
              <w:spacing w:line="360" w:lineRule="auto"/>
              <w:rPr>
                <w:rStyle w:val="961"/>
                <w:rFonts w:ascii="宋体" w:hAnsi="宋体"/>
                <w:szCs w:val="22"/>
                <w:lang w:val="zh-CN"/>
              </w:rPr>
            </w:pPr>
          </w:p>
        </w:tc>
        <w:tc>
          <w:tcPr>
            <w:tcW w:w="1773" w:type="dxa"/>
            <w:noWrap w:val="0"/>
            <w:vAlign w:val="top"/>
          </w:tcPr>
          <w:p>
            <w:pPr>
              <w:spacing w:line="360" w:lineRule="auto"/>
              <w:rPr>
                <w:rStyle w:val="961"/>
                <w:rFonts w:ascii="宋体" w:hAnsi="宋体"/>
                <w:szCs w:val="22"/>
                <w:lang w:val="zh-CN"/>
              </w:rPr>
            </w:pPr>
          </w:p>
        </w:tc>
        <w:tc>
          <w:tcPr>
            <w:tcW w:w="1365" w:type="dxa"/>
            <w:noWrap w:val="0"/>
            <w:vAlign w:val="top"/>
          </w:tcPr>
          <w:p>
            <w:pPr>
              <w:spacing w:line="360" w:lineRule="auto"/>
              <w:rPr>
                <w:rStyle w:val="961"/>
                <w:rFonts w:ascii="宋体" w:hAnsi="宋体"/>
                <w:szCs w:val="22"/>
                <w:lang w:val="zh-CN"/>
              </w:rPr>
            </w:pPr>
          </w:p>
        </w:tc>
        <w:tc>
          <w:tcPr>
            <w:tcW w:w="1175" w:type="dxa"/>
            <w:noWrap w:val="0"/>
            <w:vAlign w:val="top"/>
          </w:tcPr>
          <w:p>
            <w:pPr>
              <w:spacing w:line="360" w:lineRule="auto"/>
              <w:rPr>
                <w:rStyle w:val="961"/>
                <w:rFonts w:ascii="宋体" w:hAnsi="宋体"/>
                <w:szCs w:val="22"/>
                <w:lang w:val="zh-CN"/>
              </w:rPr>
            </w:pPr>
          </w:p>
        </w:tc>
      </w:tr>
    </w:tbl>
    <w:p>
      <w:pPr>
        <w:snapToGrid w:val="0"/>
        <w:spacing w:line="360" w:lineRule="auto"/>
        <w:rPr>
          <w:rStyle w:val="961"/>
          <w:rFonts w:ascii="宋体" w:hAnsi="宋体"/>
          <w:b/>
        </w:rPr>
      </w:pPr>
      <w:r>
        <w:rPr>
          <w:rStyle w:val="961"/>
          <w:rFonts w:ascii="宋体" w:hAnsi="宋体"/>
          <w:b/>
        </w:rPr>
        <w:t>备注：</w:t>
      </w:r>
      <w:r>
        <w:rPr>
          <w:rStyle w:val="961"/>
          <w:rFonts w:ascii="宋体" w:hAnsi="宋体"/>
          <w:b/>
          <w:szCs w:val="21"/>
        </w:rPr>
        <w:t>须提供合同复印件加盖公章。</w:t>
      </w:r>
      <w:r>
        <w:rPr>
          <w:rStyle w:val="961"/>
          <w:rFonts w:ascii="宋体" w:hAnsi="宋体"/>
          <w:b/>
        </w:rPr>
        <w:t>（可按本表格式自行扩展）</w:t>
      </w:r>
    </w:p>
    <w:p>
      <w:pPr>
        <w:pStyle w:val="16"/>
        <w:snapToGrid w:val="0"/>
        <w:ind w:left="4677" w:leftChars="2227"/>
        <w:rPr>
          <w:rStyle w:val="961"/>
          <w:rFonts w:ascii="宋体" w:hAnsi="宋体"/>
          <w:sz w:val="24"/>
        </w:rPr>
      </w:pPr>
    </w:p>
    <w:p>
      <w:pPr>
        <w:snapToGrid w:val="0"/>
        <w:spacing w:line="360" w:lineRule="auto"/>
        <w:ind w:firstLine="5520" w:firstLineChars="2300"/>
        <w:rPr>
          <w:rStyle w:val="961"/>
          <w:rFonts w:ascii="宋体" w:hAnsi="宋体"/>
          <w:kern w:val="0"/>
          <w:sz w:val="24"/>
        </w:rPr>
      </w:pPr>
      <w:r>
        <w:rPr>
          <w:rStyle w:val="961"/>
          <w:rFonts w:hint="eastAsia" w:ascii="宋体" w:hAnsi="宋体"/>
          <w:kern w:val="0"/>
          <w:sz w:val="24"/>
        </w:rPr>
        <w:t>投标人</w:t>
      </w:r>
      <w:r>
        <w:rPr>
          <w:rStyle w:val="961"/>
          <w:rFonts w:ascii="宋体" w:hAnsi="宋体"/>
          <w:kern w:val="0"/>
          <w:sz w:val="24"/>
          <w:lang w:val="zh-CN"/>
        </w:rPr>
        <w:t>名称(电子签名)：</w:t>
      </w:r>
    </w:p>
    <w:p>
      <w:pPr>
        <w:snapToGrid w:val="0"/>
        <w:spacing w:line="360" w:lineRule="auto"/>
        <w:rPr>
          <w:rStyle w:val="961"/>
          <w:rFonts w:ascii="宋体" w:hAnsi="宋体"/>
          <w:kern w:val="0"/>
          <w:sz w:val="24"/>
          <w:lang w:val="zh-CN"/>
        </w:rPr>
      </w:pPr>
      <w:r>
        <w:rPr>
          <w:rStyle w:val="961"/>
          <w:rFonts w:ascii="宋体" w:hAnsi="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pacing w:line="360" w:lineRule="auto"/>
        <w:jc w:val="left"/>
        <w:rPr>
          <w:rStyle w:val="961"/>
          <w:rFonts w:ascii="宋体" w:hAnsi="宋体"/>
          <w:b/>
          <w:kern w:val="0"/>
          <w:sz w:val="24"/>
        </w:rPr>
      </w:pPr>
    </w:p>
    <w:p>
      <w:pPr>
        <w:spacing w:line="360" w:lineRule="auto"/>
        <w:jc w:val="left"/>
        <w:rPr>
          <w:rStyle w:val="961"/>
          <w:rFonts w:ascii="宋体" w:hAnsi="宋体"/>
          <w:b/>
          <w:kern w:val="0"/>
          <w:sz w:val="24"/>
        </w:rPr>
      </w:pPr>
      <w:r>
        <w:rPr>
          <w:rStyle w:val="961"/>
          <w:rFonts w:hint="eastAsia" w:ascii="宋体" w:hAnsi="宋体"/>
          <w:b/>
          <w:kern w:val="0"/>
          <w:sz w:val="24"/>
        </w:rPr>
        <w:t>附件3</w:t>
      </w:r>
    </w:p>
    <w:p>
      <w:pPr>
        <w:spacing w:line="360" w:lineRule="auto"/>
        <w:jc w:val="center"/>
        <w:rPr>
          <w:rStyle w:val="961"/>
          <w:rFonts w:ascii="宋体" w:hAnsi="宋体"/>
          <w:b/>
          <w:kern w:val="0"/>
          <w:sz w:val="32"/>
          <w:szCs w:val="32"/>
        </w:rPr>
      </w:pPr>
      <w:r>
        <w:rPr>
          <w:rStyle w:val="961"/>
          <w:rFonts w:ascii="宋体" w:hAnsi="宋体"/>
          <w:b/>
          <w:kern w:val="0"/>
          <w:sz w:val="32"/>
          <w:szCs w:val="32"/>
        </w:rPr>
        <w:t>项目组人员情况安排表</w:t>
      </w:r>
    </w:p>
    <w:p>
      <w:pPr>
        <w:spacing w:line="360" w:lineRule="auto"/>
        <w:jc w:val="center"/>
        <w:rPr>
          <w:rStyle w:val="961"/>
          <w:rFonts w:ascii="仿宋_GB2312" w:hAnsi="仿宋" w:eastAsia="仿宋_GB2312" w:cs="仿宋_GB2312"/>
          <w:b/>
          <w:bCs/>
          <w:sz w:val="24"/>
        </w:rPr>
      </w:pPr>
      <w:r>
        <w:rPr>
          <w:rStyle w:val="961"/>
          <w:rFonts w:ascii="仿宋_GB2312" w:hAnsi="仿宋" w:eastAsia="仿宋_GB2312"/>
          <w:sz w:val="24"/>
        </w:rPr>
        <w:t>（由</w:t>
      </w:r>
      <w:r>
        <w:rPr>
          <w:rStyle w:val="961"/>
          <w:rFonts w:hint="eastAsia" w:ascii="仿宋_GB2312" w:hAnsi="仿宋" w:eastAsia="仿宋_GB2312"/>
          <w:sz w:val="24"/>
        </w:rPr>
        <w:t>投标人</w:t>
      </w:r>
      <w:r>
        <w:rPr>
          <w:rStyle w:val="961"/>
          <w:rFonts w:ascii="仿宋_GB2312" w:hAnsi="仿宋" w:eastAsia="仿宋_GB2312"/>
          <w:sz w:val="24"/>
        </w:rPr>
        <w:t>根据采购需求及采购文件要求编制）</w:t>
      </w:r>
    </w:p>
    <w:p>
      <w:pPr>
        <w:spacing w:line="360" w:lineRule="auto"/>
        <w:ind w:firstLine="477"/>
        <w:rPr>
          <w:rStyle w:val="961"/>
          <w:rFonts w:ascii="仿宋_GB2312" w:hAnsi="仿宋" w:eastAsia="仿宋_GB2312"/>
          <w:b/>
          <w:sz w:val="24"/>
        </w:rPr>
      </w:pPr>
      <w:r>
        <w:rPr>
          <w:rStyle w:val="961"/>
          <w:rFonts w:ascii="仿宋_GB2312" w:hAnsi="仿宋" w:eastAsia="仿宋_GB2312"/>
          <w:b/>
          <w:sz w:val="24"/>
        </w:rPr>
        <w:t>附表A:本项目的总项目负责人情况表</w:t>
      </w:r>
    </w:p>
    <w:tbl>
      <w:tblPr>
        <w:tblStyle w:val="62"/>
        <w:tblW w:w="8755" w:type="dxa"/>
        <w:tblInd w:w="-100" w:type="dxa"/>
        <w:tblLayout w:type="fixed"/>
        <w:tblCellMar>
          <w:top w:w="0" w:type="dxa"/>
          <w:left w:w="0" w:type="dxa"/>
          <w:bottom w:w="0" w:type="dxa"/>
          <w:right w:w="0" w:type="dxa"/>
        </w:tblCellMar>
      </w:tblPr>
      <w:tblGrid>
        <w:gridCol w:w="2061"/>
        <w:gridCol w:w="1287"/>
        <w:gridCol w:w="1260"/>
        <w:gridCol w:w="4147"/>
      </w:tblGrid>
      <w:tr>
        <w:tblPrEx>
          <w:tblCellMar>
            <w:top w:w="0" w:type="dxa"/>
            <w:left w:w="0" w:type="dxa"/>
            <w:bottom w:w="0" w:type="dxa"/>
            <w:right w:w="0"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姓名</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页码</w:t>
            </w:r>
          </w:p>
        </w:tc>
        <w:tc>
          <w:tcPr>
            <w:tcW w:w="4147" w:type="dxa"/>
            <w:tcBorders>
              <w:top w:val="single" w:color="000000" w:sz="6" w:space="0"/>
              <w:left w:val="single" w:color="000000" w:sz="6" w:space="0"/>
              <w:bottom w:val="single" w:color="000000" w:sz="6" w:space="0"/>
              <w:right w:val="single" w:color="000000" w:sz="6" w:space="0"/>
            </w:tcBorders>
            <w:noWrap w:val="0"/>
            <w:vAlign w:val="center"/>
          </w:tcPr>
          <w:p>
            <w:pPr>
              <w:rPr>
                <w:rStyle w:val="961"/>
                <w:rFonts w:ascii="仿宋_GB2312" w:hAnsi="仿宋" w:eastAsia="仿宋_GB2312"/>
                <w:sz w:val="24"/>
              </w:rPr>
            </w:pPr>
          </w:p>
        </w:tc>
      </w:tr>
      <w:tr>
        <w:tblPrEx>
          <w:tblCellMar>
            <w:top w:w="0" w:type="dxa"/>
            <w:left w:w="0" w:type="dxa"/>
            <w:bottom w:w="0" w:type="dxa"/>
            <w:right w:w="0"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性别</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4147"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p>
        </w:tc>
      </w:tr>
      <w:tr>
        <w:tblPrEx>
          <w:tblCellMar>
            <w:top w:w="0" w:type="dxa"/>
            <w:left w:w="0" w:type="dxa"/>
            <w:bottom w:w="0" w:type="dxa"/>
            <w:right w:w="0"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年龄</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414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p>
        </w:tc>
      </w:tr>
      <w:tr>
        <w:tblPrEx>
          <w:tblCellMar>
            <w:top w:w="0" w:type="dxa"/>
            <w:left w:w="0" w:type="dxa"/>
            <w:bottom w:w="0" w:type="dxa"/>
            <w:right w:w="0"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职称</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414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p>
        </w:tc>
      </w:tr>
      <w:tr>
        <w:tblPrEx>
          <w:tblCellMar>
            <w:top w:w="0" w:type="dxa"/>
            <w:left w:w="0" w:type="dxa"/>
            <w:bottom w:w="0" w:type="dxa"/>
            <w:right w:w="0"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毕业时间</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414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p>
        </w:tc>
      </w:tr>
      <w:tr>
        <w:tblPrEx>
          <w:tblCellMar>
            <w:top w:w="0" w:type="dxa"/>
            <w:left w:w="0" w:type="dxa"/>
            <w:bottom w:w="0" w:type="dxa"/>
            <w:right w:w="0"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所学专业</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414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p>
        </w:tc>
      </w:tr>
      <w:tr>
        <w:tblPrEx>
          <w:tblCellMar>
            <w:top w:w="0" w:type="dxa"/>
            <w:left w:w="0" w:type="dxa"/>
            <w:bottom w:w="0" w:type="dxa"/>
            <w:right w:w="0"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学历</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414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p>
        </w:tc>
      </w:tr>
      <w:tr>
        <w:tblPrEx>
          <w:tblCellMar>
            <w:top w:w="0" w:type="dxa"/>
            <w:left w:w="0" w:type="dxa"/>
            <w:bottom w:w="0" w:type="dxa"/>
            <w:right w:w="0" w:type="dxa"/>
          </w:tblCellMar>
        </w:tblPrEx>
        <w:trPr>
          <w:cantSplit/>
          <w:trHeight w:val="356"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资质证书编号</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414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p>
        </w:tc>
      </w:tr>
      <w:tr>
        <w:tblPrEx>
          <w:tblCellMar>
            <w:top w:w="0" w:type="dxa"/>
            <w:left w:w="0" w:type="dxa"/>
            <w:bottom w:w="0" w:type="dxa"/>
            <w:right w:w="0" w:type="dxa"/>
          </w:tblCellMar>
        </w:tblPrEx>
        <w:trPr>
          <w:cantSplit/>
          <w:trHeight w:val="177"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其他资质情况</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414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p>
        </w:tc>
      </w:tr>
      <w:tr>
        <w:tblPrEx>
          <w:tblCellMar>
            <w:top w:w="0" w:type="dxa"/>
            <w:left w:w="0" w:type="dxa"/>
            <w:bottom w:w="0" w:type="dxa"/>
            <w:right w:w="0" w:type="dxa"/>
          </w:tblCellMar>
        </w:tblPrEx>
        <w:trPr>
          <w:cantSplit/>
          <w:trHeight w:val="169" w:hRule="atLeast"/>
        </w:trPr>
        <w:tc>
          <w:tcPr>
            <w:tcW w:w="2061"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联系电话</w:t>
            </w:r>
          </w:p>
        </w:tc>
        <w:tc>
          <w:tcPr>
            <w:tcW w:w="1287" w:type="dxa"/>
            <w:tcBorders>
              <w:top w:val="single" w:color="000000" w:sz="6" w:space="0"/>
              <w:left w:val="single" w:color="000000" w:sz="6" w:space="0"/>
              <w:bottom w:val="single" w:color="000000" w:sz="6" w:space="0"/>
              <w:right w:val="single" w:color="000000" w:sz="4"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1260" w:type="dxa"/>
            <w:tcBorders>
              <w:top w:val="single" w:color="000000" w:sz="6" w:space="0"/>
              <w:left w:val="single" w:color="000000" w:sz="4" w:space="0"/>
              <w:bottom w:val="single" w:color="000000" w:sz="6" w:space="0"/>
              <w:right w:val="single" w:color="000000" w:sz="6" w:space="0"/>
            </w:tcBorders>
            <w:shd w:val="clear" w:color="auto" w:fill="FFFFFF"/>
            <w:noWrap w:val="0"/>
            <w:vAlign w:val="center"/>
          </w:tcPr>
          <w:p>
            <w:pPr>
              <w:spacing w:line="360" w:lineRule="auto"/>
              <w:jc w:val="center"/>
              <w:rPr>
                <w:rStyle w:val="961"/>
                <w:rFonts w:ascii="仿宋_GB2312" w:hAnsi="仿宋" w:eastAsia="仿宋_GB2312"/>
                <w:sz w:val="24"/>
              </w:rPr>
            </w:pPr>
          </w:p>
        </w:tc>
        <w:tc>
          <w:tcPr>
            <w:tcW w:w="414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p>
        </w:tc>
      </w:tr>
    </w:tbl>
    <w:p>
      <w:pPr>
        <w:spacing w:line="360" w:lineRule="auto"/>
        <w:rPr>
          <w:rStyle w:val="961"/>
          <w:rFonts w:ascii="仿宋_GB2312" w:hAnsi="仿宋" w:eastAsia="仿宋_GB2312"/>
          <w:b/>
          <w:sz w:val="24"/>
        </w:rPr>
      </w:pPr>
      <w:r>
        <w:rPr>
          <w:rStyle w:val="961"/>
          <w:rFonts w:ascii="仿宋_GB2312" w:hAnsi="仿宋" w:eastAsia="仿宋_GB2312"/>
          <w:b/>
          <w:sz w:val="24"/>
        </w:rPr>
        <w:t>注：须随表提交相应的证书复印件并注明所在投标技术文件页码。</w:t>
      </w:r>
    </w:p>
    <w:p>
      <w:pPr>
        <w:spacing w:line="360" w:lineRule="auto"/>
        <w:rPr>
          <w:rStyle w:val="961"/>
          <w:rFonts w:ascii="仿宋_GB2312" w:hAnsi="仿宋" w:eastAsia="仿宋_GB2312"/>
          <w:b/>
          <w:sz w:val="24"/>
        </w:rPr>
      </w:pPr>
    </w:p>
    <w:p>
      <w:pPr>
        <w:snapToGrid w:val="0"/>
        <w:spacing w:line="360" w:lineRule="auto"/>
        <w:ind w:firstLine="5520" w:firstLineChars="2300"/>
        <w:rPr>
          <w:rStyle w:val="961"/>
          <w:rFonts w:ascii="宋体" w:hAnsi="宋体"/>
          <w:kern w:val="0"/>
          <w:sz w:val="24"/>
        </w:rPr>
      </w:pPr>
      <w:r>
        <w:rPr>
          <w:rStyle w:val="961"/>
          <w:rFonts w:hint="eastAsia" w:ascii="宋体" w:hAnsi="宋体"/>
          <w:kern w:val="0"/>
          <w:sz w:val="24"/>
        </w:rPr>
        <w:t>投标人</w:t>
      </w:r>
      <w:r>
        <w:rPr>
          <w:rStyle w:val="961"/>
          <w:rFonts w:ascii="宋体" w:hAnsi="宋体"/>
          <w:kern w:val="0"/>
          <w:sz w:val="24"/>
          <w:lang w:val="zh-CN"/>
        </w:rPr>
        <w:t>名称(电子签名)：</w:t>
      </w:r>
    </w:p>
    <w:p>
      <w:pPr>
        <w:snapToGrid w:val="0"/>
        <w:spacing w:line="360" w:lineRule="auto"/>
        <w:rPr>
          <w:rStyle w:val="961"/>
          <w:rFonts w:ascii="宋体" w:hAnsi="宋体"/>
          <w:kern w:val="0"/>
          <w:sz w:val="24"/>
          <w:lang w:val="zh-CN"/>
        </w:rPr>
      </w:pPr>
      <w:r>
        <w:rPr>
          <w:rStyle w:val="961"/>
          <w:rFonts w:ascii="宋体" w:hAnsi="宋体"/>
          <w:kern w:val="0"/>
          <w:sz w:val="24"/>
          <w:lang w:val="zh-CN"/>
        </w:rPr>
        <w:t xml:space="preserve">                                                日期：  年  月   日</w:t>
      </w:r>
    </w:p>
    <w:p>
      <w:pPr>
        <w:spacing w:line="360" w:lineRule="auto"/>
        <w:rPr>
          <w:rStyle w:val="961"/>
          <w:rFonts w:ascii="仿宋_GB2312" w:hAnsi="仿宋" w:eastAsia="仿宋_GB2312"/>
          <w:b/>
          <w:sz w:val="24"/>
        </w:rPr>
      </w:pPr>
      <w:r>
        <w:rPr>
          <w:rStyle w:val="961"/>
          <w:rFonts w:ascii="仿宋_GB2312" w:hAnsi="仿宋" w:eastAsia="仿宋_GB2312"/>
          <w:b/>
          <w:sz w:val="24"/>
        </w:rPr>
        <w:br w:type="page"/>
      </w:r>
      <w:r>
        <w:rPr>
          <w:rStyle w:val="961"/>
          <w:rFonts w:ascii="仿宋_GB2312" w:hAnsi="仿宋" w:eastAsia="仿宋_GB2312"/>
          <w:b/>
          <w:sz w:val="24"/>
        </w:rPr>
        <w:t>附表B:本项目的项目小组人员情况表</w:t>
      </w:r>
      <w:r>
        <w:rPr>
          <w:rStyle w:val="961"/>
          <w:rFonts w:ascii="仿宋_GB2312" w:hAnsi="仿宋" w:eastAsia="仿宋_GB2312"/>
          <w:sz w:val="24"/>
        </w:rPr>
        <w:t>（按此格式自制）</w:t>
      </w:r>
    </w:p>
    <w:tbl>
      <w:tblPr>
        <w:tblStyle w:val="62"/>
        <w:tblW w:w="9030" w:type="dxa"/>
        <w:tblInd w:w="8" w:type="dxa"/>
        <w:tblLayout w:type="fixed"/>
        <w:tblCellMar>
          <w:top w:w="0" w:type="dxa"/>
          <w:left w:w="0" w:type="dxa"/>
          <w:bottom w:w="0" w:type="dxa"/>
          <w:right w:w="0" w:type="dxa"/>
        </w:tblCellMar>
      </w:tblPr>
      <w:tblGrid>
        <w:gridCol w:w="420"/>
        <w:gridCol w:w="787"/>
        <w:gridCol w:w="412"/>
        <w:gridCol w:w="586"/>
        <w:gridCol w:w="1035"/>
        <w:gridCol w:w="1080"/>
        <w:gridCol w:w="1080"/>
        <w:gridCol w:w="1260"/>
        <w:gridCol w:w="900"/>
        <w:gridCol w:w="1470"/>
      </w:tblGrid>
      <w:tr>
        <w:tblPrEx>
          <w:tblCellMar>
            <w:top w:w="0" w:type="dxa"/>
            <w:left w:w="0" w:type="dxa"/>
            <w:bottom w:w="0" w:type="dxa"/>
            <w:right w:w="0" w:type="dxa"/>
          </w:tblCellMar>
        </w:tblPrEx>
        <w:tc>
          <w:tcPr>
            <w:tcW w:w="42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序号</w:t>
            </w:r>
          </w:p>
        </w:tc>
        <w:tc>
          <w:tcPr>
            <w:tcW w:w="78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姓名</w:t>
            </w:r>
          </w:p>
        </w:tc>
        <w:tc>
          <w:tcPr>
            <w:tcW w:w="41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性别</w:t>
            </w:r>
          </w:p>
        </w:tc>
        <w:tc>
          <w:tcPr>
            <w:tcW w:w="58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年龄</w:t>
            </w:r>
          </w:p>
        </w:tc>
        <w:tc>
          <w:tcPr>
            <w:tcW w:w="103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学历</w:t>
            </w:r>
          </w:p>
          <w:p>
            <w:pPr>
              <w:spacing w:line="360" w:lineRule="auto"/>
              <w:jc w:val="center"/>
              <w:rPr>
                <w:rStyle w:val="961"/>
                <w:rFonts w:ascii="仿宋_GB2312" w:hAnsi="仿宋" w:eastAsia="仿宋_GB2312"/>
                <w:sz w:val="24"/>
              </w:rPr>
            </w:pPr>
            <w:r>
              <w:rPr>
                <w:rStyle w:val="961"/>
                <w:rFonts w:ascii="仿宋_GB2312" w:hAnsi="仿宋" w:eastAsia="仿宋_GB2312"/>
                <w:sz w:val="24"/>
              </w:rPr>
              <w:t>(页码)</w:t>
            </w:r>
          </w:p>
        </w:tc>
        <w:tc>
          <w:tcPr>
            <w:tcW w:w="108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专业</w:t>
            </w:r>
          </w:p>
          <w:p>
            <w:pPr>
              <w:spacing w:line="360" w:lineRule="auto"/>
              <w:jc w:val="center"/>
              <w:rPr>
                <w:rStyle w:val="961"/>
                <w:rFonts w:ascii="仿宋_GB2312" w:hAnsi="仿宋" w:eastAsia="仿宋_GB2312"/>
                <w:sz w:val="24"/>
              </w:rPr>
            </w:pPr>
            <w:r>
              <w:rPr>
                <w:rStyle w:val="961"/>
                <w:rFonts w:ascii="仿宋_GB2312" w:hAnsi="仿宋" w:eastAsia="仿宋_GB2312"/>
                <w:sz w:val="24"/>
              </w:rPr>
              <w:t>(页码)</w:t>
            </w:r>
          </w:p>
        </w:tc>
        <w:tc>
          <w:tcPr>
            <w:tcW w:w="108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职称</w:t>
            </w:r>
          </w:p>
          <w:p>
            <w:pPr>
              <w:spacing w:line="360" w:lineRule="auto"/>
              <w:jc w:val="center"/>
              <w:rPr>
                <w:rStyle w:val="961"/>
                <w:rFonts w:ascii="仿宋_GB2312" w:hAnsi="仿宋" w:eastAsia="仿宋_GB2312"/>
                <w:sz w:val="24"/>
              </w:rPr>
            </w:pPr>
            <w:r>
              <w:rPr>
                <w:rStyle w:val="961"/>
                <w:rFonts w:ascii="仿宋_GB2312" w:hAnsi="仿宋" w:eastAsia="仿宋_GB2312"/>
                <w:sz w:val="24"/>
              </w:rPr>
              <w:t>(页码)</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本项目中的职责</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项目经历</w:t>
            </w:r>
          </w:p>
        </w:tc>
        <w:tc>
          <w:tcPr>
            <w:tcW w:w="147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Style w:val="961"/>
                <w:rFonts w:ascii="仿宋_GB2312" w:hAnsi="仿宋" w:eastAsia="仿宋_GB2312"/>
                <w:sz w:val="24"/>
              </w:rPr>
            </w:pPr>
            <w:r>
              <w:rPr>
                <w:rStyle w:val="961"/>
                <w:rFonts w:ascii="仿宋_GB2312" w:hAnsi="仿宋" w:eastAsia="仿宋_GB2312"/>
                <w:sz w:val="24"/>
              </w:rPr>
              <w:t>参与本项目的到位情况</w:t>
            </w:r>
          </w:p>
        </w:tc>
      </w:tr>
      <w:tr>
        <w:tblPrEx>
          <w:tblCellMar>
            <w:top w:w="0" w:type="dxa"/>
            <w:left w:w="0" w:type="dxa"/>
            <w:bottom w:w="0" w:type="dxa"/>
            <w:right w:w="0" w:type="dxa"/>
          </w:tblCellMar>
        </w:tblPrEx>
        <w:trPr>
          <w:trHeight w:val="479" w:hRule="atLeast"/>
        </w:trPr>
        <w:tc>
          <w:tcPr>
            <w:tcW w:w="4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jc w:val="center"/>
              <w:rPr>
                <w:rStyle w:val="961"/>
                <w:rFonts w:ascii="仿宋_GB2312" w:hAnsi="仿宋" w:eastAsia="仿宋_GB2312"/>
                <w:sz w:val="24"/>
              </w:rPr>
            </w:pPr>
          </w:p>
        </w:tc>
        <w:tc>
          <w:tcPr>
            <w:tcW w:w="787"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412"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586"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03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08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08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90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47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r>
      <w:tr>
        <w:tblPrEx>
          <w:tblCellMar>
            <w:top w:w="0" w:type="dxa"/>
            <w:left w:w="0" w:type="dxa"/>
            <w:bottom w:w="0" w:type="dxa"/>
            <w:right w:w="0" w:type="dxa"/>
          </w:tblCellMar>
        </w:tblPrEx>
        <w:trPr>
          <w:trHeight w:val="473" w:hRule="atLeast"/>
        </w:trPr>
        <w:tc>
          <w:tcPr>
            <w:tcW w:w="4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jc w:val="center"/>
              <w:rPr>
                <w:rStyle w:val="961"/>
                <w:rFonts w:ascii="仿宋_GB2312" w:hAnsi="仿宋" w:eastAsia="仿宋_GB2312"/>
                <w:sz w:val="24"/>
              </w:rPr>
            </w:pPr>
          </w:p>
        </w:tc>
        <w:tc>
          <w:tcPr>
            <w:tcW w:w="787"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412"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586"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03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08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08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90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c>
          <w:tcPr>
            <w:tcW w:w="147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Style w:val="961"/>
                <w:rFonts w:ascii="仿宋_GB2312" w:hAnsi="仿宋" w:eastAsia="仿宋_GB2312"/>
                <w:sz w:val="24"/>
              </w:rPr>
            </w:pPr>
          </w:p>
        </w:tc>
      </w:tr>
    </w:tbl>
    <w:p>
      <w:pPr>
        <w:spacing w:line="360" w:lineRule="auto"/>
        <w:rPr>
          <w:rStyle w:val="961"/>
          <w:rFonts w:ascii="仿宋_GB2312" w:hAnsi="仿宋" w:eastAsia="仿宋_GB2312" w:cs="仿宋_GB2312"/>
          <w:b/>
          <w:bCs/>
          <w:sz w:val="24"/>
        </w:rPr>
      </w:pPr>
      <w:r>
        <w:rPr>
          <w:rStyle w:val="961"/>
          <w:rFonts w:ascii="仿宋_GB2312" w:hAnsi="仿宋" w:eastAsia="仿宋_GB2312"/>
          <w:b/>
          <w:sz w:val="24"/>
        </w:rPr>
        <w:t>注：</w:t>
      </w:r>
      <w:r>
        <w:rPr>
          <w:rStyle w:val="961"/>
          <w:rFonts w:hint="eastAsia" w:ascii="仿宋_GB2312" w:hAnsi="仿宋" w:eastAsia="仿宋_GB2312"/>
          <w:b/>
          <w:sz w:val="24"/>
        </w:rPr>
        <w:t>投标人</w:t>
      </w:r>
      <w:r>
        <w:rPr>
          <w:rStyle w:val="961"/>
          <w:rFonts w:ascii="仿宋_GB2312" w:hAnsi="仿宋" w:eastAsia="仿宋_GB2312"/>
          <w:b/>
          <w:sz w:val="24"/>
        </w:rPr>
        <w:t>可按上述的格式自行编制，须随表提交相应的证书复印件并注明所在投标技术文件页码。</w:t>
      </w:r>
    </w:p>
    <w:p>
      <w:pPr>
        <w:spacing w:line="360" w:lineRule="auto"/>
        <w:rPr>
          <w:rStyle w:val="961"/>
          <w:rFonts w:ascii="仿宋_GB2312" w:hAnsi="仿宋" w:eastAsia="仿宋_GB2312"/>
          <w:b/>
          <w:sz w:val="24"/>
        </w:rPr>
      </w:pPr>
    </w:p>
    <w:p>
      <w:pPr>
        <w:snapToGrid w:val="0"/>
        <w:spacing w:line="360" w:lineRule="auto"/>
        <w:ind w:firstLine="5520" w:firstLineChars="2300"/>
        <w:rPr>
          <w:rStyle w:val="961"/>
          <w:rFonts w:ascii="宋体" w:hAnsi="宋体"/>
          <w:kern w:val="0"/>
          <w:sz w:val="24"/>
        </w:rPr>
      </w:pPr>
      <w:r>
        <w:rPr>
          <w:rStyle w:val="961"/>
          <w:rFonts w:hint="eastAsia" w:ascii="宋体" w:hAnsi="宋体"/>
          <w:kern w:val="0"/>
          <w:sz w:val="24"/>
        </w:rPr>
        <w:t>投标人</w:t>
      </w:r>
      <w:r>
        <w:rPr>
          <w:rStyle w:val="961"/>
          <w:rFonts w:ascii="宋体" w:hAnsi="宋体"/>
          <w:kern w:val="0"/>
          <w:sz w:val="24"/>
          <w:lang w:val="zh-CN"/>
        </w:rPr>
        <w:t>名称(电子签名)：</w:t>
      </w:r>
    </w:p>
    <w:p>
      <w:pPr>
        <w:snapToGrid w:val="0"/>
        <w:spacing w:line="360" w:lineRule="auto"/>
        <w:rPr>
          <w:rStyle w:val="961"/>
          <w:rFonts w:ascii="宋体" w:hAnsi="宋体"/>
          <w:kern w:val="0"/>
          <w:sz w:val="24"/>
          <w:lang w:val="zh-CN"/>
        </w:rPr>
      </w:pPr>
      <w:r>
        <w:rPr>
          <w:rStyle w:val="961"/>
          <w:rFonts w:ascii="宋体" w:hAnsi="宋体"/>
          <w:kern w:val="0"/>
          <w:sz w:val="24"/>
          <w:lang w:val="zh-CN"/>
        </w:rPr>
        <w:t xml:space="preserve">                                                日期：  年  月   日</w:t>
      </w:r>
    </w:p>
    <w:p>
      <w:pPr>
        <w:spacing w:line="360" w:lineRule="auto"/>
        <w:rPr>
          <w:rStyle w:val="961"/>
          <w:rFonts w:ascii="仿宋_GB2312" w:hAnsi="仿宋" w:eastAsia="仿宋_GB2312"/>
          <w:b/>
          <w:sz w:val="24"/>
        </w:rPr>
      </w:pPr>
    </w:p>
    <w:p>
      <w:pPr>
        <w:spacing w:line="360" w:lineRule="auto"/>
        <w:rPr>
          <w:rStyle w:val="961"/>
          <w:rFonts w:ascii="仿宋_GB2312" w:hAnsi="仿宋" w:eastAsia="仿宋_GB2312"/>
          <w:b/>
          <w:sz w:val="24"/>
        </w:rPr>
      </w:pPr>
    </w:p>
    <w:p>
      <w:pPr>
        <w:spacing w:line="360" w:lineRule="auto"/>
        <w:rPr>
          <w:rStyle w:val="961"/>
          <w:rFonts w:ascii="仿宋_GB2312" w:hAnsi="仿宋" w:eastAsia="仿宋_GB2312" w:cs="仿宋_GB2312"/>
          <w:b/>
          <w:bCs/>
          <w:sz w:val="24"/>
        </w:rPr>
      </w:pPr>
      <w:r>
        <w:rPr>
          <w:rStyle w:val="961"/>
          <w:rFonts w:ascii="仿宋_GB2312" w:hAnsi="仿宋" w:eastAsia="仿宋_GB2312"/>
          <w:b/>
          <w:sz w:val="24"/>
        </w:rPr>
        <w:t>附表C:本项目的项目负责人和小组人员近3个月交纳社保记录情况表</w:t>
      </w:r>
      <w:r>
        <w:rPr>
          <w:rStyle w:val="961"/>
          <w:rFonts w:ascii="仿宋_GB2312" w:hAnsi="仿宋" w:eastAsia="仿宋_GB2312"/>
          <w:sz w:val="24"/>
        </w:rPr>
        <w:t>（以社保局缴纳凭证作附件）</w:t>
      </w:r>
    </w:p>
    <w:p>
      <w:pPr>
        <w:snapToGrid w:val="0"/>
        <w:spacing w:line="360" w:lineRule="auto"/>
        <w:ind w:firstLine="4830" w:firstLineChars="2300"/>
        <w:rPr>
          <w:rStyle w:val="961"/>
          <w:rFonts w:ascii="宋体" w:hAnsi="宋体"/>
        </w:rPr>
      </w:pPr>
    </w:p>
    <w:p>
      <w:pPr>
        <w:snapToGrid w:val="0"/>
        <w:spacing w:line="360" w:lineRule="auto"/>
        <w:ind w:firstLine="5520" w:firstLineChars="2300"/>
        <w:rPr>
          <w:rStyle w:val="961"/>
          <w:rFonts w:ascii="宋体" w:hAnsi="宋体"/>
          <w:kern w:val="0"/>
          <w:sz w:val="24"/>
        </w:rPr>
      </w:pPr>
      <w:r>
        <w:rPr>
          <w:rStyle w:val="961"/>
          <w:rFonts w:hint="eastAsia" w:ascii="宋体" w:hAnsi="宋体"/>
          <w:kern w:val="0"/>
          <w:sz w:val="24"/>
        </w:rPr>
        <w:t>投标人</w:t>
      </w:r>
      <w:r>
        <w:rPr>
          <w:rStyle w:val="961"/>
          <w:rFonts w:ascii="宋体" w:hAnsi="宋体"/>
          <w:kern w:val="0"/>
          <w:sz w:val="24"/>
          <w:lang w:val="zh-CN"/>
        </w:rPr>
        <w:t>名称(电子签名)：</w:t>
      </w:r>
    </w:p>
    <w:p>
      <w:pPr>
        <w:snapToGrid w:val="0"/>
        <w:spacing w:line="360" w:lineRule="auto"/>
        <w:rPr>
          <w:rStyle w:val="961"/>
          <w:rFonts w:ascii="宋体" w:hAnsi="宋体"/>
          <w:kern w:val="0"/>
          <w:sz w:val="24"/>
          <w:lang w:val="zh-CN"/>
        </w:rPr>
      </w:pPr>
      <w:r>
        <w:rPr>
          <w:rStyle w:val="961"/>
          <w:rFonts w:ascii="宋体" w:hAnsi="宋体"/>
          <w:kern w:val="0"/>
          <w:sz w:val="24"/>
          <w:lang w:val="zh-CN"/>
        </w:rPr>
        <w:t xml:space="preserve">                                                日期：  年  月   日</w:t>
      </w:r>
    </w:p>
    <w:p>
      <w:pPr>
        <w:snapToGrid w:val="0"/>
        <w:spacing w:line="360" w:lineRule="auto"/>
        <w:ind w:firstLine="468" w:firstLineChars="195"/>
        <w:jc w:val="left"/>
        <w:rPr>
          <w:rStyle w:val="961"/>
          <w:rFonts w:ascii="宋体" w:hAnsi="宋体"/>
          <w:sz w:val="24"/>
          <w:lang w:val="zh-CN"/>
        </w:rPr>
      </w:pPr>
    </w:p>
    <w:p>
      <w:pPr>
        <w:snapToGrid w:val="0"/>
        <w:spacing w:line="360" w:lineRule="auto"/>
        <w:ind w:firstLine="468" w:firstLineChars="195"/>
        <w:jc w:val="left"/>
        <w:rPr>
          <w:rStyle w:val="961"/>
          <w:rFonts w:ascii="宋体" w:hAnsi="宋体"/>
          <w:sz w:val="24"/>
          <w:lang w:val="zh-CN"/>
        </w:rPr>
      </w:pPr>
    </w:p>
    <w:p>
      <w:pPr>
        <w:jc w:val="center"/>
        <w:rPr>
          <w:rFonts w:ascii="宋体" w:hAnsi="宋体" w:cs="宋体"/>
          <w:b/>
          <w:kern w:val="0"/>
          <w:sz w:val="32"/>
          <w:szCs w:val="32"/>
        </w:rPr>
      </w:pPr>
    </w:p>
    <w:p>
      <w:pPr>
        <w:pStyle w:val="5"/>
        <w:rPr>
          <w:rFonts w:ascii="宋体" w:hAnsi="宋体" w:cs="宋体"/>
          <w:kern w:val="0"/>
        </w:rPr>
      </w:pPr>
    </w:p>
    <w:p>
      <w:pPr>
        <w:rPr>
          <w:rFonts w:ascii="宋体" w:hAnsi="宋体" w:cs="宋体"/>
          <w:b/>
          <w:kern w:val="0"/>
          <w:sz w:val="32"/>
          <w:szCs w:val="32"/>
        </w:rPr>
      </w:pPr>
    </w:p>
    <w:p>
      <w:pPr>
        <w:pStyle w:val="5"/>
        <w:rPr>
          <w:rFonts w:ascii="宋体" w:hAnsi="宋体" w:cs="宋体"/>
          <w:kern w:val="0"/>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t>附件4</w:t>
      </w:r>
    </w:p>
    <w:p>
      <w:pPr>
        <w:jc w:val="center"/>
        <w:rPr>
          <w:rFonts w:ascii="宋体" w:hAnsi="宋体" w:cs="宋体"/>
          <w:b/>
          <w:kern w:val="0"/>
          <w:sz w:val="32"/>
          <w:szCs w:val="32"/>
        </w:rPr>
      </w:pPr>
      <w:r>
        <w:rPr>
          <w:rFonts w:hint="eastAsia" w:ascii="宋体" w:hAnsi="宋体" w:cs="宋体"/>
          <w:b/>
          <w:kern w:val="0"/>
          <w:sz w:val="32"/>
          <w:szCs w:val="32"/>
        </w:rPr>
        <w:t>拟投入本项目设施设备一览表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026"/>
        <w:gridCol w:w="2789"/>
        <w:gridCol w:w="2093"/>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1105"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202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设备名称</w:t>
            </w:r>
          </w:p>
        </w:tc>
        <w:tc>
          <w:tcPr>
            <w:tcW w:w="2789"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规格型号</w:t>
            </w:r>
          </w:p>
        </w:tc>
        <w:tc>
          <w:tcPr>
            <w:tcW w:w="2093"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设备数量</w:t>
            </w:r>
          </w:p>
        </w:tc>
        <w:tc>
          <w:tcPr>
            <w:tcW w:w="1841"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5" w:type="dxa"/>
            <w:noWrap w:val="0"/>
            <w:vAlign w:val="center"/>
          </w:tcPr>
          <w:p>
            <w:pPr>
              <w:spacing w:line="360" w:lineRule="auto"/>
              <w:ind w:firstLine="480"/>
              <w:jc w:val="center"/>
              <w:rPr>
                <w:rFonts w:ascii="宋体" w:hAnsi="宋体" w:cs="宋体"/>
                <w:color w:val="000000"/>
                <w:sz w:val="24"/>
              </w:rPr>
            </w:pPr>
          </w:p>
        </w:tc>
        <w:tc>
          <w:tcPr>
            <w:tcW w:w="2026" w:type="dxa"/>
            <w:noWrap w:val="0"/>
            <w:vAlign w:val="center"/>
          </w:tcPr>
          <w:p>
            <w:pPr>
              <w:spacing w:line="360" w:lineRule="auto"/>
              <w:ind w:firstLine="480"/>
              <w:jc w:val="center"/>
              <w:rPr>
                <w:rFonts w:ascii="宋体" w:hAnsi="宋体" w:cs="宋体"/>
                <w:color w:val="000000"/>
                <w:sz w:val="24"/>
              </w:rPr>
            </w:pPr>
          </w:p>
        </w:tc>
        <w:tc>
          <w:tcPr>
            <w:tcW w:w="2789" w:type="dxa"/>
            <w:noWrap w:val="0"/>
            <w:vAlign w:val="center"/>
          </w:tcPr>
          <w:p>
            <w:pPr>
              <w:spacing w:line="360" w:lineRule="auto"/>
              <w:ind w:firstLine="480"/>
              <w:jc w:val="center"/>
              <w:rPr>
                <w:rFonts w:ascii="宋体" w:hAnsi="宋体" w:cs="宋体"/>
                <w:color w:val="000000"/>
                <w:sz w:val="24"/>
              </w:rPr>
            </w:pPr>
          </w:p>
        </w:tc>
        <w:tc>
          <w:tcPr>
            <w:tcW w:w="2093" w:type="dxa"/>
            <w:noWrap w:val="0"/>
            <w:vAlign w:val="center"/>
          </w:tcPr>
          <w:p>
            <w:pPr>
              <w:spacing w:line="360" w:lineRule="auto"/>
              <w:ind w:firstLine="480"/>
              <w:jc w:val="center"/>
              <w:rPr>
                <w:rFonts w:ascii="宋体" w:hAnsi="宋体" w:cs="宋体"/>
                <w:color w:val="000000"/>
                <w:sz w:val="24"/>
              </w:rPr>
            </w:pPr>
          </w:p>
        </w:tc>
        <w:tc>
          <w:tcPr>
            <w:tcW w:w="1841" w:type="dxa"/>
            <w:noWrap w:val="0"/>
            <w:vAlign w:val="center"/>
          </w:tcPr>
          <w:p>
            <w:pPr>
              <w:spacing w:line="360" w:lineRule="auto"/>
              <w:ind w:firstLine="48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05" w:type="dxa"/>
            <w:noWrap w:val="0"/>
            <w:vAlign w:val="center"/>
          </w:tcPr>
          <w:p>
            <w:pPr>
              <w:spacing w:line="360" w:lineRule="auto"/>
              <w:ind w:firstLine="480"/>
              <w:jc w:val="center"/>
              <w:rPr>
                <w:rFonts w:ascii="宋体" w:hAnsi="宋体" w:cs="宋体"/>
                <w:color w:val="000000"/>
                <w:sz w:val="24"/>
              </w:rPr>
            </w:pPr>
          </w:p>
        </w:tc>
        <w:tc>
          <w:tcPr>
            <w:tcW w:w="2026" w:type="dxa"/>
            <w:noWrap w:val="0"/>
            <w:vAlign w:val="center"/>
          </w:tcPr>
          <w:p>
            <w:pPr>
              <w:spacing w:line="360" w:lineRule="auto"/>
              <w:ind w:firstLine="480"/>
              <w:jc w:val="center"/>
              <w:rPr>
                <w:rFonts w:ascii="宋体" w:hAnsi="宋体" w:cs="宋体"/>
                <w:color w:val="000000"/>
                <w:sz w:val="24"/>
              </w:rPr>
            </w:pPr>
          </w:p>
        </w:tc>
        <w:tc>
          <w:tcPr>
            <w:tcW w:w="2789" w:type="dxa"/>
            <w:noWrap w:val="0"/>
            <w:vAlign w:val="center"/>
          </w:tcPr>
          <w:p>
            <w:pPr>
              <w:spacing w:line="360" w:lineRule="auto"/>
              <w:ind w:firstLine="480"/>
              <w:jc w:val="center"/>
              <w:rPr>
                <w:rFonts w:ascii="宋体" w:hAnsi="宋体" w:cs="宋体"/>
                <w:color w:val="000000"/>
                <w:sz w:val="24"/>
              </w:rPr>
            </w:pPr>
          </w:p>
        </w:tc>
        <w:tc>
          <w:tcPr>
            <w:tcW w:w="2093" w:type="dxa"/>
            <w:noWrap w:val="0"/>
            <w:vAlign w:val="center"/>
          </w:tcPr>
          <w:p>
            <w:pPr>
              <w:spacing w:line="360" w:lineRule="auto"/>
              <w:ind w:firstLine="480"/>
              <w:jc w:val="center"/>
              <w:rPr>
                <w:rFonts w:ascii="宋体" w:hAnsi="宋体" w:cs="宋体"/>
                <w:color w:val="000000"/>
                <w:sz w:val="24"/>
              </w:rPr>
            </w:pPr>
          </w:p>
        </w:tc>
        <w:tc>
          <w:tcPr>
            <w:tcW w:w="1841" w:type="dxa"/>
            <w:noWrap w:val="0"/>
            <w:vAlign w:val="center"/>
          </w:tcPr>
          <w:p>
            <w:pPr>
              <w:spacing w:line="360" w:lineRule="auto"/>
              <w:ind w:firstLine="48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05" w:type="dxa"/>
            <w:noWrap w:val="0"/>
            <w:vAlign w:val="center"/>
          </w:tcPr>
          <w:p>
            <w:pPr>
              <w:spacing w:line="360" w:lineRule="auto"/>
              <w:ind w:firstLine="480"/>
              <w:jc w:val="center"/>
              <w:rPr>
                <w:rFonts w:ascii="宋体" w:hAnsi="宋体" w:cs="宋体"/>
                <w:color w:val="000000"/>
                <w:sz w:val="24"/>
              </w:rPr>
            </w:pPr>
          </w:p>
        </w:tc>
        <w:tc>
          <w:tcPr>
            <w:tcW w:w="2026" w:type="dxa"/>
            <w:noWrap w:val="0"/>
            <w:vAlign w:val="center"/>
          </w:tcPr>
          <w:p>
            <w:pPr>
              <w:spacing w:line="360" w:lineRule="auto"/>
              <w:ind w:firstLine="480"/>
              <w:jc w:val="center"/>
              <w:rPr>
                <w:rFonts w:ascii="宋体" w:hAnsi="宋体" w:cs="宋体"/>
                <w:color w:val="000000"/>
                <w:sz w:val="24"/>
              </w:rPr>
            </w:pPr>
          </w:p>
        </w:tc>
        <w:tc>
          <w:tcPr>
            <w:tcW w:w="2789" w:type="dxa"/>
            <w:noWrap w:val="0"/>
            <w:vAlign w:val="center"/>
          </w:tcPr>
          <w:p>
            <w:pPr>
              <w:spacing w:line="360" w:lineRule="auto"/>
              <w:ind w:firstLine="480"/>
              <w:jc w:val="center"/>
              <w:rPr>
                <w:rFonts w:ascii="宋体" w:hAnsi="宋体" w:cs="宋体"/>
                <w:color w:val="000000"/>
                <w:sz w:val="24"/>
              </w:rPr>
            </w:pPr>
          </w:p>
        </w:tc>
        <w:tc>
          <w:tcPr>
            <w:tcW w:w="2093" w:type="dxa"/>
            <w:noWrap w:val="0"/>
            <w:vAlign w:val="center"/>
          </w:tcPr>
          <w:p>
            <w:pPr>
              <w:spacing w:line="360" w:lineRule="auto"/>
              <w:ind w:firstLine="480"/>
              <w:jc w:val="center"/>
              <w:rPr>
                <w:rFonts w:ascii="宋体" w:hAnsi="宋体" w:cs="宋体"/>
                <w:color w:val="000000"/>
                <w:sz w:val="24"/>
              </w:rPr>
            </w:pPr>
          </w:p>
        </w:tc>
        <w:tc>
          <w:tcPr>
            <w:tcW w:w="1841" w:type="dxa"/>
            <w:noWrap w:val="0"/>
            <w:vAlign w:val="center"/>
          </w:tcPr>
          <w:p>
            <w:pPr>
              <w:spacing w:line="360" w:lineRule="auto"/>
              <w:ind w:firstLine="48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05" w:type="dxa"/>
            <w:noWrap w:val="0"/>
            <w:vAlign w:val="center"/>
          </w:tcPr>
          <w:p>
            <w:pPr>
              <w:spacing w:line="360" w:lineRule="auto"/>
              <w:ind w:firstLine="480"/>
              <w:jc w:val="center"/>
              <w:rPr>
                <w:rFonts w:ascii="宋体" w:hAnsi="宋体" w:cs="宋体"/>
                <w:color w:val="000000"/>
                <w:sz w:val="24"/>
              </w:rPr>
            </w:pPr>
          </w:p>
        </w:tc>
        <w:tc>
          <w:tcPr>
            <w:tcW w:w="2026" w:type="dxa"/>
            <w:noWrap w:val="0"/>
            <w:vAlign w:val="center"/>
          </w:tcPr>
          <w:p>
            <w:pPr>
              <w:spacing w:line="360" w:lineRule="auto"/>
              <w:ind w:firstLine="480"/>
              <w:jc w:val="center"/>
              <w:rPr>
                <w:rFonts w:ascii="宋体" w:hAnsi="宋体" w:cs="宋体"/>
                <w:color w:val="000000"/>
                <w:sz w:val="24"/>
              </w:rPr>
            </w:pPr>
          </w:p>
        </w:tc>
        <w:tc>
          <w:tcPr>
            <w:tcW w:w="2789" w:type="dxa"/>
            <w:noWrap w:val="0"/>
            <w:vAlign w:val="center"/>
          </w:tcPr>
          <w:p>
            <w:pPr>
              <w:spacing w:line="360" w:lineRule="auto"/>
              <w:ind w:firstLine="480"/>
              <w:jc w:val="center"/>
              <w:rPr>
                <w:rFonts w:ascii="宋体" w:hAnsi="宋体" w:cs="宋体"/>
                <w:color w:val="000000"/>
                <w:sz w:val="24"/>
              </w:rPr>
            </w:pPr>
          </w:p>
        </w:tc>
        <w:tc>
          <w:tcPr>
            <w:tcW w:w="2093" w:type="dxa"/>
            <w:noWrap w:val="0"/>
            <w:vAlign w:val="center"/>
          </w:tcPr>
          <w:p>
            <w:pPr>
              <w:spacing w:line="360" w:lineRule="auto"/>
              <w:ind w:firstLine="480"/>
              <w:jc w:val="center"/>
              <w:rPr>
                <w:rFonts w:ascii="宋体" w:hAnsi="宋体" w:cs="宋体"/>
                <w:color w:val="000000"/>
                <w:sz w:val="24"/>
              </w:rPr>
            </w:pPr>
          </w:p>
        </w:tc>
        <w:tc>
          <w:tcPr>
            <w:tcW w:w="1841" w:type="dxa"/>
            <w:noWrap w:val="0"/>
            <w:vAlign w:val="center"/>
          </w:tcPr>
          <w:p>
            <w:pPr>
              <w:spacing w:line="360" w:lineRule="auto"/>
              <w:ind w:firstLine="48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05" w:type="dxa"/>
            <w:noWrap w:val="0"/>
            <w:vAlign w:val="center"/>
          </w:tcPr>
          <w:p>
            <w:pPr>
              <w:spacing w:line="360" w:lineRule="auto"/>
              <w:ind w:firstLine="480"/>
              <w:jc w:val="center"/>
              <w:rPr>
                <w:rFonts w:ascii="宋体" w:hAnsi="宋体" w:cs="宋体"/>
                <w:color w:val="000000"/>
                <w:sz w:val="24"/>
              </w:rPr>
            </w:pPr>
          </w:p>
        </w:tc>
        <w:tc>
          <w:tcPr>
            <w:tcW w:w="2026" w:type="dxa"/>
            <w:noWrap w:val="0"/>
            <w:vAlign w:val="center"/>
          </w:tcPr>
          <w:p>
            <w:pPr>
              <w:spacing w:line="360" w:lineRule="auto"/>
              <w:ind w:firstLine="480"/>
              <w:jc w:val="center"/>
              <w:rPr>
                <w:rFonts w:ascii="宋体" w:hAnsi="宋体" w:cs="宋体"/>
                <w:color w:val="000000"/>
                <w:sz w:val="24"/>
              </w:rPr>
            </w:pPr>
          </w:p>
        </w:tc>
        <w:tc>
          <w:tcPr>
            <w:tcW w:w="2789" w:type="dxa"/>
            <w:noWrap w:val="0"/>
            <w:vAlign w:val="center"/>
          </w:tcPr>
          <w:p>
            <w:pPr>
              <w:spacing w:line="360" w:lineRule="auto"/>
              <w:ind w:firstLine="480"/>
              <w:jc w:val="center"/>
              <w:rPr>
                <w:rFonts w:ascii="宋体" w:hAnsi="宋体" w:cs="宋体"/>
                <w:color w:val="000000"/>
                <w:sz w:val="24"/>
              </w:rPr>
            </w:pPr>
          </w:p>
        </w:tc>
        <w:tc>
          <w:tcPr>
            <w:tcW w:w="2093" w:type="dxa"/>
            <w:noWrap w:val="0"/>
            <w:vAlign w:val="center"/>
          </w:tcPr>
          <w:p>
            <w:pPr>
              <w:spacing w:line="360" w:lineRule="auto"/>
              <w:ind w:firstLine="480"/>
              <w:jc w:val="center"/>
              <w:rPr>
                <w:rFonts w:ascii="宋体" w:hAnsi="宋体" w:cs="宋体"/>
                <w:color w:val="000000"/>
                <w:sz w:val="24"/>
              </w:rPr>
            </w:pPr>
          </w:p>
        </w:tc>
        <w:tc>
          <w:tcPr>
            <w:tcW w:w="1841" w:type="dxa"/>
            <w:noWrap w:val="0"/>
            <w:vAlign w:val="center"/>
          </w:tcPr>
          <w:p>
            <w:pPr>
              <w:spacing w:line="360" w:lineRule="auto"/>
              <w:ind w:firstLine="48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05" w:type="dxa"/>
            <w:noWrap w:val="0"/>
            <w:vAlign w:val="center"/>
          </w:tcPr>
          <w:p>
            <w:pPr>
              <w:spacing w:line="360" w:lineRule="auto"/>
              <w:ind w:firstLine="480"/>
              <w:jc w:val="center"/>
              <w:rPr>
                <w:rFonts w:ascii="宋体" w:hAnsi="宋体" w:cs="宋体"/>
                <w:color w:val="000000"/>
                <w:sz w:val="24"/>
              </w:rPr>
            </w:pPr>
          </w:p>
        </w:tc>
        <w:tc>
          <w:tcPr>
            <w:tcW w:w="2026" w:type="dxa"/>
            <w:noWrap w:val="0"/>
            <w:vAlign w:val="center"/>
          </w:tcPr>
          <w:p>
            <w:pPr>
              <w:spacing w:line="360" w:lineRule="auto"/>
              <w:ind w:firstLine="480"/>
              <w:jc w:val="center"/>
              <w:rPr>
                <w:rFonts w:ascii="宋体" w:hAnsi="宋体" w:cs="宋体"/>
                <w:color w:val="000000"/>
                <w:sz w:val="24"/>
              </w:rPr>
            </w:pPr>
          </w:p>
        </w:tc>
        <w:tc>
          <w:tcPr>
            <w:tcW w:w="2789" w:type="dxa"/>
            <w:noWrap w:val="0"/>
            <w:vAlign w:val="center"/>
          </w:tcPr>
          <w:p>
            <w:pPr>
              <w:spacing w:line="360" w:lineRule="auto"/>
              <w:ind w:firstLine="480"/>
              <w:jc w:val="center"/>
              <w:rPr>
                <w:rFonts w:ascii="宋体" w:hAnsi="宋体" w:cs="宋体"/>
                <w:color w:val="000000"/>
                <w:sz w:val="24"/>
              </w:rPr>
            </w:pPr>
          </w:p>
        </w:tc>
        <w:tc>
          <w:tcPr>
            <w:tcW w:w="2093" w:type="dxa"/>
            <w:noWrap w:val="0"/>
            <w:vAlign w:val="center"/>
          </w:tcPr>
          <w:p>
            <w:pPr>
              <w:spacing w:line="360" w:lineRule="auto"/>
              <w:ind w:firstLine="480"/>
              <w:jc w:val="center"/>
              <w:rPr>
                <w:rFonts w:ascii="宋体" w:hAnsi="宋体" w:cs="宋体"/>
                <w:color w:val="000000"/>
                <w:sz w:val="24"/>
              </w:rPr>
            </w:pPr>
          </w:p>
        </w:tc>
        <w:tc>
          <w:tcPr>
            <w:tcW w:w="1841" w:type="dxa"/>
            <w:noWrap w:val="0"/>
            <w:vAlign w:val="center"/>
          </w:tcPr>
          <w:p>
            <w:pPr>
              <w:spacing w:line="360" w:lineRule="auto"/>
              <w:ind w:firstLine="480"/>
              <w:jc w:val="center"/>
              <w:rPr>
                <w:rFonts w:ascii="宋体" w:hAnsi="宋体" w:cs="宋体"/>
                <w:color w:val="000000"/>
                <w:sz w:val="24"/>
              </w:rPr>
            </w:pPr>
          </w:p>
        </w:tc>
      </w:tr>
    </w:tbl>
    <w:p>
      <w:pPr>
        <w:spacing w:line="360" w:lineRule="auto"/>
        <w:jc w:val="left"/>
        <w:rPr>
          <w:rFonts w:ascii="宋体" w:hAnsi="宋体" w:cs="宋体"/>
          <w:color w:val="000000"/>
          <w:sz w:val="24"/>
        </w:rPr>
      </w:pPr>
      <w:r>
        <w:rPr>
          <w:rFonts w:hint="eastAsia" w:ascii="宋体" w:hAnsi="宋体" w:cs="宋体"/>
          <w:color w:val="000000"/>
          <w:sz w:val="24"/>
        </w:rPr>
        <w:t>注：提供相关证明材料。</w:t>
      </w:r>
    </w:p>
    <w:p>
      <w:pPr>
        <w:snapToGrid w:val="0"/>
        <w:spacing w:line="360" w:lineRule="auto"/>
        <w:ind w:firstLine="4830" w:firstLineChars="2300"/>
        <w:rPr>
          <w:rStyle w:val="961"/>
          <w:rFonts w:ascii="宋体" w:hAnsi="宋体"/>
        </w:rPr>
      </w:pPr>
    </w:p>
    <w:p>
      <w:pPr>
        <w:snapToGrid w:val="0"/>
        <w:spacing w:line="360" w:lineRule="auto"/>
        <w:ind w:firstLine="5520" w:firstLineChars="2300"/>
        <w:rPr>
          <w:rStyle w:val="961"/>
          <w:rFonts w:ascii="宋体" w:hAnsi="宋体"/>
          <w:kern w:val="0"/>
          <w:sz w:val="24"/>
        </w:rPr>
      </w:pPr>
      <w:r>
        <w:rPr>
          <w:rStyle w:val="961"/>
          <w:rFonts w:hint="eastAsia" w:ascii="宋体" w:hAnsi="宋体"/>
          <w:kern w:val="0"/>
          <w:sz w:val="24"/>
        </w:rPr>
        <w:t>投标人</w:t>
      </w:r>
      <w:r>
        <w:rPr>
          <w:rStyle w:val="961"/>
          <w:rFonts w:ascii="宋体" w:hAnsi="宋体"/>
          <w:kern w:val="0"/>
          <w:sz w:val="24"/>
          <w:lang w:val="zh-CN"/>
        </w:rPr>
        <w:t>名称(电子签名)：</w:t>
      </w:r>
    </w:p>
    <w:p>
      <w:pPr>
        <w:snapToGrid w:val="0"/>
        <w:spacing w:line="360" w:lineRule="auto"/>
        <w:rPr>
          <w:rStyle w:val="961"/>
          <w:rFonts w:ascii="宋体" w:hAnsi="宋体"/>
          <w:kern w:val="0"/>
          <w:sz w:val="24"/>
          <w:lang w:val="zh-CN"/>
        </w:rPr>
      </w:pPr>
      <w:r>
        <w:rPr>
          <w:rStyle w:val="961"/>
          <w:rFonts w:ascii="宋体" w:hAnsi="宋体"/>
          <w:kern w:val="0"/>
          <w:sz w:val="24"/>
          <w:lang w:val="zh-CN"/>
        </w:rPr>
        <w:t xml:space="preserve">                                                日期：  年  月   日</w:t>
      </w:r>
    </w:p>
    <w:p>
      <w:pPr>
        <w:jc w:val="center"/>
        <w:rPr>
          <w:rFonts w:ascii="宋体" w:hAnsi="宋体" w:cs="宋体"/>
          <w:b/>
          <w:kern w:val="0"/>
          <w:sz w:val="32"/>
          <w:szCs w:val="32"/>
        </w:rPr>
      </w:pPr>
    </w:p>
    <w:p>
      <w:pPr>
        <w:pStyle w:val="5"/>
        <w:rPr>
          <w:rFonts w:ascii="宋体" w:hAnsi="宋体" w:cs="宋体"/>
          <w:kern w:val="0"/>
        </w:rPr>
      </w:pPr>
    </w:p>
    <w:p>
      <w:pPr>
        <w:rPr>
          <w:rFonts w:ascii="宋体" w:hAnsi="宋体" w:cs="宋体"/>
          <w:b/>
          <w:kern w:val="0"/>
          <w:sz w:val="32"/>
          <w:szCs w:val="32"/>
        </w:rPr>
      </w:pPr>
    </w:p>
    <w:p>
      <w:pPr>
        <w:pStyle w:val="5"/>
        <w:rPr>
          <w:rFonts w:ascii="宋体" w:hAnsi="宋体" w:cs="宋体"/>
          <w:kern w:val="0"/>
        </w:rPr>
      </w:pPr>
    </w:p>
    <w:p>
      <w:pPr>
        <w:rPr>
          <w:rFonts w:ascii="宋体" w:hAnsi="宋体" w:cs="宋体"/>
          <w:b/>
          <w:kern w:val="0"/>
          <w:sz w:val="32"/>
          <w:szCs w:val="32"/>
        </w:rPr>
      </w:pPr>
    </w:p>
    <w:p>
      <w:pPr>
        <w:pStyle w:val="5"/>
        <w:rPr>
          <w:rFonts w:ascii="宋体" w:hAnsi="宋体" w:cs="宋体"/>
          <w:kern w:val="0"/>
        </w:rPr>
      </w:pPr>
    </w:p>
    <w:p>
      <w:pPr>
        <w:rPr>
          <w:rFonts w:ascii="宋体" w:hAnsi="宋体" w:cs="宋体"/>
          <w:b/>
          <w:kern w:val="0"/>
          <w:sz w:val="32"/>
          <w:szCs w:val="32"/>
        </w:rPr>
      </w:pPr>
    </w:p>
    <w:p/>
    <w:p>
      <w:pPr>
        <w:pStyle w:val="5"/>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681"/>
        <w:gridCol w:w="354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8" w:type="dxa"/>
            <w:noWrap w:val="0"/>
            <w:vAlign w:val="top"/>
          </w:tcPr>
          <w:p>
            <w:pPr>
              <w:jc w:val="center"/>
              <w:rPr>
                <w:rFonts w:ascii="宋体" w:hAnsi="宋体" w:cs="宋体"/>
                <w:b/>
                <w:bCs/>
                <w:sz w:val="24"/>
              </w:rPr>
            </w:pPr>
            <w:r>
              <w:rPr>
                <w:rFonts w:hint="eastAsia" w:ascii="宋体" w:hAnsi="宋体" w:cs="宋体"/>
                <w:b/>
                <w:bCs/>
                <w:sz w:val="24"/>
              </w:rPr>
              <w:t>序号</w:t>
            </w:r>
          </w:p>
        </w:tc>
        <w:tc>
          <w:tcPr>
            <w:tcW w:w="3681" w:type="dxa"/>
            <w:noWrap w:val="0"/>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4" w:type="dxa"/>
            <w:noWrap w:val="0"/>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5" w:type="dxa"/>
            <w:noWrap w:val="0"/>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58" w:type="dxa"/>
            <w:noWrap w:val="0"/>
            <w:vAlign w:val="top"/>
          </w:tcPr>
          <w:p>
            <w:pPr>
              <w:jc w:val="center"/>
              <w:rPr>
                <w:rFonts w:ascii="宋体" w:hAnsi="宋体" w:cs="宋体"/>
                <w:kern w:val="0"/>
                <w:sz w:val="24"/>
              </w:rPr>
            </w:pPr>
            <w:r>
              <w:rPr>
                <w:rFonts w:hint="eastAsia" w:ascii="宋体" w:hAnsi="宋体" w:cs="宋体"/>
                <w:kern w:val="0"/>
                <w:sz w:val="24"/>
              </w:rPr>
              <w:t>1</w:t>
            </w:r>
          </w:p>
        </w:tc>
        <w:tc>
          <w:tcPr>
            <w:tcW w:w="3681" w:type="dxa"/>
            <w:noWrap w:val="0"/>
            <w:vAlign w:val="top"/>
          </w:tcPr>
          <w:p>
            <w:pPr>
              <w:jc w:val="center"/>
              <w:rPr>
                <w:rFonts w:ascii="宋体" w:hAnsi="宋体" w:cs="宋体"/>
                <w:b/>
                <w:kern w:val="0"/>
                <w:sz w:val="32"/>
                <w:szCs w:val="32"/>
              </w:rPr>
            </w:pPr>
          </w:p>
        </w:tc>
        <w:tc>
          <w:tcPr>
            <w:tcW w:w="3544" w:type="dxa"/>
            <w:noWrap w:val="0"/>
            <w:vAlign w:val="top"/>
          </w:tcPr>
          <w:p>
            <w:pPr>
              <w:jc w:val="center"/>
              <w:rPr>
                <w:rFonts w:ascii="宋体" w:hAnsi="宋体" w:cs="宋体"/>
                <w:b/>
                <w:kern w:val="0"/>
                <w:sz w:val="32"/>
                <w:szCs w:val="32"/>
              </w:rPr>
            </w:pPr>
          </w:p>
        </w:tc>
        <w:tc>
          <w:tcPr>
            <w:tcW w:w="1275" w:type="dxa"/>
            <w:noWrap w:val="0"/>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58" w:type="dxa"/>
            <w:noWrap w:val="0"/>
            <w:vAlign w:val="top"/>
          </w:tcPr>
          <w:p>
            <w:pPr>
              <w:jc w:val="center"/>
              <w:rPr>
                <w:rFonts w:ascii="宋体" w:hAnsi="宋体" w:cs="宋体"/>
                <w:kern w:val="0"/>
                <w:sz w:val="24"/>
              </w:rPr>
            </w:pPr>
            <w:r>
              <w:rPr>
                <w:rFonts w:hint="eastAsia" w:ascii="宋体" w:hAnsi="宋体" w:cs="宋体"/>
                <w:kern w:val="0"/>
                <w:sz w:val="24"/>
              </w:rPr>
              <w:t>2</w:t>
            </w:r>
          </w:p>
        </w:tc>
        <w:tc>
          <w:tcPr>
            <w:tcW w:w="3681" w:type="dxa"/>
            <w:noWrap w:val="0"/>
            <w:vAlign w:val="top"/>
          </w:tcPr>
          <w:p>
            <w:pPr>
              <w:jc w:val="center"/>
              <w:rPr>
                <w:rFonts w:ascii="宋体" w:hAnsi="宋体" w:cs="宋体"/>
                <w:b/>
                <w:kern w:val="0"/>
                <w:sz w:val="32"/>
                <w:szCs w:val="32"/>
              </w:rPr>
            </w:pPr>
          </w:p>
        </w:tc>
        <w:tc>
          <w:tcPr>
            <w:tcW w:w="3544" w:type="dxa"/>
            <w:noWrap w:val="0"/>
            <w:vAlign w:val="top"/>
          </w:tcPr>
          <w:p>
            <w:pPr>
              <w:jc w:val="center"/>
              <w:rPr>
                <w:rFonts w:ascii="宋体" w:hAnsi="宋体" w:cs="宋体"/>
                <w:b/>
                <w:kern w:val="0"/>
                <w:sz w:val="32"/>
                <w:szCs w:val="32"/>
              </w:rPr>
            </w:pPr>
          </w:p>
        </w:tc>
        <w:tc>
          <w:tcPr>
            <w:tcW w:w="1275" w:type="dxa"/>
            <w:noWrap w:val="0"/>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58" w:type="dxa"/>
            <w:noWrap w:val="0"/>
            <w:vAlign w:val="top"/>
          </w:tcPr>
          <w:p>
            <w:pPr>
              <w:jc w:val="center"/>
              <w:rPr>
                <w:rFonts w:ascii="宋体" w:hAnsi="宋体" w:cs="宋体"/>
                <w:kern w:val="0"/>
                <w:sz w:val="24"/>
              </w:rPr>
            </w:pPr>
            <w:r>
              <w:rPr>
                <w:rFonts w:hint="eastAsia" w:ascii="宋体" w:hAnsi="宋体" w:cs="宋体"/>
                <w:kern w:val="0"/>
                <w:sz w:val="24"/>
              </w:rPr>
              <w:t>……</w:t>
            </w:r>
          </w:p>
        </w:tc>
        <w:tc>
          <w:tcPr>
            <w:tcW w:w="3681" w:type="dxa"/>
            <w:noWrap w:val="0"/>
            <w:vAlign w:val="top"/>
          </w:tcPr>
          <w:p>
            <w:pPr>
              <w:jc w:val="center"/>
              <w:rPr>
                <w:rFonts w:ascii="宋体" w:hAnsi="宋体" w:cs="宋体"/>
                <w:b/>
                <w:kern w:val="0"/>
                <w:sz w:val="32"/>
                <w:szCs w:val="32"/>
              </w:rPr>
            </w:pPr>
          </w:p>
        </w:tc>
        <w:tc>
          <w:tcPr>
            <w:tcW w:w="3544" w:type="dxa"/>
            <w:noWrap w:val="0"/>
            <w:vAlign w:val="top"/>
          </w:tcPr>
          <w:p>
            <w:pPr>
              <w:jc w:val="center"/>
              <w:rPr>
                <w:rFonts w:ascii="宋体" w:hAnsi="宋体" w:cs="宋体"/>
                <w:b/>
                <w:kern w:val="0"/>
                <w:sz w:val="32"/>
                <w:szCs w:val="32"/>
              </w:rPr>
            </w:pPr>
          </w:p>
        </w:tc>
        <w:tc>
          <w:tcPr>
            <w:tcW w:w="1275" w:type="dxa"/>
            <w:noWrap w:val="0"/>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5" w:h="16838"/>
          <w:pgMar w:top="1701" w:right="1417" w:bottom="1417" w:left="1417" w:header="851" w:footer="992" w:gutter="0"/>
          <w:pgNumType w:fmt="decimal"/>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w:t>
      </w:r>
    </w:p>
    <w:p>
      <w:pPr>
        <w:snapToGrid w:val="0"/>
        <w:spacing w:line="360" w:lineRule="auto"/>
        <w:rPr>
          <w:rFonts w:ascii="宋体" w:hAnsi="宋体" w:cs="宋体"/>
          <w:sz w:val="24"/>
        </w:rPr>
      </w:pPr>
      <w:r>
        <w:rPr>
          <w:rFonts w:hint="eastAsia" w:ascii="宋体" w:hAnsi="宋体" w:cs="宋体"/>
          <w:sz w:val="24"/>
        </w:rPr>
        <w:t>（2）投标报价明细表</w:t>
      </w:r>
    </w:p>
    <w:p>
      <w:pPr>
        <w:snapToGrid w:val="0"/>
        <w:spacing w:line="360" w:lineRule="auto"/>
        <w:rPr>
          <w:rFonts w:ascii="宋体" w:hAnsi="宋体" w:cs="宋体"/>
          <w:sz w:val="24"/>
        </w:rPr>
      </w:pPr>
      <w:r>
        <w:rPr>
          <w:rFonts w:hint="eastAsia" w:ascii="宋体" w:hAnsi="宋体" w:cs="宋体"/>
          <w:sz w:val="24"/>
        </w:rPr>
        <w:t>（3）中小企业声明函</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5" w:h="16838"/>
          <w:pgMar w:top="1701" w:right="1417" w:bottom="1417" w:left="1417"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napToGrid w:val="0"/>
        <w:spacing w:line="360" w:lineRule="auto"/>
        <w:ind w:firstLine="480"/>
        <w:rPr>
          <w:rStyle w:val="961"/>
          <w:rFonts w:ascii="宋体" w:hAnsi="宋体"/>
          <w:sz w:val="24"/>
        </w:rPr>
      </w:pPr>
      <w:r>
        <w:rPr>
          <w:rStyle w:val="961"/>
          <w:rFonts w:ascii="宋体" w:hAnsi="宋体"/>
          <w:sz w:val="24"/>
        </w:rPr>
        <w:t xml:space="preserve">                                                 单位：元</w:t>
      </w:r>
    </w:p>
    <w:tbl>
      <w:tblPr>
        <w:tblStyle w:val="62"/>
        <w:tblW w:w="90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2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06" w:hRule="atLeast"/>
          <w:jc w:val="center"/>
        </w:trPr>
        <w:tc>
          <w:tcPr>
            <w:tcW w:w="902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ind w:firstLine="480"/>
              <w:jc w:val="center"/>
              <w:rPr>
                <w:rStyle w:val="961"/>
                <w:rFonts w:ascii="宋体" w:hAnsi="宋体"/>
                <w:b/>
                <w:sz w:val="24"/>
              </w:rPr>
            </w:pPr>
            <w:r>
              <w:rPr>
                <w:rStyle w:val="961"/>
                <w:rFonts w:ascii="宋体" w:hAnsi="宋体"/>
                <w:b/>
                <w:sz w:val="24"/>
              </w:rPr>
              <w:t>内    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07" w:hRule="atLeast"/>
          <w:jc w:val="center"/>
        </w:trPr>
        <w:tc>
          <w:tcPr>
            <w:tcW w:w="902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Style w:val="961"/>
                <w:rFonts w:hint="eastAsia" w:ascii="宋体" w:hAnsi="宋体"/>
                <w:b/>
                <w:sz w:val="24"/>
                <w:lang w:eastAsia="zh-CN"/>
              </w:rPr>
            </w:pPr>
            <w:r>
              <w:rPr>
                <w:rStyle w:val="961"/>
                <w:rFonts w:ascii="宋体" w:hAnsi="宋体"/>
                <w:b/>
                <w:sz w:val="24"/>
              </w:rPr>
              <w:t>本项目</w:t>
            </w:r>
            <w:r>
              <w:rPr>
                <w:rStyle w:val="961"/>
                <w:rFonts w:hint="eastAsia" w:ascii="宋体" w:hAnsi="宋体"/>
                <w:b/>
                <w:sz w:val="24"/>
              </w:rPr>
              <w:t>报综合单价，单盏年维护费为</w:t>
            </w:r>
            <w:r>
              <w:rPr>
                <w:rStyle w:val="961"/>
                <w:rFonts w:hint="eastAsia" w:ascii="宋体" w:hAnsi="宋体"/>
                <w:b/>
                <w:sz w:val="24"/>
                <w:u w:val="single"/>
              </w:rPr>
              <w:t xml:space="preserve">           </w:t>
            </w:r>
            <w:r>
              <w:rPr>
                <w:rStyle w:val="961"/>
                <w:rFonts w:hint="eastAsia" w:ascii="宋体" w:hAnsi="宋体"/>
                <w:b/>
                <w:sz w:val="24"/>
              </w:rPr>
              <w:t>元</w:t>
            </w:r>
            <w:r>
              <w:rPr>
                <w:rStyle w:val="961"/>
                <w:rFonts w:hint="eastAsia" w:ascii="宋体" w:hAnsi="宋体"/>
                <w:b/>
                <w:sz w:val="24"/>
                <w:lang w:eastAsia="zh-CN"/>
              </w:rPr>
              <w:t>，</w:t>
            </w:r>
          </w:p>
          <w:p>
            <w:pPr>
              <w:snapToGrid w:val="0"/>
              <w:spacing w:line="360" w:lineRule="auto"/>
              <w:ind w:firstLine="241" w:firstLineChars="100"/>
              <w:rPr>
                <w:rStyle w:val="961"/>
                <w:rFonts w:hint="default" w:ascii="宋体" w:hAnsi="宋体" w:eastAsia="宋体"/>
                <w:b/>
                <w:sz w:val="24"/>
                <w:u w:val="none"/>
                <w:lang w:val="en-US" w:eastAsia="zh-CN"/>
              </w:rPr>
            </w:pPr>
            <w:r>
              <w:rPr>
                <w:rStyle w:val="961"/>
                <w:rFonts w:hint="eastAsia" w:ascii="宋体" w:hAnsi="宋体"/>
                <w:b/>
                <w:sz w:val="24"/>
                <w:lang w:val="en-US" w:eastAsia="zh-CN"/>
              </w:rPr>
              <w:t>即一年养护投标总报价为</w:t>
            </w:r>
            <w:r>
              <w:rPr>
                <w:rStyle w:val="961"/>
                <w:rFonts w:hint="eastAsia" w:ascii="宋体" w:hAnsi="宋体"/>
                <w:b/>
                <w:sz w:val="24"/>
                <w:u w:val="single"/>
                <w:lang w:val="en-US" w:eastAsia="zh-CN"/>
              </w:rPr>
              <w:t xml:space="preserve">        </w:t>
            </w:r>
            <w:r>
              <w:rPr>
                <w:rStyle w:val="961"/>
                <w:rFonts w:hint="eastAsia" w:ascii="宋体" w:hAnsi="宋体"/>
                <w:b/>
                <w:sz w:val="24"/>
                <w:u w:val="none"/>
                <w:lang w:val="en-US" w:eastAsia="zh-CN"/>
              </w:rPr>
              <w:t>元，三年</w:t>
            </w:r>
            <w:r>
              <w:rPr>
                <w:rStyle w:val="961"/>
                <w:rFonts w:hint="eastAsia" w:ascii="宋体" w:hAnsi="宋体"/>
                <w:b/>
                <w:sz w:val="24"/>
                <w:lang w:val="en-US" w:eastAsia="zh-CN"/>
              </w:rPr>
              <w:t>养护投标总报价为</w:t>
            </w:r>
            <w:r>
              <w:rPr>
                <w:rStyle w:val="961"/>
                <w:rFonts w:hint="eastAsia" w:ascii="宋体" w:hAnsi="宋体"/>
                <w:b/>
                <w:sz w:val="24"/>
                <w:u w:val="single"/>
                <w:lang w:val="en-US" w:eastAsia="zh-CN"/>
              </w:rPr>
              <w:t xml:space="preserve">        </w:t>
            </w:r>
            <w:r>
              <w:rPr>
                <w:rStyle w:val="961"/>
                <w:rFonts w:hint="eastAsia" w:ascii="宋体" w:hAnsi="宋体"/>
                <w:b/>
                <w:sz w:val="24"/>
                <w:u w:val="none"/>
                <w:lang w:val="en-US" w:eastAsia="zh-CN"/>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jc w:val="center"/>
        </w:trPr>
        <w:tc>
          <w:tcPr>
            <w:tcW w:w="902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Style w:val="961"/>
                <w:rFonts w:ascii="宋体" w:hAnsi="宋体"/>
                <w:kern w:val="0"/>
                <w:sz w:val="24"/>
                <w:u w:val="single"/>
              </w:rPr>
            </w:pPr>
            <w:r>
              <w:rPr>
                <w:rFonts w:hint="eastAsia" w:ascii="宋体" w:hAnsi="宋体" w:cs="宋体"/>
                <w:b/>
                <w:bCs/>
                <w:sz w:val="24"/>
              </w:rPr>
              <w:t>服务期：</w:t>
            </w:r>
          </w:p>
        </w:tc>
      </w:tr>
    </w:tbl>
    <w:p>
      <w:pPr>
        <w:snapToGrid w:val="0"/>
        <w:spacing w:line="360" w:lineRule="auto"/>
        <w:rPr>
          <w:rStyle w:val="961"/>
          <w:rFonts w:ascii="宋体" w:hAnsi="宋体"/>
          <w:sz w:val="24"/>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3600" w:firstLineChars="1500"/>
        <w:rPr>
          <w:rStyle w:val="961"/>
          <w:rFonts w:ascii="宋体" w:hAnsi="宋体"/>
          <w:sz w:val="24"/>
        </w:rPr>
      </w:pPr>
      <w:r>
        <w:rPr>
          <w:rStyle w:val="961"/>
          <w:rFonts w:hint="eastAsia" w:ascii="宋体" w:hAnsi="宋体"/>
          <w:sz w:val="24"/>
        </w:rPr>
        <w:t>投标人</w:t>
      </w:r>
      <w:r>
        <w:rPr>
          <w:rStyle w:val="961"/>
          <w:rFonts w:ascii="宋体" w:hAnsi="宋体"/>
          <w:sz w:val="24"/>
        </w:rPr>
        <w:t xml:space="preserve">名称（电子签名）：                          </w:t>
      </w:r>
    </w:p>
    <w:p>
      <w:pPr>
        <w:snapToGrid w:val="0"/>
        <w:spacing w:line="360" w:lineRule="auto"/>
        <w:jc w:val="center"/>
        <w:rPr>
          <w:rStyle w:val="961"/>
          <w:rFonts w:ascii="宋体" w:hAnsi="宋体"/>
          <w:sz w:val="24"/>
        </w:rPr>
      </w:pPr>
      <w:r>
        <w:rPr>
          <w:rStyle w:val="961"/>
          <w:rFonts w:ascii="宋体" w:hAnsi="宋体"/>
          <w:sz w:val="24"/>
        </w:rPr>
        <w:t xml:space="preserve">     日期：  年   月   日</w:t>
      </w:r>
    </w:p>
    <w:p>
      <w:pPr>
        <w:pStyle w:val="45"/>
        <w:rPr>
          <w:rStyle w:val="961"/>
          <w:rFonts w:ascii="宋体" w:hAnsi="宋体"/>
          <w:sz w:val="24"/>
        </w:rPr>
      </w:pPr>
    </w:p>
    <w:p>
      <w:pPr>
        <w:rPr>
          <w:rStyle w:val="961"/>
          <w:rFonts w:ascii="宋体" w:hAnsi="宋体"/>
          <w:sz w:val="24"/>
        </w:rPr>
      </w:pPr>
    </w:p>
    <w:p>
      <w:pPr>
        <w:pStyle w:val="45"/>
        <w:rPr>
          <w:rStyle w:val="961"/>
          <w:rFonts w:ascii="宋体" w:hAnsi="宋体"/>
          <w:sz w:val="24"/>
        </w:rPr>
      </w:pPr>
    </w:p>
    <w:p/>
    <w:p>
      <w:pPr>
        <w:pStyle w:val="692"/>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二、投标报价汇总表</w:t>
      </w:r>
    </w:p>
    <w:p>
      <w:pPr>
        <w:widowControl/>
        <w:tabs>
          <w:tab w:val="center" w:pos="4755"/>
          <w:tab w:val="right" w:pos="9070"/>
        </w:tabs>
        <w:ind w:firstLine="120" w:firstLineChars="50"/>
        <w:jc w:val="left"/>
        <w:rPr>
          <w:rFonts w:ascii="宋体" w:hAnsi="宋体"/>
          <w:color w:val="000000"/>
          <w:kern w:val="0"/>
          <w:sz w:val="24"/>
        </w:rPr>
      </w:pPr>
      <w:r>
        <w:rPr>
          <w:rFonts w:hint="eastAsia" w:ascii="宋体" w:hAnsi="宋体"/>
          <w:color w:val="000000"/>
          <w:kern w:val="0"/>
          <w:sz w:val="24"/>
        </w:rPr>
        <w:t xml:space="preserve">项目名称：                                         </w:t>
      </w:r>
    </w:p>
    <w:p>
      <w:pPr>
        <w:widowControl/>
        <w:tabs>
          <w:tab w:val="center" w:pos="4755"/>
          <w:tab w:val="right" w:pos="9070"/>
        </w:tabs>
        <w:ind w:firstLine="120" w:firstLineChars="50"/>
        <w:jc w:val="left"/>
        <w:rPr>
          <w:rFonts w:ascii="宋体" w:hAnsi="宋体"/>
          <w:color w:val="000000"/>
          <w:kern w:val="0"/>
          <w:sz w:val="24"/>
        </w:rPr>
      </w:pPr>
      <w:r>
        <w:rPr>
          <w:rFonts w:hint="eastAsia" w:ascii="宋体" w:hAnsi="宋体"/>
          <w:color w:val="000000"/>
          <w:kern w:val="0"/>
          <w:sz w:val="24"/>
        </w:rPr>
        <w:t xml:space="preserve">项目编号：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4251"/>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27" w:type="dxa"/>
            <w:vMerge w:val="restart"/>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r>
              <w:rPr>
                <w:rFonts w:hint="eastAsia" w:ascii="宋体" w:hAnsi="宋体"/>
                <w:color w:val="000000"/>
                <w:kern w:val="0"/>
                <w:sz w:val="24"/>
              </w:rPr>
              <w:t>序号</w:t>
            </w:r>
          </w:p>
        </w:tc>
        <w:tc>
          <w:tcPr>
            <w:tcW w:w="4251" w:type="dxa"/>
            <w:vMerge w:val="restart"/>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r>
              <w:rPr>
                <w:rFonts w:hint="eastAsia" w:ascii="宋体" w:hAnsi="宋体"/>
                <w:color w:val="000000"/>
                <w:kern w:val="0"/>
                <w:sz w:val="24"/>
              </w:rPr>
              <w:t>内     容</w:t>
            </w:r>
          </w:p>
        </w:tc>
        <w:tc>
          <w:tcPr>
            <w:tcW w:w="3250" w:type="dxa"/>
            <w:vMerge w:val="restart"/>
            <w:noWrap w:val="0"/>
            <w:vAlign w:val="center"/>
          </w:tcPr>
          <w:p>
            <w:pPr>
              <w:widowControl/>
              <w:tabs>
                <w:tab w:val="center" w:pos="4755"/>
                <w:tab w:val="right" w:pos="9070"/>
              </w:tabs>
              <w:jc w:val="center"/>
              <w:rPr>
                <w:rFonts w:ascii="宋体" w:hAnsi="宋体"/>
                <w:color w:val="000000"/>
                <w:kern w:val="0"/>
                <w:sz w:val="24"/>
              </w:rPr>
            </w:pPr>
          </w:p>
          <w:p>
            <w:pPr>
              <w:widowControl/>
              <w:tabs>
                <w:tab w:val="center" w:pos="4755"/>
                <w:tab w:val="right" w:pos="9070"/>
              </w:tabs>
              <w:jc w:val="center"/>
              <w:rPr>
                <w:rFonts w:ascii="宋体" w:hAnsi="宋体"/>
                <w:color w:val="000000"/>
                <w:kern w:val="0"/>
                <w:sz w:val="24"/>
              </w:rPr>
            </w:pPr>
            <w:r>
              <w:rPr>
                <w:rFonts w:hint="eastAsia" w:ascii="宋体" w:hAnsi="宋体"/>
                <w:color w:val="000000"/>
                <w:kern w:val="0"/>
                <w:sz w:val="24"/>
              </w:rPr>
              <w:t>报价小计（元）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027" w:type="dxa"/>
            <w:vMerge w:val="continue"/>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p>
        </w:tc>
        <w:tc>
          <w:tcPr>
            <w:tcW w:w="4251" w:type="dxa"/>
            <w:vMerge w:val="continue"/>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p>
        </w:tc>
        <w:tc>
          <w:tcPr>
            <w:tcW w:w="3250" w:type="dxa"/>
            <w:vMerge w:val="continue"/>
            <w:noWrap w:val="0"/>
            <w:vAlign w:val="center"/>
          </w:tcPr>
          <w:p>
            <w:pPr>
              <w:widowControl/>
              <w:tabs>
                <w:tab w:val="center" w:pos="4755"/>
                <w:tab w:val="right" w:pos="9070"/>
              </w:tabs>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27"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r>
              <w:rPr>
                <w:rFonts w:hint="eastAsia" w:ascii="宋体" w:hAnsi="宋体"/>
                <w:color w:val="000000"/>
                <w:kern w:val="0"/>
                <w:sz w:val="24"/>
              </w:rPr>
              <w:t>1</w:t>
            </w:r>
          </w:p>
        </w:tc>
        <w:tc>
          <w:tcPr>
            <w:tcW w:w="4251"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p>
        </w:tc>
        <w:tc>
          <w:tcPr>
            <w:tcW w:w="3250" w:type="dxa"/>
            <w:noWrap w:val="0"/>
            <w:vAlign w:val="center"/>
          </w:tcPr>
          <w:p>
            <w:pPr>
              <w:widowControl/>
              <w:tabs>
                <w:tab w:val="center" w:pos="4755"/>
                <w:tab w:val="right" w:pos="9070"/>
              </w:tabs>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27"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r>
              <w:rPr>
                <w:rFonts w:hint="eastAsia" w:ascii="宋体" w:hAnsi="宋体"/>
                <w:color w:val="000000"/>
                <w:kern w:val="0"/>
                <w:sz w:val="24"/>
              </w:rPr>
              <w:t>2</w:t>
            </w:r>
          </w:p>
        </w:tc>
        <w:tc>
          <w:tcPr>
            <w:tcW w:w="4251"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p>
        </w:tc>
        <w:tc>
          <w:tcPr>
            <w:tcW w:w="3250" w:type="dxa"/>
            <w:noWrap w:val="0"/>
            <w:vAlign w:val="center"/>
          </w:tcPr>
          <w:p>
            <w:pPr>
              <w:widowControl/>
              <w:tabs>
                <w:tab w:val="center" w:pos="4755"/>
                <w:tab w:val="right" w:pos="9070"/>
              </w:tabs>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27"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r>
              <w:rPr>
                <w:rFonts w:hint="eastAsia" w:ascii="宋体" w:hAnsi="宋体"/>
                <w:color w:val="000000"/>
                <w:kern w:val="0"/>
                <w:sz w:val="24"/>
              </w:rPr>
              <w:t>……</w:t>
            </w:r>
          </w:p>
        </w:tc>
        <w:tc>
          <w:tcPr>
            <w:tcW w:w="4251"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p>
        </w:tc>
        <w:tc>
          <w:tcPr>
            <w:tcW w:w="3250" w:type="dxa"/>
            <w:noWrap w:val="0"/>
            <w:vAlign w:val="center"/>
          </w:tcPr>
          <w:p>
            <w:pPr>
              <w:widowControl/>
              <w:tabs>
                <w:tab w:val="center" w:pos="4755"/>
                <w:tab w:val="right" w:pos="9070"/>
              </w:tabs>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27"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p>
        </w:tc>
        <w:tc>
          <w:tcPr>
            <w:tcW w:w="4251"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p>
        </w:tc>
        <w:tc>
          <w:tcPr>
            <w:tcW w:w="3250" w:type="dxa"/>
            <w:noWrap w:val="0"/>
            <w:vAlign w:val="center"/>
          </w:tcPr>
          <w:p>
            <w:pPr>
              <w:widowControl/>
              <w:tabs>
                <w:tab w:val="center" w:pos="4755"/>
                <w:tab w:val="right" w:pos="9070"/>
              </w:tabs>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27"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r>
              <w:rPr>
                <w:rFonts w:hint="eastAsia" w:ascii="宋体" w:hAnsi="宋体"/>
                <w:color w:val="000000"/>
                <w:kern w:val="0"/>
                <w:sz w:val="24"/>
              </w:rPr>
              <w:t>6</w:t>
            </w:r>
          </w:p>
        </w:tc>
        <w:tc>
          <w:tcPr>
            <w:tcW w:w="4251" w:type="dxa"/>
            <w:noWrap w:val="0"/>
            <w:vAlign w:val="center"/>
          </w:tcPr>
          <w:p>
            <w:pPr>
              <w:widowControl/>
              <w:tabs>
                <w:tab w:val="center" w:pos="4755"/>
                <w:tab w:val="right" w:pos="9070"/>
              </w:tabs>
              <w:spacing w:before="100" w:beforeAutospacing="1" w:after="100" w:afterAutospacing="1"/>
              <w:ind w:firstLine="840" w:firstLineChars="350"/>
              <w:rPr>
                <w:rFonts w:ascii="宋体" w:hAnsi="宋体"/>
                <w:color w:val="000000"/>
                <w:kern w:val="0"/>
                <w:sz w:val="24"/>
              </w:rPr>
            </w:pPr>
          </w:p>
        </w:tc>
        <w:tc>
          <w:tcPr>
            <w:tcW w:w="3250" w:type="dxa"/>
            <w:noWrap w:val="0"/>
            <w:vAlign w:val="center"/>
          </w:tcPr>
          <w:p>
            <w:pPr>
              <w:widowControl/>
              <w:tabs>
                <w:tab w:val="center" w:pos="4755"/>
                <w:tab w:val="right" w:pos="9070"/>
              </w:tabs>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27" w:type="dxa"/>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r>
              <w:rPr>
                <w:rFonts w:hint="eastAsia" w:ascii="宋体" w:hAnsi="宋体"/>
                <w:color w:val="000000"/>
                <w:kern w:val="0"/>
                <w:sz w:val="24"/>
              </w:rPr>
              <w:t>7</w:t>
            </w:r>
          </w:p>
        </w:tc>
        <w:tc>
          <w:tcPr>
            <w:tcW w:w="4251" w:type="dxa"/>
            <w:noWrap w:val="0"/>
            <w:vAlign w:val="center"/>
          </w:tcPr>
          <w:p>
            <w:pPr>
              <w:widowControl/>
              <w:tabs>
                <w:tab w:val="center" w:pos="4755"/>
                <w:tab w:val="right" w:pos="9070"/>
              </w:tabs>
              <w:spacing w:before="100" w:beforeAutospacing="1" w:after="100" w:afterAutospacing="1"/>
              <w:ind w:firstLine="840" w:firstLineChars="350"/>
              <w:rPr>
                <w:rFonts w:ascii="宋体" w:hAnsi="宋体"/>
                <w:color w:val="000000"/>
                <w:kern w:val="0"/>
                <w:sz w:val="24"/>
              </w:rPr>
            </w:pPr>
          </w:p>
        </w:tc>
        <w:tc>
          <w:tcPr>
            <w:tcW w:w="3250" w:type="dxa"/>
            <w:noWrap w:val="0"/>
            <w:vAlign w:val="center"/>
          </w:tcPr>
          <w:p>
            <w:pPr>
              <w:widowControl/>
              <w:tabs>
                <w:tab w:val="center" w:pos="4755"/>
                <w:tab w:val="right" w:pos="9070"/>
              </w:tabs>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278" w:type="dxa"/>
            <w:gridSpan w:val="2"/>
            <w:noWrap w:val="0"/>
            <w:vAlign w:val="center"/>
          </w:tcPr>
          <w:p>
            <w:pPr>
              <w:widowControl/>
              <w:tabs>
                <w:tab w:val="center" w:pos="4755"/>
                <w:tab w:val="right" w:pos="9070"/>
              </w:tabs>
              <w:spacing w:before="100" w:beforeAutospacing="1" w:after="100" w:afterAutospacing="1"/>
              <w:jc w:val="center"/>
              <w:rPr>
                <w:rFonts w:ascii="宋体" w:hAnsi="宋体"/>
                <w:color w:val="000000"/>
                <w:kern w:val="0"/>
                <w:sz w:val="24"/>
              </w:rPr>
            </w:pPr>
            <w:r>
              <w:rPr>
                <w:rStyle w:val="961"/>
                <w:rFonts w:hint="eastAsia" w:ascii="宋体" w:hAnsi="宋体"/>
                <w:b/>
                <w:sz w:val="24"/>
              </w:rPr>
              <w:t>单盏年维护费合计</w:t>
            </w:r>
          </w:p>
        </w:tc>
        <w:tc>
          <w:tcPr>
            <w:tcW w:w="3250" w:type="dxa"/>
            <w:noWrap w:val="0"/>
            <w:vAlign w:val="center"/>
          </w:tcPr>
          <w:p>
            <w:pPr>
              <w:widowControl/>
              <w:tabs>
                <w:tab w:val="center" w:pos="4755"/>
                <w:tab w:val="right" w:pos="9070"/>
              </w:tabs>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278" w:type="dxa"/>
            <w:gridSpan w:val="2"/>
            <w:noWrap w:val="0"/>
            <w:vAlign w:val="center"/>
          </w:tcPr>
          <w:p>
            <w:pPr>
              <w:widowControl/>
              <w:tabs>
                <w:tab w:val="center" w:pos="4755"/>
                <w:tab w:val="right" w:pos="9070"/>
              </w:tabs>
              <w:spacing w:before="100" w:beforeAutospacing="1" w:after="100" w:afterAutospacing="1"/>
              <w:jc w:val="center"/>
              <w:rPr>
                <w:rStyle w:val="961"/>
                <w:rFonts w:hint="default" w:ascii="宋体" w:hAnsi="宋体" w:eastAsia="宋体"/>
                <w:b/>
                <w:sz w:val="24"/>
                <w:lang w:val="en-US" w:eastAsia="zh-CN"/>
              </w:rPr>
            </w:pPr>
            <w:r>
              <w:rPr>
                <w:rStyle w:val="961"/>
                <w:rFonts w:hint="eastAsia" w:ascii="宋体" w:hAnsi="宋体"/>
                <w:b/>
                <w:sz w:val="24"/>
                <w:lang w:val="en-US" w:eastAsia="zh-CN"/>
              </w:rPr>
              <w:t>一年养护投标报价总计</w:t>
            </w:r>
          </w:p>
        </w:tc>
        <w:tc>
          <w:tcPr>
            <w:tcW w:w="3250" w:type="dxa"/>
            <w:noWrap w:val="0"/>
            <w:vAlign w:val="center"/>
          </w:tcPr>
          <w:p>
            <w:pPr>
              <w:widowControl/>
              <w:tabs>
                <w:tab w:val="center" w:pos="4755"/>
                <w:tab w:val="right" w:pos="9070"/>
              </w:tabs>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278" w:type="dxa"/>
            <w:gridSpan w:val="2"/>
            <w:noWrap w:val="0"/>
            <w:vAlign w:val="center"/>
          </w:tcPr>
          <w:p>
            <w:pPr>
              <w:widowControl/>
              <w:tabs>
                <w:tab w:val="center" w:pos="4755"/>
                <w:tab w:val="right" w:pos="9070"/>
              </w:tabs>
              <w:spacing w:before="100" w:beforeAutospacing="1" w:after="100" w:afterAutospacing="1"/>
              <w:jc w:val="center"/>
              <w:rPr>
                <w:rStyle w:val="961"/>
                <w:rFonts w:hint="default" w:ascii="宋体" w:hAnsi="宋体"/>
                <w:b/>
                <w:sz w:val="24"/>
                <w:lang w:val="en-US" w:eastAsia="zh-CN"/>
              </w:rPr>
            </w:pPr>
            <w:r>
              <w:rPr>
                <w:rStyle w:val="961"/>
                <w:rFonts w:hint="eastAsia" w:ascii="宋体" w:hAnsi="宋体"/>
                <w:b/>
                <w:sz w:val="24"/>
                <w:lang w:val="en-US" w:eastAsia="zh-CN"/>
              </w:rPr>
              <w:t>三年养护投标报价总计</w:t>
            </w:r>
          </w:p>
        </w:tc>
        <w:tc>
          <w:tcPr>
            <w:tcW w:w="3250" w:type="dxa"/>
            <w:noWrap w:val="0"/>
            <w:vAlign w:val="center"/>
          </w:tcPr>
          <w:p>
            <w:pPr>
              <w:widowControl/>
              <w:tabs>
                <w:tab w:val="center" w:pos="4755"/>
                <w:tab w:val="right" w:pos="9070"/>
              </w:tabs>
              <w:jc w:val="center"/>
              <w:rPr>
                <w:rFonts w:ascii="宋体" w:hAnsi="宋体"/>
                <w:color w:val="000000"/>
                <w:kern w:val="0"/>
                <w:sz w:val="24"/>
              </w:rPr>
            </w:pPr>
          </w:p>
        </w:tc>
      </w:tr>
    </w:tbl>
    <w:p>
      <w:pPr>
        <w:widowControl/>
        <w:tabs>
          <w:tab w:val="center" w:pos="4755"/>
          <w:tab w:val="right" w:pos="9070"/>
        </w:tabs>
        <w:jc w:val="left"/>
        <w:rPr>
          <w:rFonts w:ascii="宋体" w:hAnsi="宋体"/>
          <w:color w:val="000000"/>
          <w:kern w:val="0"/>
          <w:sz w:val="24"/>
        </w:rPr>
      </w:pPr>
    </w:p>
    <w:p>
      <w:pPr>
        <w:widowControl/>
        <w:tabs>
          <w:tab w:val="center" w:pos="4755"/>
          <w:tab w:val="right" w:pos="9070"/>
        </w:tabs>
        <w:ind w:firstLine="480" w:firstLineChars="200"/>
        <w:jc w:val="left"/>
        <w:rPr>
          <w:rFonts w:ascii="宋体" w:hAnsi="宋体"/>
          <w:color w:val="000000"/>
          <w:sz w:val="24"/>
        </w:rPr>
      </w:pPr>
      <w:r>
        <w:rPr>
          <w:rFonts w:hint="eastAsia" w:ascii="宋体" w:hAnsi="宋体"/>
          <w:color w:val="000000"/>
          <w:kern w:val="0"/>
          <w:sz w:val="24"/>
        </w:rPr>
        <w:t>注：</w:t>
      </w:r>
      <w:r>
        <w:rPr>
          <w:rFonts w:hint="eastAsia" w:ascii="宋体" w:hAnsi="宋体"/>
          <w:color w:val="000000"/>
          <w:sz w:val="24"/>
        </w:rPr>
        <w:t>（1）表格不够时可自行扩展；</w:t>
      </w:r>
    </w:p>
    <w:p>
      <w:pPr>
        <w:snapToGrid w:val="0"/>
        <w:spacing w:line="360" w:lineRule="auto"/>
        <w:ind w:firstLine="960" w:firstLineChars="400"/>
        <w:rPr>
          <w:rFonts w:ascii="宋体" w:hAnsi="宋体"/>
          <w:color w:val="000000"/>
          <w:sz w:val="24"/>
        </w:rPr>
      </w:pPr>
      <w:r>
        <w:rPr>
          <w:rFonts w:hint="eastAsia" w:ascii="宋体" w:hAnsi="宋体"/>
          <w:color w:val="000000"/>
          <w:sz w:val="24"/>
        </w:rPr>
        <w:t>（2）此表中的报价合计须与开标一览表中总报价一致。</w:t>
      </w:r>
    </w:p>
    <w:p>
      <w:pPr>
        <w:tabs>
          <w:tab w:val="left" w:pos="8640"/>
        </w:tabs>
        <w:spacing w:line="360" w:lineRule="auto"/>
        <w:ind w:firstLine="1015" w:firstLineChars="423"/>
        <w:rPr>
          <w:rFonts w:ascii="宋体" w:hAnsi="宋体"/>
          <w:color w:val="000000"/>
          <w:sz w:val="24"/>
        </w:rPr>
      </w:pPr>
    </w:p>
    <w:p>
      <w:pPr>
        <w:snapToGrid w:val="0"/>
        <w:spacing w:line="360" w:lineRule="auto"/>
        <w:ind w:firstLine="3600" w:firstLineChars="1500"/>
        <w:rPr>
          <w:rStyle w:val="961"/>
          <w:rFonts w:ascii="宋体" w:hAnsi="宋体"/>
          <w:sz w:val="24"/>
        </w:rPr>
      </w:pPr>
    </w:p>
    <w:p>
      <w:pPr>
        <w:snapToGrid w:val="0"/>
        <w:spacing w:line="360" w:lineRule="auto"/>
        <w:ind w:firstLine="3600" w:firstLineChars="1500"/>
        <w:rPr>
          <w:rStyle w:val="961"/>
          <w:rFonts w:ascii="宋体" w:hAnsi="宋体"/>
          <w:sz w:val="24"/>
        </w:rPr>
      </w:pPr>
      <w:r>
        <w:rPr>
          <w:rStyle w:val="961"/>
          <w:rFonts w:hint="eastAsia" w:ascii="宋体" w:hAnsi="宋体"/>
          <w:sz w:val="24"/>
        </w:rPr>
        <w:t>投标人</w:t>
      </w:r>
      <w:r>
        <w:rPr>
          <w:rStyle w:val="961"/>
          <w:rFonts w:ascii="宋体" w:hAnsi="宋体"/>
          <w:sz w:val="24"/>
        </w:rPr>
        <w:t xml:space="preserve">名称（电子签名）：                          </w:t>
      </w:r>
    </w:p>
    <w:p>
      <w:pPr>
        <w:snapToGrid w:val="0"/>
        <w:spacing w:line="360" w:lineRule="auto"/>
        <w:jc w:val="center"/>
        <w:rPr>
          <w:rStyle w:val="961"/>
          <w:rFonts w:ascii="宋体" w:hAnsi="宋体"/>
          <w:sz w:val="24"/>
        </w:rPr>
      </w:pPr>
      <w:r>
        <w:rPr>
          <w:rStyle w:val="961"/>
          <w:rFonts w:ascii="宋体" w:hAnsi="宋体"/>
          <w:sz w:val="24"/>
        </w:rPr>
        <w:t xml:space="preserve">     日期：  年   月   日</w:t>
      </w:r>
    </w:p>
    <w:p>
      <w:pPr>
        <w:pStyle w:val="692"/>
        <w:keepNext w:val="0"/>
        <w:pageBreakBefore w:val="0"/>
        <w:tabs>
          <w:tab w:val="clear" w:pos="720"/>
        </w:tabs>
        <w:snapToGrid w:val="0"/>
        <w:spacing w:before="120" w:after="120"/>
        <w:jc w:val="center"/>
        <w:outlineLvl w:val="9"/>
        <w:rPr>
          <w:rFonts w:ascii="宋体" w:hAnsi="宋体" w:eastAsia="宋体" w:cs="宋体"/>
          <w:sz w:val="32"/>
          <w:szCs w:val="32"/>
        </w:rPr>
      </w:pPr>
      <w:r>
        <w:rPr>
          <w:rStyle w:val="961"/>
          <w:rFonts w:ascii="宋体" w:hAnsi="宋体"/>
          <w:sz w:val="24"/>
        </w:rPr>
        <w:br w:type="page"/>
      </w:r>
      <w:r>
        <w:rPr>
          <w:rFonts w:hint="eastAsia" w:ascii="宋体" w:hAnsi="宋体" w:eastAsia="宋体" w:cs="宋体"/>
          <w:kern w:val="2"/>
          <w:sz w:val="32"/>
          <w:szCs w:val="32"/>
        </w:rPr>
        <w:t>四、</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hint="eastAsia" w:ascii="宋体" w:hAnsi="宋体" w:cs="宋体"/>
          <w:b/>
          <w:sz w:val="32"/>
          <w:szCs w:val="32"/>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4"/>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4"/>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1" w:name="_Toc465665161"/>
      <w:r>
        <w:rPr>
          <w:rFonts w:hint="eastAsia" w:ascii="宋体" w:hAnsi="宋体" w:cs="宋体"/>
        </w:rPr>
        <w:t>附件</w:t>
      </w:r>
      <w:bookmarkEnd w:id="3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2" w:name="OLE_LINK13"/>
      <w:bookmarkStart w:id="33" w:name="OLE_LINK14"/>
      <w:r>
        <w:rPr>
          <w:rFonts w:hint="eastAsia" w:ascii="宋体" w:hAnsi="宋体" w:cs="宋体"/>
          <w:b/>
          <w:spacing w:val="6"/>
          <w:sz w:val="32"/>
          <w:szCs w:val="32"/>
        </w:rPr>
        <w:t>残疾人福利性单位声明函</w:t>
      </w:r>
    </w:p>
    <w:bookmarkEnd w:id="32"/>
    <w:bookmarkEnd w:id="3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cs="宋体"/>
        </w:rPr>
      </w:pPr>
    </w:p>
    <w:sectPr>
      <w:headerReference r:id="rId24" w:type="first"/>
      <w:footerReference r:id="rId27" w:type="first"/>
      <w:headerReference r:id="rId23" w:type="default"/>
      <w:footerReference r:id="rId25" w:type="default"/>
      <w:footerReference r:id="rId26" w:type="even"/>
      <w:pgSz w:w="11905" w:h="16838"/>
      <w:pgMar w:top="1701" w:right="1417" w:bottom="1417"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KMeHznAQAAygMAAA4AAABkcnMvZTJvRG9jLnhtbK1Ty47TMBTd I/EPlvc0aaWBqGo6GqgGISFAGvgA13EaS37JdpuUD4A/YMWGPd/V75hjp+mgYTOL2STXvtfnnnN8 vboetCIH4YO0pqbzWUmJMNw20uxq+u3r7auKkhCZaZiyRtT0KAK9Xr98serdUixsZ1UjPAGICcve 1bSL0S2LIvBOaBZm1gmDZGu9ZhFLvysaz3qga1UsyvJ10VvfOG+5CAG7mzFJz4j+KYC2bSUXG8v3 Wpg4onqhWISk0EkX6DqzbVvB4+e2DSISVVMojfmLJoi36VusV2y588x1kp8psKdQeKRJM2nQ9AK1 YZGRvZf/QWnJvQ22jTNudTEKyY5Axbx85M1dx5zIWmB1cBfTw/PB8k+HL57IBpMASwzTuPHTr5+n 339Pf36QRZUM6l1You7OoTIOb+2A4mk/YDPpHlqv0x+KCPLAOl7sFUMkPB2qFlVVIsWRmxbALx6O Ox/ie2E1SUFNPe4v28oOH0McS6eS1M3YW6lUvkNlSA/Uq+rNVT5xSQFdGTRJKka2KYrDdjhL29rm CGV4EujYWf+dkh4DUVOD+adEfTDwG6zjFPgp2E4BMxwHaxopGcN3cZyxvfNy1wF3nkkFd7OP4Jyl JBpj7zM7XHE24zyOaYb+Xeeqhye4vgd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Mox4fOcB AADKAwAADgAAAAAAAAABACAAAAAiAQAAZHJzL2Uyb0RvYy54bWxQSwUGAAAAAAYABgBZAQAAewUA 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64</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76</w:t>
                          </w:r>
                          <w:r>
                            <w:fldChar w:fldCharType="end"/>
                          </w:r>
                        </w:p>
                      </w:txbxContent>
                    </wps:txbx>
                    <wps:bodyPr vert="horz" wrap="none" lIns="0" tIns="0" rIns="0" bIns="0" anchor="t" anchorCtr="0" upright="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BG4lPoAQAAygMAAA4AAABkcnMvZTJvRG9jLnhtbK1TzY7TMBC+ I/EOlu80aaWFEDVdAdUiJARICw/gOnZjyX/yuE3KA8AbcOLCnefqczB2ki7avexhL8nYM/PNfN+M 19eD0eQoAihnG7pclJQIy12r7L6h377evKgogchsy7SzoqEnAfR68/zZuve1WLnO6VYEgiAW6t43 tIvR10UBvBOGwcJ5YdEpXTAs4jHsizawHtGNLlZl+bLoXWh9cFwA4O12dNIJMTwG0EmpuNg6fjDC xhE1CM0iUoJOeaCb3K2UgsfPUoKIRDcUmcb8xSJo79K32KxZvQ/Md4pPLbDHtHCPk2HKYtEL1JZF Rg5BPYAyigcHTsYFd6YYiWRFkMWyvKfNbce8yFxQavAX0eHpYPmn45dAVIubsKTEMoMTP//6ef79 9/znB1m9TgL1HmqMu/UYGYe3bsDg+R7wMvEeZDDpj4wI+lHe00VeMUTCU1K1qqoSXRx98wHxi7t0 HyC+F86QZDQ04PyyrOz4EeIYOoekatbdKK3zDLUlPaJeVa+ucsbFhejaYpHEYuw2WXHYDRO1nWtP yAyfBFbsXPhOSY8L0VCL+0+J/mBR77Q7sxFmYzcbzHJMbGikZDTfxXHHDj6ofYe4y9wU+DeHiD1n KqmNsfbUHY44izGtY9qh/8856u4Jbv4B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aGmCS9MAAAAF AQAADwAAAAAAAAABACAAAAAiAAAAZHJzL2Rvd25yZXYueG1sUEsBAhQAFAAAAAgAh07iQLBG4lPo AQAAygMAAA4AAAAAAAAAAQAgAAAAIgEAAGRycy9lMm9Eb2MueG1sUEsFBgAAAAAGAAYAWQEAAHwF 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65</w:t>
                          </w:r>
                          <w:r>
                            <w:fldChar w:fldCharType="end"/>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I85kDmAQAAygMAAA4AAABkcnMvZTJvRG9jLnhtbK1TTa7TMBDe I3EHy3uatOhBFDV9AqqHkBAgPTiA69iNJf/JnjYpB4AbsGLDnnP1HIydpEWPzVuwScaemW/m+2a8 vh2MJkcRonK2octFSYmw3LXK7hv65fPds4qSCMy2TDsrGnoSkd5unj5Z974WK9c53YpAEMTGuvcN 7QB8XRSRd8KwuHBeWHRKFwwDPIZ90QbWI7rRxaosXxS9C60PjosY8XY7OumEGB4D6KRUXGwdPxhh YUQNQjNASrFTPtJN7lZKweGjlFEA0Q1FppC/WATtXfoWmzWr94H5TvGpBfaYFh5wMkxZLHqB2jJg 5BDUP1BG8eCik7DgzhQjkawIsliWD7S575gXmQtKHf1F9Pj/YPmH46dAVIubsKLEMoMTP//4fv75 +/zrG3meBep9rDHu3mMkDK/dgMFJuHQf8TLxHmQw6Y+MCPpR3tNFXjEA4SmpWlVViS6OvvmAOMU1 3YcIb4UzJBkNDTi/LCs7vo8whs4hqZp1d0rrPENtSY+oN9XLm5xxcSG6tljk2m2yYNgNE4Wda0/I DJ8EVuxc+EpJjwvRUIv7T4l+Z1HvtDuzEWZjNxvMckxsKFAymm9g3LGDD2rfIe4yNxX9qwNgz5lK amOsPXWHI85iTOuYdujvc466PsHNH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iPOZA5gEA AMoDAAAOAAAAAAAAAAEAIAAAACIBAABkcnMvZTJvRG9jLnhtbFBLBQYAAAAABgAGAFkBAAB6BQAA 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8Os8foAQAAyQMAAA4AAABkcnMvZTJvRG9jLnhtbK1TS27bMBDd F8gdCO5jyQKSCoLlIK2RoEDRFkh7AJqiLAIkhyBpS+4B2ht01U33PZfPkSElOUW6ySIbaTifN/Me h6ubQStyEM5LMDVdLnJKhOHQSLOr6bevd5clJT4w0zAFRtT0KDy9WV+8WfW2EgV0oBrhCIIYX/W2 pl0ItsoyzzuhmV+AFQaDLTjNAh7dLmsc6xFdq6zI8+usB9dYB1x4j97NGKQTonsJILSt5GIDfK+F CSOqE4oFpOQ7aT1dp2nbVvDwuW29CETVFJmG9MUmaG/jN1uvWLVzzHaSTyOwl4zwjJNm0mDTM9SG BUb2Tv4HpSV34KENCw46G4kkRZDFMn+mzUPHrEhcUGpvz6L714Plnw5fHJENbgIlhmm88NOvn6ff f09/fpCiiPr01leY9mAxMQzvYIi5k9+jM9IeWqfjHwkRjKO6x7O6YgiEx6KyKMscQxxj8wFxsqdy 63y4F6BJNGrq8PqSquzw0YcxdU6J3QzcSaXQzyplSI+oV+Xbq1RxDiG6MtgkshinjVYYtsNEYQvN EZnhi8COHbjvlPS4DzU1uP6UqA8G5Y6rMxtuNrazwQzHwpoGSkbzfRhXbG+d3HWIu0xDeXu7Dzhz ohLHGHtP0+ENJzGmbYwr9O85ZT29wPUj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aGmCS9MAAAAF AQAADwAAAAAAAAABACAAAAAiAAAAZHJzL2Rvd25yZXYueG1sUEsBAhQAFAAAAAgAh07iQO8Os8fo AQAAyQMAAA4AAAAAAAAAAQAgAAAAIgEAAGRycy9lMm9Eb2MueG1sUEsFBgAAAAAGAAYAWQEAAHwF 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YRs+zpAQAAyQMAAA4AAABkcnMvZTJvRG9jLnhtbK1TwW7bMAy9 D9g/CLovdjx0M4w4Rbugw4BhG9D1AxRZjgVIoiApsbMP2P5gp11233flO0bJdlq0lx56sSmRfOR7 pFaXg1bkIJyXYGq6XOSUCMOhkWZX07vvN29KSnxgpmEKjKjpUXh6uX79atXbShTQgWqEIwhifNXb mnYh2CrLPO+EZn4BVhh0tuA0C3h0u6xxrEd0rbIiz99lPbjGOuDCe7zdjE46IbrnAELbSi42wPda mDCiOqFYQEq+k9bTdeq2bQUPX9vWi0BUTZFpSF8sgvY2frP1ilU7x2wn+dQCe04LjzhpJg0WPUNt WGBk7+QTKC25Aw9tWHDQ2UgkKYIslvkjbW47ZkXiglJ7exbdvxws/3L45ohsalpQYpjGgZ9+/zr9 +Xf6+5MUb6M+vfUVht1aDAzDNQy4NfO9x8tIe2idjn8kRNCP6h7P6oohEB6TyqIsc3Rx9M0HxM/u 063z4aMATaJRU4fjS6qyw2cfxtA5JFYzcCOVSiNUhvSIelG+v0gZZxeiK4NFIoux22iFYTtM1LbQ HJEZvgis2IH7QUmP+1BTg+tPifpkUO64OrPhZmM7G8xwTKxpoGQ0P4RxxfbWyV2HuMvUlLdX+4A9 JyqxjbH21B1OOIkxbWNcoYfnFHX/Atf/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GhpgkvTAAAA BQEAAA8AAAAAAAAAAQAgAAAAIgAAAGRycy9kb3ducmV2LnhtbFBLAQIUABQAAAAIAIdO4kAWEbPs 6QEAAMkDAAAOAAAAAAAAAAEAIAAAACIBAABkcnMvZTJvRG9jLnhtbFBLBQYAAAAABgAGAFkBAAB9 BQ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Style w:val="96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5YGMnoAQAAyQMAAA4AAABkcnMvZTJvRG9jLnhtbK1TwY7TMBC9 I/EPlu80acUuUdR0BVSLkBAgLXyA69iNJdtj2W6T8gHwB5y4cOe7+h07dpIuWi574JKMPTNv5r0Z r28Go8lR+KDANnS5KCkRlkOr7L6hX7/cvqgoCZHZlmmwoqEnEejN5vmzde9qsYIOdCs8QRAb6t41 tIvR1UUReCcMCwtwwqJTgjcs4tHvi9azHtGNLlZleV304FvngYsQ8HY7OumE6J8CCFIqLrbAD0bY OKJ6oVlESqFTLtBN7lZKweMnKYOIRDcUmcb8xSJo79K32KxZvffMdYpPLbCntPCIk2HKYtEL1JZF Rg5e/QNlFPcQQMYFB1OMRLIiyGJZPtLmrmNOZC4odXAX0cP/g+Ufj589UW1DrymxzODAzz9/nH/9 Of/+TlYvkz69CzWG3TkMjMMbGHBr5vuAl4n2IL1JfyRE0I/qni7qiiESnpKqVVWV6OLomw+IXzyk Ox/iOwGGJKOhHseXVWXHDyGOoXNIqmbhVmmdR6gt6RH1qnp1lTMuLkTXFoskFmO3yYrDbpio7aA9 ITN8EVixA/+Nkh73oaEW158S/d6i3Gl1ZsPPxm42mOWY2NBIyWi+jeOKHZxX+w5xl7mp4F4fIvac qaQ2xtpTdzjhLMa0jWmF/j7nqIcXuLkH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aGmCS9MAAAAF AQAADwAAAAAAAAABACAAAAAiAAAAZHJzL2Rvd25yZXYueG1sUEsBAhQAFAAAAAgAh07iQH5YGMno AQAAyQMAAA4AAAAAAAAAAQAgAAAAIgEAAGRycy9lMm9Eb2MueG1sUEsFBgAAAAAGAAYAWQEAAHwF 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35</w:t>
                    </w:r>
                    <w:r>
                      <w:fldChar w:fldCharType="end"/>
                    </w:r>
                  </w:p>
                </w:txbxContent>
              </v:textbox>
            </v:shape>
          </w:pict>
        </mc:Fallback>
      </mc:AlternateContent>
    </w:r>
    <w:r>
      <w:rPr>
        <w:rStyle w:val="96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2"/>
                            <w:rPr>
                              <w:rStyle w:val="961"/>
                            </w:rPr>
                          </w:pPr>
                        </w:p>
                        <w:p>
                          <w:pPr>
                            <w:rPr>
                              <w:rStyle w:val="961"/>
                            </w:rPr>
                          </w:pPr>
                        </w:p>
                      </w:txbxContent>
                    </wps:txbx>
                    <wps:bodyPr wrap="square"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 AQAADwAAAGRycy9kb3ducmV2LnhtbE2PzU7DMBCE75V4B2uRuLV2e6hCiFMhVE5IiDQcODrxNrEa r9PY/eHtWRASXFY7mtXsN8Xm6gdxxim6QBqWCwUCqQ3WUafhvX6eZyBiMmTNEAg1fGKETXkzK0xu w4UqPO9SJziEYm409CmNuZSx7dGbuAgjEnv7MHmTWE6dtJO5cLgf5EqptfTGEX/ozYhPPbaH3clr ePygauuOr81bta9cXd8relkftL67XaoHEAmv6e8YvvEZHUpmasKJbBSDBi6SfiZ7qyxj2fwusizk f/ryC1BLAwQUAAAACACHTuJANF2b68MBAACQAwAADgAAAGRycy9lMm9Eb2MueG1srVPNjtMwEL4j 8Q6W7zRpEaiKmq6EqkVICJAWHsB1Jo0l/+Fxm/QF4A04ceHOc/U5GDtJd1kue+DizJ8/z/fNZHMz GM1OEFA5W/PlouQMrHSNsoeaf/l8+2LNGUZhG6GdhZqfAfnN9vmzTe8rWLnO6QYCIxCLVe9r3sXo q6JA2YERuHAeLCVbF4yI5IZD0QTRE7rRxaosXxe9C40PTgIiRXdjkk+I4SmArm2VhJ2TRwM2jqgB tIhECTvlkW9zt20LMn5sW4TIdM2JacwnPUL2Pp3FdiOqQxC+U3JqQTylhUecjFCWHr1C7UQU7BjU P1BGyeDQtXEhnSlGIlkRYrEsH2lz1wkPmQtJjf4qOv4/WPnh9Ckw1dT8FWdWGBr45cf3y8/fl1/f 2PJl0qf3WFHZnafCOLxxA23NHEcKJtpDG0z6EiFGeVL3fFUXhshkurRerdclpSTlZofwi/vrPmB8 C86wZNQ80PiyquL0HuNYOpek16y7VVrnEWr7V4AwxwjkHZhuJyZjx8mKw36Y6O1dcyZ2Pe1BzfHr UQTgTL+zJHRamtkIs7GfjaMP6tBRq1mRIsHSoDKnaanSJjz0yX74I23/AF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C4EAABbQ29udGVudF9UeXBl c10ueG1sUEsBAhQACgAAAAAAh07iQAAAAAAAAAAAAAAAAAYAAAAAAAAAAAAQAAAAEAMAAF9yZWxz L1BLAQIUABQAAAAIAIdO4kCKFGY80QAAAJQBAAALAAAAAAAAAAEAIAAAADQDAABfcmVscy8ucmVs c1BLAQIUAAoAAAAAAIdO4kAAAAAAAAAAAAAAAAAEAAAAAAAAAAAAEAAAAAAAAABkcnMvUEsBAhQA FAAAAAgAh07iQFmk9kDSAAAABQEAAA8AAAAAAAAAAQAgAAAAIgAAAGRycy9kb3ducmV2LnhtbFBL AQIUABQAAAAIAIdO4kA0XZvrwwEAAJADAAAOAAAAAAAAAAEAIAAAACEBAABkcnMvZTJvRG9jLnht bFBLBQYAAAAABgAGAFkBAABWBQAAAAA= ">
              <v:fill on="f" focussize="0,0"/>
              <v:stroke on="f"/>
              <v:imagedata o:title=""/>
              <o:lock v:ext="edit" aspectratio="f"/>
              <v:textbox inset="0mm,0mm,0mm,0mm">
                <w:txbxContent>
                  <w:p>
                    <w:pPr>
                      <w:pStyle w:val="42"/>
                      <w:rPr>
                        <w:rStyle w:val="961"/>
                      </w:rPr>
                    </w:pPr>
                  </w:p>
                  <w:p>
                    <w:pPr>
                      <w:rPr>
                        <w:rStyle w:val="961"/>
                      </w:rPr>
                    </w:pPr>
                  </w:p>
                </w:txbxContent>
              </v:textbox>
            </v:shape>
          </w:pict>
        </mc:Fallback>
      </mc:AlternateContent>
    </w:r>
  </w:p>
  <w:p>
    <w:pPr>
      <w:pStyle w:val="42"/>
      <w:jc w:val="center"/>
      <w:rPr>
        <w:rStyle w:val="96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FirDLoAQAAygMAAA4AAABkcnMvZTJvRG9jLnhtbK1TzY7TMBC+ I/EOlu802VYLUdR0BVSLkBAgLTyA69iNJf9p7DYpDwBvwIkLd56rz7FjJ+mi5bIHLsnYM/PNfN+M 1zeD0eQoIChnG3q1KCkRlrtW2X1Dv365fVFREiKzLdPOioaeRKA3m+fP1r2vxdJ1TrcCCILYUPe+ oV2Mvi6KwDthWFg4Lyw6pQPDIh5hX7TAekQ3uliW5cuid9B6cFyEgLfb0UknRHgKoJNScbF1/GCE jSMqCM0iUgqd8oFucrdSCh4/SRlEJLqhyDTmLxZBe5e+xWbN6j0w3yk+tcCe0sIjToYpi0UvUFsW GTmA+gfKKA4uOBkX3JliJJIVQRZX5SNt7jrmReaCUgd/ET38P1j+8fgZiGpxE1aUWGZw4uefP86/ /px/fyerVRKo96HGuDuPkXF44wYMnu8DXibegwST/siIoB/lPV3kFUMkPCVVy6oq0cXRNx8Qv3hI 9xDiO+EMSUZDAeeXZWXHDyGOoXNIqmbdrdI6z1Bb0iPqdfXqOmdcXIiuLRZJLMZukxWH3TBR27n2 hMzwSWDFzsE3SnpciIZa3H9K9HuLeqfdmQ2Yjd1sMMsxsaGRktF8G8cdO3hQ+y5vXeo3+NeHiD1n KqmNsfbUHY44izGtY9qhv8856uEJbu4B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aGmCS9MAAAAF AQAADwAAAAAAAAABACAAAAAiAAAAZHJzL2Rvd25yZXYueG1sUEsBAhQAFAAAAAgAh07iQCFirDLo AQAAygMAAA4AAAAAAAAAAQAgAAAAIgEAAGRycy9lMm9Eb2MueG1sUEsFBgAAAAAGAAYAWQEAAHwF 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8XaPzoAQAAygMAAA4AAABkcnMvZTJvRG9jLnhtbK1TzY7TMBC+ I/EOlu802bILUdR0BVSLkBAgLTyA69iNJf9p7DYpDwBvwIkLd56rz8HYSbpo97KHvSRjz8w3830z Xl0PRpODgKCcbejFoqREWO5aZXcN/fb15kVFSYjMtkw7Kxp6FIFer58/W/W+FkvXOd0KIAhiQ937 hnYx+rooAu+EYWHhvLDolA4Mi3iEXdEC6xHd6GJZlq+K3kHrwXERAt5uRiedEOExgE5KxcXG8b0R No6oIDSLSCl0yge6zt1KKXj8LGUQkeiGItOYv1gE7W36FusVq3fAfKf41AJ7TAv3OBmmLBY9Q21Y ZGQP6gGUURxccDIuuDPFSCQrgiwuynva3HbMi8wFpQ7+LHp4Olj+6fAFiGpxEy4psczgxE+/fp5+ /z39+UFeXiaBeh9qjLv1GBmHt27A4Pk+4GXiPUgw6Y+MCPpR3uNZXjFEwlNStayqEl0cffMB8Yu7 dA8hvhfOkGQ0FHB+WVZ2+BjiGDqHpGrW3Sit8wy1JT2iXlWvr3LG2YXo2mKRxGLsNllx2A4Tta1r j8gMnwRW7Bx8p6THhWioxf2nRH+wqHfandmA2djOBrMcExsaKRnNd3Hcsb0Htevy1qV+g3+zj9hz ppLaGGtP3eGIsxjTOqYd+v+co+6e4Pof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aGmCS9MAAAAF AQAADwAAAAAAAAABACAAAAAiAAAAZHJzL2Rvd25yZXYueG1sUEsBAhQAFAAAAAgAh07iQK8XaPzo AQAAygMAAA4AAAAAAAAAAQAgAAAAIgEAAGRycy9lMm9Eb2MueG1sUEsFBgAAAAAGAAYAWQEAAHwF AAAAAA== ">
              <v:fill on="f" focussize="0,0"/>
              <v:stroke on="f" weight="1.25pt"/>
              <v:imagedata o:title=""/>
              <o:lock v:ext="edit" aspectratio="f"/>
              <v:textbox inset="0mm,0mm,0mm,0mm" style="mso-fit-shape-to-text:t;">
                <w:txbxContent>
                  <w:p>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ySgubnAQAAyQMAAA4AAABkcnMvZTJvRG9jLnhtbK1TzY7TMBC+ I/EOlu80aaWyUdR0BVSLkBAgLTyA69iNJf9p7DYpDwBvwIkLd56rz8HYSbpoueyBSzL2zHwz3zfj ze1gNDkJCMrZhi4XJSXCctcqe2jol893LypKQmS2ZdpZ0dCzCPR2+/zZpve1WLnO6VYAQRAb6t43 tIvR10UReCcMCwvnhUWndGBYxCMcihZYj+hGF6uyfFn0DloPjosQ8HY3OumECE8BdFIqLnaOH42w cUQFoVlESqFTPtBt7lZKweNHKYOIRDcUmcb8xSJo79O32G5YfQDmO8WnFthTWnjEyTBlsegVasci I0dQ/0AZxcEFJ+OCO1OMRLIiyGJZPtLmvmNeZC4odfBX0cP/g+UfTp+AqLahN5RYZnDglx/fLz9/ X359I6t10qf3ocawe4+BcXjtBtya+T7gZaI9SDDpj4QI+lHd81VdMUTCU1K1qqoSXRx98wHxi4d0 DyG+Fc6QZDQUcHxZVXZ6H+IYOoekatbdKa3zCLUlPaKuq5t1zri6EF1bLJJYjN0mKw77YaK2d+0Z meGLwIqdg6+U9LgPDbW4/pTodxblTqszGzAb+9lglmNiQyMlo/kmjit29KAOHeIuc1PBvzpG7DlT SW2MtafucMJZjGkb0wr9fc5RDy9w+wd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JKC5ucB AADJAwAADgAAAAAAAAABACAAAAAiAQAAZHJzL2Uyb0RvYy54bWxQSwUGAAAAAAYABgBZAQAAewUA 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61</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Ayc43nAQAAyQMAAA4AAABkcnMvZTJvRG9jLnhtbK1TzY7TMBC+ I/EOlu80aaVdoqjpCqgWISFAWngA17EbS/6TPW1SHgDegBMX7jxXn4Oxk3TR7mUPe0nGnplv5vtm vL4ZjCZHEaJytqHLRUmJsNy1yu4b+u3r7auKkgjMtkw7Kxp6EpHebF6+WPe+FivXOd2KQBDExrr3 De0AfF0UkXfCsLhwXlh0ShcMAzyGfdEG1iO60cWqLK+L3oXWB8dFjHi7HZ10QgxPAXRSKi62jh+M sDCiBqEZIKXYKR/pJncrpeDwWcoogOiGIlPIXyyC9i59i82a1fvAfKf41AJ7SgsPOBmmLBa9QG0Z MHII6hGUUTy46CQsuDPFSCQrgiyW5QNt7jrmReaCUkd/ET0+Hyz/dPwSiGobimO3zODAz79+nn// Pf/5QVbXSZ/exxrD7jwGwvDWDbg1833Ey0R7kMGkPxIi6Ed1Txd1xQCEp6RqVVUlujj65gPiF/fp PkR4L5whyWhowPFlVdnxY4QxdA5J1ay7VVrnEWpLekS9ql5f5YyLC9G1xSKJxdhtsmDYDRO1nWtP yAxfBFbsXPhOSY/70FCL60+J/mBR7rQ6sxFmYzcbzHJMbChQMprvYFyxgw9q3yHuMjcV/ZsDYM+Z SmpjrD11hxPOYkzbmFbo/3OOun+Bm3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YDJzjecB AADJAwAADgAAAAAAAAABACAAAAAiAQAAZHJzL2Uyb0RvYy54bWxQSwUGAAAAAAYABgBZAQAAewUA 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36</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L46aLoAQAAyQMAAA4AAABkcnMvZTJvRG9jLnhtbK1TwY7TMBC9 I/EPlu80aaVlQ9R0BVSLkBAgLXyA69iNJdtj2W6T8gHwB5y4cOe7+h07dpIuWi574JKMPTNv5r0Z r28Go8lR+KDANnS5KCkRlkOr7L6hX7/cvqgoCZHZlmmwoqEnEejN5vmzde9qsYIOdCs8QRAb6t41 tIvR1UUReCcMCwtwwqJTgjcs4tHvi9azHtGNLlZl+bLowbfOAxch4O12dNIJ0T8FEKRUXGyBH4yw cUT1QrOIlEKnXKCb3K2UgsdPUgYRiW4oMo35i0XQ3qVvsVmzeu+Z6xSfWmBPaeERJ8OUxaIXqC2L jBy8+gfKKO4hgIwLDqYYiWRFkMWyfKTNXcecyFxQ6uAuoof/B8s/Hj97otqGvqLEMoMDP//8cf71 5/z7O1ldJ316F2oMu3MYGIc3MODWzPcBLxPtQXqT/kiIoB/VPV3UFUMkPCVVq6oq0cXRNx8Qv3hI dz7EdwIMSUZDPY4vq8qOH0IcQ+eQVM3CrdI6j1Bb0iPqVXV9lTMuLkTXFoskFmO3yYrDbpio7aA9 ITN8EVixA/+Nkh73oaEW158S/d6i3Gl1ZsPPxm42mOWY2NBIyWi+jeOKHZxX+w5xl7mp4F4fIvac qaQ2xtpTdzjhLMa0jWmF/j7nqIcXuLkH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aGmCS9MAAAAF AQAADwAAAAAAAAABACAAAAAiAAAAZHJzL2Rvd25yZXYueG1sUEsBAhQAFAAAAAgAh07iQOL46aLo AQAAyQMAAA4AAAAAAAAAAQAgAAAAIgEAAGRycy9lMm9Eb2MueG1sUEsFBgAAAAAGAAYAWQEAAHwF 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4"/>
      </w:pBdr>
      <w:jc w:val="right"/>
      <w:rPr>
        <w:rFonts w:ascii="仿宋_GB2312" w:eastAsia="仿宋_GB2312"/>
        <w:i/>
        <w:u w:val="single"/>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000000" w:sz="0" w:space="1"/>
      </w:pBdr>
      <w:tabs>
        <w:tab w:val="right" w:pos="8279"/>
      </w:tabs>
      <w:jc w:val="right"/>
      <w:rPr>
        <w:rStyle w:val="961"/>
      </w:rPr>
    </w:pPr>
    <w:r>
      <w:rPr>
        <w:rStyle w:val="961"/>
      </w:rPr>
      <w:tab/>
    </w:r>
    <w:r>
      <w:rPr>
        <w:rStyle w:val="961"/>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sz w:val="18"/>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p>
    <w:pPr>
      <w:pStyle w:val="43"/>
      <w:pBdr>
        <w:bottom w:val="none" w:color="auto" w:sz="0" w:space="1"/>
      </w:pBd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p>
    <w:pPr>
      <w:pStyle w:val="43"/>
      <w:pBdr>
        <w:bottom w:val="none" w:color="auto" w:sz="0" w:space="1"/>
      </w:pBd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3A648"/>
    <w:multiLevelType w:val="singleLevel"/>
    <w:tmpl w:val="4863A648"/>
    <w:lvl w:ilvl="0" w:tentative="0">
      <w:start w:val="1"/>
      <w:numFmt w:val="chineseCounting"/>
      <w:suff w:val="nothing"/>
      <w:lvlText w:val="%1、"/>
      <w:lvlJc w:val="left"/>
      <w:pPr>
        <w:ind w:left="311" w:firstLine="0"/>
        <w:textAlignment w:val="baseline"/>
      </w:pPr>
    </w:lvl>
  </w:abstractNum>
  <w:abstractNum w:abstractNumId="1">
    <w:nsid w:val="781E6AA4"/>
    <w:multiLevelType w:val="singleLevel"/>
    <w:tmpl w:val="781E6AA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NjZlNDZiZDcyMWM3YTQwNjdiYWY5Yzk3MjM0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690"/>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B17"/>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350"/>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782"/>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E7B"/>
    <w:rsid w:val="001B6FA7"/>
    <w:rsid w:val="001B7A15"/>
    <w:rsid w:val="001B7B69"/>
    <w:rsid w:val="001B7DC1"/>
    <w:rsid w:val="001C08DB"/>
    <w:rsid w:val="001C10BD"/>
    <w:rsid w:val="001C1F01"/>
    <w:rsid w:val="001C2092"/>
    <w:rsid w:val="001C232F"/>
    <w:rsid w:val="001C2544"/>
    <w:rsid w:val="001C2A17"/>
    <w:rsid w:val="001C31F5"/>
    <w:rsid w:val="001C524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EF9"/>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758"/>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6D4"/>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5A5"/>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7E1"/>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E6A"/>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654"/>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AD"/>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87A"/>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03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000"/>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27E8A"/>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1F3"/>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ABF"/>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A69"/>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DB0"/>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5F9"/>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1E16"/>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7BB"/>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342"/>
    <w:rsid w:val="0090446A"/>
    <w:rsid w:val="00904537"/>
    <w:rsid w:val="00904DC3"/>
    <w:rsid w:val="0090534A"/>
    <w:rsid w:val="00905469"/>
    <w:rsid w:val="00905C3D"/>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0B"/>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D5A"/>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0B9"/>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420"/>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9F"/>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14"/>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D2C"/>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7D"/>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79E"/>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C7ECA"/>
    <w:rsid w:val="00CD00EB"/>
    <w:rsid w:val="00CD0B25"/>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28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AE0"/>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0EBD"/>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912"/>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0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BFE"/>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FAC"/>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992"/>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3720E"/>
    <w:rsid w:val="011F6449"/>
    <w:rsid w:val="01236AFB"/>
    <w:rsid w:val="01275155"/>
    <w:rsid w:val="01385C8F"/>
    <w:rsid w:val="015B4FE6"/>
    <w:rsid w:val="016B76A9"/>
    <w:rsid w:val="019F7441"/>
    <w:rsid w:val="01A26771"/>
    <w:rsid w:val="01B37585"/>
    <w:rsid w:val="01C66315"/>
    <w:rsid w:val="01D55165"/>
    <w:rsid w:val="01DF6BF8"/>
    <w:rsid w:val="01EC2C57"/>
    <w:rsid w:val="024261A6"/>
    <w:rsid w:val="026B2E25"/>
    <w:rsid w:val="026C7068"/>
    <w:rsid w:val="027C7CA1"/>
    <w:rsid w:val="02824D4D"/>
    <w:rsid w:val="02DC4B10"/>
    <w:rsid w:val="02DD76CE"/>
    <w:rsid w:val="02F36323"/>
    <w:rsid w:val="02F5619C"/>
    <w:rsid w:val="0326446A"/>
    <w:rsid w:val="032D5555"/>
    <w:rsid w:val="036634D2"/>
    <w:rsid w:val="03D60954"/>
    <w:rsid w:val="03DD35E4"/>
    <w:rsid w:val="04076900"/>
    <w:rsid w:val="041A5A3B"/>
    <w:rsid w:val="042311BA"/>
    <w:rsid w:val="042B157A"/>
    <w:rsid w:val="045D535D"/>
    <w:rsid w:val="048D679A"/>
    <w:rsid w:val="048F763B"/>
    <w:rsid w:val="049C5AE5"/>
    <w:rsid w:val="049F330E"/>
    <w:rsid w:val="04AA775C"/>
    <w:rsid w:val="04AF1889"/>
    <w:rsid w:val="04B05649"/>
    <w:rsid w:val="04BB0761"/>
    <w:rsid w:val="04C06A58"/>
    <w:rsid w:val="04E27306"/>
    <w:rsid w:val="04EA6DAD"/>
    <w:rsid w:val="04F261FC"/>
    <w:rsid w:val="04F66F48"/>
    <w:rsid w:val="051A51B8"/>
    <w:rsid w:val="05251E14"/>
    <w:rsid w:val="05485881"/>
    <w:rsid w:val="05A16594"/>
    <w:rsid w:val="05A7762D"/>
    <w:rsid w:val="060E5941"/>
    <w:rsid w:val="06110FAF"/>
    <w:rsid w:val="063D4CBA"/>
    <w:rsid w:val="06493CA7"/>
    <w:rsid w:val="065A6178"/>
    <w:rsid w:val="066F1CF3"/>
    <w:rsid w:val="06930BB8"/>
    <w:rsid w:val="06B17456"/>
    <w:rsid w:val="06F66840"/>
    <w:rsid w:val="07245D42"/>
    <w:rsid w:val="07264C62"/>
    <w:rsid w:val="07395DCA"/>
    <w:rsid w:val="07603356"/>
    <w:rsid w:val="0779354C"/>
    <w:rsid w:val="0800661C"/>
    <w:rsid w:val="08061376"/>
    <w:rsid w:val="082C3238"/>
    <w:rsid w:val="08452D77"/>
    <w:rsid w:val="086401F8"/>
    <w:rsid w:val="08726AFA"/>
    <w:rsid w:val="08751CAA"/>
    <w:rsid w:val="087E4C40"/>
    <w:rsid w:val="089436DC"/>
    <w:rsid w:val="089F7EAE"/>
    <w:rsid w:val="08D66AD6"/>
    <w:rsid w:val="08DA33A3"/>
    <w:rsid w:val="08E80F13"/>
    <w:rsid w:val="0908116D"/>
    <w:rsid w:val="09335624"/>
    <w:rsid w:val="0944690F"/>
    <w:rsid w:val="09535675"/>
    <w:rsid w:val="09542215"/>
    <w:rsid w:val="095F057D"/>
    <w:rsid w:val="09642282"/>
    <w:rsid w:val="09733572"/>
    <w:rsid w:val="09772C16"/>
    <w:rsid w:val="098353B5"/>
    <w:rsid w:val="09A92330"/>
    <w:rsid w:val="09B06B87"/>
    <w:rsid w:val="09C13146"/>
    <w:rsid w:val="09E04166"/>
    <w:rsid w:val="0A1C0718"/>
    <w:rsid w:val="0A3E7710"/>
    <w:rsid w:val="0A595E3B"/>
    <w:rsid w:val="0A5B7E63"/>
    <w:rsid w:val="0A5E5130"/>
    <w:rsid w:val="0A83534C"/>
    <w:rsid w:val="0AA374A5"/>
    <w:rsid w:val="0AAB7649"/>
    <w:rsid w:val="0ABC5606"/>
    <w:rsid w:val="0AC11145"/>
    <w:rsid w:val="0B0E4E77"/>
    <w:rsid w:val="0B30404E"/>
    <w:rsid w:val="0B334308"/>
    <w:rsid w:val="0B4C6C14"/>
    <w:rsid w:val="0B631A88"/>
    <w:rsid w:val="0B683D45"/>
    <w:rsid w:val="0B7F3F11"/>
    <w:rsid w:val="0B884417"/>
    <w:rsid w:val="0B925DD0"/>
    <w:rsid w:val="0BF6188C"/>
    <w:rsid w:val="0BF73C91"/>
    <w:rsid w:val="0BF96592"/>
    <w:rsid w:val="0C045B1A"/>
    <w:rsid w:val="0C164CC5"/>
    <w:rsid w:val="0C170175"/>
    <w:rsid w:val="0C571A41"/>
    <w:rsid w:val="0C5C1171"/>
    <w:rsid w:val="0C5E1CBC"/>
    <w:rsid w:val="0C615B50"/>
    <w:rsid w:val="0C8445DA"/>
    <w:rsid w:val="0C87121B"/>
    <w:rsid w:val="0CC007F7"/>
    <w:rsid w:val="0CDD71F7"/>
    <w:rsid w:val="0CE340E1"/>
    <w:rsid w:val="0CFA7080"/>
    <w:rsid w:val="0CFE707A"/>
    <w:rsid w:val="0D063BDA"/>
    <w:rsid w:val="0D08375F"/>
    <w:rsid w:val="0D13271C"/>
    <w:rsid w:val="0D184CFB"/>
    <w:rsid w:val="0D224C0A"/>
    <w:rsid w:val="0D2546FA"/>
    <w:rsid w:val="0D376AFE"/>
    <w:rsid w:val="0D4A7419"/>
    <w:rsid w:val="0D6B2475"/>
    <w:rsid w:val="0D827401"/>
    <w:rsid w:val="0D84094E"/>
    <w:rsid w:val="0D8A00E9"/>
    <w:rsid w:val="0D8D589E"/>
    <w:rsid w:val="0DA01C73"/>
    <w:rsid w:val="0DAD3C7C"/>
    <w:rsid w:val="0DAE5F61"/>
    <w:rsid w:val="0DC932D7"/>
    <w:rsid w:val="0DCE6B40"/>
    <w:rsid w:val="0DD63300"/>
    <w:rsid w:val="0DDA5DAD"/>
    <w:rsid w:val="0DEC1F94"/>
    <w:rsid w:val="0DF50604"/>
    <w:rsid w:val="0DF702FE"/>
    <w:rsid w:val="0E060E51"/>
    <w:rsid w:val="0E4D5CB6"/>
    <w:rsid w:val="0E5604B2"/>
    <w:rsid w:val="0E6D5D79"/>
    <w:rsid w:val="0E9D0089"/>
    <w:rsid w:val="0EB803EE"/>
    <w:rsid w:val="0EC95C85"/>
    <w:rsid w:val="0EEF5743"/>
    <w:rsid w:val="0EF94D4B"/>
    <w:rsid w:val="0F1F2641"/>
    <w:rsid w:val="0F20161D"/>
    <w:rsid w:val="0F36574D"/>
    <w:rsid w:val="0F4958DC"/>
    <w:rsid w:val="0F515DF7"/>
    <w:rsid w:val="0F596BA8"/>
    <w:rsid w:val="0F6248D2"/>
    <w:rsid w:val="0F693536"/>
    <w:rsid w:val="0F6C2E99"/>
    <w:rsid w:val="0F7B0511"/>
    <w:rsid w:val="0F7B76D9"/>
    <w:rsid w:val="0F7E6FF0"/>
    <w:rsid w:val="0F816ACD"/>
    <w:rsid w:val="0F9832DB"/>
    <w:rsid w:val="0FAF5AE5"/>
    <w:rsid w:val="0FBF3FD2"/>
    <w:rsid w:val="0FBF7FF3"/>
    <w:rsid w:val="0FCB1589"/>
    <w:rsid w:val="10127CA8"/>
    <w:rsid w:val="10233173"/>
    <w:rsid w:val="10646583"/>
    <w:rsid w:val="107D4B15"/>
    <w:rsid w:val="1081433D"/>
    <w:rsid w:val="108A3C80"/>
    <w:rsid w:val="10A654F0"/>
    <w:rsid w:val="10C26171"/>
    <w:rsid w:val="10F33360"/>
    <w:rsid w:val="10FC16EA"/>
    <w:rsid w:val="110F1D40"/>
    <w:rsid w:val="11266F33"/>
    <w:rsid w:val="113B2E46"/>
    <w:rsid w:val="11457169"/>
    <w:rsid w:val="115F467E"/>
    <w:rsid w:val="116D06E2"/>
    <w:rsid w:val="118963A1"/>
    <w:rsid w:val="11C6522A"/>
    <w:rsid w:val="11E104CC"/>
    <w:rsid w:val="11E20309"/>
    <w:rsid w:val="121023EA"/>
    <w:rsid w:val="12255233"/>
    <w:rsid w:val="122E2E09"/>
    <w:rsid w:val="12483F02"/>
    <w:rsid w:val="12501AD9"/>
    <w:rsid w:val="12530213"/>
    <w:rsid w:val="12722CFA"/>
    <w:rsid w:val="127723A9"/>
    <w:rsid w:val="12862074"/>
    <w:rsid w:val="12883966"/>
    <w:rsid w:val="129E45B4"/>
    <w:rsid w:val="12D81596"/>
    <w:rsid w:val="12FC5EFD"/>
    <w:rsid w:val="13072A44"/>
    <w:rsid w:val="131E7C21"/>
    <w:rsid w:val="13226203"/>
    <w:rsid w:val="135F4BE2"/>
    <w:rsid w:val="13871EAC"/>
    <w:rsid w:val="139B1A0A"/>
    <w:rsid w:val="139D25C7"/>
    <w:rsid w:val="13B12EB9"/>
    <w:rsid w:val="13BF3CE4"/>
    <w:rsid w:val="13C7475D"/>
    <w:rsid w:val="13CA1B57"/>
    <w:rsid w:val="141008D8"/>
    <w:rsid w:val="14125FE6"/>
    <w:rsid w:val="146D271E"/>
    <w:rsid w:val="14716BEE"/>
    <w:rsid w:val="14982588"/>
    <w:rsid w:val="149A5AD9"/>
    <w:rsid w:val="14A7619D"/>
    <w:rsid w:val="14E216C3"/>
    <w:rsid w:val="14FF4454"/>
    <w:rsid w:val="150317C5"/>
    <w:rsid w:val="150536C3"/>
    <w:rsid w:val="150C0679"/>
    <w:rsid w:val="150C1963"/>
    <w:rsid w:val="150F6B3B"/>
    <w:rsid w:val="151447A0"/>
    <w:rsid w:val="15212EE4"/>
    <w:rsid w:val="154A6454"/>
    <w:rsid w:val="155E4C4D"/>
    <w:rsid w:val="156C2EC6"/>
    <w:rsid w:val="15762120"/>
    <w:rsid w:val="15A5462A"/>
    <w:rsid w:val="160457F4"/>
    <w:rsid w:val="1635283F"/>
    <w:rsid w:val="163D76F1"/>
    <w:rsid w:val="16A8729C"/>
    <w:rsid w:val="16B33777"/>
    <w:rsid w:val="16BC70A7"/>
    <w:rsid w:val="16C6339E"/>
    <w:rsid w:val="17195FD9"/>
    <w:rsid w:val="172F2D79"/>
    <w:rsid w:val="17557BEF"/>
    <w:rsid w:val="17C62219"/>
    <w:rsid w:val="17D349C1"/>
    <w:rsid w:val="17D66D1D"/>
    <w:rsid w:val="17E15782"/>
    <w:rsid w:val="1830729E"/>
    <w:rsid w:val="1870062C"/>
    <w:rsid w:val="18817102"/>
    <w:rsid w:val="18830A15"/>
    <w:rsid w:val="18852B28"/>
    <w:rsid w:val="188B5321"/>
    <w:rsid w:val="18B71A0C"/>
    <w:rsid w:val="19932372"/>
    <w:rsid w:val="19A20DD5"/>
    <w:rsid w:val="19AE03F1"/>
    <w:rsid w:val="1A071A03"/>
    <w:rsid w:val="1A1678A4"/>
    <w:rsid w:val="1A1F16AE"/>
    <w:rsid w:val="1A3B5C77"/>
    <w:rsid w:val="1A3F504D"/>
    <w:rsid w:val="1A693E78"/>
    <w:rsid w:val="1A795D40"/>
    <w:rsid w:val="1A984BAD"/>
    <w:rsid w:val="1AB8220E"/>
    <w:rsid w:val="1AE4166C"/>
    <w:rsid w:val="1AF06CFB"/>
    <w:rsid w:val="1AF11B8D"/>
    <w:rsid w:val="1B11359C"/>
    <w:rsid w:val="1B2A271F"/>
    <w:rsid w:val="1B530544"/>
    <w:rsid w:val="1B587016"/>
    <w:rsid w:val="1B713184"/>
    <w:rsid w:val="1B783A98"/>
    <w:rsid w:val="1B9C286D"/>
    <w:rsid w:val="1BA209CF"/>
    <w:rsid w:val="1BB4777D"/>
    <w:rsid w:val="1BC46590"/>
    <w:rsid w:val="1BD75AB8"/>
    <w:rsid w:val="1BE52E27"/>
    <w:rsid w:val="1BFA0881"/>
    <w:rsid w:val="1C0459C2"/>
    <w:rsid w:val="1C1B3B4A"/>
    <w:rsid w:val="1C333816"/>
    <w:rsid w:val="1C6F2D69"/>
    <w:rsid w:val="1C854F90"/>
    <w:rsid w:val="1C88086E"/>
    <w:rsid w:val="1CBE1CA9"/>
    <w:rsid w:val="1CF35935"/>
    <w:rsid w:val="1D0F5F8E"/>
    <w:rsid w:val="1D266CE1"/>
    <w:rsid w:val="1D3963AF"/>
    <w:rsid w:val="1D6A673C"/>
    <w:rsid w:val="1D7B2840"/>
    <w:rsid w:val="1D9247AE"/>
    <w:rsid w:val="1DAB4A06"/>
    <w:rsid w:val="1DB567EC"/>
    <w:rsid w:val="1DDA6E3B"/>
    <w:rsid w:val="1DF51A98"/>
    <w:rsid w:val="1E125F39"/>
    <w:rsid w:val="1E276524"/>
    <w:rsid w:val="1E3D060F"/>
    <w:rsid w:val="1E3D6FEC"/>
    <w:rsid w:val="1E3F7D2E"/>
    <w:rsid w:val="1E4134E4"/>
    <w:rsid w:val="1E5062B3"/>
    <w:rsid w:val="1E523514"/>
    <w:rsid w:val="1E714A66"/>
    <w:rsid w:val="1E802593"/>
    <w:rsid w:val="1EA703CC"/>
    <w:rsid w:val="1EB7330C"/>
    <w:rsid w:val="1EE12B77"/>
    <w:rsid w:val="1EEC5078"/>
    <w:rsid w:val="1F0A0FF3"/>
    <w:rsid w:val="1F5771FF"/>
    <w:rsid w:val="1F8249BB"/>
    <w:rsid w:val="1F9A55BB"/>
    <w:rsid w:val="1FBC0EEE"/>
    <w:rsid w:val="1FE868A9"/>
    <w:rsid w:val="20034907"/>
    <w:rsid w:val="200D799B"/>
    <w:rsid w:val="20173E4B"/>
    <w:rsid w:val="204E48BC"/>
    <w:rsid w:val="20646F31"/>
    <w:rsid w:val="208921B3"/>
    <w:rsid w:val="20973DEB"/>
    <w:rsid w:val="20B26522"/>
    <w:rsid w:val="20B44310"/>
    <w:rsid w:val="211116EB"/>
    <w:rsid w:val="216133FC"/>
    <w:rsid w:val="219A1B63"/>
    <w:rsid w:val="21D56769"/>
    <w:rsid w:val="21E52EF3"/>
    <w:rsid w:val="21FB5D7B"/>
    <w:rsid w:val="220B1C3D"/>
    <w:rsid w:val="221D1D20"/>
    <w:rsid w:val="22334A87"/>
    <w:rsid w:val="22721D38"/>
    <w:rsid w:val="227E2588"/>
    <w:rsid w:val="22BE6801"/>
    <w:rsid w:val="233500BF"/>
    <w:rsid w:val="23377FF7"/>
    <w:rsid w:val="236B425F"/>
    <w:rsid w:val="23836192"/>
    <w:rsid w:val="23901F29"/>
    <w:rsid w:val="239C0061"/>
    <w:rsid w:val="23B908A4"/>
    <w:rsid w:val="23BA65E8"/>
    <w:rsid w:val="23E95BEF"/>
    <w:rsid w:val="23FD0064"/>
    <w:rsid w:val="24343749"/>
    <w:rsid w:val="245375B0"/>
    <w:rsid w:val="24642C0A"/>
    <w:rsid w:val="24B22173"/>
    <w:rsid w:val="24B95AD9"/>
    <w:rsid w:val="24BE24DA"/>
    <w:rsid w:val="24C82C75"/>
    <w:rsid w:val="24CF5825"/>
    <w:rsid w:val="24D663E6"/>
    <w:rsid w:val="24D77F2B"/>
    <w:rsid w:val="258166E6"/>
    <w:rsid w:val="258B00E2"/>
    <w:rsid w:val="2596138D"/>
    <w:rsid w:val="25A917A6"/>
    <w:rsid w:val="25BE27CC"/>
    <w:rsid w:val="25C5414F"/>
    <w:rsid w:val="25F74A5C"/>
    <w:rsid w:val="25FB23C5"/>
    <w:rsid w:val="2628662C"/>
    <w:rsid w:val="262D45DE"/>
    <w:rsid w:val="2673332A"/>
    <w:rsid w:val="268564DD"/>
    <w:rsid w:val="26A53EF9"/>
    <w:rsid w:val="26A94201"/>
    <w:rsid w:val="26AC274F"/>
    <w:rsid w:val="27044A29"/>
    <w:rsid w:val="27056626"/>
    <w:rsid w:val="27084A19"/>
    <w:rsid w:val="27101FCA"/>
    <w:rsid w:val="271C0C44"/>
    <w:rsid w:val="271D34C8"/>
    <w:rsid w:val="27266E37"/>
    <w:rsid w:val="276142BF"/>
    <w:rsid w:val="27783712"/>
    <w:rsid w:val="277D021C"/>
    <w:rsid w:val="27907362"/>
    <w:rsid w:val="27C923FA"/>
    <w:rsid w:val="27CC1EEA"/>
    <w:rsid w:val="27CC4EF0"/>
    <w:rsid w:val="27DB7D94"/>
    <w:rsid w:val="27EC03F5"/>
    <w:rsid w:val="280023D4"/>
    <w:rsid w:val="28333E1D"/>
    <w:rsid w:val="283C7070"/>
    <w:rsid w:val="28440304"/>
    <w:rsid w:val="28454BD6"/>
    <w:rsid w:val="28455253"/>
    <w:rsid w:val="28551971"/>
    <w:rsid w:val="285B1C53"/>
    <w:rsid w:val="289D74C1"/>
    <w:rsid w:val="289F7086"/>
    <w:rsid w:val="28C32028"/>
    <w:rsid w:val="28CC490F"/>
    <w:rsid w:val="28DE40AA"/>
    <w:rsid w:val="28E71F93"/>
    <w:rsid w:val="291957D4"/>
    <w:rsid w:val="29345E77"/>
    <w:rsid w:val="294C65AD"/>
    <w:rsid w:val="29616748"/>
    <w:rsid w:val="296C74E1"/>
    <w:rsid w:val="29806583"/>
    <w:rsid w:val="298B3C4C"/>
    <w:rsid w:val="29BA482D"/>
    <w:rsid w:val="29C70BBB"/>
    <w:rsid w:val="29F26D24"/>
    <w:rsid w:val="2A15033F"/>
    <w:rsid w:val="2A1662C1"/>
    <w:rsid w:val="2A1C7367"/>
    <w:rsid w:val="2A2815FA"/>
    <w:rsid w:val="2A6D6092"/>
    <w:rsid w:val="2A7D76B4"/>
    <w:rsid w:val="2AA464BB"/>
    <w:rsid w:val="2B101650"/>
    <w:rsid w:val="2B437463"/>
    <w:rsid w:val="2B5F1039"/>
    <w:rsid w:val="2B710CB1"/>
    <w:rsid w:val="2B7807EE"/>
    <w:rsid w:val="2BA17C33"/>
    <w:rsid w:val="2BBF00EC"/>
    <w:rsid w:val="2BC37CFD"/>
    <w:rsid w:val="2BD5237F"/>
    <w:rsid w:val="2BDA5393"/>
    <w:rsid w:val="2BE536CE"/>
    <w:rsid w:val="2BE758D9"/>
    <w:rsid w:val="2BEA7AED"/>
    <w:rsid w:val="2C063C1D"/>
    <w:rsid w:val="2C09049E"/>
    <w:rsid w:val="2C0A653C"/>
    <w:rsid w:val="2C191F85"/>
    <w:rsid w:val="2C1A0D75"/>
    <w:rsid w:val="2C3F0EDD"/>
    <w:rsid w:val="2C5B7D70"/>
    <w:rsid w:val="2C9810A7"/>
    <w:rsid w:val="2CB432C8"/>
    <w:rsid w:val="2CE82D6F"/>
    <w:rsid w:val="2D343236"/>
    <w:rsid w:val="2D8B0E46"/>
    <w:rsid w:val="2DD1025A"/>
    <w:rsid w:val="2DD15014"/>
    <w:rsid w:val="2DF72DE4"/>
    <w:rsid w:val="2E0220AF"/>
    <w:rsid w:val="2E232138"/>
    <w:rsid w:val="2E4B082A"/>
    <w:rsid w:val="2E5D4E86"/>
    <w:rsid w:val="2E5D790B"/>
    <w:rsid w:val="2E5F29DB"/>
    <w:rsid w:val="2E975000"/>
    <w:rsid w:val="2E9A3C18"/>
    <w:rsid w:val="2EBB0FEE"/>
    <w:rsid w:val="2EC63002"/>
    <w:rsid w:val="2F0A6B38"/>
    <w:rsid w:val="2F3D374E"/>
    <w:rsid w:val="2F537A7B"/>
    <w:rsid w:val="2F946CCB"/>
    <w:rsid w:val="2FB4573E"/>
    <w:rsid w:val="2FD16D7F"/>
    <w:rsid w:val="2FD25781"/>
    <w:rsid w:val="2FE63CB9"/>
    <w:rsid w:val="2FFD7934"/>
    <w:rsid w:val="306D72C1"/>
    <w:rsid w:val="30733ACD"/>
    <w:rsid w:val="308C3862"/>
    <w:rsid w:val="308D3FE3"/>
    <w:rsid w:val="309379D8"/>
    <w:rsid w:val="30A21A3A"/>
    <w:rsid w:val="30A270F7"/>
    <w:rsid w:val="30C10112"/>
    <w:rsid w:val="30DF1478"/>
    <w:rsid w:val="30EC586F"/>
    <w:rsid w:val="30F42C13"/>
    <w:rsid w:val="31172428"/>
    <w:rsid w:val="312B1EC8"/>
    <w:rsid w:val="314675EA"/>
    <w:rsid w:val="31660CB9"/>
    <w:rsid w:val="316C3231"/>
    <w:rsid w:val="316D3DF6"/>
    <w:rsid w:val="319753DC"/>
    <w:rsid w:val="319C6071"/>
    <w:rsid w:val="31AC537E"/>
    <w:rsid w:val="31E3679B"/>
    <w:rsid w:val="31E732FD"/>
    <w:rsid w:val="32517576"/>
    <w:rsid w:val="325E3BFD"/>
    <w:rsid w:val="3281224F"/>
    <w:rsid w:val="328E04C8"/>
    <w:rsid w:val="32BE5C2C"/>
    <w:rsid w:val="32C43382"/>
    <w:rsid w:val="32FB6478"/>
    <w:rsid w:val="33263B3F"/>
    <w:rsid w:val="33401F5B"/>
    <w:rsid w:val="33466033"/>
    <w:rsid w:val="336963EB"/>
    <w:rsid w:val="33816EEB"/>
    <w:rsid w:val="33C73F09"/>
    <w:rsid w:val="33EA7980"/>
    <w:rsid w:val="33EB55CD"/>
    <w:rsid w:val="33EC4C02"/>
    <w:rsid w:val="340D2360"/>
    <w:rsid w:val="3410665D"/>
    <w:rsid w:val="341B5D8B"/>
    <w:rsid w:val="34211214"/>
    <w:rsid w:val="342E63AB"/>
    <w:rsid w:val="34446D41"/>
    <w:rsid w:val="3457546C"/>
    <w:rsid w:val="34756041"/>
    <w:rsid w:val="34950E68"/>
    <w:rsid w:val="34986E94"/>
    <w:rsid w:val="34AF62C9"/>
    <w:rsid w:val="34CB4388"/>
    <w:rsid w:val="34D50630"/>
    <w:rsid w:val="34ED57BB"/>
    <w:rsid w:val="34FA6E12"/>
    <w:rsid w:val="35117351"/>
    <w:rsid w:val="358D5588"/>
    <w:rsid w:val="35CA5655"/>
    <w:rsid w:val="35CD57AB"/>
    <w:rsid w:val="35DC3BA1"/>
    <w:rsid w:val="35F66AB0"/>
    <w:rsid w:val="363A3B40"/>
    <w:rsid w:val="36457619"/>
    <w:rsid w:val="365302AE"/>
    <w:rsid w:val="36607A0A"/>
    <w:rsid w:val="366E227C"/>
    <w:rsid w:val="366F2E0D"/>
    <w:rsid w:val="367B6A5C"/>
    <w:rsid w:val="36A37D57"/>
    <w:rsid w:val="36A74ADA"/>
    <w:rsid w:val="36AD60D5"/>
    <w:rsid w:val="36AF4EB1"/>
    <w:rsid w:val="36B224F9"/>
    <w:rsid w:val="36BD0ED8"/>
    <w:rsid w:val="36BF73FC"/>
    <w:rsid w:val="36EA4685"/>
    <w:rsid w:val="36EC0CC9"/>
    <w:rsid w:val="373F410B"/>
    <w:rsid w:val="37441A9D"/>
    <w:rsid w:val="37B32BC7"/>
    <w:rsid w:val="37EE7094"/>
    <w:rsid w:val="38296C89"/>
    <w:rsid w:val="383002EB"/>
    <w:rsid w:val="38586797"/>
    <w:rsid w:val="386400FC"/>
    <w:rsid w:val="38BC0149"/>
    <w:rsid w:val="38C57A06"/>
    <w:rsid w:val="38D87D1C"/>
    <w:rsid w:val="38F738D0"/>
    <w:rsid w:val="39517446"/>
    <w:rsid w:val="39610257"/>
    <w:rsid w:val="39636459"/>
    <w:rsid w:val="396B7F6C"/>
    <w:rsid w:val="39B417A9"/>
    <w:rsid w:val="39C41070"/>
    <w:rsid w:val="39FC5695"/>
    <w:rsid w:val="3A006D8E"/>
    <w:rsid w:val="3A0379ED"/>
    <w:rsid w:val="3A055A75"/>
    <w:rsid w:val="3A2D4A6A"/>
    <w:rsid w:val="3A3651E5"/>
    <w:rsid w:val="3A744481"/>
    <w:rsid w:val="3A8C7BEF"/>
    <w:rsid w:val="3A906246"/>
    <w:rsid w:val="3AAF0779"/>
    <w:rsid w:val="3AFA20B9"/>
    <w:rsid w:val="3B0114F0"/>
    <w:rsid w:val="3B2349B7"/>
    <w:rsid w:val="3B616CFF"/>
    <w:rsid w:val="3B6259F6"/>
    <w:rsid w:val="3B976654"/>
    <w:rsid w:val="3BC01EFC"/>
    <w:rsid w:val="3BCA786A"/>
    <w:rsid w:val="3BD31E2F"/>
    <w:rsid w:val="3BF15831"/>
    <w:rsid w:val="3C105946"/>
    <w:rsid w:val="3C281288"/>
    <w:rsid w:val="3C291BDF"/>
    <w:rsid w:val="3C471448"/>
    <w:rsid w:val="3C4B1E5A"/>
    <w:rsid w:val="3C5F759A"/>
    <w:rsid w:val="3C622D3A"/>
    <w:rsid w:val="3C6C525A"/>
    <w:rsid w:val="3C954823"/>
    <w:rsid w:val="3CC05722"/>
    <w:rsid w:val="3CCE23CB"/>
    <w:rsid w:val="3CD17D17"/>
    <w:rsid w:val="3D340763"/>
    <w:rsid w:val="3D3C7F39"/>
    <w:rsid w:val="3D440F09"/>
    <w:rsid w:val="3D4504A0"/>
    <w:rsid w:val="3D8734BB"/>
    <w:rsid w:val="3D9A11D4"/>
    <w:rsid w:val="3DA16D89"/>
    <w:rsid w:val="3DA364BE"/>
    <w:rsid w:val="3DC32EC7"/>
    <w:rsid w:val="3DE041CB"/>
    <w:rsid w:val="3E0D48F6"/>
    <w:rsid w:val="3E1868B4"/>
    <w:rsid w:val="3E377251"/>
    <w:rsid w:val="3E42664B"/>
    <w:rsid w:val="3E4740A9"/>
    <w:rsid w:val="3E49168B"/>
    <w:rsid w:val="3E5A7334"/>
    <w:rsid w:val="3E7B5D6B"/>
    <w:rsid w:val="3E843E66"/>
    <w:rsid w:val="3E8F51FE"/>
    <w:rsid w:val="3E926F87"/>
    <w:rsid w:val="3E9A59DE"/>
    <w:rsid w:val="3EAF4836"/>
    <w:rsid w:val="3EC33DFA"/>
    <w:rsid w:val="3EC87105"/>
    <w:rsid w:val="3EDE4585"/>
    <w:rsid w:val="3EEB2E3D"/>
    <w:rsid w:val="3EEB4C44"/>
    <w:rsid w:val="3F060E16"/>
    <w:rsid w:val="3F110C8B"/>
    <w:rsid w:val="3F1D1096"/>
    <w:rsid w:val="3F2F0234"/>
    <w:rsid w:val="3F6363FE"/>
    <w:rsid w:val="3F756B8F"/>
    <w:rsid w:val="3F95482B"/>
    <w:rsid w:val="3FFD0A3B"/>
    <w:rsid w:val="4019356B"/>
    <w:rsid w:val="401E594C"/>
    <w:rsid w:val="40592157"/>
    <w:rsid w:val="406A43F0"/>
    <w:rsid w:val="406E1CAE"/>
    <w:rsid w:val="40A0133A"/>
    <w:rsid w:val="40BA34A7"/>
    <w:rsid w:val="40C31A53"/>
    <w:rsid w:val="40D45C40"/>
    <w:rsid w:val="40FF545D"/>
    <w:rsid w:val="410067C8"/>
    <w:rsid w:val="41313092"/>
    <w:rsid w:val="4138658B"/>
    <w:rsid w:val="418F0D2A"/>
    <w:rsid w:val="41D01505"/>
    <w:rsid w:val="42217B2D"/>
    <w:rsid w:val="42474939"/>
    <w:rsid w:val="424C3C57"/>
    <w:rsid w:val="42613FF3"/>
    <w:rsid w:val="42660D96"/>
    <w:rsid w:val="428667D2"/>
    <w:rsid w:val="42894EAD"/>
    <w:rsid w:val="42CD1CE0"/>
    <w:rsid w:val="42DE18CD"/>
    <w:rsid w:val="42E1381E"/>
    <w:rsid w:val="42ED6459"/>
    <w:rsid w:val="42FE58DD"/>
    <w:rsid w:val="43174B3D"/>
    <w:rsid w:val="432804C5"/>
    <w:rsid w:val="434B790E"/>
    <w:rsid w:val="4360274F"/>
    <w:rsid w:val="436456F5"/>
    <w:rsid w:val="43977AB6"/>
    <w:rsid w:val="439D0E4C"/>
    <w:rsid w:val="43A10D69"/>
    <w:rsid w:val="43A3342B"/>
    <w:rsid w:val="43A7763B"/>
    <w:rsid w:val="43C77C27"/>
    <w:rsid w:val="43DE09EE"/>
    <w:rsid w:val="44002FAD"/>
    <w:rsid w:val="44240C8C"/>
    <w:rsid w:val="445410FB"/>
    <w:rsid w:val="449101DD"/>
    <w:rsid w:val="44DE1391"/>
    <w:rsid w:val="44EE4DF6"/>
    <w:rsid w:val="451B225C"/>
    <w:rsid w:val="452410C9"/>
    <w:rsid w:val="45317DFB"/>
    <w:rsid w:val="456D3CE4"/>
    <w:rsid w:val="4579042C"/>
    <w:rsid w:val="457F0571"/>
    <w:rsid w:val="45851176"/>
    <w:rsid w:val="45C619AF"/>
    <w:rsid w:val="45C63B94"/>
    <w:rsid w:val="45CA5863"/>
    <w:rsid w:val="45CF0C17"/>
    <w:rsid w:val="45D159F8"/>
    <w:rsid w:val="460E7DA5"/>
    <w:rsid w:val="463C2AA5"/>
    <w:rsid w:val="46422483"/>
    <w:rsid w:val="4659254A"/>
    <w:rsid w:val="465B0637"/>
    <w:rsid w:val="465E3F0D"/>
    <w:rsid w:val="466A16E6"/>
    <w:rsid w:val="46893F2B"/>
    <w:rsid w:val="46902609"/>
    <w:rsid w:val="46B93843"/>
    <w:rsid w:val="46C4686E"/>
    <w:rsid w:val="46DC2A59"/>
    <w:rsid w:val="475353E4"/>
    <w:rsid w:val="477B778F"/>
    <w:rsid w:val="478203EC"/>
    <w:rsid w:val="47904E3C"/>
    <w:rsid w:val="4792415F"/>
    <w:rsid w:val="47B025FA"/>
    <w:rsid w:val="47D25A4B"/>
    <w:rsid w:val="4809698F"/>
    <w:rsid w:val="4811697D"/>
    <w:rsid w:val="48455675"/>
    <w:rsid w:val="487A3E25"/>
    <w:rsid w:val="487E68F3"/>
    <w:rsid w:val="488B5503"/>
    <w:rsid w:val="48937E21"/>
    <w:rsid w:val="489A0361"/>
    <w:rsid w:val="48B94FF3"/>
    <w:rsid w:val="48E37AAB"/>
    <w:rsid w:val="48FD4B4C"/>
    <w:rsid w:val="49064E04"/>
    <w:rsid w:val="490A68E0"/>
    <w:rsid w:val="491055FE"/>
    <w:rsid w:val="4925753D"/>
    <w:rsid w:val="495F5B3E"/>
    <w:rsid w:val="496F77D7"/>
    <w:rsid w:val="497654FD"/>
    <w:rsid w:val="497E4ABC"/>
    <w:rsid w:val="49B64211"/>
    <w:rsid w:val="49F6167F"/>
    <w:rsid w:val="4A064FA0"/>
    <w:rsid w:val="4A16615C"/>
    <w:rsid w:val="4A4424D7"/>
    <w:rsid w:val="4AAF5028"/>
    <w:rsid w:val="4AB162F4"/>
    <w:rsid w:val="4AB82D0F"/>
    <w:rsid w:val="4AC960DE"/>
    <w:rsid w:val="4AEB7664"/>
    <w:rsid w:val="4AFD7C19"/>
    <w:rsid w:val="4B0567D1"/>
    <w:rsid w:val="4B236AAE"/>
    <w:rsid w:val="4B3D6AD7"/>
    <w:rsid w:val="4B58121B"/>
    <w:rsid w:val="4B707271"/>
    <w:rsid w:val="4B9739F7"/>
    <w:rsid w:val="4BEE2503"/>
    <w:rsid w:val="4BF713B4"/>
    <w:rsid w:val="4C245A30"/>
    <w:rsid w:val="4C394262"/>
    <w:rsid w:val="4C7505A4"/>
    <w:rsid w:val="4CB259E4"/>
    <w:rsid w:val="4CB6685F"/>
    <w:rsid w:val="4CC367FE"/>
    <w:rsid w:val="4CD9638C"/>
    <w:rsid w:val="4CE157D3"/>
    <w:rsid w:val="4D077F3C"/>
    <w:rsid w:val="4D123355"/>
    <w:rsid w:val="4D2910C1"/>
    <w:rsid w:val="4D2A3B31"/>
    <w:rsid w:val="4D312C52"/>
    <w:rsid w:val="4D377265"/>
    <w:rsid w:val="4D3B7C6E"/>
    <w:rsid w:val="4D6416B9"/>
    <w:rsid w:val="4D905305"/>
    <w:rsid w:val="4D964A72"/>
    <w:rsid w:val="4D9C1254"/>
    <w:rsid w:val="4DAE5A6A"/>
    <w:rsid w:val="4DC332C4"/>
    <w:rsid w:val="4E532592"/>
    <w:rsid w:val="4E793892"/>
    <w:rsid w:val="4E800872"/>
    <w:rsid w:val="4E813720"/>
    <w:rsid w:val="4E8F764A"/>
    <w:rsid w:val="4EC569ED"/>
    <w:rsid w:val="4ED50EA1"/>
    <w:rsid w:val="4EEC050C"/>
    <w:rsid w:val="4F104EC3"/>
    <w:rsid w:val="4F47354A"/>
    <w:rsid w:val="4F6B3C13"/>
    <w:rsid w:val="4F911C54"/>
    <w:rsid w:val="4F9C38B8"/>
    <w:rsid w:val="4FE625E0"/>
    <w:rsid w:val="5021480F"/>
    <w:rsid w:val="50650662"/>
    <w:rsid w:val="50962ECB"/>
    <w:rsid w:val="50A42E38"/>
    <w:rsid w:val="50A4577F"/>
    <w:rsid w:val="50B73D1F"/>
    <w:rsid w:val="50BD5BC9"/>
    <w:rsid w:val="50C11EEE"/>
    <w:rsid w:val="50E97CFC"/>
    <w:rsid w:val="50FA4028"/>
    <w:rsid w:val="510D65B7"/>
    <w:rsid w:val="511157AB"/>
    <w:rsid w:val="512F0C70"/>
    <w:rsid w:val="5142540C"/>
    <w:rsid w:val="5151508A"/>
    <w:rsid w:val="518832C8"/>
    <w:rsid w:val="518D495C"/>
    <w:rsid w:val="51955F84"/>
    <w:rsid w:val="51A0432A"/>
    <w:rsid w:val="51A86090"/>
    <w:rsid w:val="51B7396D"/>
    <w:rsid w:val="51CE0489"/>
    <w:rsid w:val="522E4CC3"/>
    <w:rsid w:val="5244713B"/>
    <w:rsid w:val="525F1FAA"/>
    <w:rsid w:val="52615633"/>
    <w:rsid w:val="52977FD4"/>
    <w:rsid w:val="52A25790"/>
    <w:rsid w:val="52A96B6F"/>
    <w:rsid w:val="52B45975"/>
    <w:rsid w:val="52D94AA4"/>
    <w:rsid w:val="52E80543"/>
    <w:rsid w:val="52EA3A62"/>
    <w:rsid w:val="52F50BB8"/>
    <w:rsid w:val="53097272"/>
    <w:rsid w:val="53281E1B"/>
    <w:rsid w:val="53544462"/>
    <w:rsid w:val="536966BB"/>
    <w:rsid w:val="5392198F"/>
    <w:rsid w:val="5397158E"/>
    <w:rsid w:val="53AE5446"/>
    <w:rsid w:val="53C6657A"/>
    <w:rsid w:val="54013861"/>
    <w:rsid w:val="54181E8F"/>
    <w:rsid w:val="543755E9"/>
    <w:rsid w:val="54487265"/>
    <w:rsid w:val="544D6070"/>
    <w:rsid w:val="54605E1E"/>
    <w:rsid w:val="548779E3"/>
    <w:rsid w:val="54B0461A"/>
    <w:rsid w:val="54B3506A"/>
    <w:rsid w:val="54CA0D16"/>
    <w:rsid w:val="54DD4057"/>
    <w:rsid w:val="54E7490F"/>
    <w:rsid w:val="550764A4"/>
    <w:rsid w:val="550B2BF6"/>
    <w:rsid w:val="55214EB5"/>
    <w:rsid w:val="55364EFD"/>
    <w:rsid w:val="553A3D98"/>
    <w:rsid w:val="553C6812"/>
    <w:rsid w:val="55452810"/>
    <w:rsid w:val="555D4828"/>
    <w:rsid w:val="557A4C8B"/>
    <w:rsid w:val="558931E1"/>
    <w:rsid w:val="55923347"/>
    <w:rsid w:val="55925180"/>
    <w:rsid w:val="55983B1B"/>
    <w:rsid w:val="55A8376B"/>
    <w:rsid w:val="55DC29B6"/>
    <w:rsid w:val="55DD4241"/>
    <w:rsid w:val="55F46A4D"/>
    <w:rsid w:val="563034C0"/>
    <w:rsid w:val="566B6D1E"/>
    <w:rsid w:val="56D46542"/>
    <w:rsid w:val="56E60023"/>
    <w:rsid w:val="57032A2C"/>
    <w:rsid w:val="570F5219"/>
    <w:rsid w:val="57284198"/>
    <w:rsid w:val="574865E8"/>
    <w:rsid w:val="575D12B5"/>
    <w:rsid w:val="57610A87"/>
    <w:rsid w:val="577B1140"/>
    <w:rsid w:val="577B7F21"/>
    <w:rsid w:val="577F181B"/>
    <w:rsid w:val="57921984"/>
    <w:rsid w:val="57925DBC"/>
    <w:rsid w:val="579737F0"/>
    <w:rsid w:val="57AB7B30"/>
    <w:rsid w:val="57AF5251"/>
    <w:rsid w:val="57B26373"/>
    <w:rsid w:val="57B63F04"/>
    <w:rsid w:val="57CD20C2"/>
    <w:rsid w:val="57D41D42"/>
    <w:rsid w:val="57D675AB"/>
    <w:rsid w:val="57D95FDD"/>
    <w:rsid w:val="58005186"/>
    <w:rsid w:val="58917D2F"/>
    <w:rsid w:val="5894085C"/>
    <w:rsid w:val="58AE4F0C"/>
    <w:rsid w:val="58B85899"/>
    <w:rsid w:val="58BE2FCB"/>
    <w:rsid w:val="58E363A9"/>
    <w:rsid w:val="595E1678"/>
    <w:rsid w:val="596D5BD4"/>
    <w:rsid w:val="597E3DD8"/>
    <w:rsid w:val="59F80043"/>
    <w:rsid w:val="5A0350E6"/>
    <w:rsid w:val="5A09252F"/>
    <w:rsid w:val="5A0B2778"/>
    <w:rsid w:val="5A2A7C7B"/>
    <w:rsid w:val="5A322BA0"/>
    <w:rsid w:val="5A3E2560"/>
    <w:rsid w:val="5A5D3B6E"/>
    <w:rsid w:val="5A637A76"/>
    <w:rsid w:val="5A6D33BA"/>
    <w:rsid w:val="5A792B1F"/>
    <w:rsid w:val="5A874767"/>
    <w:rsid w:val="5A981634"/>
    <w:rsid w:val="5AA23FBD"/>
    <w:rsid w:val="5AA73277"/>
    <w:rsid w:val="5AAD6F28"/>
    <w:rsid w:val="5AD63A24"/>
    <w:rsid w:val="5B2E1A1D"/>
    <w:rsid w:val="5B8322E4"/>
    <w:rsid w:val="5B843A1C"/>
    <w:rsid w:val="5B873E3F"/>
    <w:rsid w:val="5BE511A5"/>
    <w:rsid w:val="5C02690E"/>
    <w:rsid w:val="5C134CB3"/>
    <w:rsid w:val="5C196DA7"/>
    <w:rsid w:val="5C1C5EC4"/>
    <w:rsid w:val="5C1D44E7"/>
    <w:rsid w:val="5C2A048C"/>
    <w:rsid w:val="5C2A137B"/>
    <w:rsid w:val="5C336878"/>
    <w:rsid w:val="5C4636E2"/>
    <w:rsid w:val="5C80234E"/>
    <w:rsid w:val="5C8A680C"/>
    <w:rsid w:val="5CE33930"/>
    <w:rsid w:val="5D0C4701"/>
    <w:rsid w:val="5D0F0395"/>
    <w:rsid w:val="5D221076"/>
    <w:rsid w:val="5D353988"/>
    <w:rsid w:val="5D397964"/>
    <w:rsid w:val="5D495904"/>
    <w:rsid w:val="5D533E45"/>
    <w:rsid w:val="5D5A391C"/>
    <w:rsid w:val="5D5F10C0"/>
    <w:rsid w:val="5D891B7B"/>
    <w:rsid w:val="5DAD38EE"/>
    <w:rsid w:val="5DD40481"/>
    <w:rsid w:val="5E006862"/>
    <w:rsid w:val="5E0207B9"/>
    <w:rsid w:val="5E1834A1"/>
    <w:rsid w:val="5E1B0BA5"/>
    <w:rsid w:val="5E251431"/>
    <w:rsid w:val="5E261785"/>
    <w:rsid w:val="5E343D6A"/>
    <w:rsid w:val="5E4739DF"/>
    <w:rsid w:val="5E4A7017"/>
    <w:rsid w:val="5E552BBA"/>
    <w:rsid w:val="5E611C10"/>
    <w:rsid w:val="5E6E683F"/>
    <w:rsid w:val="5E7D61BB"/>
    <w:rsid w:val="5ED5033D"/>
    <w:rsid w:val="5EFC7377"/>
    <w:rsid w:val="5F06174D"/>
    <w:rsid w:val="5F3A3602"/>
    <w:rsid w:val="5F6277C6"/>
    <w:rsid w:val="5F6D0B1D"/>
    <w:rsid w:val="5F7A114F"/>
    <w:rsid w:val="5F843B90"/>
    <w:rsid w:val="5F8D0B82"/>
    <w:rsid w:val="5FCC5339"/>
    <w:rsid w:val="5FE27220"/>
    <w:rsid w:val="5FE34A5B"/>
    <w:rsid w:val="5FF160F1"/>
    <w:rsid w:val="5FFE1E36"/>
    <w:rsid w:val="60232584"/>
    <w:rsid w:val="602648A8"/>
    <w:rsid w:val="606D1B97"/>
    <w:rsid w:val="607330CE"/>
    <w:rsid w:val="60825176"/>
    <w:rsid w:val="609F2AC4"/>
    <w:rsid w:val="60A07229"/>
    <w:rsid w:val="60A07495"/>
    <w:rsid w:val="60FA2EE8"/>
    <w:rsid w:val="61054A27"/>
    <w:rsid w:val="610A52BC"/>
    <w:rsid w:val="611D2366"/>
    <w:rsid w:val="613009FC"/>
    <w:rsid w:val="61335967"/>
    <w:rsid w:val="613F2BA9"/>
    <w:rsid w:val="61421856"/>
    <w:rsid w:val="615227C4"/>
    <w:rsid w:val="61654E3F"/>
    <w:rsid w:val="617701F5"/>
    <w:rsid w:val="6182292A"/>
    <w:rsid w:val="61930F65"/>
    <w:rsid w:val="619F7F92"/>
    <w:rsid w:val="61F7208D"/>
    <w:rsid w:val="61F94C26"/>
    <w:rsid w:val="62000E56"/>
    <w:rsid w:val="620D0B5A"/>
    <w:rsid w:val="62261C1B"/>
    <w:rsid w:val="624F3E49"/>
    <w:rsid w:val="62632286"/>
    <w:rsid w:val="627073C1"/>
    <w:rsid w:val="62742987"/>
    <w:rsid w:val="62885958"/>
    <w:rsid w:val="62F40B65"/>
    <w:rsid w:val="62FC2CFE"/>
    <w:rsid w:val="62FC312C"/>
    <w:rsid w:val="63024505"/>
    <w:rsid w:val="635B1DB5"/>
    <w:rsid w:val="63711FED"/>
    <w:rsid w:val="637230E9"/>
    <w:rsid w:val="63880DDC"/>
    <w:rsid w:val="638D750D"/>
    <w:rsid w:val="63AC6CC0"/>
    <w:rsid w:val="63F91B7F"/>
    <w:rsid w:val="640362F8"/>
    <w:rsid w:val="64055776"/>
    <w:rsid w:val="64240056"/>
    <w:rsid w:val="643E143A"/>
    <w:rsid w:val="64664551"/>
    <w:rsid w:val="648B6EEF"/>
    <w:rsid w:val="64B11AA2"/>
    <w:rsid w:val="64C158BF"/>
    <w:rsid w:val="64C9520C"/>
    <w:rsid w:val="64CE2EAA"/>
    <w:rsid w:val="64CE7811"/>
    <w:rsid w:val="653C3090"/>
    <w:rsid w:val="65854376"/>
    <w:rsid w:val="658767BE"/>
    <w:rsid w:val="65892531"/>
    <w:rsid w:val="66195831"/>
    <w:rsid w:val="662E75B1"/>
    <w:rsid w:val="66342C2E"/>
    <w:rsid w:val="663E784C"/>
    <w:rsid w:val="668B6A45"/>
    <w:rsid w:val="66DC6D4D"/>
    <w:rsid w:val="66F9345B"/>
    <w:rsid w:val="672F3F24"/>
    <w:rsid w:val="673E055F"/>
    <w:rsid w:val="67551CE3"/>
    <w:rsid w:val="67A22552"/>
    <w:rsid w:val="67B22DCC"/>
    <w:rsid w:val="67BE71AA"/>
    <w:rsid w:val="67BF709C"/>
    <w:rsid w:val="67D90273"/>
    <w:rsid w:val="67DE5875"/>
    <w:rsid w:val="67E55852"/>
    <w:rsid w:val="67EB1AB4"/>
    <w:rsid w:val="67FA1285"/>
    <w:rsid w:val="68177693"/>
    <w:rsid w:val="68551F4F"/>
    <w:rsid w:val="687C10C9"/>
    <w:rsid w:val="68840C16"/>
    <w:rsid w:val="68876EFB"/>
    <w:rsid w:val="68884654"/>
    <w:rsid w:val="689F444F"/>
    <w:rsid w:val="68B96DBB"/>
    <w:rsid w:val="68C1269E"/>
    <w:rsid w:val="68CA2805"/>
    <w:rsid w:val="68E937A3"/>
    <w:rsid w:val="693E15D3"/>
    <w:rsid w:val="69627681"/>
    <w:rsid w:val="69717C20"/>
    <w:rsid w:val="6977531D"/>
    <w:rsid w:val="69780F22"/>
    <w:rsid w:val="69CC2BFF"/>
    <w:rsid w:val="69FD55B8"/>
    <w:rsid w:val="6A04488D"/>
    <w:rsid w:val="6A072443"/>
    <w:rsid w:val="6A0B1C62"/>
    <w:rsid w:val="6A2406C8"/>
    <w:rsid w:val="6A333127"/>
    <w:rsid w:val="6A35129B"/>
    <w:rsid w:val="6A5657B5"/>
    <w:rsid w:val="6A6336BE"/>
    <w:rsid w:val="6A6E23B2"/>
    <w:rsid w:val="6A731776"/>
    <w:rsid w:val="6AAA7055"/>
    <w:rsid w:val="6ADE0BD1"/>
    <w:rsid w:val="6AE96859"/>
    <w:rsid w:val="6B147746"/>
    <w:rsid w:val="6B24787C"/>
    <w:rsid w:val="6B573233"/>
    <w:rsid w:val="6B5B6274"/>
    <w:rsid w:val="6B935D53"/>
    <w:rsid w:val="6B95409A"/>
    <w:rsid w:val="6BD033F3"/>
    <w:rsid w:val="6C117498"/>
    <w:rsid w:val="6C187663"/>
    <w:rsid w:val="6C196F71"/>
    <w:rsid w:val="6C1A00FB"/>
    <w:rsid w:val="6C226FCB"/>
    <w:rsid w:val="6C31226F"/>
    <w:rsid w:val="6C552F0B"/>
    <w:rsid w:val="6C810510"/>
    <w:rsid w:val="6C8C67B7"/>
    <w:rsid w:val="6C9A2CE1"/>
    <w:rsid w:val="6C9D744C"/>
    <w:rsid w:val="6CD45443"/>
    <w:rsid w:val="6CDF1345"/>
    <w:rsid w:val="6D167928"/>
    <w:rsid w:val="6D26299B"/>
    <w:rsid w:val="6D3C2E83"/>
    <w:rsid w:val="6D4772EC"/>
    <w:rsid w:val="6D9078AF"/>
    <w:rsid w:val="6DAA3FEF"/>
    <w:rsid w:val="6DC0172B"/>
    <w:rsid w:val="6DCB690C"/>
    <w:rsid w:val="6DD41A5B"/>
    <w:rsid w:val="6DF43C2E"/>
    <w:rsid w:val="6DF51CA3"/>
    <w:rsid w:val="6E0468FF"/>
    <w:rsid w:val="6E8335BD"/>
    <w:rsid w:val="6E8E12EF"/>
    <w:rsid w:val="6E972936"/>
    <w:rsid w:val="6E9F6864"/>
    <w:rsid w:val="6EBA6FC6"/>
    <w:rsid w:val="6EBE10A7"/>
    <w:rsid w:val="6ED446C5"/>
    <w:rsid w:val="6EF94AB3"/>
    <w:rsid w:val="6F0563CA"/>
    <w:rsid w:val="6F2A7D94"/>
    <w:rsid w:val="6F35349E"/>
    <w:rsid w:val="6F8331F1"/>
    <w:rsid w:val="6FAE1A09"/>
    <w:rsid w:val="6FD75BF8"/>
    <w:rsid w:val="70025F23"/>
    <w:rsid w:val="700D7E01"/>
    <w:rsid w:val="70714349"/>
    <w:rsid w:val="707723D0"/>
    <w:rsid w:val="70A76541"/>
    <w:rsid w:val="70C90342"/>
    <w:rsid w:val="70D6255E"/>
    <w:rsid w:val="70F375C4"/>
    <w:rsid w:val="70F5661B"/>
    <w:rsid w:val="711E1282"/>
    <w:rsid w:val="71360107"/>
    <w:rsid w:val="713B688E"/>
    <w:rsid w:val="71AC53AC"/>
    <w:rsid w:val="71D13952"/>
    <w:rsid w:val="71D43752"/>
    <w:rsid w:val="71F1796A"/>
    <w:rsid w:val="720942CE"/>
    <w:rsid w:val="720C2BDC"/>
    <w:rsid w:val="72154626"/>
    <w:rsid w:val="721A7F61"/>
    <w:rsid w:val="72262B5D"/>
    <w:rsid w:val="72283FF7"/>
    <w:rsid w:val="722E7212"/>
    <w:rsid w:val="723A0474"/>
    <w:rsid w:val="725923E4"/>
    <w:rsid w:val="7272616A"/>
    <w:rsid w:val="72864BF7"/>
    <w:rsid w:val="729023FC"/>
    <w:rsid w:val="73C0646E"/>
    <w:rsid w:val="73E5356E"/>
    <w:rsid w:val="73EF1E6D"/>
    <w:rsid w:val="73F53F72"/>
    <w:rsid w:val="742222F5"/>
    <w:rsid w:val="74476126"/>
    <w:rsid w:val="74706664"/>
    <w:rsid w:val="747F3682"/>
    <w:rsid w:val="748A7DE8"/>
    <w:rsid w:val="749C4185"/>
    <w:rsid w:val="75067759"/>
    <w:rsid w:val="752E6DCD"/>
    <w:rsid w:val="7551380D"/>
    <w:rsid w:val="75600BE5"/>
    <w:rsid w:val="75615E9D"/>
    <w:rsid w:val="7564475C"/>
    <w:rsid w:val="757E794D"/>
    <w:rsid w:val="7583797F"/>
    <w:rsid w:val="759F5B15"/>
    <w:rsid w:val="75AF0300"/>
    <w:rsid w:val="75D20F1D"/>
    <w:rsid w:val="75DA2C18"/>
    <w:rsid w:val="75DB47AA"/>
    <w:rsid w:val="75F54412"/>
    <w:rsid w:val="76087502"/>
    <w:rsid w:val="761D08E0"/>
    <w:rsid w:val="76462B0F"/>
    <w:rsid w:val="764D4A73"/>
    <w:rsid w:val="765D347C"/>
    <w:rsid w:val="76826699"/>
    <w:rsid w:val="76A66DF1"/>
    <w:rsid w:val="76B315A9"/>
    <w:rsid w:val="76B566AC"/>
    <w:rsid w:val="76C87133"/>
    <w:rsid w:val="76CD08D5"/>
    <w:rsid w:val="76DB4B92"/>
    <w:rsid w:val="77052AA4"/>
    <w:rsid w:val="77136511"/>
    <w:rsid w:val="771F4A42"/>
    <w:rsid w:val="77204A34"/>
    <w:rsid w:val="77340A39"/>
    <w:rsid w:val="77351FD0"/>
    <w:rsid w:val="7740015F"/>
    <w:rsid w:val="77472422"/>
    <w:rsid w:val="7763043E"/>
    <w:rsid w:val="777F31F2"/>
    <w:rsid w:val="77D1700D"/>
    <w:rsid w:val="77D64CF9"/>
    <w:rsid w:val="77E023DD"/>
    <w:rsid w:val="77E872FF"/>
    <w:rsid w:val="77EC04CC"/>
    <w:rsid w:val="78000AED"/>
    <w:rsid w:val="7800305B"/>
    <w:rsid w:val="78775729"/>
    <w:rsid w:val="78880AE2"/>
    <w:rsid w:val="78A42DB0"/>
    <w:rsid w:val="78A656AB"/>
    <w:rsid w:val="78B2245C"/>
    <w:rsid w:val="78E172CC"/>
    <w:rsid w:val="78EA1D1F"/>
    <w:rsid w:val="78EF3601"/>
    <w:rsid w:val="7904172F"/>
    <w:rsid w:val="790F7E27"/>
    <w:rsid w:val="791443FB"/>
    <w:rsid w:val="792A231A"/>
    <w:rsid w:val="79316829"/>
    <w:rsid w:val="797620E8"/>
    <w:rsid w:val="797E66A9"/>
    <w:rsid w:val="79840B83"/>
    <w:rsid w:val="799D4C7B"/>
    <w:rsid w:val="79A97383"/>
    <w:rsid w:val="79E27E8B"/>
    <w:rsid w:val="79F850CE"/>
    <w:rsid w:val="79FD443C"/>
    <w:rsid w:val="7A147DD2"/>
    <w:rsid w:val="7A153305"/>
    <w:rsid w:val="7A170370"/>
    <w:rsid w:val="7A1C7172"/>
    <w:rsid w:val="7A1D1975"/>
    <w:rsid w:val="7A3A127D"/>
    <w:rsid w:val="7A3E5150"/>
    <w:rsid w:val="7A4670D6"/>
    <w:rsid w:val="7A534B63"/>
    <w:rsid w:val="7A615382"/>
    <w:rsid w:val="7A633FE0"/>
    <w:rsid w:val="7A666C01"/>
    <w:rsid w:val="7A67303B"/>
    <w:rsid w:val="7A7430CC"/>
    <w:rsid w:val="7A7734AC"/>
    <w:rsid w:val="7AA31EC4"/>
    <w:rsid w:val="7AAB1D04"/>
    <w:rsid w:val="7ABA4368"/>
    <w:rsid w:val="7ABB5863"/>
    <w:rsid w:val="7ABE6A3D"/>
    <w:rsid w:val="7AD05746"/>
    <w:rsid w:val="7B18625A"/>
    <w:rsid w:val="7B257FFD"/>
    <w:rsid w:val="7B343476"/>
    <w:rsid w:val="7B5A2978"/>
    <w:rsid w:val="7B5A7E4C"/>
    <w:rsid w:val="7B667AF9"/>
    <w:rsid w:val="7B7468F8"/>
    <w:rsid w:val="7BEE0103"/>
    <w:rsid w:val="7BF124A0"/>
    <w:rsid w:val="7BF87D2D"/>
    <w:rsid w:val="7C0A0FE4"/>
    <w:rsid w:val="7C254906"/>
    <w:rsid w:val="7C4D62CB"/>
    <w:rsid w:val="7C4F2043"/>
    <w:rsid w:val="7C590818"/>
    <w:rsid w:val="7C7C10F6"/>
    <w:rsid w:val="7C853BEA"/>
    <w:rsid w:val="7C881368"/>
    <w:rsid w:val="7CC32715"/>
    <w:rsid w:val="7CD66C0D"/>
    <w:rsid w:val="7CDA1978"/>
    <w:rsid w:val="7CE27788"/>
    <w:rsid w:val="7D0C32F1"/>
    <w:rsid w:val="7D0F408D"/>
    <w:rsid w:val="7D342FE7"/>
    <w:rsid w:val="7D491C6C"/>
    <w:rsid w:val="7D5429C0"/>
    <w:rsid w:val="7D623E0F"/>
    <w:rsid w:val="7D66139B"/>
    <w:rsid w:val="7D6E6D43"/>
    <w:rsid w:val="7D74383B"/>
    <w:rsid w:val="7DB57A34"/>
    <w:rsid w:val="7DC46119"/>
    <w:rsid w:val="7DE60973"/>
    <w:rsid w:val="7DEF0916"/>
    <w:rsid w:val="7E1E5218"/>
    <w:rsid w:val="7E3F40D1"/>
    <w:rsid w:val="7E9A4E1F"/>
    <w:rsid w:val="7EA7723A"/>
    <w:rsid w:val="7ED56104"/>
    <w:rsid w:val="7EF56FBB"/>
    <w:rsid w:val="7F0768EB"/>
    <w:rsid w:val="7F143BEC"/>
    <w:rsid w:val="7F354B67"/>
    <w:rsid w:val="7F604567"/>
    <w:rsid w:val="7F715AF2"/>
    <w:rsid w:val="7F886E69"/>
    <w:rsid w:val="7F916469"/>
    <w:rsid w:val="7F9F0A3B"/>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7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qFormat/>
    <w:uiPriority w:val="0"/>
    <w:pPr>
      <w:shd w:val="clear" w:color="auto" w:fill="000080"/>
    </w:pPr>
  </w:style>
  <w:style w:type="paragraph" w:styleId="19">
    <w:name w:val="annotation text"/>
    <w:basedOn w:val="1"/>
    <w:link w:val="89"/>
    <w:qFormat/>
    <w:uiPriority w:val="99"/>
    <w:pPr>
      <w:jc w:val="left"/>
    </w:pPr>
  </w:style>
  <w:style w:type="paragraph" w:styleId="20">
    <w:name w:val="Salutation"/>
    <w:basedOn w:val="1"/>
    <w:next w:val="1"/>
    <w:link w:val="90"/>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9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94"/>
    <w:qFormat/>
    <w:uiPriority w:val="0"/>
    <w:pPr>
      <w:spacing w:line="480" w:lineRule="exact"/>
      <w:ind w:firstLine="480" w:firstLineChars="200"/>
    </w:pPr>
    <w:rPr>
      <w:rFonts w:ascii="宋体" w:hAnsi="宋体"/>
      <w:sz w:val="24"/>
    </w:rPr>
  </w:style>
  <w:style w:type="paragraph" w:styleId="27">
    <w:name w:val="Body Text First Indent 2"/>
    <w:basedOn w:val="26"/>
    <w:next w:val="24"/>
    <w:link w:val="9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97"/>
    <w:qFormat/>
    <w:uiPriority w:val="99"/>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98"/>
    <w:qFormat/>
    <w:uiPriority w:val="0"/>
    <w:pPr>
      <w:ind w:left="100" w:leftChars="2500"/>
    </w:pPr>
    <w:rPr>
      <w:rFonts w:ascii="宋体"/>
      <w:sz w:val="24"/>
      <w:szCs w:val="21"/>
      <w:lang w:val="zh-CN"/>
    </w:rPr>
  </w:style>
  <w:style w:type="paragraph" w:styleId="39">
    <w:name w:val="Body Text Indent 2"/>
    <w:basedOn w:val="1"/>
    <w:link w:val="99"/>
    <w:qFormat/>
    <w:uiPriority w:val="0"/>
    <w:pPr>
      <w:spacing w:line="360" w:lineRule="auto"/>
      <w:ind w:firstLine="601"/>
      <w:textAlignment w:val="baseline"/>
    </w:pPr>
    <w:rPr>
      <w:rFonts w:ascii="宋体"/>
      <w:kern w:val="0"/>
      <w:sz w:val="28"/>
      <w:szCs w:val="20"/>
    </w:rPr>
  </w:style>
  <w:style w:type="paragraph" w:styleId="40">
    <w:name w:val="endnote text"/>
    <w:basedOn w:val="1"/>
    <w:link w:val="100"/>
    <w:qFormat/>
    <w:uiPriority w:val="0"/>
    <w:rPr>
      <w:lang w:val="zh-CN"/>
    </w:rPr>
  </w:style>
  <w:style w:type="paragraph" w:styleId="41">
    <w:name w:val="Balloon Text"/>
    <w:basedOn w:val="1"/>
    <w:link w:val="101"/>
    <w:qFormat/>
    <w:uiPriority w:val="0"/>
    <w:rPr>
      <w:sz w:val="18"/>
      <w:szCs w:val="18"/>
    </w:rPr>
  </w:style>
  <w:style w:type="paragraph" w:styleId="42">
    <w:name w:val="footer"/>
    <w:basedOn w:val="1"/>
    <w:link w:val="102"/>
    <w:qFormat/>
    <w:uiPriority w:val="99"/>
    <w:pPr>
      <w:tabs>
        <w:tab w:val="center" w:pos="4153"/>
        <w:tab w:val="right" w:pos="8306"/>
      </w:tabs>
      <w:snapToGrid w:val="0"/>
      <w:jc w:val="left"/>
    </w:pPr>
    <w:rPr>
      <w:sz w:val="18"/>
      <w:szCs w:val="18"/>
    </w:rPr>
  </w:style>
  <w:style w:type="paragraph" w:styleId="43">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106"/>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8"/>
    <w:qFormat/>
    <w:uiPriority w:val="0"/>
    <w:pPr>
      <w:spacing w:after="120" w:line="480" w:lineRule="auto"/>
    </w:pPr>
  </w:style>
  <w:style w:type="paragraph" w:styleId="58">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1"/>
    <w:qFormat/>
    <w:uiPriority w:val="0"/>
    <w:rPr>
      <w:b/>
      <w:bCs/>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2"/>
      </w:tblPr>
      <w:tcPr>
        <w:tcBorders>
          <w:top w:val="nil"/>
          <w:left w:val="single" w:color="000000" w:sz="12" w:space="0"/>
          <w:bottom w:val="nil"/>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Char2"/>
    <w:link w:val="2"/>
    <w:qFormat/>
    <w:uiPriority w:val="9"/>
    <w:rPr>
      <w:rFonts w:ascii="Arial" w:hAnsi="Arial" w:eastAsia="黑体"/>
      <w:b/>
      <w:bCs/>
      <w:kern w:val="2"/>
      <w:sz w:val="28"/>
      <w:szCs w:val="28"/>
      <w:lang w:val="zh-CN"/>
    </w:rPr>
  </w:style>
  <w:style w:type="character" w:customStyle="1" w:styleId="80">
    <w:name w:val="标题 1 Char"/>
    <w:link w:val="3"/>
    <w:qFormat/>
    <w:uiPriority w:val="9"/>
    <w:rPr>
      <w:b/>
      <w:bCs/>
      <w:kern w:val="44"/>
      <w:sz w:val="44"/>
      <w:szCs w:val="44"/>
    </w:rPr>
  </w:style>
  <w:style w:type="character" w:customStyle="1" w:styleId="81">
    <w:name w:val="标题 5 Char"/>
    <w:link w:val="6"/>
    <w:qFormat/>
    <w:uiPriority w:val="9"/>
    <w:rPr>
      <w:b/>
      <w:bCs/>
      <w:kern w:val="2"/>
      <w:sz w:val="28"/>
      <w:szCs w:val="28"/>
    </w:rPr>
  </w:style>
  <w:style w:type="character" w:customStyle="1" w:styleId="82">
    <w:name w:val="标题 6 Char"/>
    <w:link w:val="7"/>
    <w:qFormat/>
    <w:uiPriority w:val="0"/>
    <w:rPr>
      <w:rFonts w:ascii="Arial" w:hAnsi="Arial" w:eastAsia="黑体"/>
      <w:b/>
      <w:bCs/>
      <w:kern w:val="2"/>
      <w:sz w:val="24"/>
      <w:szCs w:val="24"/>
    </w:rPr>
  </w:style>
  <w:style w:type="character" w:customStyle="1" w:styleId="83">
    <w:name w:val="标题 7 Char"/>
    <w:link w:val="8"/>
    <w:qFormat/>
    <w:uiPriority w:val="0"/>
    <w:rPr>
      <w:b/>
      <w:bCs/>
      <w:kern w:val="2"/>
      <w:sz w:val="24"/>
      <w:szCs w:val="24"/>
    </w:rPr>
  </w:style>
  <w:style w:type="character" w:customStyle="1" w:styleId="84">
    <w:name w:val="标题 8 Char"/>
    <w:link w:val="9"/>
    <w:qFormat/>
    <w:uiPriority w:val="0"/>
    <w:rPr>
      <w:rFonts w:ascii="Arial" w:hAnsi="Arial" w:eastAsia="黑体"/>
      <w:kern w:val="2"/>
      <w:sz w:val="24"/>
      <w:szCs w:val="24"/>
    </w:rPr>
  </w:style>
  <w:style w:type="character" w:customStyle="1" w:styleId="85">
    <w:name w:val="标题 9 Char"/>
    <w:link w:val="10"/>
    <w:qFormat/>
    <w:uiPriority w:val="0"/>
    <w:rPr>
      <w:rFonts w:ascii="Arial" w:hAnsi="Arial" w:eastAsia="黑体"/>
      <w:kern w:val="2"/>
      <w:sz w:val="21"/>
      <w:szCs w:val="21"/>
    </w:rPr>
  </w:style>
  <w:style w:type="character" w:customStyle="1" w:styleId="86">
    <w:name w:val="正文缩进 Char2"/>
    <w:link w:val="15"/>
    <w:qFormat/>
    <w:uiPriority w:val="0"/>
    <w:rPr>
      <w:rFonts w:ascii="宋体" w:eastAsia="宋体"/>
      <w:snapToGrid w:val="0"/>
      <w:color w:val="000000"/>
      <w:kern w:val="28"/>
      <w:sz w:val="28"/>
      <w:lang w:val="en-US" w:eastAsia="zh-CN" w:bidi="ar-SA"/>
    </w:rPr>
  </w:style>
  <w:style w:type="character" w:customStyle="1" w:styleId="87">
    <w:name w:val="题注 Char"/>
    <w:link w:val="16"/>
    <w:qFormat/>
    <w:uiPriority w:val="0"/>
    <w:rPr>
      <w:b/>
      <w:kern w:val="2"/>
      <w:sz w:val="28"/>
    </w:rPr>
  </w:style>
  <w:style w:type="character" w:customStyle="1" w:styleId="88">
    <w:name w:val="文档结构图 Char1"/>
    <w:link w:val="18"/>
    <w:qFormat/>
    <w:uiPriority w:val="0"/>
    <w:rPr>
      <w:kern w:val="2"/>
      <w:sz w:val="21"/>
      <w:szCs w:val="24"/>
      <w:shd w:val="clear" w:color="auto" w:fill="000080"/>
    </w:rPr>
  </w:style>
  <w:style w:type="character" w:customStyle="1" w:styleId="89">
    <w:name w:val="批注文字 Char1"/>
    <w:link w:val="19"/>
    <w:qFormat/>
    <w:uiPriority w:val="0"/>
    <w:rPr>
      <w:kern w:val="2"/>
      <w:sz w:val="21"/>
      <w:szCs w:val="24"/>
    </w:rPr>
  </w:style>
  <w:style w:type="character" w:customStyle="1" w:styleId="90">
    <w:name w:val="称呼 Char"/>
    <w:link w:val="20"/>
    <w:qFormat/>
    <w:uiPriority w:val="0"/>
    <w:rPr>
      <w:rFonts w:ascii="仿宋_GB2312" w:eastAsia="仿宋_GB2312"/>
      <w:kern w:val="2"/>
      <w:sz w:val="28"/>
    </w:rPr>
  </w:style>
  <w:style w:type="character" w:customStyle="1" w:styleId="91">
    <w:name w:val="正文文本 3 Char"/>
    <w:link w:val="21"/>
    <w:qFormat/>
    <w:uiPriority w:val="0"/>
    <w:rPr>
      <w:kern w:val="2"/>
      <w:sz w:val="21"/>
    </w:rPr>
  </w:style>
  <w:style w:type="character" w:customStyle="1" w:styleId="9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
    <w:name w:val="正文首行缩进 Char"/>
    <w:link w:val="24"/>
    <w:qFormat/>
    <w:uiPriority w:val="0"/>
    <w:rPr>
      <w:rFonts w:ascii="宋体"/>
      <w:kern w:val="2"/>
      <w:sz w:val="24"/>
      <w:lang w:val="zh-CN"/>
    </w:rPr>
  </w:style>
  <w:style w:type="character" w:customStyle="1" w:styleId="94">
    <w:name w:val="正文文本缩进 Char3"/>
    <w:link w:val="26"/>
    <w:qFormat/>
    <w:uiPriority w:val="0"/>
    <w:rPr>
      <w:rFonts w:ascii="宋体" w:hAnsi="宋体"/>
      <w:kern w:val="2"/>
      <w:sz w:val="24"/>
      <w:szCs w:val="24"/>
    </w:rPr>
  </w:style>
  <w:style w:type="character" w:customStyle="1" w:styleId="95">
    <w:name w:val="正文首行缩进 2 Char"/>
    <w:link w:val="27"/>
    <w:qFormat/>
    <w:uiPriority w:val="0"/>
    <w:rPr>
      <w:rFonts w:ascii="宋体" w:hAnsi="宋体"/>
      <w:kern w:val="2"/>
      <w:sz w:val="21"/>
      <w:szCs w:val="24"/>
    </w:rPr>
  </w:style>
  <w:style w:type="character" w:customStyle="1" w:styleId="96">
    <w:name w:val="HTML 地址 Char"/>
    <w:link w:val="32"/>
    <w:qFormat/>
    <w:uiPriority w:val="0"/>
    <w:rPr>
      <w:rFonts w:ascii="宋体" w:hAnsi="宋体"/>
      <w:i/>
      <w:iCs/>
      <w:sz w:val="24"/>
      <w:szCs w:val="24"/>
    </w:rPr>
  </w:style>
  <w:style w:type="character" w:customStyle="1" w:styleId="97">
    <w:name w:val="纯文本 Char"/>
    <w:link w:val="35"/>
    <w:qFormat/>
    <w:uiPriority w:val="99"/>
    <w:rPr>
      <w:rFonts w:ascii="宋体" w:hAnsi="Courier New" w:eastAsia="宋体" w:cs="Arial"/>
      <w:snapToGrid w:val="0"/>
      <w:kern w:val="2"/>
      <w:sz w:val="21"/>
      <w:szCs w:val="21"/>
      <w:lang w:val="en-US" w:eastAsia="zh-CN" w:bidi="ar-SA"/>
    </w:rPr>
  </w:style>
  <w:style w:type="character" w:customStyle="1" w:styleId="98">
    <w:name w:val="日期 Char"/>
    <w:link w:val="38"/>
    <w:qFormat/>
    <w:uiPriority w:val="0"/>
    <w:rPr>
      <w:rFonts w:ascii="宋体"/>
      <w:kern w:val="2"/>
      <w:sz w:val="24"/>
      <w:szCs w:val="21"/>
      <w:lang w:val="zh-CN"/>
    </w:rPr>
  </w:style>
  <w:style w:type="character" w:customStyle="1" w:styleId="99">
    <w:name w:val="正文文本缩进 2 Char"/>
    <w:link w:val="39"/>
    <w:qFormat/>
    <w:uiPriority w:val="0"/>
    <w:rPr>
      <w:rFonts w:ascii="宋体"/>
      <w:sz w:val="28"/>
    </w:rPr>
  </w:style>
  <w:style w:type="character" w:customStyle="1" w:styleId="100">
    <w:name w:val="尾注文本 Char"/>
    <w:link w:val="40"/>
    <w:qFormat/>
    <w:uiPriority w:val="0"/>
    <w:rPr>
      <w:kern w:val="2"/>
      <w:sz w:val="21"/>
      <w:szCs w:val="24"/>
      <w:lang w:val="zh-CN"/>
    </w:rPr>
  </w:style>
  <w:style w:type="character" w:customStyle="1" w:styleId="101">
    <w:name w:val="批注框文本 Char"/>
    <w:link w:val="41"/>
    <w:qFormat/>
    <w:uiPriority w:val="0"/>
    <w:rPr>
      <w:kern w:val="2"/>
      <w:sz w:val="18"/>
      <w:szCs w:val="18"/>
    </w:rPr>
  </w:style>
  <w:style w:type="character" w:customStyle="1" w:styleId="102">
    <w:name w:val="页脚 Char2"/>
    <w:link w:val="42"/>
    <w:qFormat/>
    <w:locked/>
    <w:uiPriority w:val="99"/>
    <w:rPr>
      <w:kern w:val="2"/>
      <w:sz w:val="18"/>
      <w:szCs w:val="18"/>
    </w:rPr>
  </w:style>
  <w:style w:type="character" w:customStyle="1" w:styleId="103">
    <w:name w:val="页眉 Char2"/>
    <w:link w:val="43"/>
    <w:qFormat/>
    <w:uiPriority w:val="99"/>
    <w:rPr>
      <w:kern w:val="2"/>
      <w:sz w:val="18"/>
      <w:szCs w:val="18"/>
    </w:rPr>
  </w:style>
  <w:style w:type="character" w:customStyle="1" w:styleId="104">
    <w:name w:val="签名 Char"/>
    <w:link w:val="44"/>
    <w:qFormat/>
    <w:uiPriority w:val="0"/>
    <w:rPr>
      <w:rFonts w:eastAsia="仿宋_GB2312"/>
      <w:sz w:val="24"/>
    </w:rPr>
  </w:style>
  <w:style w:type="character" w:customStyle="1" w:styleId="105">
    <w:name w:val="副标题 Char"/>
    <w:link w:val="49"/>
    <w:qFormat/>
    <w:uiPriority w:val="0"/>
    <w:rPr>
      <w:rFonts w:ascii="Arial" w:hAnsi="Arial" w:eastAsia="隶书"/>
      <w:b/>
      <w:bCs/>
      <w:kern w:val="28"/>
      <w:sz w:val="44"/>
      <w:szCs w:val="32"/>
      <w:lang w:val="en-US" w:eastAsia="zh-CN" w:bidi="ar-SA"/>
    </w:rPr>
  </w:style>
  <w:style w:type="character" w:customStyle="1" w:styleId="106">
    <w:name w:val="脚注文本 Char"/>
    <w:link w:val="52"/>
    <w:qFormat/>
    <w:uiPriority w:val="0"/>
    <w:rPr>
      <w:color w:val="0000FF"/>
      <w:sz w:val="21"/>
    </w:rPr>
  </w:style>
  <w:style w:type="character" w:customStyle="1" w:styleId="107">
    <w:name w:val="正文文本缩进 3 Char"/>
    <w:link w:val="54"/>
    <w:qFormat/>
    <w:uiPriority w:val="0"/>
    <w:rPr>
      <w:kern w:val="2"/>
      <w:sz w:val="24"/>
    </w:rPr>
  </w:style>
  <w:style w:type="character" w:customStyle="1" w:styleId="108">
    <w:name w:val="正文文本 2 Char1"/>
    <w:link w:val="57"/>
    <w:qFormat/>
    <w:uiPriority w:val="0"/>
    <w:rPr>
      <w:kern w:val="2"/>
      <w:sz w:val="21"/>
      <w:szCs w:val="24"/>
    </w:rPr>
  </w:style>
  <w:style w:type="character" w:customStyle="1" w:styleId="109">
    <w:name w:val="HTML 预设格式 Char"/>
    <w:link w:val="58"/>
    <w:qFormat/>
    <w:uiPriority w:val="0"/>
    <w:rPr>
      <w:rFonts w:ascii="黑体" w:hAnsi="Courier New" w:eastAsia="黑体"/>
    </w:rPr>
  </w:style>
  <w:style w:type="character" w:customStyle="1" w:styleId="110">
    <w:name w:val="标题 Char2"/>
    <w:link w:val="60"/>
    <w:qFormat/>
    <w:uiPriority w:val="10"/>
    <w:rPr>
      <w:b/>
      <w:sz w:val="24"/>
      <w:lang w:val="en-GB"/>
    </w:rPr>
  </w:style>
  <w:style w:type="character" w:customStyle="1" w:styleId="111">
    <w:name w:val="批注主题 Char1"/>
    <w:link w:val="61"/>
    <w:qFormat/>
    <w:uiPriority w:val="0"/>
    <w:rPr>
      <w:b/>
      <w:bCs/>
      <w:kern w:val="2"/>
      <w:sz w:val="21"/>
      <w:szCs w:val="24"/>
    </w:rPr>
  </w:style>
  <w:style w:type="paragraph" w:customStyle="1" w:styleId="11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69"/>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0"/>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4"/>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0"/>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0"/>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69"/>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2"/>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styleId="277">
    <w:name w:val="List Paragraph"/>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font01"/>
    <w:qFormat/>
    <w:uiPriority w:val="0"/>
    <w:rPr>
      <w:rFonts w:hint="eastAsia" w:ascii="微软雅黑" w:hAnsi="微软雅黑" w:eastAsia="微软雅黑" w:cs="微软雅黑"/>
      <w:color w:val="000000"/>
      <w:sz w:val="20"/>
      <w:szCs w:val="20"/>
      <w:u w:val="none"/>
    </w:rPr>
  </w:style>
  <w:style w:type="character" w:customStyle="1" w:styleId="285">
    <w:name w:val="Char Char20"/>
    <w:qFormat/>
    <w:uiPriority w:val="6"/>
    <w:rPr>
      <w:kern w:val="1"/>
      <w:sz w:val="24"/>
    </w:rPr>
  </w:style>
  <w:style w:type="character" w:customStyle="1" w:styleId="286">
    <w:name w:val="tw4winExternal"/>
    <w:qFormat/>
    <w:uiPriority w:val="0"/>
    <w:rPr>
      <w:rFonts w:ascii="Courier New" w:hAnsi="Courier New" w:cs="Courier New"/>
      <w:color w:val="808080"/>
      <w:lang w:val="en-US" w:eastAsia="zh-CN"/>
    </w:rPr>
  </w:style>
  <w:style w:type="character" w:customStyle="1" w:styleId="287">
    <w:name w:val="标题 4 Char1"/>
    <w:qFormat/>
    <w:uiPriority w:val="9"/>
    <w:rPr>
      <w:rFonts w:ascii="Cambria" w:hAnsi="Cambria" w:eastAsia="宋体" w:cs="Times New Roman"/>
      <w:b/>
      <w:bCs/>
      <w:kern w:val="2"/>
      <w:sz w:val="28"/>
      <w:szCs w:val="28"/>
    </w:rPr>
  </w:style>
  <w:style w:type="character" w:customStyle="1" w:styleId="288">
    <w:name w:val="批注文字 Char2"/>
    <w:qFormat/>
    <w:uiPriority w:val="99"/>
    <w:rPr>
      <w:rFonts w:ascii="Times New Roman" w:hAnsi="Times New Roman" w:eastAsia="宋体" w:cs="Times New Roman"/>
      <w:snapToGrid w:val="0"/>
      <w:kern w:val="0"/>
      <w:szCs w:val="24"/>
    </w:rPr>
  </w:style>
  <w:style w:type="character" w:customStyle="1" w:styleId="289">
    <w:name w:val="正文文本 2 Char"/>
    <w:qFormat/>
    <w:uiPriority w:val="0"/>
    <w:rPr>
      <w:rFonts w:eastAsia="宋体"/>
      <w:kern w:val="2"/>
      <w:sz w:val="21"/>
      <w:szCs w:val="24"/>
      <w:lang w:val="en-US" w:eastAsia="zh-CN" w:bidi="ar-SA"/>
    </w:rPr>
  </w:style>
  <w:style w:type="character" w:customStyle="1" w:styleId="290">
    <w:name w:val="Ò³Ã¼ Char Char"/>
    <w:qFormat/>
    <w:uiPriority w:val="0"/>
    <w:rPr>
      <w:rFonts w:eastAsia="宋体"/>
      <w:kern w:val="2"/>
      <w:sz w:val="18"/>
      <w:lang w:val="en-US" w:eastAsia="zh-CN" w:bidi="ar-SA"/>
    </w:rPr>
  </w:style>
  <w:style w:type="character" w:customStyle="1" w:styleId="291">
    <w:name w:val="message1"/>
    <w:qFormat/>
    <w:uiPriority w:val="0"/>
    <w:rPr>
      <w:rFonts w:hint="default" w:ascii="Tahoma" w:hAnsi="Tahoma" w:cs="Tahoma"/>
      <w:sz w:val="18"/>
      <w:szCs w:val="18"/>
    </w:rPr>
  </w:style>
  <w:style w:type="character" w:customStyle="1" w:styleId="292">
    <w:name w:val="Char Char23"/>
    <w:qFormat/>
    <w:uiPriority w:val="6"/>
    <w:rPr>
      <w:color w:val="0000FF"/>
      <w:sz w:val="21"/>
    </w:rPr>
  </w:style>
  <w:style w:type="character" w:customStyle="1" w:styleId="293">
    <w:name w:val="批注框文本 字符"/>
    <w:qFormat/>
    <w:uiPriority w:val="0"/>
    <w:rPr>
      <w:rFonts w:ascii="Arial" w:hAnsi="Arial" w:eastAsia="黑体" w:cs="Arial"/>
      <w:snapToGrid w:val="0"/>
      <w:kern w:val="0"/>
      <w:sz w:val="18"/>
      <w:szCs w:val="18"/>
    </w:rPr>
  </w:style>
  <w:style w:type="character" w:customStyle="1" w:styleId="294">
    <w:name w:val="纯文本 Char2"/>
    <w:semiHidden/>
    <w:qFormat/>
    <w:uiPriority w:val="99"/>
    <w:rPr>
      <w:rFonts w:ascii="宋体" w:hAnsi="Courier New" w:eastAsia="宋体" w:cs="Courier New"/>
    </w:rPr>
  </w:style>
  <w:style w:type="character" w:customStyle="1" w:styleId="295">
    <w:name w:val="Char Char25"/>
    <w:qFormat/>
    <w:uiPriority w:val="6"/>
    <w:rPr>
      <w:rFonts w:ascii="宋体" w:hAnsi="宋体"/>
      <w:kern w:val="1"/>
      <w:sz w:val="24"/>
      <w:lang w:val="zh-CN"/>
    </w:rPr>
  </w:style>
  <w:style w:type="character" w:customStyle="1" w:styleId="296">
    <w:name w:val="Char Char411"/>
    <w:qFormat/>
    <w:uiPriority w:val="0"/>
    <w:rPr>
      <w:rFonts w:eastAsia="宋体"/>
      <w:b/>
      <w:sz w:val="24"/>
      <w:lang w:val="en-GB" w:eastAsia="zh-CN" w:bidi="ar-SA"/>
    </w:rPr>
  </w:style>
  <w:style w:type="character" w:customStyle="1" w:styleId="297">
    <w:name w:val="Heading 7 Char"/>
    <w:qFormat/>
    <w:locked/>
    <w:uiPriority w:val="0"/>
    <w:rPr>
      <w:rFonts w:ascii="宋体" w:hAnsi="宋体" w:eastAsia="宋体"/>
      <w:b/>
      <w:bCs/>
      <w:kern w:val="2"/>
      <w:sz w:val="24"/>
      <w:szCs w:val="24"/>
      <w:lang w:val="en-US" w:eastAsia="zh-CN" w:bidi="ar-SA"/>
    </w:rPr>
  </w:style>
  <w:style w:type="character" w:customStyle="1" w:styleId="298">
    <w:name w:val="此正文 Char"/>
    <w:link w:val="299"/>
    <w:qFormat/>
    <w:uiPriority w:val="0"/>
    <w:rPr>
      <w:kern w:val="2"/>
      <w:sz w:val="24"/>
      <w:szCs w:val="24"/>
    </w:rPr>
  </w:style>
  <w:style w:type="paragraph" w:customStyle="1" w:styleId="299">
    <w:name w:val="此正文"/>
    <w:basedOn w:val="1"/>
    <w:link w:val="298"/>
    <w:qFormat/>
    <w:uiPriority w:val="0"/>
    <w:pPr>
      <w:adjustRightInd/>
      <w:spacing w:line="360" w:lineRule="auto"/>
      <w:ind w:firstLine="200" w:firstLineChars="200"/>
    </w:pPr>
    <w:rPr>
      <w:sz w:val="24"/>
    </w:rPr>
  </w:style>
  <w:style w:type="character" w:customStyle="1" w:styleId="300">
    <w:name w:val="Char Char2"/>
    <w:qFormat/>
    <w:uiPriority w:val="0"/>
    <w:rPr>
      <w:rFonts w:eastAsia="宋体"/>
      <w:b/>
      <w:bCs/>
      <w:kern w:val="2"/>
      <w:sz w:val="21"/>
      <w:szCs w:val="24"/>
      <w:lang w:val="en-US" w:eastAsia="zh-CN" w:bidi="ar-SA"/>
    </w:rPr>
  </w:style>
  <w:style w:type="character" w:customStyle="1" w:styleId="301">
    <w:name w:val="Footer-Even Char1"/>
    <w:qFormat/>
    <w:uiPriority w:val="0"/>
    <w:rPr>
      <w:rFonts w:eastAsia="宋体"/>
      <w:kern w:val="2"/>
      <w:sz w:val="18"/>
      <w:szCs w:val="18"/>
      <w:lang w:val="en-US" w:eastAsia="zh-CN" w:bidi="ar-SA"/>
    </w:rPr>
  </w:style>
  <w:style w:type="character" w:customStyle="1" w:styleId="302">
    <w:name w:val="Char Char29"/>
    <w:qFormat/>
    <w:uiPriority w:val="6"/>
    <w:rPr>
      <w:rFonts w:ascii="Arial" w:hAnsi="Arial" w:eastAsia="微软雅黑"/>
      <w:b/>
      <w:kern w:val="1"/>
      <w:sz w:val="44"/>
      <w:szCs w:val="32"/>
      <w:lang w:val="en-US" w:eastAsia="zh-CN" w:bidi="ar-SA"/>
    </w:rPr>
  </w:style>
  <w:style w:type="character" w:customStyle="1" w:styleId="303">
    <w:name w:val="font81"/>
    <w:qFormat/>
    <w:uiPriority w:val="0"/>
    <w:rPr>
      <w:rFonts w:ascii="微软雅黑" w:hAnsi="微软雅黑" w:eastAsia="微软雅黑" w:cs="微软雅黑"/>
      <w:color w:val="000000"/>
      <w:sz w:val="20"/>
      <w:szCs w:val="20"/>
      <w:u w:val="none"/>
    </w:rPr>
  </w:style>
  <w:style w:type="character" w:customStyle="1" w:styleId="304">
    <w:name w:val="Char Char312"/>
    <w:qFormat/>
    <w:uiPriority w:val="0"/>
    <w:rPr>
      <w:rFonts w:ascii="Times New Roman" w:hAnsi="Times New Roman" w:eastAsia="宋体" w:cs="Times New Roman"/>
      <w:b/>
      <w:kern w:val="2"/>
      <w:sz w:val="32"/>
      <w:szCs w:val="24"/>
      <w:lang w:val="en-US" w:eastAsia="zh-CN" w:bidi="ar-SA"/>
    </w:rPr>
  </w:style>
  <w:style w:type="character" w:customStyle="1" w:styleId="305">
    <w:name w:val="t21"/>
    <w:qFormat/>
    <w:uiPriority w:val="0"/>
    <w:rPr>
      <w:rFonts w:ascii="仿宋_GB2312" w:eastAsia="微软雅黑"/>
      <w:b/>
      <w:kern w:val="2"/>
      <w:sz w:val="23"/>
      <w:szCs w:val="23"/>
      <w:lang w:val="en-US" w:eastAsia="zh-CN" w:bidi="ar-SA"/>
    </w:rPr>
  </w:style>
  <w:style w:type="character" w:customStyle="1" w:styleId="306">
    <w:name w:val="样式8 Char"/>
    <w:qFormat/>
    <w:uiPriority w:val="0"/>
    <w:rPr>
      <w:rFonts w:ascii="仿宋_GB2312" w:hAnsi="宋体" w:eastAsia="仿宋_GB2312"/>
      <w:b/>
      <w:bCs/>
      <w:kern w:val="2"/>
      <w:sz w:val="24"/>
      <w:szCs w:val="24"/>
    </w:rPr>
  </w:style>
  <w:style w:type="character" w:customStyle="1" w:styleId="307">
    <w:name w:val="表格 Char Char"/>
    <w:qFormat/>
    <w:uiPriority w:val="0"/>
    <w:rPr>
      <w:rFonts w:ascii="宋体" w:hAnsi="宋体" w:eastAsia="宋体"/>
      <w:lang w:bidi="ar-SA"/>
    </w:rPr>
  </w:style>
  <w:style w:type="character" w:customStyle="1" w:styleId="308">
    <w:name w:val="正文文本 字符1"/>
    <w:qFormat/>
    <w:uiPriority w:val="0"/>
    <w:rPr>
      <w:rFonts w:ascii="Calibri" w:hAnsi="Calibri" w:eastAsia="黑体" w:cs="Arial"/>
      <w:snapToGrid w:val="0"/>
      <w:kern w:val="2"/>
      <w:sz w:val="28"/>
      <w:szCs w:val="21"/>
    </w:rPr>
  </w:style>
  <w:style w:type="character" w:customStyle="1" w:styleId="309">
    <w:name w:val="标题 6 Char1"/>
    <w:qFormat/>
    <w:uiPriority w:val="0"/>
    <w:rPr>
      <w:rFonts w:ascii="Arial" w:hAnsi="Arial" w:eastAsia="黑体" w:cs="Times New Roman"/>
      <w:b/>
      <w:sz w:val="24"/>
      <w:szCs w:val="20"/>
      <w:lang w:bidi="ar-SA"/>
    </w:rPr>
  </w:style>
  <w:style w:type="character" w:customStyle="1" w:styleId="310">
    <w:name w:val="带编号样式 Char"/>
    <w:qFormat/>
    <w:uiPriority w:val="0"/>
    <w:rPr>
      <w:rFonts w:ascii="仿宋_GB2312" w:eastAsia="仿宋_GB2312"/>
      <w:color w:val="000000"/>
      <w:sz w:val="24"/>
      <w:lang w:bidi="ar-SA"/>
    </w:rPr>
  </w:style>
  <w:style w:type="character" w:customStyle="1" w:styleId="311">
    <w:name w:val="unnamed31"/>
    <w:qFormat/>
    <w:uiPriority w:val="0"/>
    <w:rPr>
      <w:rFonts w:ascii="Tahoma" w:hAnsi="Tahoma" w:eastAsia="宋体"/>
      <w:b/>
      <w:kern w:val="2"/>
      <w:sz w:val="24"/>
      <w:szCs w:val="32"/>
      <w:u w:val="none"/>
      <w:lang w:val="en-US" w:eastAsia="zh-CN" w:bidi="ar-SA"/>
    </w:rPr>
  </w:style>
  <w:style w:type="character" w:customStyle="1" w:styleId="312">
    <w:name w:val="正文首行缩进 Char Char Char Char Char Char1"/>
    <w:qFormat/>
    <w:uiPriority w:val="0"/>
    <w:rPr>
      <w:rFonts w:ascii="宋体" w:eastAsia="宋体"/>
      <w:kern w:val="2"/>
      <w:sz w:val="24"/>
      <w:szCs w:val="24"/>
      <w:lang w:val="zh-CN" w:bidi="ar-SA"/>
    </w:rPr>
  </w:style>
  <w:style w:type="character" w:customStyle="1" w:styleId="313">
    <w:name w:val="文本正文 Char Char"/>
    <w:qFormat/>
    <w:locked/>
    <w:uiPriority w:val="0"/>
    <w:rPr>
      <w:sz w:val="24"/>
      <w:lang w:bidi="ar-SA"/>
    </w:rPr>
  </w:style>
  <w:style w:type="character" w:customStyle="1" w:styleId="314">
    <w:name w:val="正文缩进 字符"/>
    <w:qFormat/>
    <w:uiPriority w:val="0"/>
    <w:rPr>
      <w:rFonts w:ascii="宋体" w:eastAsia="宋体"/>
      <w:snapToGrid w:val="0"/>
      <w:color w:val="000000"/>
      <w:kern w:val="28"/>
      <w:sz w:val="28"/>
      <w:lang w:val="en-US" w:eastAsia="zh-CN" w:bidi="ar-SA"/>
    </w:rPr>
  </w:style>
  <w:style w:type="character" w:customStyle="1" w:styleId="315">
    <w:name w:val="样式 样式 标题 4h4H4Fab-4T5Ref Heading 1rh1Heading sqlsect 1.2.3.... +... Char"/>
    <w:link w:val="316"/>
    <w:qFormat/>
    <w:uiPriority w:val="0"/>
    <w:rPr>
      <w:rFonts w:ascii="微软雅黑" w:hAnsi="微软雅黑" w:eastAsia="微软雅黑"/>
      <w:b/>
      <w:bCs/>
      <w:kern w:val="2"/>
      <w:sz w:val="24"/>
      <w:szCs w:val="28"/>
    </w:rPr>
  </w:style>
  <w:style w:type="paragraph" w:customStyle="1" w:styleId="316">
    <w:name w:val="样式 样式 标题 4h4H4Fab-4T5Ref Heading 1rh1Heading sqlsect 1.2.3.... +..."/>
    <w:basedOn w:val="317"/>
    <w:link w:val="315"/>
    <w:qFormat/>
    <w:uiPriority w:val="0"/>
    <w:pPr>
      <w:tabs>
        <w:tab w:val="left" w:pos="2356"/>
      </w:tabs>
    </w:pPr>
  </w:style>
  <w:style w:type="paragraph" w:customStyle="1" w:styleId="317">
    <w:name w:val="样式 标题 4h4H4Fab-4T5Ref Heading 1rh1Heading sqlsect 1.2.3...."/>
    <w:basedOn w:val="2"/>
    <w:link w:val="3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8">
    <w:name w:val="样式 标题 4h4H4Fab-4T5Ref Heading 1rh1Heading sqlsect 1.2.3.... Char"/>
    <w:link w:val="317"/>
    <w:qFormat/>
    <w:uiPriority w:val="0"/>
    <w:rPr>
      <w:rFonts w:ascii="微软雅黑" w:hAnsi="微软雅黑" w:eastAsia="微软雅黑"/>
      <w:b/>
      <w:bCs/>
      <w:kern w:val="2"/>
      <w:sz w:val="24"/>
      <w:szCs w:val="28"/>
    </w:rPr>
  </w:style>
  <w:style w:type="character" w:customStyle="1" w:styleId="319">
    <w:name w:val="正文非缩进 Char"/>
    <w:qFormat/>
    <w:uiPriority w:val="0"/>
    <w:rPr>
      <w:rFonts w:ascii="宋体" w:eastAsia="宋体"/>
      <w:snapToGrid w:val="0"/>
      <w:color w:val="000000"/>
      <w:kern w:val="28"/>
      <w:sz w:val="28"/>
      <w:lang w:val="en-US" w:eastAsia="zh-CN" w:bidi="ar-SA"/>
    </w:rPr>
  </w:style>
  <w:style w:type="character" w:customStyle="1" w:styleId="320">
    <w:name w:val="Char Char5"/>
    <w:qFormat/>
    <w:uiPriority w:val="0"/>
    <w:rPr>
      <w:rFonts w:ascii="宋体" w:hAnsi="Courier New" w:eastAsia="宋体"/>
      <w:kern w:val="2"/>
      <w:sz w:val="21"/>
      <w:lang w:val="en-US" w:eastAsia="zh-CN"/>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2"/>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483"/>
    <w:qFormat/>
    <w:uiPriority w:val="99"/>
    <w:rPr>
      <w:szCs w:val="22"/>
    </w:rPr>
  </w:style>
  <w:style w:type="character" w:customStyle="1" w:styleId="483">
    <w:name w:val="无间隔 Char"/>
    <w:link w:val="482"/>
    <w:qFormat/>
    <w:uiPriority w:val="99"/>
    <w:rPr>
      <w:kern w:val="2"/>
      <w:sz w:val="21"/>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2"/>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4"/>
    <w:next w:val="25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54"/>
    <w:next w:val="254"/>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11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112"/>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112"/>
    <w:qFormat/>
    <w:uiPriority w:val="0"/>
    <w:pPr>
      <w:tabs>
        <w:tab w:val="left" w:pos="1260"/>
        <w:tab w:val="left" w:pos="1680"/>
        <w:tab w:val="left" w:pos="2100"/>
      </w:tabs>
      <w:ind w:left="0"/>
      <w:outlineLvl w:val="3"/>
    </w:pPr>
  </w:style>
  <w:style w:type="paragraph" w:customStyle="1" w:styleId="656">
    <w:name w:val="一级条标题"/>
    <w:basedOn w:val="657"/>
    <w:next w:val="112"/>
    <w:qFormat/>
    <w:uiPriority w:val="0"/>
    <w:pPr>
      <w:tabs>
        <w:tab w:val="left" w:pos="1260"/>
        <w:tab w:val="left" w:pos="1680"/>
      </w:tabs>
      <w:spacing w:beforeLines="0" w:afterLines="0"/>
      <w:ind w:left="1680"/>
      <w:outlineLvl w:val="2"/>
    </w:pPr>
  </w:style>
  <w:style w:type="paragraph" w:customStyle="1" w:styleId="657">
    <w:name w:val="章标题"/>
    <w:next w:val="11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2"/>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112"/>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112"/>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style>
  <w:style w:type="paragraph" w:customStyle="1" w:styleId="962">
    <w:name w:val="HtmlNormal"/>
    <w:basedOn w:val="1"/>
    <w:qFormat/>
    <w:uiPriority w:val="0"/>
    <w:pPr>
      <w:spacing w:before="100" w:beforeAutospacing="1" w:after="100" w:afterAutospacing="1"/>
      <w:jc w:val="left"/>
    </w:pPr>
    <w:rPr>
      <w:rFonts w:ascii="宋体" w:hAnsi="宋体"/>
      <w:color w:val="000000"/>
      <w:kern w:val="0"/>
      <w:sz w:val="24"/>
    </w:rPr>
  </w:style>
  <w:style w:type="paragraph" w:customStyle="1" w:styleId="963">
    <w:name w:val="正文 首行缩进:  2 字符 Char Char"/>
    <w:basedOn w:val="1"/>
    <w:qFormat/>
    <w:uiPriority w:val="0"/>
    <w:pPr>
      <w:ind w:firstLine="480"/>
    </w:pPr>
    <w:rPr>
      <w:rFonts w:cs="宋体"/>
    </w:rPr>
  </w:style>
  <w:style w:type="paragraph" w:customStyle="1" w:styleId="964">
    <w:name w:val="UserStyle_32"/>
    <w:basedOn w:val="1"/>
    <w:next w:val="965"/>
    <w:qFormat/>
    <w:uiPriority w:val="0"/>
    <w:pPr>
      <w:snapToGrid w:val="0"/>
      <w:spacing w:after="120" w:line="360" w:lineRule="auto"/>
      <w:ind w:left="420" w:leftChars="200" w:firstLine="480" w:firstLineChars="200"/>
    </w:pPr>
    <w:rPr>
      <w:sz w:val="24"/>
      <w:szCs w:val="21"/>
    </w:rPr>
  </w:style>
  <w:style w:type="paragraph" w:customStyle="1" w:styleId="965">
    <w:name w:val="BodyTextIndent"/>
    <w:basedOn w:val="1"/>
    <w:next w:val="966"/>
    <w:qFormat/>
    <w:uiPriority w:val="0"/>
    <w:pPr>
      <w:spacing w:line="480" w:lineRule="exact"/>
      <w:ind w:firstLine="480" w:firstLineChars="200"/>
    </w:pPr>
    <w:rPr>
      <w:rFonts w:ascii="宋体" w:hAnsi="宋体"/>
      <w:sz w:val="24"/>
    </w:rPr>
  </w:style>
  <w:style w:type="paragraph" w:customStyle="1" w:styleId="966">
    <w:name w:val="EnvelopeReturn"/>
    <w:basedOn w:val="1"/>
    <w:qFormat/>
    <w:uiPriority w:val="0"/>
    <w:pPr>
      <w:snapToGrid w:val="0"/>
    </w:pPr>
    <w:rPr>
      <w:rFonts w:ascii="Arial" w:hAnsi="Arial"/>
    </w:rPr>
  </w:style>
  <w:style w:type="paragraph" w:customStyle="1" w:styleId="967">
    <w:name w:val="UserStyle_30"/>
    <w:basedOn w:val="1"/>
    <w:next w:val="1"/>
    <w:qFormat/>
    <w:uiPriority w:val="0"/>
    <w:pPr>
      <w:spacing w:line="360" w:lineRule="auto"/>
    </w:pPr>
    <w:rPr>
      <w:rFonts w:ascii="仿宋_GB2312" w:eastAsia="仿宋_GB2312"/>
      <w:sz w:val="24"/>
      <w:szCs w:val="20"/>
    </w:rPr>
  </w:style>
  <w:style w:type="paragraph" w:customStyle="1" w:styleId="968">
    <w:name w:val="Body text|1"/>
    <w:basedOn w:val="1"/>
    <w:qFormat/>
    <w:uiPriority w:val="0"/>
    <w:pPr>
      <w:spacing w:line="329" w:lineRule="auto"/>
      <w:ind w:firstLine="400"/>
    </w:pPr>
    <w:rPr>
      <w:rFonts w:ascii="MingLiU" w:hAnsi="MingLiU" w:eastAsia="MingLiU" w:cs="MingLiU"/>
      <w:sz w:val="20"/>
      <w:szCs w:val="20"/>
      <w:lang w:val="zh-TW" w:eastAsia="zh-TW" w:bidi="zh-TW"/>
    </w:rPr>
  </w:style>
  <w:style w:type="paragraph" w:customStyle="1" w:styleId="969">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header7.xml" Type="http://schemas.openxmlformats.org/officeDocument/2006/relationships/header"/><Relationship Id="rId16" Target="header8.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header9.xml" Type="http://schemas.openxmlformats.org/officeDocument/2006/relationships/header"/><Relationship Id="rId2" Target="settings.xml" Type="http://schemas.openxmlformats.org/officeDocument/2006/relationships/settings"/><Relationship Id="rId20" Target="header10.xml" Type="http://schemas.openxmlformats.org/officeDocument/2006/relationships/header"/><Relationship Id="rId21" Target="footer9.xml" Type="http://schemas.openxmlformats.org/officeDocument/2006/relationships/footer"/><Relationship Id="rId22" Target="footer10.xml" Type="http://schemas.openxmlformats.org/officeDocument/2006/relationships/footer"/><Relationship Id="rId23" Target="header11.xml" Type="http://schemas.openxmlformats.org/officeDocument/2006/relationships/header"/><Relationship Id="rId24" Target="header12.xml" Type="http://schemas.openxmlformats.org/officeDocument/2006/relationships/header"/><Relationship Id="rId25" Target="footer11.xml" Type="http://schemas.openxmlformats.org/officeDocument/2006/relationships/footer"/><Relationship Id="rId26" Target="footer12.xml" Type="http://schemas.openxmlformats.org/officeDocument/2006/relationships/footer"/><Relationship Id="rId27" Target="footer13.xml" Type="http://schemas.openxmlformats.org/officeDocument/2006/relationships/footer"/><Relationship Id="rId28" Target="theme/theme1.xml" Type="http://schemas.openxmlformats.org/officeDocument/2006/relationships/theme"/><Relationship Id="rId29" Target="../customXml/item1.xml" Type="http://schemas.openxmlformats.org/officeDocument/2006/relationships/customXml"/><Relationship Id="rId3" Target="header1.xml" Type="http://schemas.openxmlformats.org/officeDocument/2006/relationships/header"/><Relationship Id="rId30" Target="numbering.xml" Type="http://schemas.openxmlformats.org/officeDocument/2006/relationships/numbering"/><Relationship Id="rId31" Target="fontTable.xml" Type="http://schemas.openxmlformats.org/officeDocument/2006/relationships/fontTable"/><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38768</Words>
  <Characters>40392</Characters>
  <Lines>72</Lines>
  <Paragraphs>91</Paragraphs>
  <TotalTime>23</TotalTime>
  <ScaleCrop>false</ScaleCrop>
  <LinksUpToDate>false</LinksUpToDate>
  <CharactersWithSpaces>46518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2022-11-15T10:45:00Z</dcterms:created>
  <dc:creator>玥</dc:creator>
  <cp:lastModifiedBy>WPS_1701756769</cp:lastModifiedBy>
  <cp:lastPrinted>2022-12-06T09:11:08Z</cp:lastPrinted>
  <dcterms:modified xsi:type="dcterms:W3CDTF">2024-02-23T03:59:43Z</dcterms:modified>
  <cp:revision>13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115DF6E6D93E4A038DB5E8F4204AE81D_13</vt:lpwstr>
  </property>
</Properties>
</file>