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600" w:lineRule="exact"/>
        <w:jc w:val="both"/>
        <w:rPr>
          <w:rFonts w:ascii="仿宋" w:hAnsi="仿宋" w:eastAsia="仿宋" w:cs="仿宋"/>
          <w:b/>
          <w:color w:val="auto"/>
          <w:kern w:val="0"/>
          <w:sz w:val="48"/>
          <w:szCs w:val="48"/>
          <w:highlight w:val="none"/>
        </w:rPr>
      </w:pPr>
    </w:p>
    <w:p>
      <w:pPr>
        <w:keepNext w:val="0"/>
        <w:keepLines w:val="0"/>
        <w:pageBreakBefore w:val="0"/>
        <w:widowControl/>
        <w:kinsoku/>
        <w:wordWrap/>
        <w:overflowPunct/>
        <w:topLinePunct w:val="0"/>
        <w:autoSpaceDE/>
        <w:autoSpaceDN/>
        <w:bidi w:val="0"/>
        <w:adjustRightInd/>
        <w:snapToGrid/>
        <w:spacing w:line="600" w:lineRule="exact"/>
        <w:jc w:val="center"/>
        <w:textAlignment w:val="auto"/>
        <w:rPr>
          <w:rStyle w:val="33"/>
          <w:rFonts w:hint="eastAsia" w:ascii="黑体" w:hAnsi="黑体" w:eastAsia="黑体" w:cs="黑体"/>
          <w:color w:val="auto"/>
          <w:kern w:val="0"/>
          <w:sz w:val="36"/>
          <w:szCs w:val="36"/>
          <w:highlight w:val="none"/>
          <w:lang w:eastAsia="zh-CN" w:bidi="ar"/>
        </w:rPr>
      </w:pPr>
      <w:r>
        <w:rPr>
          <w:rStyle w:val="33"/>
          <w:rFonts w:hint="eastAsia" w:ascii="黑体" w:hAnsi="黑体" w:eastAsia="黑体" w:cs="黑体"/>
          <w:color w:val="auto"/>
          <w:kern w:val="0"/>
          <w:sz w:val="36"/>
          <w:szCs w:val="36"/>
          <w:highlight w:val="none"/>
          <w:lang w:eastAsia="zh-CN" w:bidi="ar"/>
        </w:rPr>
        <w:t>湖州市人力资源和社会保障信息中心</w:t>
      </w:r>
    </w:p>
    <w:p>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default" w:ascii="黑体" w:hAnsi="黑体" w:eastAsia="黑体" w:cs="黑体"/>
          <w:snapToGrid w:val="0"/>
          <w:color w:val="auto"/>
          <w:sz w:val="36"/>
          <w:szCs w:val="36"/>
          <w:highlight w:val="none"/>
          <w:lang w:val="en-US"/>
        </w:rPr>
      </w:pPr>
      <w:r>
        <w:rPr>
          <w:rStyle w:val="33"/>
          <w:rFonts w:hint="eastAsia" w:ascii="黑体" w:hAnsi="黑体" w:eastAsia="黑体" w:cs="黑体"/>
          <w:color w:val="auto"/>
          <w:kern w:val="0"/>
          <w:sz w:val="36"/>
          <w:szCs w:val="36"/>
          <w:highlight w:val="none"/>
          <w:lang w:eastAsia="zh-CN" w:bidi="ar"/>
        </w:rPr>
        <w:t>2024</w:t>
      </w:r>
      <w:bookmarkStart w:id="20" w:name="_GoBack"/>
      <w:r>
        <w:rPr>
          <w:rStyle w:val="33"/>
          <w:rFonts w:hint="eastAsia" w:ascii="黑体" w:hAnsi="黑体" w:eastAsia="黑体" w:cs="黑体"/>
          <w:color w:val="auto"/>
          <w:kern w:val="0"/>
          <w:sz w:val="36"/>
          <w:szCs w:val="36"/>
          <w:highlight w:val="none"/>
          <w:lang w:eastAsia="zh-CN" w:bidi="ar"/>
        </w:rPr>
        <w:t>年</w:t>
      </w:r>
      <w:bookmarkEnd w:id="20"/>
      <w:r>
        <w:rPr>
          <w:rStyle w:val="33"/>
          <w:rFonts w:hint="eastAsia" w:ascii="黑体" w:hAnsi="黑体" w:eastAsia="黑体" w:cs="黑体"/>
          <w:color w:val="auto"/>
          <w:kern w:val="0"/>
          <w:sz w:val="36"/>
          <w:szCs w:val="36"/>
          <w:highlight w:val="none"/>
          <w:lang w:eastAsia="zh-CN" w:bidi="ar"/>
        </w:rPr>
        <w:t>度湖州人社核心应用软件系统运维保障服务采购项目</w:t>
      </w:r>
    </w:p>
    <w:p>
      <w:pPr>
        <w:pStyle w:val="13"/>
        <w:jc w:val="center"/>
        <w:rPr>
          <w:rFonts w:hint="eastAsia" w:ascii="仿宋" w:hAnsi="仿宋" w:eastAsia="仿宋" w:cs="仿宋"/>
          <w:b/>
          <w:spacing w:val="-4"/>
          <w:sz w:val="32"/>
          <w:szCs w:val="32"/>
          <w:highlight w:val="none"/>
          <w:lang w:eastAsia="zh-CN"/>
        </w:rPr>
      </w:pPr>
    </w:p>
    <w:p>
      <w:pPr>
        <w:pStyle w:val="13"/>
        <w:jc w:val="center"/>
        <w:rPr>
          <w:rFonts w:hint="eastAsia" w:ascii="仿宋" w:hAnsi="仿宋" w:eastAsia="仿宋" w:cs="仿宋"/>
          <w:b/>
          <w:spacing w:val="-4"/>
          <w:sz w:val="32"/>
          <w:szCs w:val="32"/>
          <w:highlight w:val="none"/>
        </w:rPr>
      </w:pPr>
      <w:r>
        <w:rPr>
          <w:rFonts w:hint="eastAsia" w:ascii="仿宋" w:hAnsi="仿宋" w:eastAsia="仿宋" w:cs="仿宋"/>
          <w:b/>
          <w:spacing w:val="-4"/>
          <w:sz w:val="32"/>
          <w:szCs w:val="32"/>
          <w:highlight w:val="none"/>
          <w:lang w:eastAsia="zh-CN"/>
        </w:rPr>
        <w:t>标项</w:t>
      </w:r>
      <w:r>
        <w:rPr>
          <w:rFonts w:hint="eastAsia" w:ascii="仿宋" w:hAnsi="仿宋" w:eastAsia="仿宋" w:cs="仿宋"/>
          <w:b/>
          <w:spacing w:val="-4"/>
          <w:sz w:val="32"/>
          <w:szCs w:val="32"/>
          <w:highlight w:val="none"/>
          <w:lang w:val="en-US" w:eastAsia="zh-CN"/>
        </w:rPr>
        <w:t>二</w:t>
      </w:r>
      <w:r>
        <w:rPr>
          <w:rFonts w:hint="eastAsia" w:ascii="仿宋" w:hAnsi="仿宋" w:eastAsia="仿宋" w:cs="仿宋"/>
          <w:b/>
          <w:spacing w:val="-4"/>
          <w:sz w:val="32"/>
          <w:szCs w:val="32"/>
          <w:highlight w:val="none"/>
        </w:rPr>
        <w:t>：湖州市社保综合管理信息系统运维保障服务</w:t>
      </w:r>
    </w:p>
    <w:p>
      <w:pPr>
        <w:widowControl/>
        <w:spacing w:line="900" w:lineRule="exact"/>
        <w:jc w:val="center"/>
        <w:rPr>
          <w:rFonts w:ascii="仿宋" w:hAnsi="仿宋" w:eastAsia="仿宋" w:cs="仿宋"/>
          <w:b/>
          <w:color w:val="auto"/>
          <w:kern w:val="0"/>
          <w:sz w:val="32"/>
          <w:szCs w:val="32"/>
          <w:highlight w:val="none"/>
        </w:rPr>
      </w:pPr>
      <w:r>
        <w:rPr>
          <w:rFonts w:hint="eastAsia" w:ascii="仿宋" w:hAnsi="仿宋" w:eastAsia="仿宋" w:cs="仿宋"/>
          <w:color w:val="auto"/>
          <w:sz w:val="30"/>
          <w:szCs w:val="30"/>
          <w:highlight w:val="none"/>
        </w:rPr>
        <w:t>（财政审批编号:</w:t>
      </w:r>
      <w:r>
        <w:rPr>
          <w:rFonts w:hint="eastAsia" w:ascii="仿宋" w:hAnsi="仿宋" w:eastAsia="仿宋" w:cs="仿宋"/>
          <w:color w:val="auto"/>
          <w:sz w:val="30"/>
          <w:szCs w:val="30"/>
          <w:highlight w:val="none"/>
          <w:lang w:val="en-US" w:eastAsia="zh-CN"/>
        </w:rPr>
        <w:t>湖</w:t>
      </w:r>
      <w:r>
        <w:rPr>
          <w:rFonts w:hint="eastAsia" w:ascii="仿宋" w:hAnsi="仿宋" w:eastAsia="仿宋" w:cs="仿宋"/>
          <w:color w:val="auto"/>
          <w:sz w:val="30"/>
          <w:szCs w:val="30"/>
          <w:highlight w:val="none"/>
        </w:rPr>
        <w:t>财采确[2024]</w:t>
      </w:r>
      <w:r>
        <w:rPr>
          <w:rFonts w:hint="eastAsia" w:ascii="仿宋" w:hAnsi="仿宋" w:eastAsia="仿宋" w:cs="仿宋"/>
          <w:color w:val="auto"/>
          <w:sz w:val="30"/>
          <w:szCs w:val="30"/>
          <w:highlight w:val="none"/>
          <w:lang w:val="en-US" w:eastAsia="zh-CN"/>
        </w:rPr>
        <w:t>7777</w:t>
      </w:r>
      <w:r>
        <w:rPr>
          <w:rFonts w:hint="eastAsia" w:ascii="仿宋" w:hAnsi="仿宋" w:eastAsia="仿宋" w:cs="仿宋"/>
          <w:color w:val="auto"/>
          <w:sz w:val="30"/>
          <w:szCs w:val="30"/>
          <w:highlight w:val="none"/>
        </w:rPr>
        <w:t>号）</w:t>
      </w:r>
    </w:p>
    <w:p>
      <w:pPr>
        <w:adjustRightInd w:val="0"/>
        <w:snapToGrid w:val="0"/>
        <w:spacing w:line="600" w:lineRule="exact"/>
        <w:rPr>
          <w:rFonts w:ascii="仿宋" w:hAnsi="仿宋" w:eastAsia="仿宋" w:cs="仿宋"/>
          <w:b/>
          <w:snapToGrid w:val="0"/>
          <w:color w:val="auto"/>
          <w:sz w:val="84"/>
          <w:szCs w:val="84"/>
          <w:highlight w:val="none"/>
        </w:rPr>
      </w:pPr>
    </w:p>
    <w:p>
      <w:pPr>
        <w:adjustRightInd w:val="0"/>
        <w:snapToGrid w:val="0"/>
        <w:spacing w:line="600" w:lineRule="exact"/>
        <w:jc w:val="center"/>
        <w:rPr>
          <w:rFonts w:ascii="仿宋" w:hAnsi="仿宋" w:eastAsia="仿宋" w:cs="仿宋"/>
          <w:b/>
          <w:snapToGrid w:val="0"/>
          <w:color w:val="auto"/>
          <w:sz w:val="84"/>
          <w:szCs w:val="84"/>
          <w:highlight w:val="none"/>
        </w:rPr>
      </w:pPr>
    </w:p>
    <w:p>
      <w:pPr>
        <w:pStyle w:val="36"/>
        <w:rPr>
          <w:color w:val="auto"/>
          <w:highlight w:val="none"/>
        </w:rPr>
      </w:pPr>
    </w:p>
    <w:p>
      <w:pPr>
        <w:adjustRightInd w:val="0"/>
        <w:snapToGrid w:val="0"/>
        <w:spacing w:line="800" w:lineRule="atLeast"/>
        <w:jc w:val="center"/>
        <w:rPr>
          <w:rFonts w:ascii="仿宋" w:hAnsi="仿宋" w:eastAsia="仿宋" w:cs="仿宋"/>
          <w:b/>
          <w:snapToGrid w:val="0"/>
          <w:color w:val="auto"/>
          <w:sz w:val="84"/>
          <w:szCs w:val="84"/>
          <w:highlight w:val="none"/>
        </w:rPr>
      </w:pPr>
      <w:r>
        <w:rPr>
          <w:rFonts w:hint="eastAsia" w:ascii="仿宋" w:hAnsi="仿宋" w:eastAsia="仿宋" w:cs="仿宋"/>
          <w:b/>
          <w:snapToGrid w:val="0"/>
          <w:color w:val="auto"/>
          <w:sz w:val="72"/>
          <w:szCs w:val="72"/>
          <w:highlight w:val="none"/>
        </w:rPr>
        <w:t>竞争性磋商文件</w:t>
      </w:r>
    </w:p>
    <w:p>
      <w:pPr>
        <w:adjustRightInd w:val="0"/>
        <w:snapToGrid w:val="0"/>
        <w:spacing w:line="500" w:lineRule="exact"/>
        <w:jc w:val="center"/>
        <w:rPr>
          <w:rFonts w:ascii="仿宋" w:hAnsi="仿宋" w:eastAsia="仿宋" w:cs="仿宋"/>
          <w:bCs/>
          <w:snapToGrid w:val="0"/>
          <w:color w:val="auto"/>
          <w:sz w:val="28"/>
          <w:szCs w:val="28"/>
          <w:highlight w:val="none"/>
        </w:rPr>
      </w:pPr>
      <w:r>
        <w:rPr>
          <w:rFonts w:hint="eastAsia" w:ascii="仿宋" w:hAnsi="仿宋" w:eastAsia="仿宋" w:cs="仿宋"/>
          <w:bCs/>
          <w:snapToGrid w:val="0"/>
          <w:color w:val="auto"/>
          <w:sz w:val="28"/>
          <w:szCs w:val="28"/>
          <w:highlight w:val="none"/>
        </w:rPr>
        <w:t>（全流程电子）</w:t>
      </w:r>
    </w:p>
    <w:p>
      <w:pPr>
        <w:adjustRightInd w:val="0"/>
        <w:snapToGrid w:val="0"/>
        <w:spacing w:line="500" w:lineRule="exact"/>
        <w:rPr>
          <w:rFonts w:ascii="仿宋" w:hAnsi="仿宋" w:eastAsia="仿宋" w:cs="仿宋"/>
          <w:bCs/>
          <w:snapToGrid w:val="0"/>
          <w:color w:val="auto"/>
          <w:sz w:val="32"/>
          <w:highlight w:val="none"/>
        </w:rPr>
      </w:pPr>
    </w:p>
    <w:p>
      <w:pPr>
        <w:adjustRightInd w:val="0"/>
        <w:snapToGrid w:val="0"/>
        <w:spacing w:line="500" w:lineRule="exact"/>
        <w:rPr>
          <w:rFonts w:ascii="仿宋" w:hAnsi="仿宋" w:eastAsia="仿宋" w:cs="仿宋"/>
          <w:bCs/>
          <w:snapToGrid w:val="0"/>
          <w:color w:val="auto"/>
          <w:sz w:val="32"/>
          <w:highlight w:val="none"/>
        </w:rPr>
      </w:pPr>
    </w:p>
    <w:p>
      <w:pPr>
        <w:adjustRightInd w:val="0"/>
        <w:snapToGrid w:val="0"/>
        <w:spacing w:line="500" w:lineRule="exact"/>
        <w:rPr>
          <w:rFonts w:ascii="仿宋" w:hAnsi="仿宋" w:eastAsia="仿宋" w:cs="仿宋"/>
          <w:bCs/>
          <w:snapToGrid w:val="0"/>
          <w:color w:val="auto"/>
          <w:sz w:val="32"/>
          <w:highlight w:val="none"/>
        </w:rPr>
      </w:pPr>
    </w:p>
    <w:p>
      <w:pPr>
        <w:adjustRightInd w:val="0"/>
        <w:snapToGrid w:val="0"/>
        <w:spacing w:line="640" w:lineRule="exact"/>
        <w:ind w:firstLine="281" w:firstLineChars="100"/>
        <w:rPr>
          <w:rFonts w:hint="default" w:ascii="仿宋" w:hAnsi="仿宋" w:eastAsia="仿宋" w:cs="仿宋"/>
          <w:snapToGrid w:val="0"/>
          <w:color w:val="auto"/>
          <w:sz w:val="28"/>
          <w:szCs w:val="28"/>
          <w:highlight w:val="none"/>
          <w:u w:val="single"/>
          <w:lang w:val="en-US" w:eastAsia="zh-CN"/>
        </w:rPr>
      </w:pPr>
      <w:r>
        <w:rPr>
          <w:rFonts w:hint="eastAsia" w:ascii="仿宋" w:hAnsi="仿宋" w:eastAsia="仿宋" w:cs="仿宋"/>
          <w:b/>
          <w:snapToGrid w:val="0"/>
          <w:color w:val="auto"/>
          <w:sz w:val="28"/>
          <w:szCs w:val="28"/>
          <w:highlight w:val="none"/>
        </w:rPr>
        <w:t>项目编号</w:t>
      </w:r>
      <w:r>
        <w:rPr>
          <w:rFonts w:hint="eastAsia" w:ascii="仿宋" w:hAnsi="仿宋" w:eastAsia="仿宋" w:cs="仿宋"/>
          <w:snapToGrid w:val="0"/>
          <w:color w:val="auto"/>
          <w:sz w:val="28"/>
          <w:szCs w:val="28"/>
          <w:highlight w:val="none"/>
        </w:rPr>
        <w:t>：</w:t>
      </w:r>
      <w:r>
        <w:rPr>
          <w:rFonts w:hint="eastAsia" w:ascii="仿宋" w:hAnsi="仿宋" w:eastAsia="仿宋" w:cs="仿宋"/>
          <w:snapToGrid w:val="0"/>
          <w:color w:val="auto"/>
          <w:sz w:val="28"/>
          <w:szCs w:val="28"/>
          <w:highlight w:val="none"/>
          <w:u w:val="single"/>
        </w:rPr>
        <w:t>XCXHZ-2024-0</w:t>
      </w:r>
      <w:r>
        <w:rPr>
          <w:rFonts w:hint="eastAsia" w:ascii="仿宋" w:hAnsi="仿宋" w:eastAsia="仿宋" w:cs="仿宋"/>
          <w:snapToGrid w:val="0"/>
          <w:color w:val="auto"/>
          <w:sz w:val="28"/>
          <w:szCs w:val="28"/>
          <w:highlight w:val="none"/>
          <w:u w:val="single"/>
          <w:lang w:val="en-US" w:eastAsia="zh-CN"/>
        </w:rPr>
        <w:t>31-002</w:t>
      </w:r>
      <w:r>
        <w:rPr>
          <w:rFonts w:hint="eastAsia" w:ascii="仿宋" w:hAnsi="仿宋" w:eastAsia="仿宋" w:cs="仿宋"/>
          <w:snapToGrid w:val="0"/>
          <w:color w:val="auto"/>
          <w:sz w:val="28"/>
          <w:szCs w:val="28"/>
          <w:highlight w:val="none"/>
          <w:u w:val="single"/>
        </w:rPr>
        <w:t xml:space="preserve">（CG）                                 </w:t>
      </w:r>
      <w:r>
        <w:rPr>
          <w:rFonts w:hint="eastAsia" w:ascii="仿宋" w:hAnsi="仿宋" w:eastAsia="仿宋" w:cs="仿宋"/>
          <w:snapToGrid w:val="0"/>
          <w:color w:val="auto"/>
          <w:sz w:val="28"/>
          <w:szCs w:val="28"/>
          <w:highlight w:val="none"/>
          <w:u w:val="single"/>
          <w:lang w:val="en-US" w:eastAsia="zh-CN"/>
        </w:rPr>
        <w:t xml:space="preserve">   </w:t>
      </w:r>
    </w:p>
    <w:p>
      <w:pPr>
        <w:adjustRightInd w:val="0"/>
        <w:snapToGrid w:val="0"/>
        <w:spacing w:line="640" w:lineRule="exact"/>
        <w:ind w:firstLine="281" w:firstLineChars="100"/>
        <w:rPr>
          <w:rFonts w:ascii="仿宋" w:hAnsi="仿宋" w:eastAsia="仿宋" w:cs="仿宋"/>
          <w:snapToGrid w:val="0"/>
          <w:color w:val="auto"/>
          <w:sz w:val="28"/>
          <w:szCs w:val="28"/>
          <w:highlight w:val="none"/>
          <w:u w:val="single"/>
        </w:rPr>
      </w:pPr>
      <w:r>
        <w:rPr>
          <w:rFonts w:hint="eastAsia" w:ascii="仿宋" w:hAnsi="仿宋" w:eastAsia="仿宋" w:cs="仿宋"/>
          <w:b/>
          <w:snapToGrid w:val="0"/>
          <w:color w:val="auto"/>
          <w:sz w:val="28"/>
          <w:szCs w:val="28"/>
          <w:highlight w:val="none"/>
        </w:rPr>
        <w:t>项目名称：</w:t>
      </w:r>
      <w:r>
        <w:rPr>
          <w:rFonts w:hint="eastAsia" w:ascii="仿宋" w:hAnsi="仿宋" w:eastAsia="仿宋" w:cs="仿宋"/>
          <w:b w:val="0"/>
          <w:bCs w:val="0"/>
          <w:snapToGrid w:val="0"/>
          <w:color w:val="auto"/>
          <w:spacing w:val="-20"/>
          <w:kern w:val="2"/>
          <w:sz w:val="28"/>
          <w:szCs w:val="28"/>
          <w:highlight w:val="none"/>
          <w:u w:val="single"/>
          <w:lang w:val="en-US" w:eastAsia="zh-CN" w:bidi="ar-SA"/>
        </w:rPr>
        <w:t xml:space="preserve">2024年度湖州人社核心应用软件系统运维保障服务采购项目（标项二）  </w:t>
      </w:r>
      <w:r>
        <w:rPr>
          <w:rFonts w:hint="eastAsia" w:ascii="仿宋" w:hAnsi="仿宋" w:eastAsia="仿宋" w:cs="仿宋"/>
          <w:snapToGrid w:val="0"/>
          <w:color w:val="auto"/>
          <w:spacing w:val="-20"/>
          <w:sz w:val="28"/>
          <w:szCs w:val="28"/>
          <w:highlight w:val="none"/>
          <w:u w:val="single"/>
        </w:rPr>
        <w:t xml:space="preserve">      </w:t>
      </w:r>
      <w:r>
        <w:rPr>
          <w:rFonts w:hint="eastAsia" w:ascii="仿宋" w:hAnsi="仿宋" w:eastAsia="仿宋" w:cs="仿宋"/>
          <w:snapToGrid w:val="0"/>
          <w:color w:val="auto"/>
          <w:sz w:val="28"/>
          <w:szCs w:val="28"/>
          <w:highlight w:val="none"/>
          <w:u w:val="single"/>
        </w:rPr>
        <w:t xml:space="preserve">  </w:t>
      </w:r>
      <w:r>
        <w:rPr>
          <w:rFonts w:hint="eastAsia" w:ascii="仿宋" w:hAnsi="仿宋" w:eastAsia="仿宋" w:cs="仿宋"/>
          <w:snapToGrid w:val="0"/>
          <w:color w:val="auto"/>
          <w:sz w:val="28"/>
          <w:szCs w:val="28"/>
          <w:highlight w:val="none"/>
          <w:u w:val="single"/>
          <w:lang w:val="en-US" w:eastAsia="zh-CN"/>
        </w:rPr>
        <w:t xml:space="preserve">       </w:t>
      </w:r>
      <w:r>
        <w:rPr>
          <w:rFonts w:hint="eastAsia" w:ascii="仿宋" w:hAnsi="仿宋" w:eastAsia="仿宋" w:cs="仿宋"/>
          <w:snapToGrid w:val="0"/>
          <w:color w:val="auto"/>
          <w:sz w:val="28"/>
          <w:szCs w:val="28"/>
          <w:highlight w:val="none"/>
          <w:u w:val="single"/>
        </w:rPr>
        <w:t xml:space="preserve">        </w:t>
      </w:r>
    </w:p>
    <w:p>
      <w:pPr>
        <w:pStyle w:val="2"/>
        <w:keepNext w:val="0"/>
        <w:keepLines w:val="0"/>
        <w:widowControl/>
        <w:spacing w:line="600" w:lineRule="exact"/>
        <w:ind w:firstLine="281" w:firstLineChars="100"/>
        <w:jc w:val="left"/>
        <w:rPr>
          <w:rFonts w:ascii="仿宋" w:hAnsi="仿宋" w:eastAsia="仿宋" w:cs="仿宋"/>
          <w:b w:val="0"/>
          <w:bCs w:val="0"/>
          <w:snapToGrid w:val="0"/>
          <w:color w:val="auto"/>
          <w:kern w:val="2"/>
          <w:sz w:val="28"/>
          <w:szCs w:val="28"/>
          <w:highlight w:val="none"/>
          <w:u w:val="single"/>
        </w:rPr>
      </w:pPr>
      <w:r>
        <w:rPr>
          <w:rFonts w:hint="eastAsia" w:ascii="仿宋" w:hAnsi="仿宋" w:eastAsia="仿宋" w:cs="仿宋"/>
          <w:snapToGrid w:val="0"/>
          <w:color w:val="auto"/>
          <w:sz w:val="28"/>
          <w:szCs w:val="28"/>
          <w:highlight w:val="none"/>
        </w:rPr>
        <w:t>采购单位：</w:t>
      </w:r>
      <w:r>
        <w:rPr>
          <w:rFonts w:hint="eastAsia" w:ascii="仿宋" w:hAnsi="仿宋" w:eastAsia="仿宋" w:cs="仿宋"/>
          <w:b w:val="0"/>
          <w:bCs w:val="0"/>
          <w:snapToGrid w:val="0"/>
          <w:color w:val="auto"/>
          <w:kern w:val="2"/>
          <w:sz w:val="28"/>
          <w:szCs w:val="28"/>
          <w:highlight w:val="none"/>
          <w:u w:val="single"/>
          <w:lang w:eastAsia="zh-CN"/>
        </w:rPr>
        <w:t>湖州市人力资源和社会保障信息中心</w:t>
      </w:r>
      <w:r>
        <w:rPr>
          <w:rFonts w:hint="eastAsia" w:ascii="仿宋" w:hAnsi="仿宋" w:eastAsia="仿宋" w:cs="仿宋"/>
          <w:color w:val="auto"/>
          <w:spacing w:val="-23"/>
          <w:kern w:val="0"/>
          <w:sz w:val="28"/>
          <w:szCs w:val="28"/>
          <w:highlight w:val="none"/>
          <w:u w:val="single"/>
        </w:rPr>
        <w:t xml:space="preserve">              </w:t>
      </w:r>
      <w:r>
        <w:rPr>
          <w:rFonts w:hint="eastAsia" w:ascii="仿宋" w:hAnsi="仿宋" w:eastAsia="仿宋" w:cs="仿宋"/>
          <w:color w:val="auto"/>
          <w:spacing w:val="-23"/>
          <w:kern w:val="0"/>
          <w:sz w:val="28"/>
          <w:szCs w:val="28"/>
          <w:highlight w:val="none"/>
          <w:u w:val="single"/>
          <w:lang w:val="en-US" w:eastAsia="zh-CN"/>
        </w:rPr>
        <w:t xml:space="preserve">          </w:t>
      </w:r>
      <w:r>
        <w:rPr>
          <w:rFonts w:hint="eastAsia" w:ascii="仿宋" w:hAnsi="仿宋" w:eastAsia="仿宋" w:cs="仿宋"/>
          <w:color w:val="auto"/>
          <w:spacing w:val="-23"/>
          <w:kern w:val="0"/>
          <w:sz w:val="28"/>
          <w:szCs w:val="28"/>
          <w:highlight w:val="none"/>
          <w:u w:val="single"/>
        </w:rPr>
        <w:t xml:space="preserve"> </w:t>
      </w:r>
      <w:r>
        <w:rPr>
          <w:rFonts w:hint="eastAsia" w:ascii="仿宋" w:hAnsi="仿宋" w:eastAsia="仿宋" w:cs="仿宋"/>
          <w:b w:val="0"/>
          <w:bCs w:val="0"/>
          <w:snapToGrid w:val="0"/>
          <w:color w:val="auto"/>
          <w:kern w:val="2"/>
          <w:sz w:val="28"/>
          <w:szCs w:val="28"/>
          <w:highlight w:val="none"/>
          <w:u w:val="single"/>
        </w:rPr>
        <w:t>（盖章）</w:t>
      </w:r>
    </w:p>
    <w:p>
      <w:pPr>
        <w:adjustRightInd w:val="0"/>
        <w:snapToGrid w:val="0"/>
        <w:spacing w:line="640" w:lineRule="exact"/>
        <w:ind w:firstLine="281" w:firstLineChars="100"/>
        <w:rPr>
          <w:rFonts w:ascii="仿宋" w:hAnsi="仿宋" w:eastAsia="仿宋" w:cs="仿宋"/>
          <w:bCs/>
          <w:snapToGrid w:val="0"/>
          <w:color w:val="auto"/>
          <w:sz w:val="28"/>
          <w:szCs w:val="28"/>
          <w:highlight w:val="none"/>
        </w:rPr>
      </w:pPr>
      <w:r>
        <w:rPr>
          <w:rFonts w:hint="eastAsia" w:ascii="仿宋" w:hAnsi="仿宋" w:eastAsia="仿宋" w:cs="仿宋"/>
          <w:b/>
          <w:snapToGrid w:val="0"/>
          <w:color w:val="auto"/>
          <w:sz w:val="28"/>
          <w:szCs w:val="28"/>
          <w:highlight w:val="none"/>
        </w:rPr>
        <w:t>代理机构：</w:t>
      </w:r>
      <w:r>
        <w:rPr>
          <w:rFonts w:hint="eastAsia" w:ascii="仿宋" w:hAnsi="仿宋" w:eastAsia="仿宋" w:cs="仿宋"/>
          <w:snapToGrid w:val="0"/>
          <w:color w:val="auto"/>
          <w:sz w:val="28"/>
          <w:szCs w:val="28"/>
          <w:highlight w:val="none"/>
          <w:u w:val="single"/>
        </w:rPr>
        <w:t>浙江新诚信工程咨询有限公司                       （盖章）</w:t>
      </w:r>
    </w:p>
    <w:p>
      <w:pPr>
        <w:spacing w:line="640" w:lineRule="exact"/>
        <w:jc w:val="center"/>
        <w:rPr>
          <w:rFonts w:ascii="仿宋" w:hAnsi="仿宋" w:eastAsia="仿宋" w:cs="仿宋"/>
          <w:b/>
          <w:snapToGrid w:val="0"/>
          <w:color w:val="auto"/>
          <w:sz w:val="30"/>
          <w:szCs w:val="30"/>
          <w:highlight w:val="none"/>
        </w:rPr>
      </w:pPr>
    </w:p>
    <w:p>
      <w:pPr>
        <w:pStyle w:val="12"/>
        <w:rPr>
          <w:color w:val="auto"/>
          <w:highlight w:val="none"/>
        </w:rPr>
      </w:pPr>
    </w:p>
    <w:p>
      <w:pPr>
        <w:spacing w:line="640" w:lineRule="exact"/>
        <w:jc w:val="center"/>
        <w:rPr>
          <w:rFonts w:ascii="仿宋" w:hAnsi="仿宋" w:eastAsia="仿宋" w:cs="仿宋"/>
          <w:b/>
          <w:color w:val="auto"/>
          <w:sz w:val="30"/>
          <w:szCs w:val="30"/>
          <w:highlight w:val="none"/>
        </w:rPr>
      </w:pPr>
      <w:r>
        <w:rPr>
          <w:rFonts w:hint="eastAsia" w:ascii="仿宋" w:hAnsi="仿宋" w:eastAsia="仿宋" w:cs="仿宋"/>
          <w:b/>
          <w:snapToGrid w:val="0"/>
          <w:color w:val="auto"/>
          <w:sz w:val="30"/>
          <w:szCs w:val="30"/>
          <w:highlight w:val="none"/>
        </w:rPr>
        <w:t>2024年</w:t>
      </w:r>
      <w:r>
        <w:rPr>
          <w:rFonts w:hint="eastAsia" w:ascii="仿宋" w:hAnsi="仿宋" w:eastAsia="仿宋" w:cs="仿宋"/>
          <w:b/>
          <w:snapToGrid w:val="0"/>
          <w:color w:val="auto"/>
          <w:sz w:val="30"/>
          <w:szCs w:val="30"/>
          <w:highlight w:val="none"/>
          <w:lang w:val="en-US" w:eastAsia="zh-CN"/>
        </w:rPr>
        <w:t>5</w:t>
      </w:r>
      <w:r>
        <w:rPr>
          <w:rFonts w:hint="eastAsia" w:ascii="仿宋" w:hAnsi="仿宋" w:eastAsia="仿宋" w:cs="仿宋"/>
          <w:b/>
          <w:snapToGrid w:val="0"/>
          <w:color w:val="auto"/>
          <w:sz w:val="30"/>
          <w:szCs w:val="30"/>
          <w:highlight w:val="none"/>
        </w:rPr>
        <w:t>月</w:t>
      </w:r>
    </w:p>
    <w:p>
      <w:pPr>
        <w:rPr>
          <w:rFonts w:ascii="仿宋" w:hAnsi="仿宋" w:eastAsia="仿宋" w:cs="仿宋"/>
          <w:b/>
          <w:color w:val="auto"/>
          <w:sz w:val="44"/>
          <w:szCs w:val="44"/>
          <w:highlight w:val="none"/>
        </w:rPr>
      </w:pPr>
    </w:p>
    <w:p>
      <w:pPr>
        <w:jc w:val="center"/>
        <w:rPr>
          <w:rFonts w:ascii="仿宋" w:hAnsi="仿宋" w:eastAsia="仿宋" w:cs="仿宋"/>
          <w:b/>
          <w:color w:val="auto"/>
          <w:sz w:val="44"/>
          <w:szCs w:val="44"/>
          <w:highlight w:val="none"/>
        </w:rPr>
        <w:sectPr>
          <w:headerReference r:id="rId3" w:type="default"/>
          <w:footerReference r:id="rId4" w:type="default"/>
          <w:pgSz w:w="11906" w:h="16838"/>
          <w:pgMar w:top="1134" w:right="1134" w:bottom="1134" w:left="1134" w:header="113" w:footer="113" w:gutter="0"/>
          <w:cols w:space="0" w:num="1"/>
          <w:titlePg/>
          <w:docGrid w:linePitch="312" w:charSpace="0"/>
        </w:sectPr>
      </w:pPr>
    </w:p>
    <w:p>
      <w:pPr>
        <w:jc w:val="center"/>
        <w:rPr>
          <w:rFonts w:hint="eastAsia" w:ascii="仿宋" w:hAnsi="仿宋" w:eastAsia="仿宋" w:cs="仿宋"/>
          <w:b/>
          <w:color w:val="auto"/>
          <w:sz w:val="44"/>
          <w:szCs w:val="44"/>
          <w:highlight w:val="none"/>
        </w:rPr>
      </w:pPr>
    </w:p>
    <w:p>
      <w:pPr>
        <w:jc w:val="center"/>
        <w:rPr>
          <w:rFonts w:ascii="仿宋" w:hAnsi="仿宋" w:eastAsia="仿宋" w:cs="仿宋"/>
          <w:b/>
          <w:color w:val="auto"/>
          <w:sz w:val="44"/>
          <w:szCs w:val="44"/>
          <w:highlight w:val="none"/>
        </w:rPr>
      </w:pPr>
      <w:r>
        <w:rPr>
          <w:rFonts w:hint="eastAsia" w:ascii="仿宋" w:hAnsi="仿宋" w:eastAsia="仿宋" w:cs="仿宋"/>
          <w:b/>
          <w:color w:val="auto"/>
          <w:sz w:val="44"/>
          <w:szCs w:val="44"/>
          <w:highlight w:val="none"/>
        </w:rPr>
        <w:t>目  录</w:t>
      </w:r>
    </w:p>
    <w:p>
      <w:pPr>
        <w:adjustRightInd w:val="0"/>
        <w:snapToGrid w:val="0"/>
        <w:spacing w:line="360" w:lineRule="auto"/>
        <w:rPr>
          <w:rFonts w:ascii="仿宋" w:hAnsi="仿宋" w:eastAsia="仿宋" w:cs="仿宋"/>
          <w:color w:val="auto"/>
          <w:sz w:val="30"/>
          <w:szCs w:val="30"/>
          <w:highlight w:val="none"/>
        </w:rPr>
      </w:pPr>
    </w:p>
    <w:p>
      <w:pPr>
        <w:numPr>
          <w:ilvl w:val="0"/>
          <w:numId w:val="2"/>
        </w:numPr>
        <w:adjustRightInd w:val="0"/>
        <w:snapToGrid w:val="0"/>
        <w:spacing w:line="700" w:lineRule="exact"/>
        <w:jc w:val="distribute"/>
        <w:rPr>
          <w:rFonts w:ascii="仿宋" w:hAnsi="仿宋" w:eastAsia="仿宋" w:cs="仿宋"/>
          <w:b/>
          <w:bCs/>
          <w:color w:val="auto"/>
          <w:sz w:val="30"/>
          <w:szCs w:val="30"/>
          <w:highlight w:val="none"/>
        </w:rPr>
      </w:pPr>
      <w:r>
        <w:rPr>
          <w:rFonts w:hint="eastAsia" w:ascii="仿宋" w:hAnsi="仿宋" w:eastAsia="仿宋" w:cs="仿宋"/>
          <w:b/>
          <w:color w:val="auto"/>
          <w:sz w:val="30"/>
          <w:szCs w:val="30"/>
          <w:highlight w:val="none"/>
        </w:rPr>
        <w:t>竞争性磋商公告</w:t>
      </w:r>
      <w:r>
        <w:rPr>
          <w:rFonts w:hint="eastAsia" w:ascii="仿宋" w:hAnsi="仿宋" w:eastAsia="仿宋" w:cs="仿宋"/>
          <w:b/>
          <w:bCs/>
          <w:color w:val="auto"/>
          <w:sz w:val="30"/>
          <w:szCs w:val="30"/>
          <w:highlight w:val="none"/>
        </w:rPr>
        <w:t>……………………………………………01</w:t>
      </w:r>
    </w:p>
    <w:p>
      <w:pPr>
        <w:numPr>
          <w:ilvl w:val="0"/>
          <w:numId w:val="2"/>
        </w:numPr>
        <w:adjustRightInd w:val="0"/>
        <w:snapToGrid w:val="0"/>
        <w:spacing w:line="700" w:lineRule="exact"/>
        <w:jc w:val="distribute"/>
        <w:rPr>
          <w:rFonts w:hint="default" w:ascii="仿宋" w:hAnsi="仿宋" w:eastAsia="仿宋" w:cs="仿宋"/>
          <w:b/>
          <w:bCs/>
          <w:color w:val="auto"/>
          <w:sz w:val="30"/>
          <w:szCs w:val="30"/>
          <w:highlight w:val="none"/>
          <w:lang w:val="en-US"/>
        </w:rPr>
      </w:pPr>
      <w:r>
        <w:rPr>
          <w:rFonts w:hint="eastAsia" w:ascii="仿宋" w:hAnsi="仿宋" w:eastAsia="仿宋" w:cs="仿宋"/>
          <w:b/>
          <w:bCs/>
          <w:color w:val="auto"/>
          <w:sz w:val="30"/>
          <w:szCs w:val="30"/>
          <w:highlight w:val="none"/>
        </w:rPr>
        <w:t>项目采购需求………………………………………0</w:t>
      </w:r>
      <w:r>
        <w:rPr>
          <w:rFonts w:hint="eastAsia" w:ascii="仿宋" w:hAnsi="仿宋" w:eastAsia="仿宋" w:cs="仿宋"/>
          <w:b/>
          <w:bCs/>
          <w:color w:val="auto"/>
          <w:sz w:val="30"/>
          <w:szCs w:val="30"/>
          <w:highlight w:val="none"/>
          <w:lang w:val="en-US" w:eastAsia="zh-CN"/>
        </w:rPr>
        <w:t>6</w:t>
      </w:r>
    </w:p>
    <w:p>
      <w:pPr>
        <w:adjustRightInd w:val="0"/>
        <w:snapToGrid w:val="0"/>
        <w:spacing w:line="700" w:lineRule="exact"/>
        <w:jc w:val="distribute"/>
        <w:rPr>
          <w:rFonts w:hint="default" w:ascii="仿宋" w:hAnsi="仿宋" w:eastAsia="仿宋" w:cs="仿宋"/>
          <w:b/>
          <w:bCs/>
          <w:color w:val="auto"/>
          <w:sz w:val="30"/>
          <w:szCs w:val="30"/>
          <w:highlight w:val="none"/>
          <w:lang w:val="en-US" w:eastAsia="zh-CN"/>
        </w:rPr>
      </w:pPr>
      <w:r>
        <w:rPr>
          <w:rFonts w:hint="eastAsia" w:ascii="仿宋" w:hAnsi="仿宋" w:eastAsia="仿宋" w:cs="仿宋"/>
          <w:b/>
          <w:bCs/>
          <w:color w:val="auto"/>
          <w:sz w:val="30"/>
          <w:szCs w:val="30"/>
          <w:highlight w:val="none"/>
        </w:rPr>
        <w:t>第三章 供应商须知…………………………………………………</w:t>
      </w:r>
      <w:r>
        <w:rPr>
          <w:rFonts w:hint="eastAsia" w:ascii="仿宋" w:hAnsi="仿宋" w:eastAsia="仿宋" w:cs="仿宋"/>
          <w:b/>
          <w:bCs/>
          <w:color w:val="auto"/>
          <w:sz w:val="30"/>
          <w:szCs w:val="30"/>
          <w:highlight w:val="none"/>
          <w:lang w:val="en-US" w:eastAsia="zh-CN"/>
        </w:rPr>
        <w:t>13</w:t>
      </w:r>
    </w:p>
    <w:p>
      <w:pPr>
        <w:adjustRightInd w:val="0"/>
        <w:snapToGrid w:val="0"/>
        <w:spacing w:line="700" w:lineRule="exact"/>
        <w:ind w:firstLine="150" w:firstLineChars="50"/>
        <w:jc w:val="distribut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rPr>
        <w:t xml:space="preserve">      前附表………………………………………………………</w:t>
      </w:r>
      <w:r>
        <w:rPr>
          <w:rFonts w:hint="eastAsia" w:ascii="仿宋" w:hAnsi="仿宋" w:eastAsia="仿宋" w:cs="仿宋"/>
          <w:color w:val="auto"/>
          <w:sz w:val="30"/>
          <w:szCs w:val="30"/>
          <w:highlight w:val="none"/>
          <w:lang w:val="en-US" w:eastAsia="zh-CN"/>
        </w:rPr>
        <w:t>13</w:t>
      </w:r>
    </w:p>
    <w:p>
      <w:pPr>
        <w:adjustRightInd w:val="0"/>
        <w:snapToGrid w:val="0"/>
        <w:spacing w:line="700" w:lineRule="exact"/>
        <w:ind w:firstLine="150" w:firstLineChars="50"/>
        <w:jc w:val="distribute"/>
        <w:rPr>
          <w:rFonts w:hint="default" w:ascii="仿宋" w:hAnsi="仿宋" w:eastAsia="仿宋" w:cs="仿宋"/>
          <w:color w:val="auto"/>
          <w:sz w:val="30"/>
          <w:szCs w:val="30"/>
          <w:highlight w:val="none"/>
          <w:lang w:val="en-US"/>
        </w:rPr>
      </w:pPr>
      <w:r>
        <w:rPr>
          <w:rFonts w:hint="eastAsia" w:ascii="仿宋" w:hAnsi="仿宋" w:eastAsia="仿宋" w:cs="仿宋"/>
          <w:color w:val="auto"/>
          <w:sz w:val="30"/>
          <w:szCs w:val="30"/>
          <w:highlight w:val="none"/>
        </w:rPr>
        <w:t xml:space="preserve">      一、总则……………………………………………………</w:t>
      </w:r>
      <w:r>
        <w:rPr>
          <w:rFonts w:hint="eastAsia" w:ascii="仿宋" w:hAnsi="仿宋" w:eastAsia="仿宋" w:cs="仿宋"/>
          <w:color w:val="auto"/>
          <w:sz w:val="30"/>
          <w:szCs w:val="30"/>
          <w:highlight w:val="none"/>
          <w:lang w:val="en-US" w:eastAsia="zh-CN"/>
        </w:rPr>
        <w:t>15</w:t>
      </w:r>
    </w:p>
    <w:p>
      <w:pPr>
        <w:adjustRightInd w:val="0"/>
        <w:snapToGrid w:val="0"/>
        <w:spacing w:line="700" w:lineRule="exact"/>
        <w:ind w:firstLine="150" w:firstLineChars="50"/>
        <w:jc w:val="distribut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rPr>
        <w:t xml:space="preserve">      二、磋商文件的说明………………………………………</w:t>
      </w:r>
      <w:r>
        <w:rPr>
          <w:rFonts w:hint="eastAsia" w:ascii="仿宋" w:hAnsi="仿宋" w:eastAsia="仿宋" w:cs="仿宋"/>
          <w:color w:val="auto"/>
          <w:sz w:val="30"/>
          <w:szCs w:val="30"/>
          <w:highlight w:val="none"/>
          <w:lang w:val="en-US" w:eastAsia="zh-CN"/>
        </w:rPr>
        <w:t>16</w:t>
      </w:r>
    </w:p>
    <w:p>
      <w:pPr>
        <w:adjustRightInd w:val="0"/>
        <w:snapToGrid w:val="0"/>
        <w:spacing w:line="700" w:lineRule="exact"/>
        <w:ind w:firstLine="150" w:firstLineChars="50"/>
        <w:jc w:val="distribut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rPr>
        <w:t xml:space="preserve">      三、响应文件的提交………………………………………</w:t>
      </w:r>
      <w:r>
        <w:rPr>
          <w:rFonts w:hint="eastAsia" w:ascii="仿宋" w:hAnsi="仿宋" w:eastAsia="仿宋" w:cs="仿宋"/>
          <w:color w:val="auto"/>
          <w:sz w:val="30"/>
          <w:szCs w:val="30"/>
          <w:highlight w:val="none"/>
          <w:lang w:val="en-US" w:eastAsia="zh-CN"/>
        </w:rPr>
        <w:t>21</w:t>
      </w:r>
    </w:p>
    <w:p>
      <w:pPr>
        <w:adjustRightInd w:val="0"/>
        <w:snapToGrid w:val="0"/>
        <w:spacing w:line="700" w:lineRule="exact"/>
        <w:ind w:firstLine="150" w:firstLineChars="50"/>
        <w:jc w:val="distribut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rPr>
        <w:t xml:space="preserve">      四、磋商规则、程序………………………………………</w:t>
      </w:r>
      <w:r>
        <w:rPr>
          <w:rFonts w:hint="eastAsia" w:ascii="仿宋" w:hAnsi="仿宋" w:eastAsia="仿宋" w:cs="仿宋"/>
          <w:color w:val="auto"/>
          <w:sz w:val="30"/>
          <w:szCs w:val="30"/>
          <w:highlight w:val="none"/>
          <w:lang w:val="en-US" w:eastAsia="zh-CN"/>
        </w:rPr>
        <w:t>24</w:t>
      </w:r>
    </w:p>
    <w:p>
      <w:pPr>
        <w:adjustRightInd w:val="0"/>
        <w:snapToGrid w:val="0"/>
        <w:spacing w:line="700" w:lineRule="exact"/>
        <w:ind w:firstLine="150" w:firstLineChars="50"/>
        <w:jc w:val="distribute"/>
        <w:rPr>
          <w:rFonts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      五、授予合同………………………………………………</w:t>
      </w:r>
      <w:r>
        <w:rPr>
          <w:rFonts w:hint="eastAsia" w:ascii="仿宋" w:hAnsi="仿宋" w:eastAsia="仿宋" w:cs="仿宋"/>
          <w:color w:val="auto"/>
          <w:sz w:val="30"/>
          <w:szCs w:val="30"/>
          <w:highlight w:val="none"/>
          <w:lang w:val="en-US" w:eastAsia="zh-CN"/>
        </w:rPr>
        <w:t>28</w:t>
      </w:r>
    </w:p>
    <w:p>
      <w:pPr>
        <w:adjustRightInd w:val="0"/>
        <w:snapToGrid w:val="0"/>
        <w:spacing w:line="700" w:lineRule="exact"/>
        <w:ind w:firstLine="150" w:firstLineChars="50"/>
        <w:jc w:val="distribut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rPr>
        <w:t xml:space="preserve">      六、其他内容………………………………………………</w:t>
      </w:r>
      <w:r>
        <w:rPr>
          <w:rFonts w:hint="eastAsia" w:ascii="仿宋" w:hAnsi="仿宋" w:eastAsia="仿宋" w:cs="仿宋"/>
          <w:color w:val="auto"/>
          <w:sz w:val="30"/>
          <w:szCs w:val="30"/>
          <w:highlight w:val="none"/>
          <w:lang w:val="en-US" w:eastAsia="zh-CN"/>
        </w:rPr>
        <w:t>29</w:t>
      </w:r>
    </w:p>
    <w:p>
      <w:pPr>
        <w:adjustRightInd w:val="0"/>
        <w:snapToGrid w:val="0"/>
        <w:spacing w:line="700" w:lineRule="exact"/>
        <w:jc w:val="distribute"/>
        <w:rPr>
          <w:rFonts w:hint="default" w:ascii="仿宋" w:hAnsi="仿宋" w:eastAsia="仿宋" w:cs="仿宋"/>
          <w:b/>
          <w:bCs/>
          <w:color w:val="auto"/>
          <w:sz w:val="30"/>
          <w:szCs w:val="30"/>
          <w:highlight w:val="none"/>
          <w:lang w:val="en-US" w:eastAsia="zh-CN"/>
        </w:rPr>
      </w:pPr>
      <w:r>
        <w:rPr>
          <w:rFonts w:hint="eastAsia" w:ascii="仿宋" w:hAnsi="仿宋" w:eastAsia="仿宋" w:cs="仿宋"/>
          <w:b/>
          <w:bCs/>
          <w:color w:val="auto"/>
          <w:sz w:val="30"/>
          <w:szCs w:val="30"/>
          <w:highlight w:val="none"/>
        </w:rPr>
        <w:t>第四章 合同主要条款………………………………………………</w:t>
      </w:r>
      <w:r>
        <w:rPr>
          <w:rFonts w:hint="eastAsia" w:ascii="仿宋" w:hAnsi="仿宋" w:eastAsia="仿宋" w:cs="仿宋"/>
          <w:b/>
          <w:bCs/>
          <w:color w:val="auto"/>
          <w:sz w:val="30"/>
          <w:szCs w:val="30"/>
          <w:highlight w:val="none"/>
          <w:lang w:val="en-US" w:eastAsia="zh-CN"/>
        </w:rPr>
        <w:t>30</w:t>
      </w:r>
    </w:p>
    <w:p>
      <w:pPr>
        <w:adjustRightInd w:val="0"/>
        <w:snapToGrid w:val="0"/>
        <w:spacing w:line="700" w:lineRule="exact"/>
        <w:jc w:val="distribute"/>
        <w:rPr>
          <w:rFonts w:hint="default" w:ascii="仿宋" w:hAnsi="仿宋" w:eastAsia="仿宋" w:cs="仿宋"/>
          <w:b/>
          <w:bCs/>
          <w:color w:val="auto"/>
          <w:sz w:val="30"/>
          <w:szCs w:val="30"/>
          <w:highlight w:val="none"/>
          <w:lang w:val="en-US" w:eastAsia="zh-CN"/>
        </w:rPr>
      </w:pPr>
      <w:r>
        <w:rPr>
          <w:rFonts w:hint="eastAsia" w:ascii="仿宋" w:hAnsi="仿宋" w:eastAsia="仿宋" w:cs="仿宋"/>
          <w:b/>
          <w:bCs/>
          <w:color w:val="auto"/>
          <w:sz w:val="30"/>
          <w:szCs w:val="30"/>
          <w:highlight w:val="none"/>
        </w:rPr>
        <w:t>第五章 响应文件格式………………………………………………</w:t>
      </w:r>
      <w:r>
        <w:rPr>
          <w:rFonts w:hint="eastAsia" w:ascii="仿宋" w:hAnsi="仿宋" w:eastAsia="仿宋" w:cs="仿宋"/>
          <w:b/>
          <w:bCs/>
          <w:color w:val="auto"/>
          <w:sz w:val="30"/>
          <w:szCs w:val="30"/>
          <w:highlight w:val="none"/>
          <w:lang w:val="en-US" w:eastAsia="zh-CN"/>
        </w:rPr>
        <w:t>34</w:t>
      </w:r>
    </w:p>
    <w:p>
      <w:pPr>
        <w:adjustRightInd w:val="0"/>
        <w:snapToGrid w:val="0"/>
        <w:spacing w:line="700" w:lineRule="exact"/>
        <w:jc w:val="distribute"/>
        <w:rPr>
          <w:rFonts w:hint="default" w:ascii="仿宋" w:hAnsi="仿宋" w:eastAsia="仿宋" w:cs="仿宋"/>
          <w:b/>
          <w:color w:val="auto"/>
          <w:sz w:val="30"/>
          <w:szCs w:val="30"/>
          <w:highlight w:val="none"/>
          <w:lang w:val="en-US" w:eastAsia="zh-CN"/>
        </w:rPr>
      </w:pPr>
      <w:r>
        <w:rPr>
          <w:rFonts w:hint="eastAsia" w:ascii="仿宋" w:hAnsi="仿宋" w:eastAsia="仿宋" w:cs="仿宋"/>
          <w:b/>
          <w:color w:val="auto"/>
          <w:sz w:val="30"/>
          <w:szCs w:val="30"/>
          <w:highlight w:val="none"/>
        </w:rPr>
        <w:t>第六章 磋商办法及评分标准………………………………………</w:t>
      </w:r>
      <w:r>
        <w:rPr>
          <w:rFonts w:hint="eastAsia" w:ascii="仿宋" w:hAnsi="仿宋" w:eastAsia="仿宋" w:cs="仿宋"/>
          <w:b/>
          <w:color w:val="auto"/>
          <w:sz w:val="30"/>
          <w:szCs w:val="30"/>
          <w:highlight w:val="none"/>
          <w:lang w:val="en-US" w:eastAsia="zh-CN"/>
        </w:rPr>
        <w:t>50</w:t>
      </w:r>
    </w:p>
    <w:p>
      <w:pPr>
        <w:spacing w:line="600" w:lineRule="exact"/>
        <w:rPr>
          <w:rFonts w:ascii="仿宋" w:hAnsi="仿宋" w:eastAsia="仿宋" w:cs="仿宋"/>
          <w:color w:val="auto"/>
          <w:sz w:val="30"/>
          <w:szCs w:val="30"/>
          <w:highlight w:val="none"/>
        </w:rPr>
      </w:pPr>
    </w:p>
    <w:p>
      <w:pPr>
        <w:spacing w:line="600" w:lineRule="exact"/>
        <w:rPr>
          <w:rFonts w:ascii="仿宋" w:hAnsi="仿宋" w:eastAsia="仿宋" w:cs="仿宋"/>
          <w:b/>
          <w:color w:val="auto"/>
          <w:sz w:val="36"/>
          <w:szCs w:val="36"/>
          <w:highlight w:val="none"/>
        </w:rPr>
      </w:pPr>
    </w:p>
    <w:p>
      <w:pPr>
        <w:spacing w:line="600" w:lineRule="exact"/>
        <w:rPr>
          <w:rFonts w:ascii="仿宋" w:hAnsi="仿宋" w:eastAsia="仿宋" w:cs="仿宋"/>
          <w:b/>
          <w:color w:val="auto"/>
          <w:sz w:val="36"/>
          <w:szCs w:val="36"/>
          <w:highlight w:val="none"/>
        </w:rPr>
      </w:pPr>
    </w:p>
    <w:p>
      <w:pPr>
        <w:numPr>
          <w:ilvl w:val="0"/>
          <w:numId w:val="3"/>
        </w:numPr>
        <w:spacing w:line="600" w:lineRule="exact"/>
        <w:jc w:val="center"/>
        <w:outlineLvl w:val="0"/>
        <w:rPr>
          <w:rFonts w:ascii="仿宋" w:hAnsi="仿宋" w:eastAsia="仿宋" w:cs="仿宋"/>
          <w:b/>
          <w:color w:val="auto"/>
          <w:sz w:val="36"/>
          <w:szCs w:val="36"/>
          <w:highlight w:val="none"/>
        </w:rPr>
        <w:sectPr>
          <w:footerReference r:id="rId6" w:type="first"/>
          <w:footerReference r:id="rId5" w:type="default"/>
          <w:pgSz w:w="11906" w:h="16838"/>
          <w:pgMar w:top="1134" w:right="1247" w:bottom="1134" w:left="1247" w:header="113" w:footer="113" w:gutter="0"/>
          <w:cols w:space="720" w:num="1"/>
          <w:titlePg/>
          <w:docGrid w:linePitch="312" w:charSpace="0"/>
        </w:sectPr>
      </w:pPr>
    </w:p>
    <w:p>
      <w:pPr>
        <w:numPr>
          <w:ilvl w:val="0"/>
          <w:numId w:val="3"/>
        </w:numPr>
        <w:spacing w:line="600" w:lineRule="exact"/>
        <w:jc w:val="center"/>
        <w:outlineLvl w:val="0"/>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t>竞争性磋商公告</w:t>
      </w:r>
    </w:p>
    <w:p>
      <w:pPr>
        <w:spacing w:line="500" w:lineRule="exact"/>
        <w:jc w:val="center"/>
        <w:rPr>
          <w:rFonts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（本项目为电子磋商项目）</w:t>
      </w:r>
    </w:p>
    <w:p>
      <w:pPr>
        <w:pStyle w:val="25"/>
        <w:rPr>
          <w:color w:val="auto"/>
          <w:highlight w:val="none"/>
        </w:rPr>
      </w:pPr>
    </w:p>
    <w:p>
      <w:pPr>
        <w:adjustRightInd w:val="0"/>
        <w:snapToGrid w:val="0"/>
        <w:spacing w:line="600" w:lineRule="exact"/>
        <w:ind w:firstLine="480" w:firstLineChars="200"/>
        <w:jc w:val="left"/>
        <w:rPr>
          <w:rFonts w:ascii="仿宋" w:hAnsi="仿宋" w:eastAsia="仿宋" w:cs="宋体"/>
          <w:color w:val="auto"/>
          <w:sz w:val="24"/>
          <w:highlight w:val="none"/>
        </w:rPr>
      </w:pPr>
      <w:r>
        <w:rPr>
          <w:rFonts w:hint="eastAsia" w:ascii="仿宋" w:hAnsi="仿宋" w:eastAsia="仿宋" w:cs="宋体"/>
          <w:color w:val="auto"/>
          <w:kern w:val="0"/>
          <w:sz w:val="24"/>
          <w:highlight w:val="none"/>
        </w:rPr>
        <w:t>根据《中华人民共和国政府采购法》、《政府采购竞争性磋商采购方式管理暂行办法》及相关法律、法规等规定，经</w:t>
      </w:r>
      <w:r>
        <w:rPr>
          <w:rFonts w:hint="eastAsia" w:ascii="仿宋" w:hAnsi="仿宋" w:eastAsia="仿宋"/>
          <w:color w:val="auto"/>
          <w:sz w:val="24"/>
          <w:highlight w:val="none"/>
        </w:rPr>
        <w:t>财政局(财政审批编号：</w:t>
      </w:r>
      <w:r>
        <w:rPr>
          <w:rFonts w:hint="eastAsia" w:ascii="仿宋" w:hAnsi="仿宋" w:eastAsia="仿宋"/>
          <w:color w:val="auto"/>
          <w:sz w:val="24"/>
          <w:highlight w:val="none"/>
          <w:u w:val="single"/>
          <w:lang w:val="en-US" w:eastAsia="zh-CN"/>
        </w:rPr>
        <w:t>湖</w:t>
      </w:r>
      <w:r>
        <w:rPr>
          <w:rFonts w:hint="eastAsia" w:ascii="仿宋" w:hAnsi="仿宋" w:eastAsia="仿宋"/>
          <w:color w:val="auto"/>
          <w:sz w:val="24"/>
          <w:highlight w:val="none"/>
          <w:u w:val="single"/>
        </w:rPr>
        <w:t>财采确[2024]</w:t>
      </w:r>
      <w:r>
        <w:rPr>
          <w:rFonts w:hint="eastAsia" w:ascii="仿宋" w:hAnsi="仿宋" w:eastAsia="仿宋"/>
          <w:color w:val="auto"/>
          <w:sz w:val="24"/>
          <w:highlight w:val="none"/>
          <w:u w:val="single"/>
          <w:lang w:val="en-US" w:eastAsia="zh-CN"/>
        </w:rPr>
        <w:t>7777</w:t>
      </w:r>
      <w:r>
        <w:rPr>
          <w:rFonts w:hint="eastAsia" w:ascii="仿宋" w:hAnsi="仿宋" w:eastAsia="仿宋"/>
          <w:color w:val="auto"/>
          <w:sz w:val="24"/>
          <w:highlight w:val="none"/>
          <w:u w:val="single"/>
        </w:rPr>
        <w:t>号)</w:t>
      </w:r>
      <w:r>
        <w:rPr>
          <w:rFonts w:hint="eastAsia" w:ascii="仿宋" w:hAnsi="仿宋" w:eastAsia="仿宋" w:cs="宋体"/>
          <w:color w:val="auto"/>
          <w:kern w:val="0"/>
          <w:sz w:val="24"/>
          <w:highlight w:val="none"/>
        </w:rPr>
        <w:t>批准，</w:t>
      </w:r>
      <w:r>
        <w:rPr>
          <w:rFonts w:hint="eastAsia" w:ascii="仿宋" w:hAnsi="仿宋" w:eastAsia="仿宋" w:cs="宋体"/>
          <w:b/>
          <w:color w:val="auto"/>
          <w:kern w:val="0"/>
          <w:sz w:val="24"/>
          <w:highlight w:val="none"/>
          <w:u w:val="single"/>
        </w:rPr>
        <w:t>浙江新诚信工程咨询有限公司</w:t>
      </w:r>
      <w:r>
        <w:rPr>
          <w:rFonts w:hint="eastAsia" w:ascii="仿宋" w:hAnsi="仿宋" w:eastAsia="仿宋" w:cs="宋体"/>
          <w:color w:val="auto"/>
          <w:kern w:val="0"/>
          <w:sz w:val="24"/>
          <w:highlight w:val="none"/>
        </w:rPr>
        <w:t>受</w:t>
      </w:r>
      <w:r>
        <w:rPr>
          <w:rFonts w:hint="eastAsia" w:ascii="仿宋" w:hAnsi="仿宋" w:eastAsia="仿宋" w:cs="宋体"/>
          <w:b/>
          <w:color w:val="auto"/>
          <w:sz w:val="24"/>
          <w:highlight w:val="none"/>
          <w:u w:val="single"/>
          <w:lang w:eastAsia="zh-CN"/>
        </w:rPr>
        <w:t>湖州市人力资源和社会保障信息中心</w:t>
      </w:r>
      <w:r>
        <w:rPr>
          <w:rFonts w:hint="eastAsia" w:ascii="仿宋" w:hAnsi="仿宋" w:eastAsia="仿宋" w:cs="宋体"/>
          <w:color w:val="auto"/>
          <w:kern w:val="0"/>
          <w:sz w:val="24"/>
          <w:highlight w:val="none"/>
        </w:rPr>
        <w:t>的委托，就</w:t>
      </w:r>
      <w:r>
        <w:rPr>
          <w:rFonts w:hint="eastAsia" w:ascii="仿宋" w:hAnsi="仿宋" w:eastAsia="仿宋" w:cs="宋体"/>
          <w:b/>
          <w:color w:val="auto"/>
          <w:sz w:val="24"/>
          <w:highlight w:val="none"/>
          <w:u w:val="single"/>
          <w:lang w:eastAsia="zh-CN"/>
        </w:rPr>
        <w:t>2024年度湖州人社核心应用软件系统运维保障服务采购项目</w:t>
      </w:r>
      <w:r>
        <w:rPr>
          <w:rFonts w:hint="eastAsia" w:ascii="仿宋" w:hAnsi="仿宋" w:eastAsia="仿宋" w:cs="宋体"/>
          <w:color w:val="auto"/>
          <w:kern w:val="0"/>
          <w:sz w:val="24"/>
          <w:highlight w:val="none"/>
        </w:rPr>
        <w:t>进行竞争性磋商，欢迎国内合格的供应商前来参加磋商。</w:t>
      </w:r>
    </w:p>
    <w:p>
      <w:pPr>
        <w:widowControl/>
        <w:tabs>
          <w:tab w:val="left" w:pos="8689"/>
        </w:tabs>
        <w:spacing w:line="500" w:lineRule="exact"/>
        <w:ind w:right="60" w:firstLine="482" w:firstLineChars="200"/>
        <w:outlineLvl w:val="1"/>
        <w:rPr>
          <w:rFonts w:ascii="仿宋" w:hAnsi="仿宋" w:eastAsia="仿宋" w:cs="仿宋"/>
          <w:color w:val="auto"/>
          <w:kern w:val="0"/>
          <w:sz w:val="24"/>
          <w:highlight w:val="none"/>
        </w:rPr>
      </w:pPr>
      <w:r>
        <w:rPr>
          <w:rFonts w:hint="eastAsia" w:ascii="仿宋" w:hAnsi="仿宋" w:eastAsia="仿宋" w:cs="仿宋"/>
          <w:b/>
          <w:color w:val="auto"/>
          <w:kern w:val="0"/>
          <w:sz w:val="24"/>
          <w:highlight w:val="none"/>
        </w:rPr>
        <w:t>一、磋商项目编号</w:t>
      </w:r>
      <w:r>
        <w:rPr>
          <w:rFonts w:hint="eastAsia" w:ascii="仿宋" w:hAnsi="仿宋" w:eastAsia="仿宋" w:cs="仿宋"/>
          <w:color w:val="auto"/>
          <w:kern w:val="0"/>
          <w:sz w:val="24"/>
          <w:highlight w:val="none"/>
        </w:rPr>
        <w:t>：XCXHZ-2024-0</w:t>
      </w:r>
      <w:r>
        <w:rPr>
          <w:rFonts w:hint="eastAsia" w:ascii="仿宋" w:hAnsi="仿宋" w:eastAsia="仿宋" w:cs="仿宋"/>
          <w:color w:val="auto"/>
          <w:kern w:val="0"/>
          <w:sz w:val="24"/>
          <w:highlight w:val="none"/>
          <w:lang w:val="en-US" w:eastAsia="zh-CN"/>
        </w:rPr>
        <w:t>31-002</w:t>
      </w:r>
      <w:r>
        <w:rPr>
          <w:rFonts w:hint="eastAsia" w:ascii="仿宋" w:hAnsi="仿宋" w:eastAsia="仿宋" w:cs="仿宋"/>
          <w:color w:val="auto"/>
          <w:kern w:val="0"/>
          <w:sz w:val="24"/>
          <w:highlight w:val="none"/>
        </w:rPr>
        <w:t>（CG）</w:t>
      </w:r>
      <w:r>
        <w:rPr>
          <w:rFonts w:hint="eastAsia" w:ascii="仿宋" w:hAnsi="仿宋" w:eastAsia="仿宋" w:cs="仿宋"/>
          <w:color w:val="auto"/>
          <w:kern w:val="0"/>
          <w:sz w:val="24"/>
          <w:highlight w:val="none"/>
        </w:rPr>
        <w:tab/>
      </w:r>
    </w:p>
    <w:p>
      <w:pPr>
        <w:snapToGrid w:val="0"/>
        <w:spacing w:line="500" w:lineRule="exact"/>
        <w:ind w:firstLine="472" w:firstLineChars="196"/>
        <w:outlineLvl w:val="1"/>
        <w:rPr>
          <w:rFonts w:hint="eastAsia" w:ascii="仿宋" w:hAnsi="仿宋" w:eastAsia="仿宋" w:cs="仿宋"/>
          <w:color w:val="auto"/>
          <w:kern w:val="0"/>
          <w:sz w:val="24"/>
          <w:highlight w:val="none"/>
        </w:rPr>
      </w:pPr>
      <w:r>
        <w:rPr>
          <w:rFonts w:hint="eastAsia" w:ascii="仿宋" w:hAnsi="仿宋" w:eastAsia="仿宋" w:cs="仿宋"/>
          <w:b/>
          <w:color w:val="auto"/>
          <w:kern w:val="0"/>
          <w:sz w:val="24"/>
          <w:highlight w:val="none"/>
        </w:rPr>
        <w:t>二、磋商项目概况（内容、用途、数量、简要技术要求等）</w:t>
      </w:r>
      <w:r>
        <w:rPr>
          <w:rFonts w:hint="eastAsia" w:ascii="仿宋" w:hAnsi="仿宋" w:eastAsia="仿宋" w:cs="仿宋"/>
          <w:color w:val="auto"/>
          <w:kern w:val="0"/>
          <w:sz w:val="24"/>
          <w:highlight w:val="none"/>
        </w:rPr>
        <w:t>：</w:t>
      </w:r>
      <w:bookmarkStart w:id="0" w:name="B09_招标内容"/>
      <w:bookmarkEnd w:id="0"/>
    </w:p>
    <w:tbl>
      <w:tblPr>
        <w:tblStyle w:val="26"/>
        <w:tblW w:w="8203" w:type="dxa"/>
        <w:jc w:val="center"/>
        <w:tblLayout w:type="fixed"/>
        <w:tblCellMar>
          <w:top w:w="0" w:type="dxa"/>
          <w:left w:w="10" w:type="dxa"/>
          <w:bottom w:w="0" w:type="dxa"/>
          <w:right w:w="10" w:type="dxa"/>
        </w:tblCellMar>
      </w:tblPr>
      <w:tblGrid>
        <w:gridCol w:w="794"/>
        <w:gridCol w:w="3382"/>
        <w:gridCol w:w="873"/>
        <w:gridCol w:w="1404"/>
        <w:gridCol w:w="1750"/>
      </w:tblGrid>
      <w:tr>
        <w:tblPrEx>
          <w:tblCellMar>
            <w:top w:w="0" w:type="dxa"/>
            <w:left w:w="10" w:type="dxa"/>
            <w:bottom w:w="0" w:type="dxa"/>
            <w:right w:w="10" w:type="dxa"/>
          </w:tblCellMar>
        </w:tblPrEx>
        <w:trPr>
          <w:trHeight w:val="262" w:hRule="atLeast"/>
          <w:jc w:val="center"/>
        </w:trPr>
        <w:tc>
          <w:tcPr>
            <w:tcW w:w="794" w:type="dxa"/>
            <w:tcBorders>
              <w:top w:val="single" w:color="auto" w:sz="6" w:space="0"/>
              <w:left w:val="single" w:color="auto" w:sz="6" w:space="0"/>
              <w:bottom w:val="single" w:color="auto" w:sz="6" w:space="0"/>
              <w:right w:val="single" w:color="auto" w:sz="6" w:space="0"/>
            </w:tcBorders>
            <w:noWrap/>
            <w:vAlign w:val="center"/>
          </w:tcPr>
          <w:p>
            <w:pPr>
              <w:keepNext w:val="0"/>
              <w:keepLines w:val="0"/>
              <w:widowControl/>
              <w:suppressLineNumbers w:val="0"/>
              <w:spacing w:before="0" w:beforeAutospacing="0" w:after="0" w:afterAutospacing="0" w:line="500" w:lineRule="exact"/>
              <w:ind w:left="60" w:right="60"/>
              <w:jc w:val="center"/>
              <w:rPr>
                <w:rFonts w:hint="eastAsia" w:ascii="仿宋" w:hAnsi="仿宋" w:eastAsia="仿宋" w:cs="仿宋"/>
                <w:color w:val="auto"/>
                <w:kern w:val="0"/>
                <w:sz w:val="24"/>
                <w:highlight w:val="none"/>
                <w:lang w:eastAsia="zh-CN"/>
              </w:rPr>
            </w:pPr>
            <w:r>
              <w:rPr>
                <w:rFonts w:hint="eastAsia" w:ascii="仿宋" w:hAnsi="仿宋" w:eastAsia="仿宋" w:cs="仿宋"/>
                <w:color w:val="auto"/>
                <w:kern w:val="0"/>
                <w:sz w:val="24"/>
                <w:highlight w:val="none"/>
                <w:lang w:val="en-US" w:eastAsia="zh-CN"/>
              </w:rPr>
              <w:t>标项</w:t>
            </w:r>
          </w:p>
        </w:tc>
        <w:tc>
          <w:tcPr>
            <w:tcW w:w="3382" w:type="dxa"/>
            <w:tcBorders>
              <w:top w:val="single" w:color="auto" w:sz="6" w:space="0"/>
              <w:left w:val="single" w:color="auto" w:sz="4" w:space="0"/>
              <w:bottom w:val="single" w:color="auto" w:sz="6" w:space="0"/>
              <w:right w:val="single" w:color="auto" w:sz="4" w:space="0"/>
            </w:tcBorders>
            <w:noWrap/>
            <w:vAlign w:val="center"/>
          </w:tcPr>
          <w:p>
            <w:pPr>
              <w:keepNext w:val="0"/>
              <w:keepLines w:val="0"/>
              <w:widowControl/>
              <w:suppressLineNumbers w:val="0"/>
              <w:spacing w:before="0" w:beforeAutospacing="0" w:after="0" w:afterAutospacing="0" w:line="500" w:lineRule="exact"/>
              <w:ind w:left="60" w:leftChars="0" w:right="60" w:rightChars="0"/>
              <w:jc w:val="center"/>
              <w:rPr>
                <w:rFonts w:hint="default" w:ascii="仿宋" w:hAnsi="仿宋" w:eastAsia="仿宋" w:cs="仿宋"/>
                <w:color w:val="auto"/>
                <w:kern w:val="0"/>
                <w:sz w:val="24"/>
                <w:highlight w:val="none"/>
              </w:rPr>
            </w:pPr>
            <w:r>
              <w:rPr>
                <w:rFonts w:hint="eastAsia" w:ascii="仿宋" w:hAnsi="仿宋" w:eastAsia="仿宋" w:cs="仿宋"/>
                <w:color w:val="auto"/>
                <w:kern w:val="0"/>
                <w:sz w:val="24"/>
                <w:highlight w:val="none"/>
              </w:rPr>
              <w:t>采购内容</w:t>
            </w:r>
          </w:p>
        </w:tc>
        <w:tc>
          <w:tcPr>
            <w:tcW w:w="873" w:type="dxa"/>
            <w:tcBorders>
              <w:top w:val="single" w:color="auto" w:sz="6" w:space="0"/>
              <w:left w:val="single" w:color="auto" w:sz="4" w:space="0"/>
              <w:bottom w:val="single" w:color="auto" w:sz="6" w:space="0"/>
              <w:right w:val="single" w:color="auto" w:sz="4" w:space="0"/>
            </w:tcBorders>
            <w:noWrap/>
            <w:vAlign w:val="center"/>
          </w:tcPr>
          <w:p>
            <w:pPr>
              <w:keepNext w:val="0"/>
              <w:keepLines w:val="0"/>
              <w:widowControl/>
              <w:suppressLineNumbers w:val="0"/>
              <w:spacing w:before="0" w:beforeAutospacing="0" w:after="0" w:afterAutospacing="0" w:line="500" w:lineRule="exact"/>
              <w:ind w:left="60" w:leftChars="0" w:right="60" w:rightChars="0"/>
              <w:jc w:val="center"/>
              <w:rPr>
                <w:rFonts w:hint="default" w:ascii="仿宋" w:hAnsi="仿宋" w:eastAsia="仿宋" w:cs="仿宋"/>
                <w:color w:val="auto"/>
                <w:kern w:val="0"/>
                <w:sz w:val="24"/>
                <w:highlight w:val="none"/>
              </w:rPr>
            </w:pPr>
            <w:r>
              <w:rPr>
                <w:rFonts w:hint="eastAsia" w:ascii="仿宋" w:hAnsi="仿宋" w:eastAsia="仿宋" w:cs="仿宋"/>
                <w:color w:val="auto"/>
                <w:kern w:val="0"/>
                <w:sz w:val="24"/>
                <w:highlight w:val="none"/>
              </w:rPr>
              <w:t>数量</w:t>
            </w:r>
          </w:p>
        </w:tc>
        <w:tc>
          <w:tcPr>
            <w:tcW w:w="1404" w:type="dxa"/>
            <w:tcBorders>
              <w:top w:val="single" w:color="auto" w:sz="6" w:space="0"/>
              <w:left w:val="single" w:color="auto" w:sz="4" w:space="0"/>
              <w:bottom w:val="single" w:color="auto" w:sz="4" w:space="0"/>
              <w:right w:val="single" w:color="auto" w:sz="6" w:space="0"/>
            </w:tcBorders>
            <w:noWrap/>
            <w:vAlign w:val="center"/>
          </w:tcPr>
          <w:p>
            <w:pPr>
              <w:keepNext w:val="0"/>
              <w:keepLines w:val="0"/>
              <w:widowControl/>
              <w:suppressLineNumbers w:val="0"/>
              <w:spacing w:before="0" w:beforeAutospacing="0" w:after="0" w:afterAutospacing="0" w:line="500" w:lineRule="exact"/>
              <w:ind w:left="60" w:right="60"/>
              <w:jc w:val="center"/>
              <w:rPr>
                <w:rFonts w:hint="default" w:ascii="仿宋" w:hAnsi="仿宋" w:eastAsia="仿宋" w:cs="仿宋"/>
                <w:color w:val="auto"/>
                <w:kern w:val="0"/>
                <w:sz w:val="24"/>
                <w:highlight w:val="none"/>
              </w:rPr>
            </w:pPr>
            <w:r>
              <w:rPr>
                <w:rFonts w:hint="eastAsia" w:ascii="仿宋" w:hAnsi="仿宋" w:eastAsia="仿宋" w:cs="仿宋"/>
                <w:color w:val="auto"/>
                <w:kern w:val="0"/>
                <w:sz w:val="24"/>
                <w:highlight w:val="none"/>
              </w:rPr>
              <w:t>预算金额</w:t>
            </w:r>
          </w:p>
          <w:p>
            <w:pPr>
              <w:keepNext w:val="0"/>
              <w:keepLines w:val="0"/>
              <w:widowControl/>
              <w:suppressLineNumbers w:val="0"/>
              <w:spacing w:before="0" w:beforeAutospacing="0" w:after="0" w:afterAutospacing="0" w:line="500" w:lineRule="exact"/>
              <w:ind w:left="60" w:leftChars="0" w:right="60" w:rightChars="0"/>
              <w:jc w:val="center"/>
              <w:rPr>
                <w:rFonts w:hint="default" w:ascii="仿宋" w:hAnsi="仿宋" w:eastAsia="仿宋" w:cs="仿宋"/>
                <w:color w:val="auto"/>
                <w:kern w:val="0"/>
                <w:sz w:val="24"/>
                <w:highlight w:val="none"/>
              </w:rPr>
            </w:pPr>
            <w:r>
              <w:rPr>
                <w:rFonts w:hint="eastAsia" w:ascii="仿宋" w:hAnsi="仿宋" w:eastAsia="仿宋" w:cs="仿宋"/>
                <w:color w:val="auto"/>
                <w:kern w:val="0"/>
                <w:sz w:val="24"/>
                <w:highlight w:val="none"/>
              </w:rPr>
              <w:t>（万元）</w:t>
            </w:r>
          </w:p>
        </w:tc>
        <w:tc>
          <w:tcPr>
            <w:tcW w:w="1750" w:type="dxa"/>
            <w:tcBorders>
              <w:top w:val="single" w:color="auto" w:sz="6" w:space="0"/>
              <w:left w:val="single" w:color="auto" w:sz="4" w:space="0"/>
              <w:bottom w:val="single" w:color="auto" w:sz="4" w:space="0"/>
              <w:right w:val="single" w:color="auto" w:sz="6" w:space="0"/>
            </w:tcBorders>
            <w:noWrap/>
            <w:vAlign w:val="center"/>
          </w:tcPr>
          <w:p>
            <w:pPr>
              <w:keepNext w:val="0"/>
              <w:keepLines w:val="0"/>
              <w:widowControl/>
              <w:suppressLineNumbers w:val="0"/>
              <w:spacing w:before="0" w:beforeAutospacing="0" w:after="0" w:afterAutospacing="0" w:line="500" w:lineRule="exact"/>
              <w:ind w:left="60" w:leftChars="0" w:right="60" w:rightChars="0"/>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技术要求</w:t>
            </w:r>
          </w:p>
        </w:tc>
      </w:tr>
      <w:tr>
        <w:tblPrEx>
          <w:tblCellMar>
            <w:top w:w="0" w:type="dxa"/>
            <w:left w:w="10" w:type="dxa"/>
            <w:bottom w:w="0" w:type="dxa"/>
            <w:right w:w="10" w:type="dxa"/>
          </w:tblCellMar>
        </w:tblPrEx>
        <w:trPr>
          <w:trHeight w:val="837" w:hRule="atLeast"/>
          <w:jc w:val="center"/>
        </w:trPr>
        <w:tc>
          <w:tcPr>
            <w:tcW w:w="794" w:type="dxa"/>
            <w:tcBorders>
              <w:top w:val="single" w:color="auto" w:sz="6" w:space="0"/>
              <w:left w:val="single" w:color="auto" w:sz="6" w:space="0"/>
              <w:bottom w:val="single" w:color="auto" w:sz="6" w:space="0"/>
              <w:right w:val="single" w:color="auto" w:sz="6" w:space="0"/>
            </w:tcBorders>
            <w:noWrap/>
            <w:vAlign w:val="center"/>
          </w:tcPr>
          <w:p>
            <w:pPr>
              <w:keepNext w:val="0"/>
              <w:keepLines w:val="0"/>
              <w:suppressLineNumbers w:val="0"/>
              <w:spacing w:before="0" w:beforeAutospacing="0" w:after="0" w:afterAutospacing="0" w:line="500" w:lineRule="exact"/>
              <w:ind w:left="0" w:right="60"/>
              <w:jc w:val="center"/>
              <w:rPr>
                <w:rFonts w:hint="default" w:ascii="仿宋" w:hAnsi="仿宋" w:eastAsia="仿宋" w:cs="仿宋"/>
                <w:color w:val="auto"/>
                <w:kern w:val="0"/>
                <w:sz w:val="24"/>
                <w:highlight w:val="none"/>
                <w:lang w:val="en-US" w:eastAsia="zh-CN"/>
              </w:rPr>
            </w:pPr>
            <w:r>
              <w:rPr>
                <w:rFonts w:hint="eastAsia" w:ascii="仿宋" w:hAnsi="仿宋" w:eastAsia="仿宋" w:cs="仿宋"/>
                <w:color w:val="auto"/>
                <w:kern w:val="0"/>
                <w:sz w:val="24"/>
                <w:highlight w:val="none"/>
                <w:lang w:val="en-US" w:eastAsia="zh-CN"/>
              </w:rPr>
              <w:t>二</w:t>
            </w:r>
          </w:p>
        </w:tc>
        <w:tc>
          <w:tcPr>
            <w:tcW w:w="3382" w:type="dxa"/>
            <w:tcBorders>
              <w:top w:val="single" w:color="auto" w:sz="6" w:space="0"/>
              <w:left w:val="single" w:color="auto" w:sz="6" w:space="0"/>
              <w:bottom w:val="single" w:color="auto" w:sz="6" w:space="0"/>
              <w:right w:val="single" w:color="auto" w:sz="6" w:space="0"/>
            </w:tcBorders>
            <w:noWrap/>
            <w:vAlign w:val="center"/>
          </w:tcPr>
          <w:p>
            <w:pPr>
              <w:keepNext w:val="0"/>
              <w:keepLines w:val="0"/>
              <w:suppressLineNumbers w:val="0"/>
              <w:spacing w:before="0" w:beforeAutospacing="0" w:after="0" w:afterAutospacing="0" w:line="500" w:lineRule="exact"/>
              <w:ind w:left="0" w:right="60"/>
              <w:jc w:val="center"/>
              <w:rPr>
                <w:rFonts w:hint="default" w:ascii="仿宋" w:hAnsi="仿宋" w:eastAsia="仿宋" w:cs="仿宋"/>
                <w:color w:val="auto"/>
                <w:kern w:val="0"/>
                <w:sz w:val="24"/>
                <w:highlight w:val="none"/>
                <w:lang w:val="en-US" w:eastAsia="zh-CN"/>
              </w:rPr>
            </w:pPr>
            <w:r>
              <w:rPr>
                <w:rFonts w:hint="eastAsia" w:ascii="仿宋" w:hAnsi="仿宋" w:eastAsia="仿宋" w:cs="仿宋"/>
                <w:color w:val="auto"/>
                <w:kern w:val="0"/>
                <w:sz w:val="24"/>
                <w:highlight w:val="none"/>
                <w:lang w:val="en-US" w:eastAsia="zh-CN"/>
              </w:rPr>
              <w:t xml:space="preserve">湖州市社保综合管理信息系统运维保障服务 </w:t>
            </w:r>
          </w:p>
        </w:tc>
        <w:tc>
          <w:tcPr>
            <w:tcW w:w="873" w:type="dxa"/>
            <w:tcBorders>
              <w:top w:val="single" w:color="auto" w:sz="6" w:space="0"/>
              <w:left w:val="single" w:color="auto" w:sz="6" w:space="0"/>
              <w:bottom w:val="single" w:color="auto" w:sz="6" w:space="0"/>
              <w:right w:val="single" w:color="auto" w:sz="4" w:space="0"/>
            </w:tcBorders>
            <w:noWrap/>
            <w:vAlign w:val="center"/>
          </w:tcPr>
          <w:p>
            <w:pPr>
              <w:keepNext w:val="0"/>
              <w:keepLines w:val="0"/>
              <w:widowControl/>
              <w:suppressLineNumbers w:val="0"/>
              <w:spacing w:before="0" w:beforeAutospacing="0" w:after="0" w:afterAutospacing="0" w:line="500" w:lineRule="exact"/>
              <w:ind w:left="0" w:right="60"/>
              <w:jc w:val="center"/>
              <w:rPr>
                <w:rFonts w:hint="default" w:ascii="仿宋" w:hAnsi="仿宋" w:eastAsia="仿宋" w:cs="仿宋"/>
                <w:color w:val="auto"/>
                <w:kern w:val="0"/>
                <w:sz w:val="24"/>
                <w:highlight w:val="none"/>
                <w:lang w:val="en-US" w:eastAsia="zh-CN"/>
              </w:rPr>
            </w:pPr>
            <w:r>
              <w:rPr>
                <w:rFonts w:hint="eastAsia" w:ascii="仿宋" w:hAnsi="仿宋" w:eastAsia="仿宋" w:cs="仿宋"/>
                <w:color w:val="auto"/>
                <w:kern w:val="0"/>
                <w:sz w:val="24"/>
                <w:highlight w:val="none"/>
                <w:lang w:val="en-US" w:eastAsia="zh-CN"/>
              </w:rPr>
              <w:t>1项</w:t>
            </w:r>
          </w:p>
        </w:tc>
        <w:tc>
          <w:tcPr>
            <w:tcW w:w="1404"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line="500" w:lineRule="exact"/>
              <w:ind w:left="0" w:right="60"/>
              <w:jc w:val="center"/>
              <w:rPr>
                <w:rFonts w:hint="default" w:ascii="仿宋" w:hAnsi="仿宋" w:eastAsia="仿宋" w:cs="仿宋"/>
                <w:color w:val="auto"/>
                <w:kern w:val="0"/>
                <w:sz w:val="24"/>
                <w:highlight w:val="none"/>
                <w:lang w:val="en-US" w:eastAsia="zh-CN"/>
              </w:rPr>
            </w:pPr>
            <w:r>
              <w:rPr>
                <w:rFonts w:hint="eastAsia" w:ascii="仿宋" w:hAnsi="仿宋" w:eastAsia="仿宋" w:cs="仿宋"/>
                <w:color w:val="auto"/>
                <w:kern w:val="0"/>
                <w:sz w:val="24"/>
                <w:highlight w:val="none"/>
                <w:lang w:val="en-US" w:eastAsia="zh-CN"/>
              </w:rPr>
              <w:t>110</w:t>
            </w:r>
          </w:p>
        </w:tc>
        <w:tc>
          <w:tcPr>
            <w:tcW w:w="1750"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line="500" w:lineRule="exact"/>
              <w:ind w:left="0" w:right="60"/>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详见</w:t>
            </w:r>
            <w:r>
              <w:rPr>
                <w:rFonts w:hint="eastAsia" w:ascii="仿宋" w:hAnsi="仿宋" w:eastAsia="仿宋" w:cs="仿宋"/>
                <w:color w:val="auto"/>
                <w:kern w:val="0"/>
                <w:sz w:val="24"/>
                <w:highlight w:val="none"/>
                <w:lang w:val="en-US" w:eastAsia="zh-CN"/>
              </w:rPr>
              <w:t>第二章招标需求</w:t>
            </w:r>
          </w:p>
        </w:tc>
      </w:tr>
    </w:tbl>
    <w:p>
      <w:pPr>
        <w:widowControl/>
        <w:spacing w:line="500" w:lineRule="exact"/>
        <w:ind w:left="44" w:leftChars="21" w:right="60" w:firstLine="472" w:firstLineChars="196"/>
        <w:outlineLvl w:val="1"/>
        <w:rPr>
          <w:rFonts w:ascii="仿宋" w:hAnsi="仿宋" w:eastAsia="仿宋" w:cs="仿宋"/>
          <w:color w:val="auto"/>
          <w:kern w:val="0"/>
          <w:sz w:val="24"/>
          <w:highlight w:val="none"/>
        </w:rPr>
      </w:pPr>
      <w:r>
        <w:rPr>
          <w:rFonts w:hint="eastAsia" w:ascii="仿宋" w:hAnsi="仿宋" w:eastAsia="仿宋" w:cs="仿宋"/>
          <w:b/>
          <w:color w:val="auto"/>
          <w:kern w:val="0"/>
          <w:sz w:val="24"/>
          <w:highlight w:val="none"/>
        </w:rPr>
        <w:t>三、供应商资格要求</w:t>
      </w:r>
      <w:r>
        <w:rPr>
          <w:rFonts w:hint="eastAsia" w:ascii="仿宋" w:hAnsi="仿宋" w:eastAsia="仿宋" w:cs="仿宋"/>
          <w:color w:val="auto"/>
          <w:kern w:val="0"/>
          <w:sz w:val="24"/>
          <w:highlight w:val="none"/>
        </w:rPr>
        <w:t>：</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符合《中华人民共和国政府采购法》第二十二条规定且未被“信用中国”（www.creditchina.gov.cn）、“中国政府采购网”（www.ccgp.gov.cn）等列入失信被执行人、重大税收违法案件当事人名单、政府采购严重违法失信行为记录名单。</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、本项目专门面向中小企业采购, 供应商需符合《政府采购促进中小企业发展管理办法》（财库【2020】46号）和提供本采购文件规定的《中小企业声明函》(监狱企业参加投标提供《监狱企业声明函》及其相关的证明材料、残疾人福利性单位参加投标提供《残疾人福利性单位声明函》，视为小型、微型企业，享受小微企业政策扶持)。</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本项目不接受联合体磋商。</w:t>
      </w:r>
    </w:p>
    <w:p>
      <w:pPr>
        <w:spacing w:line="500" w:lineRule="exact"/>
        <w:ind w:firstLine="482" w:firstLineChars="200"/>
        <w:outlineLvl w:val="1"/>
        <w:rPr>
          <w:rFonts w:ascii="仿宋" w:hAnsi="仿宋" w:eastAsia="仿宋" w:cs="仿宋"/>
          <w:color w:val="auto"/>
          <w:sz w:val="24"/>
          <w:highlight w:val="none"/>
        </w:rPr>
      </w:pPr>
      <w:r>
        <w:rPr>
          <w:rFonts w:hint="eastAsia" w:ascii="仿宋" w:hAnsi="仿宋" w:eastAsia="仿宋" w:cs="仿宋"/>
          <w:b/>
          <w:color w:val="auto"/>
          <w:kern w:val="0"/>
          <w:sz w:val="24"/>
          <w:highlight w:val="none"/>
        </w:rPr>
        <w:t>四、报名及获取磋商文件时间:</w:t>
      </w:r>
    </w:p>
    <w:p>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1、报名及获取磋商文件时间：2024年</w:t>
      </w:r>
      <w:r>
        <w:rPr>
          <w:rFonts w:hint="eastAsia" w:ascii="仿宋" w:hAnsi="仿宋" w:eastAsia="仿宋" w:cs="仿宋"/>
          <w:color w:val="auto"/>
          <w:kern w:val="0"/>
          <w:sz w:val="24"/>
          <w:highlight w:val="none"/>
          <w:lang w:val="en-US" w:eastAsia="zh-CN"/>
        </w:rPr>
        <w:t>5</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23</w:t>
      </w:r>
      <w:r>
        <w:rPr>
          <w:rFonts w:hint="eastAsia" w:ascii="仿宋" w:hAnsi="仿宋" w:eastAsia="仿宋" w:cs="仿宋"/>
          <w:color w:val="auto"/>
          <w:kern w:val="0"/>
          <w:sz w:val="24"/>
          <w:highlight w:val="none"/>
        </w:rPr>
        <w:t>日至磋商截止时间止(潜在供应商报名及获取磋商文件前应当在政采云电子交易平台上注册账号并登录，截止时间后不再接受潜在供应商报名及获取磋商文件)。</w:t>
      </w:r>
    </w:p>
    <w:p>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2、本次磋商文件实行网上获取，不接受供应商现场报名，供应商须登录浙江政府采购网（https://zfcg.czt.zj.gov.cn/）进入政采云系统“项目采购”模块“获取采购文件”菜单，进行网上获取磋商文件（“政采云”注册账号、密码登录系统后获取磋商文件）。</w:t>
      </w:r>
    </w:p>
    <w:p>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3、免费注册网址：浙江政府采购网（供应商注册页面：https://middle.zcygov.cn/settle-front/#/registry“政采云”，咨询电话：95763。）已经注册成功的供应商无需重复注册。</w:t>
      </w:r>
    </w:p>
    <w:p>
      <w:pPr>
        <w:snapToGrid w:val="0"/>
        <w:spacing w:line="500" w:lineRule="exact"/>
        <w:ind w:firstLine="472" w:firstLineChars="196"/>
        <w:outlineLvl w:val="1"/>
        <w:rPr>
          <w:rFonts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五、响应文件的递交及相关事宜：</w:t>
      </w:r>
    </w:p>
    <w:p>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1、响应文件递交的截止时间（磋商截止时间，下同）：2024年</w:t>
      </w:r>
      <w:r>
        <w:rPr>
          <w:rFonts w:hint="eastAsia" w:ascii="仿宋" w:hAnsi="仿宋" w:eastAsia="仿宋" w:cs="仿宋"/>
          <w:color w:val="auto"/>
          <w:kern w:val="0"/>
          <w:sz w:val="24"/>
          <w:highlight w:val="none"/>
          <w:lang w:val="en-US" w:eastAsia="zh-CN"/>
        </w:rPr>
        <w:t>6</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5</w:t>
      </w:r>
      <w:r>
        <w:rPr>
          <w:rFonts w:hint="eastAsia" w:ascii="仿宋" w:hAnsi="仿宋" w:eastAsia="仿宋" w:cs="仿宋"/>
          <w:color w:val="auto"/>
          <w:kern w:val="0"/>
          <w:sz w:val="24"/>
          <w:highlight w:val="none"/>
        </w:rPr>
        <w:t>日</w:t>
      </w:r>
      <w:r>
        <w:rPr>
          <w:rFonts w:hint="eastAsia" w:ascii="仿宋" w:hAnsi="仿宋" w:eastAsia="仿宋" w:cs="仿宋"/>
          <w:color w:val="auto"/>
          <w:kern w:val="0"/>
          <w:sz w:val="24"/>
          <w:highlight w:val="none"/>
          <w:lang w:val="en-US" w:eastAsia="zh-CN"/>
        </w:rPr>
        <w:t>9</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val="en-US" w:eastAsia="zh-CN"/>
        </w:rPr>
        <w:t>0</w:t>
      </w:r>
      <w:r>
        <w:rPr>
          <w:rFonts w:hint="eastAsia" w:ascii="仿宋" w:hAnsi="仿宋" w:eastAsia="仿宋" w:cs="仿宋"/>
          <w:color w:val="auto"/>
          <w:kern w:val="0"/>
          <w:sz w:val="24"/>
          <w:highlight w:val="none"/>
        </w:rPr>
        <w:t>0（北京时间）。</w:t>
      </w:r>
    </w:p>
    <w:p>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2、响应文件的递交方式：</w:t>
      </w:r>
    </w:p>
    <w:p>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2.1电子响应文件：按政采云平台项目采购-电子交易操作指南及本磋商文件要求制作、加密并递交。供应商应于2024年</w:t>
      </w:r>
      <w:r>
        <w:rPr>
          <w:rFonts w:hint="eastAsia" w:ascii="仿宋" w:hAnsi="仿宋" w:eastAsia="仿宋" w:cs="仿宋"/>
          <w:color w:val="auto"/>
          <w:kern w:val="0"/>
          <w:sz w:val="24"/>
          <w:highlight w:val="none"/>
          <w:lang w:val="en-US" w:eastAsia="zh-CN"/>
        </w:rPr>
        <w:t>6</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5</w:t>
      </w:r>
      <w:r>
        <w:rPr>
          <w:rFonts w:hint="eastAsia" w:ascii="仿宋" w:hAnsi="仿宋" w:eastAsia="仿宋" w:cs="仿宋"/>
          <w:color w:val="auto"/>
          <w:kern w:val="0"/>
          <w:sz w:val="24"/>
          <w:highlight w:val="none"/>
        </w:rPr>
        <w:t>日</w:t>
      </w:r>
      <w:r>
        <w:rPr>
          <w:rFonts w:hint="eastAsia" w:ascii="仿宋" w:hAnsi="仿宋" w:eastAsia="仿宋" w:cs="仿宋"/>
          <w:color w:val="auto"/>
          <w:kern w:val="0"/>
          <w:sz w:val="24"/>
          <w:highlight w:val="none"/>
          <w:lang w:val="en-US" w:eastAsia="zh-CN"/>
        </w:rPr>
        <w:t>9</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val="en-US" w:eastAsia="zh-CN"/>
        </w:rPr>
        <w:t>0</w:t>
      </w:r>
      <w:r>
        <w:rPr>
          <w:rFonts w:hint="eastAsia" w:ascii="仿宋" w:hAnsi="仿宋" w:eastAsia="仿宋" w:cs="仿宋"/>
          <w:color w:val="auto"/>
          <w:kern w:val="0"/>
          <w:sz w:val="24"/>
          <w:highlight w:val="none"/>
        </w:rPr>
        <w:t>0（北京时间）前将制作、加密的电子版响应文件上传到政采云系统中（未准时上传的视为放弃磋商资格，作未提交响应文件处理）；</w:t>
      </w:r>
    </w:p>
    <w:p>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2.2数据电子备份响应文件（U盘）：以U盘形式提供的数据电子备份响应文件格式及内容须与政采云平台项目采购-电子交易操作指南中制作、加密并递交的电子响应文件格式及内容一致。递交方式：数据电子备份响应文件（U盘）应通过邮寄快递方式送达，邮寄地址为：浙江新诚信工程咨询有限公司[</w:t>
      </w:r>
      <w:r>
        <w:rPr>
          <w:rFonts w:hint="eastAsia" w:ascii="仿宋" w:hAnsi="仿宋" w:eastAsia="仿宋" w:cs="仿宋"/>
          <w:color w:val="auto"/>
          <w:sz w:val="24"/>
          <w:highlight w:val="none"/>
        </w:rPr>
        <w:t>湖州市太湖路1155号14层1402室</w:t>
      </w:r>
      <w:r>
        <w:rPr>
          <w:rFonts w:hint="eastAsia" w:ascii="仿宋" w:hAnsi="仿宋" w:eastAsia="仿宋" w:cs="仿宋"/>
          <w:color w:val="auto"/>
          <w:kern w:val="0"/>
          <w:sz w:val="24"/>
          <w:highlight w:val="none"/>
        </w:rPr>
        <w:t>]，联系电话：18768247439。邮寄截止时间：供应商应于2024年</w:t>
      </w:r>
      <w:r>
        <w:rPr>
          <w:rFonts w:hint="eastAsia" w:ascii="仿宋" w:hAnsi="仿宋" w:eastAsia="仿宋" w:cs="仿宋"/>
          <w:color w:val="auto"/>
          <w:kern w:val="0"/>
          <w:sz w:val="24"/>
          <w:highlight w:val="none"/>
          <w:lang w:val="en-US" w:eastAsia="zh-CN"/>
        </w:rPr>
        <w:t>6</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4</w:t>
      </w:r>
      <w:r>
        <w:rPr>
          <w:rFonts w:hint="eastAsia" w:ascii="仿宋" w:hAnsi="仿宋" w:eastAsia="仿宋" w:cs="仿宋"/>
          <w:color w:val="auto"/>
          <w:kern w:val="0"/>
          <w:sz w:val="24"/>
          <w:highlight w:val="none"/>
        </w:rPr>
        <w:t>日17:00时前准时送达，逾期不予受理。截止磋商时间前，采购人由二名人员（一名接收人、一名监督人员）统一负责接收并送至专门的监控室，与报名资料一并归档。供应商须留足响应文件邮寄时间,确保数据电子备份响应文件（U盘）于规定的时间前送达指定地点，未按时送达的，均按未提供处理。</w:t>
      </w:r>
    </w:p>
    <w:p>
      <w:pPr>
        <w:snapToGrid w:val="0"/>
        <w:spacing w:line="500" w:lineRule="exact"/>
        <w:ind w:firstLine="482" w:firstLineChars="200"/>
        <w:jc w:val="left"/>
        <w:rPr>
          <w:rFonts w:ascii="仿宋" w:hAnsi="仿宋" w:eastAsia="仿宋" w:cs="仿宋"/>
          <w:b/>
          <w:color w:val="auto"/>
          <w:kern w:val="0"/>
          <w:sz w:val="24"/>
          <w:highlight w:val="none"/>
        </w:rPr>
      </w:pPr>
      <w:r>
        <w:rPr>
          <w:rFonts w:hint="eastAsia" w:ascii="仿宋" w:hAnsi="仿宋" w:eastAsia="仿宋" w:cs="仿宋"/>
          <w:b/>
          <w:color w:val="auto"/>
          <w:kern w:val="0"/>
          <w:sz w:val="24"/>
          <w:highlight w:val="none"/>
        </w:rPr>
        <w:t>注：</w:t>
      </w:r>
      <w:r>
        <w:rPr>
          <w:rFonts w:hint="eastAsia" w:ascii="仿宋" w:hAnsi="仿宋" w:eastAsia="仿宋" w:cs="仿宋"/>
          <w:b/>
          <w:color w:val="auto"/>
          <w:kern w:val="0"/>
          <w:sz w:val="24"/>
          <w:highlight w:val="none"/>
          <w:u w:val="single"/>
        </w:rPr>
        <w:t>1）供应商应权衡利弊考虑是否提供数据电子备份响应文件（U盘），采购人及采购代理机构不做强制性要求，若因下一条款（第3条）原因须启用数据电子备份响应文件（U盘）时，而供应商未提供的，视为放弃磋商资格，作无效标处理；2）供应商应对提供的数据电子备份响应文件（U盘）进行加密处理，若需要启用数据电子备份响应文件（U盘）时，再由供应商告知采购人及采购代理机构加密信息进行解密；3）若供应商未提供数据电子备份响应文件（U盘），磋商公告及磋商文件中关于数据电子备份响应文件（U盘）的要求及内容不再适用</w:t>
      </w:r>
      <w:r>
        <w:rPr>
          <w:rFonts w:hint="eastAsia" w:ascii="仿宋" w:hAnsi="仿宋" w:eastAsia="仿宋" w:cs="仿宋"/>
          <w:b/>
          <w:color w:val="auto"/>
          <w:kern w:val="0"/>
          <w:sz w:val="24"/>
          <w:highlight w:val="none"/>
        </w:rPr>
        <w:t>。</w:t>
      </w:r>
    </w:p>
    <w:p>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3、CA锁解密时间为开标当日磋商截止时间后30分钟内，各供应商须具备符合要求的CA加密后的电子响应文件、有效的CA锁进行解密，磋商截止时间止未完成上传的电子响应文件作未提交电子响应文件处理；未按磋商文件要求密封、包装的数据电子备份响应文件（U盘）将拒绝接收；整个磋商过程中若因供应商问题造成电子响应文件无法正常解密的，均认定为未提交电子响应文件；若因网络或者其他非供应商问题造成电子响应文件无法正常解密的，启用数据电子备份响应文件（U盘），因供应商自身原因造成数据电子备份响应文件（U盘）无法打开的，作无效标处理。若正常解密成功，则数据电子备份响应文件（U盘）不予开启。在下一顺位的响应文件启用时，前一顺位的响应文件自动失效。</w:t>
      </w:r>
    </w:p>
    <w:p>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4、供应商须在线获取CA数字证书（完成CA数字证书办理预计一周左右，建议各供应商自行把握时间，申领流程请自行前往“浙江政府采购网-下载专区-电子交易客户端-CA驱动和申领流程”进行查阅)，并登陆“浙江政府采购网”（https://zfcg.czt.zj.gov.cn/），进入“下载专区”下载“电子交易客户端”，制作响应文件。</w:t>
      </w:r>
    </w:p>
    <w:p>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5、供应商须将制作、加密后的电子版响应文件于磋商截止时间前上传到政采云系统中，超过磋商截止时间上传的，均按无效标处理。</w:t>
      </w:r>
    </w:p>
    <w:p>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6、供应商通过政采云平台电子投标工具制作响应文件，电子投标工具请供应商自行前往浙江省政府采购网下载并安装，供应商电子交易操作指南详见网址：</w:t>
      </w:r>
      <w:r>
        <w:rPr>
          <w:color w:val="auto"/>
          <w:highlight w:val="none"/>
        </w:rPr>
        <w:fldChar w:fldCharType="begin"/>
      </w:r>
      <w:r>
        <w:rPr>
          <w:color w:val="auto"/>
          <w:highlight w:val="none"/>
        </w:rPr>
        <w:instrText xml:space="preserve"> HYPERLINK "https://help.zcygov.cn/web/site_2/2018/12-28/2573.html" </w:instrText>
      </w:r>
      <w:r>
        <w:rPr>
          <w:color w:val="auto"/>
          <w:highlight w:val="none"/>
        </w:rPr>
        <w:fldChar w:fldCharType="separate"/>
      </w:r>
      <w:r>
        <w:rPr>
          <w:rStyle w:val="31"/>
          <w:rFonts w:hint="eastAsia" w:ascii="仿宋" w:hAnsi="仿宋" w:eastAsia="仿宋" w:cs="仿宋"/>
          <w:color w:val="auto"/>
          <w:kern w:val="0"/>
          <w:sz w:val="24"/>
          <w:highlight w:val="none"/>
        </w:rPr>
        <w:t>https://zfcg.czt.zj.gov.cn/</w:t>
      </w:r>
      <w:r>
        <w:rPr>
          <w:rStyle w:val="31"/>
          <w:rFonts w:hint="eastAsia" w:ascii="仿宋" w:hAnsi="仿宋" w:eastAsia="仿宋" w:cs="仿宋"/>
          <w:color w:val="auto"/>
          <w:kern w:val="0"/>
          <w:sz w:val="24"/>
          <w:highlight w:val="none"/>
        </w:rPr>
        <w:fldChar w:fldCharType="end"/>
      </w:r>
      <w:r>
        <w:rPr>
          <w:rFonts w:hint="eastAsia" w:ascii="仿宋" w:hAnsi="仿宋" w:eastAsia="仿宋" w:cs="仿宋"/>
          <w:color w:val="auto"/>
          <w:kern w:val="0"/>
          <w:sz w:val="24"/>
          <w:highlight w:val="none"/>
        </w:rPr>
        <w:t>。</w:t>
      </w:r>
    </w:p>
    <w:p>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7、本项目采取“不见面”形式进行磋商活动,法定代表人或其授权代理人无须到场，在线响应即可（通过指定的电子邮箱、传真等）。</w:t>
      </w:r>
    </w:p>
    <w:p>
      <w:pPr>
        <w:snapToGrid w:val="0"/>
        <w:spacing w:line="500" w:lineRule="exact"/>
        <w:ind w:firstLine="472" w:firstLineChars="196"/>
        <w:outlineLvl w:val="1"/>
        <w:rPr>
          <w:rFonts w:ascii="仿宋" w:hAnsi="仿宋" w:eastAsia="仿宋" w:cs="仿宋"/>
          <w:color w:val="auto"/>
          <w:kern w:val="0"/>
          <w:sz w:val="24"/>
          <w:highlight w:val="none"/>
        </w:rPr>
      </w:pPr>
      <w:r>
        <w:rPr>
          <w:rFonts w:hint="eastAsia" w:ascii="仿宋" w:hAnsi="仿宋" w:eastAsia="仿宋" w:cs="仿宋"/>
          <w:b/>
          <w:bCs/>
          <w:color w:val="auto"/>
          <w:kern w:val="0"/>
          <w:sz w:val="24"/>
          <w:highlight w:val="none"/>
        </w:rPr>
        <w:t>六、响应文件提交地点：</w:t>
      </w:r>
      <w:r>
        <w:rPr>
          <w:rFonts w:hint="eastAsia" w:ascii="仿宋" w:hAnsi="仿宋" w:eastAsia="仿宋" w:cs="仿宋"/>
          <w:color w:val="auto"/>
          <w:sz w:val="24"/>
          <w:highlight w:val="none"/>
        </w:rPr>
        <w:t>湖州市公共资源交易中心开标室（湖州市仁皇山片区金盖山路66号2号楼，届时</w:t>
      </w:r>
      <w:r>
        <w:rPr>
          <w:rFonts w:hint="eastAsia" w:ascii="仿宋" w:hAnsi="仿宋" w:eastAsia="仿宋" w:cs="仿宋"/>
          <w:color w:val="auto"/>
          <w:kern w:val="0"/>
          <w:sz w:val="24"/>
          <w:highlight w:val="none"/>
        </w:rPr>
        <w:t>详见二楼休息区电子显示屏</w:t>
      </w:r>
      <w:r>
        <w:rPr>
          <w:rFonts w:hint="eastAsia" w:ascii="仿宋" w:hAnsi="仿宋" w:eastAsia="仿宋" w:cs="仿宋"/>
          <w:color w:val="auto"/>
          <w:sz w:val="24"/>
          <w:highlight w:val="none"/>
        </w:rPr>
        <w:t>）。</w:t>
      </w:r>
    </w:p>
    <w:p>
      <w:pPr>
        <w:snapToGrid w:val="0"/>
        <w:spacing w:line="500" w:lineRule="exact"/>
        <w:ind w:firstLine="472" w:firstLineChars="196"/>
        <w:outlineLvl w:val="1"/>
        <w:rPr>
          <w:rFonts w:ascii="仿宋" w:hAnsi="仿宋" w:eastAsia="仿宋" w:cs="仿宋"/>
          <w:color w:val="auto"/>
          <w:kern w:val="0"/>
          <w:sz w:val="24"/>
          <w:highlight w:val="none"/>
        </w:rPr>
      </w:pPr>
      <w:r>
        <w:rPr>
          <w:rFonts w:hint="eastAsia" w:ascii="仿宋" w:hAnsi="仿宋" w:eastAsia="仿宋" w:cs="仿宋"/>
          <w:b/>
          <w:color w:val="auto"/>
          <w:kern w:val="0"/>
          <w:sz w:val="24"/>
          <w:highlight w:val="none"/>
        </w:rPr>
        <w:t>七、磋商时间：</w:t>
      </w:r>
      <w:r>
        <w:rPr>
          <w:rFonts w:hint="eastAsia" w:ascii="仿宋" w:hAnsi="仿宋" w:eastAsia="仿宋" w:cs="仿宋"/>
          <w:color w:val="auto"/>
          <w:kern w:val="0"/>
          <w:sz w:val="24"/>
          <w:highlight w:val="none"/>
        </w:rPr>
        <w:t>2024年</w:t>
      </w:r>
      <w:r>
        <w:rPr>
          <w:rFonts w:hint="eastAsia" w:ascii="仿宋" w:hAnsi="仿宋" w:eastAsia="仿宋" w:cs="仿宋"/>
          <w:color w:val="auto"/>
          <w:kern w:val="0"/>
          <w:sz w:val="24"/>
          <w:highlight w:val="none"/>
          <w:lang w:val="en-US" w:eastAsia="zh-CN"/>
        </w:rPr>
        <w:t>6</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5</w:t>
      </w:r>
      <w:r>
        <w:rPr>
          <w:rFonts w:hint="eastAsia" w:ascii="仿宋" w:hAnsi="仿宋" w:eastAsia="仿宋" w:cs="仿宋"/>
          <w:color w:val="auto"/>
          <w:kern w:val="0"/>
          <w:sz w:val="24"/>
          <w:highlight w:val="none"/>
        </w:rPr>
        <w:t>日</w:t>
      </w:r>
      <w:r>
        <w:rPr>
          <w:rFonts w:hint="eastAsia" w:ascii="仿宋" w:hAnsi="仿宋" w:eastAsia="仿宋" w:cs="仿宋"/>
          <w:color w:val="auto"/>
          <w:kern w:val="0"/>
          <w:sz w:val="24"/>
          <w:highlight w:val="none"/>
          <w:lang w:val="en-US" w:eastAsia="zh-CN"/>
        </w:rPr>
        <w:t>9</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val="en-US" w:eastAsia="zh-CN"/>
        </w:rPr>
        <w:t>0</w:t>
      </w:r>
      <w:r>
        <w:rPr>
          <w:rFonts w:hint="eastAsia" w:ascii="仿宋" w:hAnsi="仿宋" w:eastAsia="仿宋" w:cs="仿宋"/>
          <w:color w:val="auto"/>
          <w:kern w:val="0"/>
          <w:sz w:val="24"/>
          <w:highlight w:val="none"/>
        </w:rPr>
        <w:t>0</w:t>
      </w:r>
    </w:p>
    <w:p>
      <w:pPr>
        <w:snapToGrid w:val="0"/>
        <w:spacing w:line="500" w:lineRule="exact"/>
        <w:ind w:firstLine="472" w:firstLineChars="196"/>
        <w:outlineLvl w:val="1"/>
        <w:rPr>
          <w:rFonts w:ascii="仿宋" w:hAnsi="仿宋" w:eastAsia="仿宋" w:cs="仿宋"/>
          <w:color w:val="auto"/>
          <w:kern w:val="0"/>
          <w:sz w:val="24"/>
          <w:highlight w:val="none"/>
        </w:rPr>
      </w:pPr>
      <w:r>
        <w:rPr>
          <w:rFonts w:hint="eastAsia" w:ascii="仿宋" w:hAnsi="仿宋" w:eastAsia="仿宋" w:cs="仿宋"/>
          <w:b/>
          <w:bCs/>
          <w:color w:val="auto"/>
          <w:kern w:val="0"/>
          <w:sz w:val="24"/>
          <w:highlight w:val="none"/>
        </w:rPr>
        <w:t>八、磋商地点：</w:t>
      </w:r>
      <w:r>
        <w:rPr>
          <w:rFonts w:hint="eastAsia" w:ascii="仿宋" w:hAnsi="仿宋" w:eastAsia="仿宋" w:cs="仿宋"/>
          <w:color w:val="auto"/>
          <w:sz w:val="24"/>
          <w:highlight w:val="none"/>
        </w:rPr>
        <w:t>湖州市公共资源交易中心开标室（湖州市仁皇山片区金盖山路66号2号楼，届时</w:t>
      </w:r>
      <w:r>
        <w:rPr>
          <w:rFonts w:hint="eastAsia" w:ascii="仿宋" w:hAnsi="仿宋" w:eastAsia="仿宋" w:cs="仿宋"/>
          <w:color w:val="auto"/>
          <w:kern w:val="0"/>
          <w:sz w:val="24"/>
          <w:highlight w:val="none"/>
        </w:rPr>
        <w:t>详见二楼休息区电子显示屏</w:t>
      </w:r>
      <w:r>
        <w:rPr>
          <w:rFonts w:hint="eastAsia" w:ascii="仿宋" w:hAnsi="仿宋" w:eastAsia="仿宋" w:cs="仿宋"/>
          <w:color w:val="auto"/>
          <w:sz w:val="24"/>
          <w:highlight w:val="none"/>
        </w:rPr>
        <w:t>）。未按时上传电子响应文件的视为放弃磋商资格，作未提交响应文件处理。</w:t>
      </w:r>
    </w:p>
    <w:p>
      <w:pPr>
        <w:snapToGrid w:val="0"/>
        <w:spacing w:line="500" w:lineRule="exact"/>
        <w:ind w:firstLine="482" w:firstLineChars="200"/>
        <w:outlineLvl w:val="1"/>
        <w:rPr>
          <w:rFonts w:ascii="仿宋" w:hAnsi="仿宋" w:eastAsia="仿宋" w:cs="仿宋"/>
          <w:b/>
          <w:color w:val="auto"/>
          <w:kern w:val="0"/>
          <w:sz w:val="24"/>
          <w:highlight w:val="none"/>
        </w:rPr>
      </w:pPr>
      <w:r>
        <w:rPr>
          <w:rFonts w:hint="eastAsia" w:ascii="仿宋" w:hAnsi="仿宋" w:eastAsia="仿宋" w:cs="仿宋"/>
          <w:b/>
          <w:color w:val="auto"/>
          <w:kern w:val="0"/>
          <w:sz w:val="24"/>
          <w:highlight w:val="none"/>
        </w:rPr>
        <w:t>九、其他事项：</w:t>
      </w:r>
    </w:p>
    <w:p>
      <w:pPr>
        <w:snapToGrid w:val="0"/>
        <w:spacing w:line="5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本项目为电子磋商项目，实行网上磋商，应按照本磋商文件及政采云平台的要求编制、加密并要求供应商通过政采云系统在线响应，磋商截止时间前须完成电子响应文件的上传，同时供应商须使用制作在线磋商响应文件时所用的CA锁，供应商在使用系统进行磋商的过程中遇到涉及平台使用的任何问题，可致电政采云平台技术支持热线咨询，联系方式：95763。其中数据电子备份响应文件（U盘）在磋商截止时间前以密封、包装的形式提供。</w:t>
      </w:r>
    </w:p>
    <w:p>
      <w:pPr>
        <w:snapToGrid w:val="0"/>
        <w:spacing w:line="5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2、潜在供应商已依法获取其可质疑的磋商文件的，可以对该文件提出质疑。未按照规定方式依法获取磋商文件的，不得对磋商文件提起质疑投诉。</w:t>
      </w:r>
    </w:p>
    <w:p>
      <w:pPr>
        <w:snapToGrid w:val="0"/>
        <w:spacing w:line="5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3、供应商对磋商文件有异议的，供应商须在法定质疑期内一次性提出针对同一采购程序环节的质疑。供应商未按规定要求提出的，则视同认可磋商文件，但法律法规及规范性文件有明确规定的除外。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pPr>
        <w:snapToGrid w:val="0"/>
        <w:spacing w:line="5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4、答疑内容是磋商文件的组成部分，并将在网上发布补充（答疑、澄清）文件，潜在供应商应自行关注网站公告，采购人不再一一通知，供应商因自身贻误行为导致磋商失效的，责任自负。</w:t>
      </w:r>
    </w:p>
    <w:p>
      <w:pPr>
        <w:snapToGrid w:val="0"/>
        <w:spacing w:line="48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5、参与政府采购项目的注册供应商，需登录浙江政府采购云平台（http://www.zcygov.cn）进行网上报名，尚未注册的供应商应当先在浙江政府采购云平台上申请注册，注册终审通过后再进行网上报名。</w:t>
      </w:r>
    </w:p>
    <w:p>
      <w:pPr>
        <w:snapToGrid w:val="0"/>
        <w:spacing w:line="48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6、为有效破解当前中小微企业面临的“融资难、融资贵”困局，充分发挥好政府采购扶持小微企业发展的政策功能，本项目成交供应商可凭成交通知书等材料至“绿贷通平台”网页（www.lvdt.huzldt.com）或“政采贷”平台网页（ww</w:t>
      </w:r>
      <w:r>
        <w:rPr>
          <w:rFonts w:hint="eastAsia" w:ascii="仿宋" w:hAnsi="仿宋" w:eastAsia="仿宋" w:cs="仿宋"/>
          <w:color w:val="auto"/>
          <w:sz w:val="24"/>
          <w:highlight w:val="none"/>
          <w:lang w:eastAsia="zh-CN"/>
        </w:rPr>
        <w:t>2</w:t>
      </w:r>
      <w:r>
        <w:rPr>
          <w:rFonts w:hint="eastAsia" w:ascii="仿宋" w:hAnsi="仿宋" w:eastAsia="仿宋" w:cs="仿宋"/>
          <w:color w:val="auto"/>
          <w:sz w:val="24"/>
          <w:highlight w:val="none"/>
        </w:rPr>
        <w:t>w.zcygov.cn）申请相关融资产品。具体操作方式可在“绿贷通”或“政采贷”平台网站查询，也可向“绿贷通”或“政采贷”平台电话咨询（“绿贷通”联系电话：0572-2392590、“政采贷”联系电话：0572-2151055、18698580797）。</w:t>
      </w:r>
    </w:p>
    <w:p>
      <w:pPr>
        <w:snapToGrid w:val="0"/>
        <w:spacing w:line="48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7、本</w:t>
      </w:r>
      <w:r>
        <w:rPr>
          <w:rFonts w:hint="eastAsia" w:ascii="仿宋" w:hAnsi="仿宋" w:eastAsia="仿宋" w:cs="仿宋"/>
          <w:color w:val="auto"/>
          <w:sz w:val="24"/>
          <w:highlight w:val="none"/>
          <w:lang w:val="en-US" w:eastAsia="zh-CN"/>
        </w:rPr>
        <w:t>标项</w:t>
      </w:r>
      <w:r>
        <w:rPr>
          <w:rFonts w:hint="eastAsia" w:ascii="仿宋" w:hAnsi="仿宋" w:eastAsia="仿宋" w:cs="仿宋"/>
          <w:color w:val="auto"/>
          <w:sz w:val="24"/>
          <w:highlight w:val="none"/>
        </w:rPr>
        <w:t>是否专门面向中小企业采购：</w:t>
      </w:r>
      <w:r>
        <w:rPr>
          <w:rFonts w:hint="eastAsia" w:ascii="仿宋" w:hAnsi="仿宋" w:eastAsia="仿宋" w:cs="仿宋"/>
          <w:color w:val="auto"/>
          <w:sz w:val="24"/>
          <w:highlight w:val="none"/>
          <w:lang w:val="en-US" w:eastAsia="zh-CN"/>
        </w:rPr>
        <w:t>是</w:t>
      </w:r>
      <w:r>
        <w:rPr>
          <w:rFonts w:hint="eastAsia" w:ascii="仿宋" w:hAnsi="仿宋" w:eastAsia="仿宋" w:cs="仿宋"/>
          <w:color w:val="auto"/>
          <w:sz w:val="24"/>
          <w:highlight w:val="none"/>
        </w:rPr>
        <w:t>。</w:t>
      </w:r>
    </w:p>
    <w:p>
      <w:pPr>
        <w:snapToGrid w:val="0"/>
        <w:spacing w:line="48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8、本次磋商有关信息刊登在：</w:t>
      </w:r>
    </w:p>
    <w:p>
      <w:pPr>
        <w:snapToGrid w:val="0"/>
        <w:spacing w:line="48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8.1浙江政府采购网：https://zfcg.czt.zj.gov.cn/</w:t>
      </w:r>
    </w:p>
    <w:p>
      <w:pPr>
        <w:snapToGrid w:val="0"/>
        <w:spacing w:line="480" w:lineRule="exact"/>
        <w:ind w:firstLine="480" w:firstLineChars="200"/>
        <w:jc w:val="left"/>
        <w:rPr>
          <w:rFonts w:ascii="仿宋" w:hAnsi="仿宋" w:eastAsia="仿宋" w:cs="仿宋"/>
          <w:b/>
          <w:color w:val="auto"/>
          <w:sz w:val="24"/>
          <w:highlight w:val="none"/>
        </w:rPr>
      </w:pPr>
      <w:r>
        <w:rPr>
          <w:rFonts w:hint="eastAsia" w:ascii="仿宋" w:hAnsi="仿宋" w:eastAsia="仿宋" w:cs="仿宋"/>
          <w:color w:val="auto"/>
          <w:sz w:val="24"/>
          <w:highlight w:val="none"/>
        </w:rPr>
        <w:t>8.2湖州市公共资源交易信息网：http://ggzyjy.huzhou.gov.cn/</w:t>
      </w:r>
    </w:p>
    <w:p>
      <w:pPr>
        <w:snapToGrid w:val="0"/>
        <w:spacing w:line="480" w:lineRule="exact"/>
        <w:ind w:firstLine="482" w:firstLineChars="200"/>
        <w:outlineLvl w:val="1"/>
        <w:rPr>
          <w:rFonts w:ascii="仿宋" w:hAnsi="仿宋" w:eastAsia="仿宋" w:cs="仿宋"/>
          <w:b/>
          <w:color w:val="auto"/>
          <w:sz w:val="24"/>
          <w:highlight w:val="none"/>
        </w:rPr>
      </w:pPr>
      <w:r>
        <w:rPr>
          <w:rFonts w:hint="eastAsia" w:ascii="仿宋" w:hAnsi="仿宋" w:eastAsia="仿宋" w:cs="仿宋"/>
          <w:b/>
          <w:color w:val="auto"/>
          <w:sz w:val="24"/>
          <w:highlight w:val="none"/>
        </w:rPr>
        <w:t>十、业务咨询：</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1、采购代理机构名称：浙江新诚信工程咨询有限公司</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 xml:space="preserve">联系人：郭婷            联系电话：18768247439 </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质疑函接收人：赵丽娅      联系电话：0572-2051833</w:t>
      </w:r>
    </w:p>
    <w:p>
      <w:pPr>
        <w:snapToGrid w:val="0"/>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地址：湖州市太湖路1155号中新商务大厦14层1402室</w:t>
      </w:r>
    </w:p>
    <w:p>
      <w:pPr>
        <w:snapToGrid w:val="0"/>
        <w:spacing w:line="560" w:lineRule="exact"/>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2、采购人名称：</w:t>
      </w:r>
      <w:r>
        <w:rPr>
          <w:rFonts w:hint="eastAsia" w:ascii="仿宋" w:hAnsi="仿宋" w:eastAsia="仿宋" w:cs="仿宋"/>
          <w:color w:val="auto"/>
          <w:sz w:val="24"/>
          <w:highlight w:val="none"/>
          <w:lang w:eastAsia="zh-CN"/>
        </w:rPr>
        <w:t>湖州市人力资源和社会保障信息中心</w:t>
      </w:r>
    </w:p>
    <w:p>
      <w:pPr>
        <w:snapToGrid w:val="0"/>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联系人：范玫       联系电话：0572-2219920</w:t>
      </w:r>
    </w:p>
    <w:p>
      <w:pPr>
        <w:snapToGrid w:val="0"/>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3、政府采购行政监管及投诉受理部门：湖州市财政局政府采购监管处</w:t>
      </w:r>
    </w:p>
    <w:p>
      <w:pPr>
        <w:snapToGrid w:val="0"/>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联系人：程先生         联系电话：0572-2150216</w:t>
      </w:r>
    </w:p>
    <w:p>
      <w:pPr>
        <w:snapToGrid w:val="0"/>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地址：湖州市龙王山路518号</w:t>
      </w:r>
    </w:p>
    <w:p>
      <w:pPr>
        <w:pStyle w:val="2"/>
        <w:rPr>
          <w:rFonts w:hint="eastAsia" w:ascii="仿宋" w:hAnsi="仿宋" w:eastAsia="仿宋" w:cs="仿宋"/>
          <w:color w:val="auto"/>
          <w:sz w:val="24"/>
          <w:highlight w:val="none"/>
        </w:rPr>
      </w:pPr>
    </w:p>
    <w:p>
      <w:pPr>
        <w:rPr>
          <w:rFonts w:hint="eastAsia" w:ascii="仿宋" w:hAnsi="仿宋" w:eastAsia="仿宋" w:cs="仿宋"/>
          <w:color w:val="auto"/>
          <w:sz w:val="24"/>
          <w:highlight w:val="none"/>
        </w:rPr>
      </w:pPr>
    </w:p>
    <w:p>
      <w:pPr>
        <w:pStyle w:val="2"/>
        <w:rPr>
          <w:rFonts w:hint="eastAsia" w:ascii="仿宋" w:hAnsi="仿宋" w:eastAsia="仿宋" w:cs="仿宋"/>
          <w:color w:val="auto"/>
          <w:sz w:val="24"/>
          <w:highlight w:val="none"/>
        </w:rPr>
      </w:pPr>
    </w:p>
    <w:p>
      <w:pPr>
        <w:rPr>
          <w:rFonts w:hint="eastAsia" w:ascii="仿宋" w:hAnsi="仿宋" w:eastAsia="仿宋" w:cs="仿宋"/>
          <w:color w:val="auto"/>
          <w:sz w:val="24"/>
          <w:highlight w:val="none"/>
        </w:rPr>
      </w:pPr>
    </w:p>
    <w:p>
      <w:pPr>
        <w:pStyle w:val="2"/>
        <w:rPr>
          <w:rFonts w:hint="eastAsia" w:ascii="仿宋" w:hAnsi="仿宋" w:eastAsia="仿宋" w:cs="仿宋"/>
          <w:color w:val="auto"/>
          <w:sz w:val="24"/>
          <w:highlight w:val="none"/>
        </w:rPr>
      </w:pPr>
    </w:p>
    <w:p>
      <w:pPr>
        <w:rPr>
          <w:rFonts w:hint="eastAsia" w:ascii="仿宋" w:hAnsi="仿宋" w:eastAsia="仿宋" w:cs="仿宋"/>
          <w:color w:val="auto"/>
          <w:sz w:val="24"/>
          <w:highlight w:val="none"/>
        </w:rPr>
      </w:pPr>
    </w:p>
    <w:p>
      <w:pPr>
        <w:pStyle w:val="2"/>
        <w:rPr>
          <w:rFonts w:hint="eastAsia" w:ascii="仿宋" w:hAnsi="仿宋" w:eastAsia="仿宋" w:cs="仿宋"/>
          <w:color w:val="auto"/>
          <w:sz w:val="24"/>
          <w:highlight w:val="none"/>
        </w:rPr>
      </w:pPr>
    </w:p>
    <w:p>
      <w:pPr>
        <w:rPr>
          <w:rFonts w:hint="eastAsia" w:ascii="仿宋" w:hAnsi="仿宋" w:eastAsia="仿宋" w:cs="仿宋"/>
          <w:color w:val="auto"/>
          <w:sz w:val="24"/>
          <w:highlight w:val="none"/>
        </w:rPr>
      </w:pPr>
    </w:p>
    <w:p>
      <w:pPr>
        <w:pStyle w:val="2"/>
        <w:rPr>
          <w:rFonts w:hint="eastAsia"/>
        </w:rPr>
      </w:pPr>
    </w:p>
    <w:p>
      <w:pPr>
        <w:pStyle w:val="2"/>
        <w:rPr>
          <w:rFonts w:hint="eastAsia" w:ascii="仿宋" w:hAnsi="仿宋" w:eastAsia="仿宋" w:cs="仿宋"/>
          <w:color w:val="auto"/>
          <w:sz w:val="24"/>
          <w:highlight w:val="none"/>
        </w:rPr>
      </w:pPr>
    </w:p>
    <w:p>
      <w:pPr>
        <w:rPr>
          <w:rFonts w:hint="eastAsia" w:ascii="仿宋" w:hAnsi="仿宋" w:eastAsia="仿宋" w:cs="仿宋"/>
          <w:color w:val="auto"/>
          <w:sz w:val="24"/>
          <w:highlight w:val="none"/>
        </w:rPr>
      </w:pPr>
    </w:p>
    <w:p>
      <w:pPr>
        <w:pStyle w:val="2"/>
        <w:rPr>
          <w:rFonts w:hint="eastAsia" w:ascii="仿宋" w:hAnsi="仿宋" w:eastAsia="仿宋" w:cs="仿宋"/>
          <w:color w:val="auto"/>
          <w:sz w:val="24"/>
          <w:highlight w:val="none"/>
        </w:rPr>
      </w:pPr>
    </w:p>
    <w:p>
      <w:pPr>
        <w:rPr>
          <w:rFonts w:hint="eastAsia" w:ascii="仿宋" w:hAnsi="仿宋" w:eastAsia="仿宋" w:cs="仿宋"/>
          <w:color w:val="auto"/>
          <w:sz w:val="24"/>
          <w:highlight w:val="none"/>
        </w:rPr>
      </w:pPr>
    </w:p>
    <w:p>
      <w:pPr>
        <w:rPr>
          <w:rFonts w:hint="eastAsia" w:ascii="仿宋" w:hAnsi="仿宋" w:eastAsia="仿宋" w:cs="仿宋"/>
          <w:color w:val="auto"/>
          <w:sz w:val="24"/>
          <w:highlight w:val="none"/>
        </w:rPr>
      </w:pPr>
    </w:p>
    <w:p>
      <w:pPr>
        <w:rPr>
          <w:rFonts w:hint="eastAsia" w:ascii="仿宋" w:hAnsi="仿宋" w:eastAsia="仿宋" w:cs="仿宋"/>
          <w:color w:val="auto"/>
          <w:sz w:val="24"/>
          <w:highlight w:val="none"/>
        </w:rPr>
      </w:pPr>
    </w:p>
    <w:p>
      <w:pPr>
        <w:rPr>
          <w:rFonts w:hint="eastAsia" w:ascii="仿宋" w:hAnsi="仿宋" w:eastAsia="仿宋" w:cs="仿宋"/>
          <w:color w:val="auto"/>
          <w:sz w:val="24"/>
          <w:highlight w:val="none"/>
        </w:rPr>
      </w:pPr>
    </w:p>
    <w:p>
      <w:pPr>
        <w:numPr>
          <w:ilvl w:val="0"/>
          <w:numId w:val="0"/>
        </w:numPr>
        <w:spacing w:line="600" w:lineRule="exact"/>
        <w:ind w:leftChars="0"/>
        <w:jc w:val="both"/>
        <w:outlineLvl w:val="0"/>
        <w:rPr>
          <w:rFonts w:hint="eastAsia" w:ascii="仿宋" w:hAnsi="仿宋" w:eastAsia="仿宋" w:cs="仿宋"/>
          <w:b/>
          <w:color w:val="auto"/>
          <w:sz w:val="36"/>
          <w:szCs w:val="36"/>
          <w:highlight w:val="none"/>
        </w:rPr>
      </w:pPr>
      <w:bookmarkStart w:id="1" w:name="_Toc452995894"/>
    </w:p>
    <w:p>
      <w:pPr>
        <w:numPr>
          <w:ilvl w:val="0"/>
          <w:numId w:val="3"/>
        </w:numPr>
        <w:spacing w:line="600" w:lineRule="exact"/>
        <w:jc w:val="center"/>
        <w:outlineLvl w:val="0"/>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 xml:space="preserve"> 项目采购需求</w:t>
      </w:r>
      <w:bookmarkEnd w:id="1"/>
      <w:bookmarkStart w:id="2" w:name="_Toc489518973"/>
      <w:bookmarkStart w:id="3" w:name="_Toc424544531"/>
      <w:bookmarkStart w:id="4" w:name="_Toc424544810"/>
      <w:bookmarkStart w:id="5" w:name="_Toc452995895"/>
    </w:p>
    <w:bookmarkEnd w:id="2"/>
    <w:bookmarkEnd w:id="3"/>
    <w:bookmarkEnd w:id="4"/>
    <w:p>
      <w:pPr>
        <w:keepNext/>
        <w:keepLines/>
        <w:widowControl w:val="0"/>
        <w:numPr>
          <w:ilvl w:val="0"/>
          <w:numId w:val="4"/>
        </w:numPr>
        <w:spacing w:before="340" w:after="330" w:line="578" w:lineRule="auto"/>
        <w:ind w:left="440" w:hanging="440"/>
        <w:jc w:val="both"/>
        <w:outlineLvl w:val="0"/>
        <w:rPr>
          <w:rFonts w:hint="eastAsia" w:ascii="仿宋" w:hAnsi="仿宋" w:eastAsia="仿宋" w:cs="仿宋"/>
          <w:b/>
          <w:bCs/>
          <w:kern w:val="44"/>
          <w:sz w:val="28"/>
          <w:szCs w:val="28"/>
          <w:lang w:val="en-US" w:eastAsia="zh-CN" w:bidi="ar-SA"/>
        </w:rPr>
      </w:pPr>
      <w:r>
        <w:rPr>
          <w:rFonts w:hint="eastAsia" w:ascii="仿宋" w:hAnsi="仿宋" w:eastAsia="仿宋" w:cs="仿宋"/>
          <w:b/>
          <w:bCs/>
          <w:kern w:val="44"/>
          <w:sz w:val="28"/>
          <w:szCs w:val="28"/>
          <w:lang w:val="en-US" w:eastAsia="zh-CN" w:bidi="ar-SA"/>
        </w:rPr>
        <w:t>项目背景</w:t>
      </w:r>
    </w:p>
    <w:p>
      <w:pPr>
        <w:widowControl w:val="0"/>
        <w:autoSpaceDE w:val="0"/>
        <w:autoSpaceDN w:val="0"/>
        <w:adjustRightInd w:val="0"/>
        <w:spacing w:line="360" w:lineRule="auto"/>
        <w:ind w:firstLine="480" w:firstLineChars="200"/>
        <w:rPr>
          <w:rFonts w:hint="eastAsia" w:ascii="仿宋" w:hAnsi="仿宋" w:eastAsia="仿宋" w:cs="仿宋"/>
          <w:color w:val="000000"/>
          <w:kern w:val="0"/>
          <w:sz w:val="24"/>
          <w:szCs w:val="24"/>
          <w:lang w:val="en-US" w:eastAsia="zh-CN" w:bidi="ar-SA"/>
        </w:rPr>
      </w:pPr>
      <w:r>
        <w:rPr>
          <w:rFonts w:hint="eastAsia" w:ascii="仿宋" w:hAnsi="仿宋" w:eastAsia="仿宋" w:cs="仿宋"/>
          <w:color w:val="000000"/>
          <w:kern w:val="0"/>
          <w:sz w:val="24"/>
          <w:szCs w:val="24"/>
          <w:lang w:val="en-US" w:eastAsia="zh-CN" w:bidi="ar-SA"/>
        </w:rPr>
        <w:t>为进一步提升社保服务能力，根据浙江省人社厅规划部署，湖州全市企业职工基本养老保险已于2022年完成全国统筹系统切换。国统后，针对省级平台故障问题，我单位需要及时向省信息中心进行故障申报；另一方面，针对湖州市本地相关政策和个性化新需求，我单位需进行整理、汇总并向省社保中心提交，完成系统扩展性维护工作，因此，我单位需要进行与浙江社保省集中业务对接服务。</w:t>
      </w:r>
    </w:p>
    <w:p>
      <w:pPr>
        <w:widowControl w:val="0"/>
        <w:autoSpaceDE w:val="0"/>
        <w:autoSpaceDN w:val="0"/>
        <w:adjustRightInd w:val="0"/>
        <w:spacing w:line="360" w:lineRule="auto"/>
        <w:ind w:firstLine="480" w:firstLineChars="200"/>
        <w:rPr>
          <w:rFonts w:hint="eastAsia" w:ascii="仿宋" w:hAnsi="仿宋" w:eastAsia="仿宋" w:cs="仿宋"/>
          <w:color w:val="000000"/>
          <w:kern w:val="0"/>
          <w:sz w:val="24"/>
          <w:szCs w:val="24"/>
          <w:lang w:val="en-US" w:eastAsia="zh-CN" w:bidi="ar-SA"/>
        </w:rPr>
      </w:pPr>
      <w:r>
        <w:rPr>
          <w:rFonts w:hint="eastAsia" w:ascii="仿宋" w:hAnsi="仿宋" w:eastAsia="仿宋" w:cs="仿宋"/>
          <w:color w:val="000000"/>
          <w:kern w:val="0"/>
          <w:sz w:val="24"/>
          <w:szCs w:val="24"/>
          <w:lang w:val="en-US" w:eastAsia="zh-CN" w:bidi="ar-SA"/>
        </w:rPr>
        <w:t>同时，由于相关政策和历史原因，我市被征地、机关事业等部分险种，近9万参保人员未被纳入省级平台中。根据我市各级社保经办部门的工作需要，为确保未纳入省级平台的本地业务有效开展，我单位需要进行湖州市社保综合管理信息系统维护。</w:t>
      </w:r>
    </w:p>
    <w:p>
      <w:pPr>
        <w:keepNext/>
        <w:keepLines/>
        <w:widowControl w:val="0"/>
        <w:numPr>
          <w:ilvl w:val="0"/>
          <w:numId w:val="4"/>
        </w:numPr>
        <w:spacing w:before="340" w:after="330" w:line="578" w:lineRule="auto"/>
        <w:ind w:left="440" w:hanging="440"/>
        <w:jc w:val="both"/>
        <w:outlineLvl w:val="0"/>
        <w:rPr>
          <w:rFonts w:hint="eastAsia" w:ascii="仿宋" w:hAnsi="仿宋" w:eastAsia="仿宋" w:cs="仿宋"/>
          <w:b/>
          <w:bCs/>
          <w:kern w:val="44"/>
          <w:sz w:val="28"/>
          <w:szCs w:val="28"/>
          <w:lang w:val="en-US" w:eastAsia="zh-CN" w:bidi="ar-SA"/>
        </w:rPr>
      </w:pPr>
      <w:bookmarkStart w:id="6" w:name="_Toc151648004"/>
      <w:r>
        <w:rPr>
          <w:rFonts w:hint="eastAsia" w:ascii="仿宋" w:hAnsi="仿宋" w:eastAsia="仿宋" w:cs="仿宋"/>
          <w:b/>
          <w:bCs/>
          <w:kern w:val="44"/>
          <w:sz w:val="28"/>
          <w:szCs w:val="28"/>
          <w:lang w:val="en-US" w:eastAsia="zh-CN" w:bidi="ar-SA"/>
        </w:rPr>
        <w:t>运维目标</w:t>
      </w:r>
      <w:bookmarkEnd w:id="6"/>
    </w:p>
    <w:p>
      <w:pPr>
        <w:widowControl w:val="0"/>
        <w:autoSpaceDE w:val="0"/>
        <w:autoSpaceDN w:val="0"/>
        <w:adjustRightInd w:val="0"/>
        <w:spacing w:line="360" w:lineRule="auto"/>
        <w:ind w:firstLine="480" w:firstLineChars="200"/>
        <w:rPr>
          <w:rFonts w:hint="eastAsia" w:ascii="仿宋" w:hAnsi="仿宋" w:eastAsia="仿宋" w:cs="仿宋"/>
          <w:color w:val="000000"/>
          <w:kern w:val="0"/>
          <w:sz w:val="24"/>
          <w:szCs w:val="24"/>
          <w:lang w:val="en-US" w:eastAsia="zh-CN" w:bidi="ar-SA"/>
        </w:rPr>
      </w:pPr>
      <w:r>
        <w:rPr>
          <w:rFonts w:hint="eastAsia" w:ascii="仿宋" w:hAnsi="仿宋" w:eastAsia="仿宋" w:cs="仿宋"/>
          <w:color w:val="000000"/>
          <w:kern w:val="0"/>
          <w:sz w:val="24"/>
          <w:szCs w:val="24"/>
          <w:lang w:val="en-US" w:eastAsia="zh-CN" w:bidi="ar-SA"/>
        </w:rPr>
        <w:t>通过专业的维护服务，更好地保障湖州市社保业务的平稳运行，使业务部门更加高效地运转，提高工作效率，创造更多核心价值。具体目标如下：</w:t>
      </w:r>
    </w:p>
    <w:p>
      <w:pPr>
        <w:widowControl w:val="0"/>
        <w:autoSpaceDE w:val="0"/>
        <w:autoSpaceDN w:val="0"/>
        <w:adjustRightInd w:val="0"/>
        <w:spacing w:line="360" w:lineRule="auto"/>
        <w:ind w:firstLine="480" w:firstLineChars="200"/>
        <w:rPr>
          <w:rFonts w:hint="eastAsia" w:ascii="仿宋" w:hAnsi="仿宋" w:eastAsia="仿宋" w:cs="仿宋"/>
          <w:color w:val="000000"/>
          <w:kern w:val="0"/>
          <w:sz w:val="24"/>
          <w:szCs w:val="24"/>
          <w:lang w:val="en-US" w:eastAsia="zh-CN" w:bidi="ar-SA"/>
        </w:rPr>
      </w:pPr>
      <w:r>
        <w:rPr>
          <w:rFonts w:hint="eastAsia" w:ascii="仿宋" w:hAnsi="仿宋" w:eastAsia="仿宋" w:cs="仿宋"/>
          <w:color w:val="000000"/>
          <w:kern w:val="0"/>
          <w:sz w:val="24"/>
          <w:szCs w:val="24"/>
          <w:lang w:val="en-US" w:eastAsia="zh-CN" w:bidi="ar-SA"/>
        </w:rPr>
        <w:t>一是加强维护服务团队建设，完善技术服务规范和管理制度，严格执行日常维保任务，确保市社保综合管理信息系统高效、稳定运行，保障我市社保业务的平稳开展。</w:t>
      </w:r>
    </w:p>
    <w:p>
      <w:pPr>
        <w:widowControl w:val="0"/>
        <w:autoSpaceDE w:val="0"/>
        <w:autoSpaceDN w:val="0"/>
        <w:adjustRightInd w:val="0"/>
        <w:spacing w:line="360" w:lineRule="auto"/>
        <w:ind w:firstLine="480" w:firstLineChars="200"/>
        <w:rPr>
          <w:rFonts w:hint="eastAsia" w:ascii="仿宋" w:hAnsi="仿宋" w:eastAsia="仿宋" w:cs="仿宋"/>
          <w:color w:val="000000"/>
          <w:kern w:val="0"/>
          <w:sz w:val="24"/>
          <w:szCs w:val="24"/>
          <w:lang w:val="en-US" w:eastAsia="zh-CN" w:bidi="ar-SA"/>
        </w:rPr>
      </w:pPr>
      <w:r>
        <w:rPr>
          <w:rFonts w:hint="eastAsia" w:ascii="仿宋" w:hAnsi="仿宋" w:eastAsia="仿宋" w:cs="仿宋"/>
          <w:color w:val="000000"/>
          <w:kern w:val="0"/>
          <w:sz w:val="24"/>
          <w:szCs w:val="24"/>
          <w:lang w:val="en-US" w:eastAsia="zh-CN" w:bidi="ar-SA"/>
        </w:rPr>
        <w:t>二是按照本年度省市数字化改革的主要任务和本地智慧社保服务建设的工作安排，同步做好市社保综合管理信息系统功能性完善和扩充，以满足市本级和各区县遗留社保业务的政策调整、功能完善等个性化要求。</w:t>
      </w:r>
    </w:p>
    <w:p>
      <w:pPr>
        <w:widowControl w:val="0"/>
        <w:autoSpaceDE w:val="0"/>
        <w:autoSpaceDN w:val="0"/>
        <w:adjustRightInd w:val="0"/>
        <w:spacing w:line="360" w:lineRule="auto"/>
        <w:ind w:firstLine="480" w:firstLineChars="200"/>
        <w:rPr>
          <w:rFonts w:hint="eastAsia" w:ascii="仿宋" w:hAnsi="仿宋" w:eastAsia="仿宋" w:cs="仿宋"/>
          <w:color w:val="000000"/>
          <w:kern w:val="0"/>
          <w:sz w:val="24"/>
          <w:szCs w:val="24"/>
          <w:lang w:val="en-US" w:eastAsia="zh-CN" w:bidi="ar-SA"/>
        </w:rPr>
      </w:pPr>
      <w:r>
        <w:rPr>
          <w:rFonts w:hint="eastAsia" w:ascii="仿宋" w:hAnsi="仿宋" w:eastAsia="仿宋" w:cs="仿宋"/>
          <w:color w:val="000000"/>
          <w:kern w:val="0"/>
          <w:sz w:val="24"/>
          <w:szCs w:val="24"/>
          <w:lang w:val="en-US" w:eastAsia="zh-CN" w:bidi="ar-SA"/>
        </w:rPr>
        <w:t>三是协助业务部门，做好社保省集中业务的故障处理，力求在最短时间内排查和过滤问题，同时积极对接省级开发团队，进行故障联调和系统测试，实现恢复系统正常运行。</w:t>
      </w:r>
    </w:p>
    <w:p>
      <w:pPr>
        <w:widowControl w:val="0"/>
        <w:autoSpaceDE w:val="0"/>
        <w:autoSpaceDN w:val="0"/>
        <w:adjustRightInd w:val="0"/>
        <w:spacing w:line="360" w:lineRule="auto"/>
        <w:ind w:firstLine="480" w:firstLineChars="200"/>
        <w:rPr>
          <w:rFonts w:hint="eastAsia" w:ascii="仿宋" w:hAnsi="仿宋" w:eastAsia="仿宋" w:cs="仿宋"/>
          <w:color w:val="000000"/>
          <w:kern w:val="0"/>
          <w:sz w:val="24"/>
          <w:szCs w:val="24"/>
          <w:lang w:val="en-US" w:eastAsia="zh-CN" w:bidi="ar-SA"/>
        </w:rPr>
      </w:pPr>
      <w:r>
        <w:rPr>
          <w:rFonts w:hint="eastAsia" w:ascii="仿宋" w:hAnsi="仿宋" w:eastAsia="仿宋" w:cs="仿宋"/>
          <w:color w:val="000000"/>
          <w:kern w:val="0"/>
          <w:sz w:val="24"/>
          <w:szCs w:val="24"/>
          <w:lang w:val="en-US" w:eastAsia="zh-CN" w:bidi="ar-SA"/>
        </w:rPr>
        <w:t>四是根据我市各级人社部门提出的数字化改革任务和试点项目，协助确认个性化新需求，整理汇总后提交至上级部门，并完成省市两级社保系统功能扩展性的维护工作。</w:t>
      </w:r>
    </w:p>
    <w:p>
      <w:pPr>
        <w:keepNext/>
        <w:keepLines/>
        <w:widowControl w:val="0"/>
        <w:numPr>
          <w:ilvl w:val="0"/>
          <w:numId w:val="4"/>
        </w:numPr>
        <w:spacing w:before="340" w:after="330" w:line="578" w:lineRule="auto"/>
        <w:ind w:left="440" w:hanging="440"/>
        <w:jc w:val="both"/>
        <w:outlineLvl w:val="0"/>
        <w:rPr>
          <w:rFonts w:hint="eastAsia" w:ascii="仿宋" w:hAnsi="仿宋" w:eastAsia="仿宋" w:cs="仿宋"/>
          <w:b/>
          <w:bCs/>
          <w:kern w:val="44"/>
          <w:sz w:val="28"/>
          <w:szCs w:val="28"/>
          <w:lang w:val="en-US" w:eastAsia="zh-CN" w:bidi="ar-SA"/>
        </w:rPr>
      </w:pPr>
      <w:bookmarkStart w:id="7" w:name="_Toc151648007"/>
      <w:r>
        <w:rPr>
          <w:rFonts w:hint="eastAsia" w:ascii="仿宋" w:hAnsi="仿宋" w:eastAsia="仿宋" w:cs="仿宋"/>
          <w:b/>
          <w:bCs/>
          <w:kern w:val="44"/>
          <w:sz w:val="28"/>
          <w:szCs w:val="28"/>
          <w:lang w:val="en-US" w:eastAsia="zh-CN" w:bidi="ar-SA"/>
        </w:rPr>
        <w:t>运维服务内容</w:t>
      </w:r>
      <w:bookmarkEnd w:id="7"/>
    </w:p>
    <w:p>
      <w:pPr>
        <w:widowControl w:val="0"/>
        <w:autoSpaceDE w:val="0"/>
        <w:autoSpaceDN w:val="0"/>
        <w:adjustRightInd w:val="0"/>
        <w:spacing w:line="360" w:lineRule="auto"/>
        <w:ind w:firstLine="480" w:firstLineChars="200"/>
        <w:rPr>
          <w:rFonts w:hint="eastAsia" w:ascii="仿宋" w:hAnsi="仿宋" w:eastAsia="仿宋" w:cs="仿宋"/>
          <w:color w:val="000000"/>
          <w:kern w:val="0"/>
          <w:sz w:val="24"/>
          <w:szCs w:val="24"/>
          <w:lang w:val="en-US" w:eastAsia="zh-CN" w:bidi="ar-SA"/>
        </w:rPr>
      </w:pPr>
      <w:bookmarkStart w:id="8" w:name="_Hlk164760036"/>
      <w:r>
        <w:rPr>
          <w:rFonts w:hint="eastAsia" w:ascii="仿宋" w:hAnsi="仿宋" w:eastAsia="仿宋" w:cs="仿宋"/>
          <w:color w:val="000000"/>
          <w:kern w:val="0"/>
          <w:sz w:val="24"/>
          <w:szCs w:val="24"/>
          <w:lang w:val="en-US" w:eastAsia="zh-CN" w:bidi="ar-SA"/>
        </w:rPr>
        <w:t>以维护对象为角度，本次运维服务的主要内容可以概况为：湖州市社保综合管理信息系统维护、与浙江社保省集中业务对接两部分内容。</w:t>
      </w:r>
    </w:p>
    <w:p>
      <w:pPr>
        <w:keepNext/>
        <w:keepLines/>
        <w:widowControl w:val="0"/>
        <w:numPr>
          <w:ilvl w:val="0"/>
          <w:numId w:val="5"/>
        </w:numPr>
        <w:spacing w:before="260" w:after="260" w:line="416" w:lineRule="auto"/>
        <w:ind w:left="440" w:hanging="440"/>
        <w:jc w:val="both"/>
        <w:outlineLvl w:val="1"/>
        <w:rPr>
          <w:rFonts w:hint="eastAsia" w:ascii="仿宋" w:hAnsi="仿宋" w:eastAsia="仿宋" w:cs="仿宋"/>
          <w:b/>
          <w:bCs/>
          <w:kern w:val="2"/>
          <w:sz w:val="28"/>
          <w:szCs w:val="28"/>
          <w:lang w:val="en-US" w:eastAsia="zh-CN" w:bidi="ar-SA"/>
        </w:rPr>
      </w:pPr>
      <w:bookmarkStart w:id="9" w:name="_Toc151648008"/>
      <w:r>
        <w:rPr>
          <w:rFonts w:hint="eastAsia" w:ascii="仿宋" w:hAnsi="仿宋" w:eastAsia="仿宋" w:cs="仿宋"/>
          <w:b/>
          <w:bCs/>
          <w:kern w:val="2"/>
          <w:sz w:val="28"/>
          <w:szCs w:val="28"/>
          <w:lang w:val="en-US" w:eastAsia="zh-CN" w:bidi="ar-SA"/>
        </w:rPr>
        <w:t>湖州市社保综合管理信息系统维护</w:t>
      </w:r>
      <w:bookmarkEnd w:id="9"/>
    </w:p>
    <w:p>
      <w:pPr>
        <w:widowControl w:val="0"/>
        <w:autoSpaceDE w:val="0"/>
        <w:autoSpaceDN w:val="0"/>
        <w:adjustRightInd w:val="0"/>
        <w:spacing w:line="360" w:lineRule="auto"/>
        <w:ind w:firstLine="480" w:firstLineChars="200"/>
        <w:rPr>
          <w:rFonts w:hint="eastAsia" w:ascii="仿宋" w:hAnsi="仿宋" w:eastAsia="仿宋" w:cs="仿宋"/>
          <w:color w:val="000000"/>
          <w:kern w:val="0"/>
          <w:sz w:val="24"/>
          <w:szCs w:val="24"/>
          <w:lang w:val="en-US" w:eastAsia="zh-CN" w:bidi="ar-SA"/>
        </w:rPr>
      </w:pPr>
      <w:r>
        <w:rPr>
          <w:rFonts w:hint="eastAsia" w:ascii="仿宋" w:hAnsi="仿宋" w:eastAsia="仿宋" w:cs="仿宋"/>
          <w:color w:val="000000"/>
          <w:kern w:val="0"/>
          <w:sz w:val="24"/>
          <w:szCs w:val="24"/>
          <w:lang w:val="en-US" w:eastAsia="zh-CN" w:bidi="ar-SA"/>
        </w:rPr>
        <w:t>湖州市社保综合管理信息系统维护主要完成：系统功能运维、日常维护服务、业务数据治理服务、与外部系统数据对接服务。</w:t>
      </w:r>
    </w:p>
    <w:p>
      <w:pPr>
        <w:keepNext/>
        <w:keepLines/>
        <w:widowControl w:val="0"/>
        <w:numPr>
          <w:ilvl w:val="0"/>
          <w:numId w:val="6"/>
        </w:numPr>
        <w:tabs>
          <w:tab w:val="left" w:pos="425"/>
          <w:tab w:val="left" w:pos="709"/>
        </w:tabs>
        <w:spacing w:before="260" w:after="260" w:line="416" w:lineRule="auto"/>
        <w:ind w:left="840" w:hanging="440"/>
        <w:jc w:val="both"/>
        <w:outlineLvl w:val="2"/>
        <w:rPr>
          <w:rFonts w:hint="eastAsia" w:ascii="仿宋" w:hAnsi="仿宋" w:eastAsia="仿宋" w:cs="仿宋"/>
          <w:bCs/>
          <w:kern w:val="2"/>
          <w:sz w:val="24"/>
          <w:szCs w:val="24"/>
          <w:lang w:val="en-US" w:eastAsia="zh-CN" w:bidi="ar-SA"/>
        </w:rPr>
      </w:pPr>
      <w:r>
        <w:rPr>
          <w:rFonts w:hint="eastAsia" w:ascii="仿宋" w:hAnsi="仿宋" w:eastAsia="仿宋" w:cs="仿宋"/>
          <w:bCs/>
          <w:kern w:val="2"/>
          <w:sz w:val="24"/>
          <w:szCs w:val="24"/>
          <w:lang w:val="en-US" w:eastAsia="zh-CN" w:bidi="ar-SA"/>
        </w:rPr>
        <w:t>系统功能运维</w:t>
      </w:r>
    </w:p>
    <w:p>
      <w:pPr>
        <w:widowControl w:val="0"/>
        <w:autoSpaceDE w:val="0"/>
        <w:autoSpaceDN w:val="0"/>
        <w:adjustRightInd w:val="0"/>
        <w:spacing w:line="360" w:lineRule="auto"/>
        <w:ind w:firstLine="480" w:firstLineChars="200"/>
        <w:rPr>
          <w:rFonts w:hint="eastAsia" w:ascii="仿宋" w:hAnsi="仿宋" w:eastAsia="仿宋" w:cs="仿宋"/>
          <w:color w:val="000000"/>
          <w:kern w:val="0"/>
          <w:sz w:val="24"/>
          <w:szCs w:val="24"/>
          <w:lang w:val="en-US" w:eastAsia="zh-CN" w:bidi="ar-SA"/>
        </w:rPr>
      </w:pPr>
      <w:r>
        <w:rPr>
          <w:rFonts w:hint="eastAsia" w:ascii="仿宋" w:hAnsi="仿宋" w:eastAsia="仿宋" w:cs="仿宋"/>
          <w:color w:val="000000"/>
          <w:kern w:val="0"/>
          <w:sz w:val="24"/>
          <w:szCs w:val="24"/>
          <w:lang w:val="en-US" w:eastAsia="zh-CN" w:bidi="ar-SA"/>
        </w:rPr>
        <w:t>根据本年度我市社保业务发展需要，对湖州市社保综合管理信息系统进行拆分，并对脱保漏保核查、人社驿站两大功能进行功能维护。</w:t>
      </w:r>
    </w:p>
    <w:p>
      <w:pPr>
        <w:keepNext/>
        <w:keepLines/>
        <w:widowControl w:val="0"/>
        <w:numPr>
          <w:ilvl w:val="0"/>
          <w:numId w:val="7"/>
        </w:numPr>
        <w:spacing w:before="280" w:after="290" w:line="376" w:lineRule="auto"/>
        <w:ind w:left="440" w:hanging="440"/>
        <w:jc w:val="both"/>
        <w:outlineLvl w:val="3"/>
        <w:rPr>
          <w:rFonts w:hint="eastAsia" w:ascii="仿宋" w:hAnsi="仿宋" w:eastAsia="仿宋" w:cs="仿宋"/>
          <w:b/>
          <w:bCs/>
          <w:kern w:val="2"/>
          <w:sz w:val="24"/>
          <w:szCs w:val="24"/>
          <w:lang w:val="en-US" w:eastAsia="zh-CN" w:bidi="ar-SA"/>
        </w:rPr>
      </w:pPr>
      <w:r>
        <w:rPr>
          <w:rFonts w:hint="eastAsia" w:ascii="仿宋" w:hAnsi="仿宋" w:eastAsia="仿宋" w:cs="仿宋"/>
          <w:b/>
          <w:bCs/>
          <w:kern w:val="2"/>
          <w:sz w:val="24"/>
          <w:szCs w:val="24"/>
          <w:lang w:val="en-US" w:eastAsia="zh-CN" w:bidi="ar-SA"/>
        </w:rPr>
        <w:t>系统拆分</w:t>
      </w:r>
    </w:p>
    <w:p>
      <w:pPr>
        <w:widowControl w:val="0"/>
        <w:autoSpaceDE w:val="0"/>
        <w:autoSpaceDN w:val="0"/>
        <w:adjustRightInd w:val="0"/>
        <w:spacing w:line="360" w:lineRule="auto"/>
        <w:ind w:firstLine="480" w:firstLineChars="200"/>
        <w:rPr>
          <w:rFonts w:hint="eastAsia" w:ascii="仿宋" w:hAnsi="仿宋" w:eastAsia="仿宋" w:cs="仿宋"/>
          <w:color w:val="000000"/>
          <w:kern w:val="0"/>
          <w:sz w:val="24"/>
          <w:szCs w:val="24"/>
          <w:lang w:val="en-US" w:eastAsia="zh-CN" w:bidi="ar-SA"/>
        </w:rPr>
      </w:pPr>
      <w:r>
        <w:rPr>
          <w:rFonts w:hint="eastAsia" w:ascii="仿宋" w:hAnsi="仿宋" w:eastAsia="仿宋" w:cs="仿宋"/>
          <w:color w:val="000000"/>
          <w:kern w:val="0"/>
          <w:sz w:val="24"/>
          <w:szCs w:val="24"/>
          <w:lang w:val="en-US" w:eastAsia="zh-CN" w:bidi="ar-SA"/>
        </w:rPr>
        <w:t>拆分湖州市社保综合管理信息系统：剥离出被征地、机关保等19项业务功能留存在市一体化平台中；将数据库（人员综合信息表、单位表、人员参保变动记录表等合计27张表）进行整体备份迁移，为各个部门提供社保历史数据查询服务。</w:t>
      </w:r>
    </w:p>
    <w:p>
      <w:pPr>
        <w:keepNext/>
        <w:keepLines/>
        <w:widowControl w:val="0"/>
        <w:numPr>
          <w:ilvl w:val="0"/>
          <w:numId w:val="7"/>
        </w:numPr>
        <w:spacing w:before="280" w:after="290" w:line="376" w:lineRule="auto"/>
        <w:ind w:left="440" w:hanging="440"/>
        <w:jc w:val="both"/>
        <w:outlineLvl w:val="3"/>
        <w:rPr>
          <w:rFonts w:hint="eastAsia" w:ascii="仿宋" w:hAnsi="仿宋" w:eastAsia="仿宋" w:cs="仿宋"/>
          <w:b/>
          <w:bCs/>
          <w:kern w:val="2"/>
          <w:sz w:val="24"/>
          <w:szCs w:val="24"/>
          <w:lang w:val="en-US" w:eastAsia="zh-CN" w:bidi="ar-SA"/>
        </w:rPr>
      </w:pPr>
      <w:r>
        <w:rPr>
          <w:rFonts w:hint="eastAsia" w:ascii="仿宋" w:hAnsi="仿宋" w:eastAsia="仿宋" w:cs="仿宋"/>
          <w:b/>
          <w:bCs/>
          <w:kern w:val="2"/>
          <w:sz w:val="24"/>
          <w:szCs w:val="24"/>
          <w:lang w:val="en-US" w:eastAsia="zh-CN" w:bidi="ar-SA"/>
        </w:rPr>
        <w:t>脱保漏保核查</w:t>
      </w:r>
    </w:p>
    <w:p>
      <w:pPr>
        <w:widowControl w:val="0"/>
        <w:autoSpaceDE w:val="0"/>
        <w:autoSpaceDN w:val="0"/>
        <w:adjustRightInd w:val="0"/>
        <w:spacing w:line="360" w:lineRule="auto"/>
        <w:ind w:firstLine="480" w:firstLineChars="200"/>
        <w:rPr>
          <w:rFonts w:hint="eastAsia" w:ascii="仿宋" w:hAnsi="仿宋" w:eastAsia="仿宋" w:cs="仿宋"/>
          <w:color w:val="000000"/>
          <w:kern w:val="0"/>
          <w:sz w:val="24"/>
          <w:szCs w:val="24"/>
          <w:lang w:val="en-US" w:eastAsia="zh-CN" w:bidi="ar-SA"/>
        </w:rPr>
      </w:pPr>
      <w:r>
        <w:rPr>
          <w:rFonts w:hint="eastAsia" w:ascii="仿宋" w:hAnsi="仿宋" w:eastAsia="仿宋" w:cs="仿宋"/>
          <w:color w:val="000000"/>
          <w:kern w:val="0"/>
          <w:sz w:val="24"/>
          <w:szCs w:val="24"/>
          <w:lang w:val="en-US" w:eastAsia="zh-CN" w:bidi="ar-SA"/>
        </w:rPr>
        <w:t>为构建防“脱保断保漏保”促进“提低”共富机制，实现低保户等困难群体城乡居民养老保险应保尽保率100%、应享尽享率100%，持续提升城乡居民保障水平，在湖州市社保综合管理信息系统中维护脱保漏保核查功能，具体功能需求如下：</w:t>
      </w:r>
    </w:p>
    <w:p>
      <w:pPr>
        <w:widowControl w:val="0"/>
        <w:autoSpaceDE w:val="0"/>
        <w:autoSpaceDN w:val="0"/>
        <w:adjustRightInd w:val="0"/>
        <w:spacing w:line="360" w:lineRule="auto"/>
        <w:ind w:firstLine="480" w:firstLineChars="200"/>
        <w:rPr>
          <w:rFonts w:hint="eastAsia" w:ascii="仿宋" w:hAnsi="仿宋" w:eastAsia="仿宋" w:cs="仿宋"/>
          <w:color w:val="000000"/>
          <w:kern w:val="0"/>
          <w:sz w:val="24"/>
          <w:szCs w:val="24"/>
          <w:lang w:val="en-US" w:eastAsia="zh-CN" w:bidi="ar-SA"/>
        </w:rPr>
      </w:pPr>
      <w:r>
        <w:rPr>
          <w:rFonts w:hint="eastAsia" w:ascii="仿宋" w:hAnsi="仿宋" w:eastAsia="仿宋" w:cs="仿宋"/>
          <w:color w:val="000000"/>
          <w:kern w:val="0"/>
          <w:sz w:val="24"/>
          <w:szCs w:val="24"/>
          <w:lang w:val="en-US" w:eastAsia="zh-CN" w:bidi="ar-SA"/>
        </w:rPr>
        <w:t>数据管理：与湖州市大数据局IRS平台对接等形式，实现全市困难人员数据汇聚，将汇聚的数据进行比对、分类、筛选，去除非扩面对象数据，形成扩面任务清单，每月固定时间获取对应的数据，与上个月数据进行比对，更新为当月扩面任务清单。</w:t>
      </w:r>
    </w:p>
    <w:p>
      <w:pPr>
        <w:widowControl w:val="0"/>
        <w:autoSpaceDE w:val="0"/>
        <w:autoSpaceDN w:val="0"/>
        <w:adjustRightInd w:val="0"/>
        <w:spacing w:line="360" w:lineRule="auto"/>
        <w:ind w:firstLine="480" w:firstLineChars="200"/>
        <w:rPr>
          <w:rFonts w:hint="eastAsia" w:ascii="仿宋" w:hAnsi="仿宋" w:eastAsia="仿宋" w:cs="仿宋"/>
          <w:color w:val="000000"/>
          <w:kern w:val="0"/>
          <w:sz w:val="24"/>
          <w:szCs w:val="24"/>
          <w:lang w:val="en-US" w:eastAsia="zh-CN" w:bidi="ar-SA"/>
        </w:rPr>
      </w:pPr>
      <w:r>
        <w:rPr>
          <w:rFonts w:hint="eastAsia" w:ascii="仿宋" w:hAnsi="仿宋" w:eastAsia="仿宋" w:cs="仿宋"/>
          <w:color w:val="000000"/>
          <w:kern w:val="0"/>
          <w:sz w:val="24"/>
          <w:szCs w:val="24"/>
          <w:lang w:val="en-US" w:eastAsia="zh-CN" w:bidi="ar-SA"/>
        </w:rPr>
        <w:t>扩面任务管理：实现扩面任务清单的下发、任务查询、入户调查及反馈、人员档案转移及审核，缴费督办及提醒等功能。</w:t>
      </w:r>
    </w:p>
    <w:p>
      <w:pPr>
        <w:widowControl w:val="0"/>
        <w:autoSpaceDE w:val="0"/>
        <w:autoSpaceDN w:val="0"/>
        <w:adjustRightInd w:val="0"/>
        <w:spacing w:line="360" w:lineRule="auto"/>
        <w:ind w:firstLine="480" w:firstLineChars="200"/>
        <w:rPr>
          <w:rFonts w:hint="eastAsia" w:ascii="仿宋" w:hAnsi="仿宋" w:eastAsia="仿宋" w:cs="仿宋"/>
          <w:color w:val="000000"/>
          <w:kern w:val="0"/>
          <w:sz w:val="24"/>
          <w:szCs w:val="24"/>
          <w:lang w:val="en-US" w:eastAsia="zh-CN" w:bidi="ar-SA"/>
        </w:rPr>
      </w:pPr>
      <w:r>
        <w:rPr>
          <w:rFonts w:hint="eastAsia" w:ascii="仿宋" w:hAnsi="仿宋" w:eastAsia="仿宋" w:cs="仿宋"/>
          <w:color w:val="000000"/>
          <w:kern w:val="0"/>
          <w:sz w:val="24"/>
          <w:szCs w:val="24"/>
          <w:lang w:val="en-US" w:eastAsia="zh-CN" w:bidi="ar-SA"/>
        </w:rPr>
        <w:t>统计分析：实现县区、镇/街道、村/社区三级4大类困难人员的参保、待遇享受情况汇总、查询。</w:t>
      </w:r>
    </w:p>
    <w:p>
      <w:pPr>
        <w:widowControl w:val="0"/>
        <w:autoSpaceDE w:val="0"/>
        <w:autoSpaceDN w:val="0"/>
        <w:adjustRightInd w:val="0"/>
        <w:spacing w:line="360" w:lineRule="auto"/>
        <w:ind w:firstLine="480" w:firstLineChars="200"/>
        <w:rPr>
          <w:rFonts w:hint="eastAsia" w:ascii="仿宋" w:hAnsi="仿宋" w:eastAsia="仿宋" w:cs="仿宋"/>
          <w:color w:val="000000"/>
          <w:kern w:val="0"/>
          <w:sz w:val="24"/>
          <w:szCs w:val="24"/>
          <w:lang w:val="en-US" w:eastAsia="zh-CN" w:bidi="ar-SA"/>
        </w:rPr>
      </w:pPr>
      <w:r>
        <w:rPr>
          <w:rFonts w:hint="eastAsia" w:ascii="仿宋" w:hAnsi="仿宋" w:eastAsia="仿宋" w:cs="仿宋"/>
          <w:color w:val="000000"/>
          <w:kern w:val="0"/>
          <w:sz w:val="24"/>
          <w:szCs w:val="24"/>
          <w:lang w:val="en-US" w:eastAsia="zh-CN" w:bidi="ar-SA"/>
        </w:rPr>
        <w:t>大屏展示：宏观展现湖州市以及各个区县整体扩面工作实施完成情况，需要展示的核心指标须包括：脱保漏保总人数、应保人数及分布、应享人数及分布、不符合参保条件人数及分布、应保尽保率、应享尽享率、应调查总人数、已调查总人数、未调查总人数、调查率等。</w:t>
      </w:r>
    </w:p>
    <w:p>
      <w:pPr>
        <w:widowControl w:val="0"/>
        <w:autoSpaceDE w:val="0"/>
        <w:autoSpaceDN w:val="0"/>
        <w:adjustRightInd w:val="0"/>
        <w:spacing w:line="360" w:lineRule="auto"/>
        <w:ind w:firstLine="480" w:firstLineChars="200"/>
        <w:rPr>
          <w:rFonts w:hint="eastAsia" w:ascii="仿宋" w:hAnsi="仿宋" w:eastAsia="仿宋" w:cs="仿宋"/>
          <w:color w:val="000000"/>
          <w:kern w:val="0"/>
          <w:sz w:val="24"/>
          <w:szCs w:val="24"/>
          <w:lang w:val="en-US" w:eastAsia="zh-CN" w:bidi="ar-SA"/>
        </w:rPr>
      </w:pPr>
      <w:r>
        <w:rPr>
          <w:rFonts w:hint="eastAsia" w:ascii="仿宋" w:hAnsi="仿宋" w:eastAsia="仿宋" w:cs="仿宋"/>
          <w:color w:val="000000"/>
          <w:kern w:val="0"/>
          <w:sz w:val="24"/>
          <w:szCs w:val="24"/>
          <w:lang w:val="en-US" w:eastAsia="zh-CN" w:bidi="ar-SA"/>
        </w:rPr>
        <w:t>一体化平台对接：与省人社一体化平台的用户体系对接，实现系统单点登录。</w:t>
      </w:r>
    </w:p>
    <w:p>
      <w:pPr>
        <w:keepNext/>
        <w:keepLines/>
        <w:widowControl w:val="0"/>
        <w:numPr>
          <w:ilvl w:val="0"/>
          <w:numId w:val="7"/>
        </w:numPr>
        <w:spacing w:before="280" w:after="290" w:line="376" w:lineRule="auto"/>
        <w:ind w:left="440" w:hanging="440"/>
        <w:jc w:val="both"/>
        <w:outlineLvl w:val="3"/>
        <w:rPr>
          <w:rFonts w:hint="eastAsia" w:ascii="仿宋" w:hAnsi="仿宋" w:eastAsia="仿宋" w:cs="仿宋"/>
          <w:b/>
          <w:bCs/>
          <w:kern w:val="2"/>
          <w:sz w:val="24"/>
          <w:szCs w:val="24"/>
          <w:lang w:val="en-US" w:eastAsia="zh-CN" w:bidi="ar-SA"/>
        </w:rPr>
      </w:pPr>
      <w:r>
        <w:rPr>
          <w:rFonts w:hint="eastAsia" w:ascii="仿宋" w:hAnsi="仿宋" w:eastAsia="仿宋" w:cs="仿宋"/>
          <w:b/>
          <w:bCs/>
          <w:kern w:val="2"/>
          <w:sz w:val="24"/>
          <w:szCs w:val="24"/>
          <w:lang w:val="en-US" w:eastAsia="zh-CN" w:bidi="ar-SA"/>
        </w:rPr>
        <w:t>人社驿站</w:t>
      </w:r>
    </w:p>
    <w:p>
      <w:pPr>
        <w:widowControl w:val="0"/>
        <w:autoSpaceDE w:val="0"/>
        <w:autoSpaceDN w:val="0"/>
        <w:adjustRightInd w:val="0"/>
        <w:spacing w:line="360" w:lineRule="auto"/>
        <w:ind w:firstLine="480" w:firstLineChars="200"/>
        <w:rPr>
          <w:rFonts w:hint="eastAsia" w:ascii="仿宋" w:hAnsi="仿宋" w:eastAsia="仿宋" w:cs="仿宋"/>
          <w:color w:val="000000"/>
          <w:kern w:val="0"/>
          <w:sz w:val="24"/>
          <w:szCs w:val="24"/>
          <w:lang w:val="en-US" w:eastAsia="zh-CN" w:bidi="ar-SA"/>
        </w:rPr>
      </w:pPr>
      <w:r>
        <w:rPr>
          <w:rFonts w:hint="eastAsia" w:ascii="仿宋" w:hAnsi="仿宋" w:eastAsia="仿宋" w:cs="仿宋"/>
          <w:color w:val="000000"/>
          <w:kern w:val="0"/>
          <w:sz w:val="24"/>
          <w:szCs w:val="24"/>
          <w:lang w:val="en-US" w:eastAsia="zh-CN" w:bidi="ar-SA"/>
        </w:rPr>
        <w:t>为配合我局“家门口的人社驿站”建设，在湖州市社保综合管理信息系统基中维护“人社驿站”功能，具体包括展示大屏、“劳有所得”等模块。</w:t>
      </w:r>
    </w:p>
    <w:p>
      <w:pPr>
        <w:widowControl w:val="0"/>
        <w:autoSpaceDE w:val="0"/>
        <w:autoSpaceDN w:val="0"/>
        <w:adjustRightInd w:val="0"/>
        <w:spacing w:line="360" w:lineRule="auto"/>
        <w:ind w:firstLine="480" w:firstLineChars="200"/>
        <w:rPr>
          <w:rFonts w:hint="eastAsia" w:ascii="仿宋" w:hAnsi="仿宋" w:eastAsia="仿宋" w:cs="仿宋"/>
          <w:color w:val="000000"/>
          <w:kern w:val="0"/>
          <w:sz w:val="24"/>
          <w:szCs w:val="24"/>
          <w:lang w:val="en-US" w:eastAsia="zh-CN" w:bidi="ar-SA"/>
        </w:rPr>
      </w:pPr>
      <w:r>
        <w:rPr>
          <w:rFonts w:hint="eastAsia" w:ascii="仿宋" w:hAnsi="仿宋" w:eastAsia="仿宋" w:cs="仿宋"/>
          <w:color w:val="000000"/>
          <w:kern w:val="0"/>
          <w:sz w:val="24"/>
          <w:szCs w:val="24"/>
          <w:lang w:val="en-US" w:eastAsia="zh-CN" w:bidi="ar-SA"/>
        </w:rPr>
        <w:t>“人社驿站”展示大屏，实现滚动展示政策信息、招聘信息、培训信息、宣传视频展示。</w:t>
      </w:r>
    </w:p>
    <w:p>
      <w:pPr>
        <w:widowControl w:val="0"/>
        <w:autoSpaceDE w:val="0"/>
        <w:autoSpaceDN w:val="0"/>
        <w:adjustRightInd w:val="0"/>
        <w:spacing w:line="360" w:lineRule="auto"/>
        <w:ind w:firstLine="480" w:firstLineChars="200"/>
        <w:rPr>
          <w:rFonts w:hint="eastAsia" w:ascii="仿宋" w:hAnsi="仿宋" w:eastAsia="仿宋" w:cs="仿宋"/>
          <w:color w:val="000000"/>
          <w:kern w:val="0"/>
          <w:sz w:val="24"/>
          <w:szCs w:val="24"/>
          <w:lang w:val="en-US" w:eastAsia="zh-CN" w:bidi="ar-SA"/>
        </w:rPr>
      </w:pPr>
      <w:r>
        <w:rPr>
          <w:rFonts w:hint="eastAsia" w:ascii="仿宋" w:hAnsi="仿宋" w:eastAsia="仿宋" w:cs="仿宋"/>
          <w:color w:val="000000"/>
          <w:kern w:val="0"/>
          <w:sz w:val="24"/>
          <w:szCs w:val="24"/>
          <w:lang w:val="en-US" w:eastAsia="zh-CN" w:bidi="ar-SA"/>
        </w:rPr>
        <w:t>“劳有所得”H5功能页面，调整系统网络配置，对接“吴上乐居”微信小程序，对外输出：服务指南、政策直达、我要维权、我要求职、我要培训等服务内容。</w:t>
      </w:r>
    </w:p>
    <w:p>
      <w:pPr>
        <w:keepNext/>
        <w:keepLines/>
        <w:widowControl w:val="0"/>
        <w:numPr>
          <w:ilvl w:val="0"/>
          <w:numId w:val="6"/>
        </w:numPr>
        <w:tabs>
          <w:tab w:val="left" w:pos="425"/>
          <w:tab w:val="left" w:pos="709"/>
        </w:tabs>
        <w:spacing w:before="260" w:after="260" w:line="416" w:lineRule="auto"/>
        <w:ind w:left="840" w:hanging="440"/>
        <w:jc w:val="both"/>
        <w:outlineLvl w:val="2"/>
        <w:rPr>
          <w:rFonts w:hint="eastAsia" w:ascii="仿宋" w:hAnsi="仿宋" w:eastAsia="仿宋" w:cs="仿宋"/>
          <w:bCs/>
          <w:kern w:val="2"/>
          <w:sz w:val="24"/>
          <w:szCs w:val="24"/>
          <w:lang w:val="en-US" w:eastAsia="zh-CN" w:bidi="ar-SA"/>
        </w:rPr>
      </w:pPr>
      <w:r>
        <w:rPr>
          <w:rFonts w:hint="eastAsia" w:ascii="仿宋" w:hAnsi="仿宋" w:eastAsia="仿宋" w:cs="仿宋"/>
          <w:bCs/>
          <w:kern w:val="2"/>
          <w:sz w:val="24"/>
          <w:szCs w:val="24"/>
          <w:lang w:val="en-US" w:eastAsia="zh-CN" w:bidi="ar-SA"/>
        </w:rPr>
        <w:t>日常维护服务</w:t>
      </w:r>
    </w:p>
    <w:p>
      <w:pPr>
        <w:keepNext/>
        <w:keepLines/>
        <w:widowControl w:val="0"/>
        <w:numPr>
          <w:ilvl w:val="0"/>
          <w:numId w:val="8"/>
        </w:numPr>
        <w:spacing w:before="280" w:after="290" w:line="376" w:lineRule="auto"/>
        <w:ind w:left="440" w:hanging="440"/>
        <w:jc w:val="both"/>
        <w:outlineLvl w:val="3"/>
        <w:rPr>
          <w:rFonts w:hint="eastAsia" w:ascii="仿宋" w:hAnsi="仿宋" w:eastAsia="仿宋" w:cs="仿宋"/>
          <w:b/>
          <w:bCs/>
          <w:kern w:val="2"/>
          <w:sz w:val="24"/>
          <w:szCs w:val="24"/>
          <w:lang w:val="en-US" w:eastAsia="zh-CN" w:bidi="ar-SA"/>
        </w:rPr>
      </w:pPr>
      <w:r>
        <w:rPr>
          <w:rFonts w:hint="eastAsia" w:ascii="仿宋" w:hAnsi="仿宋" w:eastAsia="仿宋" w:cs="仿宋"/>
          <w:b/>
          <w:bCs/>
          <w:kern w:val="2"/>
          <w:sz w:val="24"/>
          <w:szCs w:val="24"/>
          <w:lang w:val="en-US" w:eastAsia="zh-CN" w:bidi="ar-SA"/>
        </w:rPr>
        <w:t>运维服务内容</w:t>
      </w:r>
    </w:p>
    <w:p>
      <w:pPr>
        <w:widowControl w:val="0"/>
        <w:autoSpaceDE w:val="0"/>
        <w:autoSpaceDN w:val="0"/>
        <w:adjustRightInd w:val="0"/>
        <w:spacing w:line="360" w:lineRule="auto"/>
        <w:ind w:firstLine="480" w:firstLineChars="200"/>
        <w:rPr>
          <w:rFonts w:hint="eastAsia" w:ascii="仿宋" w:hAnsi="仿宋" w:eastAsia="仿宋" w:cs="仿宋"/>
          <w:color w:val="000000"/>
          <w:kern w:val="0"/>
          <w:sz w:val="24"/>
          <w:szCs w:val="24"/>
          <w:lang w:val="en-US" w:eastAsia="zh-CN" w:bidi="ar-SA"/>
        </w:rPr>
      </w:pPr>
      <w:r>
        <w:rPr>
          <w:rFonts w:hint="eastAsia" w:ascii="仿宋" w:hAnsi="仿宋" w:eastAsia="仿宋" w:cs="仿宋"/>
          <w:color w:val="000000"/>
          <w:kern w:val="0"/>
          <w:sz w:val="24"/>
          <w:szCs w:val="24"/>
          <w:lang w:val="en-US" w:eastAsia="zh-CN" w:bidi="ar-SA"/>
        </w:rPr>
        <w:t>针对市社保综合管理信息系统的运行环境进行监控维护，保障整个系统正常运行，主要完成以下几项任务：</w:t>
      </w:r>
    </w:p>
    <w:p>
      <w:pPr>
        <w:widowControl w:val="0"/>
        <w:autoSpaceDE w:val="0"/>
        <w:autoSpaceDN w:val="0"/>
        <w:adjustRightInd w:val="0"/>
        <w:spacing w:line="360" w:lineRule="auto"/>
        <w:ind w:firstLine="480" w:firstLineChars="200"/>
        <w:rPr>
          <w:rFonts w:hint="eastAsia" w:ascii="仿宋" w:hAnsi="仿宋" w:eastAsia="仿宋" w:cs="仿宋"/>
          <w:color w:val="000000"/>
          <w:kern w:val="0"/>
          <w:sz w:val="24"/>
          <w:szCs w:val="24"/>
          <w:lang w:val="en-US" w:eastAsia="zh-CN" w:bidi="ar-SA"/>
        </w:rPr>
      </w:pPr>
      <w:r>
        <w:rPr>
          <w:rFonts w:hint="eastAsia" w:ascii="仿宋" w:hAnsi="仿宋" w:eastAsia="仿宋" w:cs="仿宋"/>
          <w:color w:val="000000"/>
          <w:kern w:val="0"/>
          <w:sz w:val="24"/>
          <w:szCs w:val="24"/>
          <w:lang w:val="en-US" w:eastAsia="zh-CN" w:bidi="ar-SA"/>
        </w:rPr>
        <w:t>基础性维护服务：为保障社保系统的稳定、高速、可靠运行，处理系统节点和系统所需软件安装以及补丁更新、应用部署与配置迁移、文件系统级的数据恢复和数据迁移及策略调整。</w:t>
      </w:r>
    </w:p>
    <w:p>
      <w:pPr>
        <w:widowControl w:val="0"/>
        <w:autoSpaceDE w:val="0"/>
        <w:autoSpaceDN w:val="0"/>
        <w:adjustRightInd w:val="0"/>
        <w:spacing w:line="360" w:lineRule="auto"/>
        <w:ind w:firstLine="480" w:firstLineChars="200"/>
        <w:rPr>
          <w:rFonts w:hint="eastAsia" w:ascii="仿宋" w:hAnsi="仿宋" w:eastAsia="仿宋" w:cs="仿宋"/>
          <w:color w:val="000000"/>
          <w:kern w:val="0"/>
          <w:sz w:val="24"/>
          <w:szCs w:val="24"/>
          <w:lang w:val="en-US" w:eastAsia="zh-CN" w:bidi="ar-SA"/>
        </w:rPr>
      </w:pPr>
      <w:r>
        <w:rPr>
          <w:rFonts w:hint="eastAsia" w:ascii="仿宋" w:hAnsi="仿宋" w:eastAsia="仿宋" w:cs="仿宋"/>
          <w:color w:val="000000"/>
          <w:kern w:val="0"/>
          <w:sz w:val="24"/>
          <w:szCs w:val="24"/>
          <w:lang w:val="en-US" w:eastAsia="zh-CN" w:bidi="ar-SA"/>
        </w:rPr>
        <w:t>数据库定期检查及维护：对社保系统数据库的表空间使用率、表空间空闲率、数据文件或者数据设备的读写次数等关键指标进行检查，并就出现的问题进行维护。</w:t>
      </w:r>
    </w:p>
    <w:p>
      <w:pPr>
        <w:widowControl w:val="0"/>
        <w:autoSpaceDE w:val="0"/>
        <w:autoSpaceDN w:val="0"/>
        <w:adjustRightInd w:val="0"/>
        <w:spacing w:line="360" w:lineRule="auto"/>
        <w:ind w:firstLine="480" w:firstLineChars="200"/>
        <w:rPr>
          <w:rFonts w:hint="eastAsia" w:ascii="仿宋" w:hAnsi="仿宋" w:eastAsia="仿宋" w:cs="仿宋"/>
          <w:color w:val="000000"/>
          <w:kern w:val="0"/>
          <w:sz w:val="24"/>
          <w:szCs w:val="24"/>
          <w:lang w:val="en-US" w:eastAsia="zh-CN" w:bidi="ar-SA"/>
        </w:rPr>
      </w:pPr>
      <w:r>
        <w:rPr>
          <w:rFonts w:hint="eastAsia" w:ascii="仿宋" w:hAnsi="仿宋" w:eastAsia="仿宋" w:cs="仿宋"/>
          <w:color w:val="000000"/>
          <w:kern w:val="0"/>
          <w:sz w:val="24"/>
          <w:szCs w:val="24"/>
          <w:lang w:val="en-US" w:eastAsia="zh-CN" w:bidi="ar-SA"/>
        </w:rPr>
        <w:t>中间件软件检查及维护：对JVM情况、Servlet执行情况、JDBC连接池性能、JMS情况、Web应用情况等各类情况进行检查，并就出现的问题进行维护。</w:t>
      </w:r>
    </w:p>
    <w:p>
      <w:pPr>
        <w:widowControl w:val="0"/>
        <w:autoSpaceDE w:val="0"/>
        <w:autoSpaceDN w:val="0"/>
        <w:adjustRightInd w:val="0"/>
        <w:spacing w:line="360" w:lineRule="auto"/>
        <w:ind w:firstLine="480" w:firstLineChars="200"/>
        <w:rPr>
          <w:rFonts w:hint="eastAsia" w:ascii="仿宋" w:hAnsi="仿宋" w:eastAsia="仿宋" w:cs="仿宋"/>
          <w:color w:val="000000"/>
          <w:kern w:val="0"/>
          <w:sz w:val="24"/>
          <w:szCs w:val="24"/>
          <w:lang w:val="en-US" w:eastAsia="zh-CN" w:bidi="ar-SA"/>
        </w:rPr>
      </w:pPr>
      <w:r>
        <w:rPr>
          <w:rFonts w:hint="eastAsia" w:ascii="仿宋" w:hAnsi="仿宋" w:eastAsia="仿宋" w:cs="仿宋"/>
          <w:color w:val="000000"/>
          <w:kern w:val="0"/>
          <w:sz w:val="24"/>
          <w:szCs w:val="24"/>
          <w:lang w:val="en-US" w:eastAsia="zh-CN" w:bidi="ar-SA"/>
        </w:rPr>
        <w:t>主机操作软件及其他平台的定期检查及维护：就cpu利用率、cpu使用情况、内存利用率、磁盘信息、进程信息、icmp响应时间、连接数等信息进行检查，并就出现的问题进行维护。</w:t>
      </w:r>
    </w:p>
    <w:p>
      <w:pPr>
        <w:widowControl w:val="0"/>
        <w:autoSpaceDE w:val="0"/>
        <w:autoSpaceDN w:val="0"/>
        <w:adjustRightInd w:val="0"/>
        <w:spacing w:line="360" w:lineRule="auto"/>
        <w:ind w:firstLine="480" w:firstLineChars="200"/>
        <w:rPr>
          <w:rFonts w:hint="eastAsia" w:ascii="仿宋" w:hAnsi="仿宋" w:eastAsia="仿宋" w:cs="仿宋"/>
          <w:color w:val="000000"/>
          <w:kern w:val="0"/>
          <w:sz w:val="24"/>
          <w:szCs w:val="24"/>
          <w:lang w:val="en-US" w:eastAsia="zh-CN" w:bidi="ar-SA"/>
        </w:rPr>
      </w:pPr>
      <w:r>
        <w:rPr>
          <w:rFonts w:hint="eastAsia" w:ascii="仿宋" w:hAnsi="仿宋" w:eastAsia="仿宋" w:cs="仿宋"/>
          <w:color w:val="000000"/>
          <w:kern w:val="0"/>
          <w:sz w:val="24"/>
          <w:szCs w:val="24"/>
          <w:lang w:val="en-US" w:eastAsia="zh-CN" w:bidi="ar-SA"/>
        </w:rPr>
        <w:t>网络的定期检查及维护：包括各网络设备的配置备份情况检查，网络安全策略、路由检查，与外联单位、下级部门的链路检查。</w:t>
      </w:r>
    </w:p>
    <w:p>
      <w:pPr>
        <w:widowControl w:val="0"/>
        <w:autoSpaceDE w:val="0"/>
        <w:autoSpaceDN w:val="0"/>
        <w:adjustRightInd w:val="0"/>
        <w:spacing w:line="360" w:lineRule="auto"/>
        <w:ind w:firstLine="480" w:firstLineChars="200"/>
        <w:rPr>
          <w:rFonts w:hint="eastAsia" w:ascii="仿宋" w:hAnsi="仿宋" w:eastAsia="仿宋" w:cs="仿宋"/>
          <w:color w:val="000000"/>
          <w:kern w:val="0"/>
          <w:sz w:val="24"/>
          <w:szCs w:val="24"/>
          <w:lang w:val="en-US" w:eastAsia="zh-CN" w:bidi="ar-SA"/>
        </w:rPr>
      </w:pPr>
      <w:r>
        <w:rPr>
          <w:rFonts w:hint="eastAsia" w:ascii="仿宋" w:hAnsi="仿宋" w:eastAsia="仿宋" w:cs="仿宋"/>
          <w:color w:val="000000"/>
          <w:kern w:val="0"/>
          <w:sz w:val="24"/>
          <w:szCs w:val="24"/>
          <w:lang w:val="en-US" w:eastAsia="zh-CN" w:bidi="ar-SA"/>
        </w:rPr>
        <w:t>存储介质检查及维护：检查存储介质的情况，包括存储介质使用状态、存储介质配置检查、磁带库驱动器状态检查、链路检查、设备I/O是否正常和磁带/磁盘的实际可用空间。</w:t>
      </w:r>
    </w:p>
    <w:p>
      <w:pPr>
        <w:keepNext/>
        <w:keepLines/>
        <w:widowControl w:val="0"/>
        <w:numPr>
          <w:ilvl w:val="0"/>
          <w:numId w:val="8"/>
        </w:numPr>
        <w:spacing w:before="280" w:after="290" w:line="376" w:lineRule="auto"/>
        <w:ind w:left="440" w:hanging="440"/>
        <w:jc w:val="both"/>
        <w:outlineLvl w:val="3"/>
        <w:rPr>
          <w:rFonts w:hint="eastAsia" w:ascii="仿宋" w:hAnsi="仿宋" w:eastAsia="仿宋" w:cs="仿宋"/>
          <w:b/>
          <w:bCs/>
          <w:kern w:val="2"/>
          <w:sz w:val="24"/>
          <w:szCs w:val="24"/>
          <w:lang w:val="en-US" w:eastAsia="zh-CN" w:bidi="ar-SA"/>
        </w:rPr>
      </w:pPr>
      <w:r>
        <w:rPr>
          <w:rFonts w:hint="eastAsia" w:ascii="仿宋" w:hAnsi="仿宋" w:eastAsia="仿宋" w:cs="仿宋"/>
          <w:b/>
          <w:bCs/>
          <w:kern w:val="2"/>
          <w:sz w:val="24"/>
          <w:szCs w:val="24"/>
          <w:lang w:val="en-US" w:eastAsia="zh-CN" w:bidi="ar-SA"/>
        </w:rPr>
        <w:t>运维服务方式</w:t>
      </w:r>
    </w:p>
    <w:p>
      <w:pPr>
        <w:widowControl w:val="0"/>
        <w:autoSpaceDE w:val="0"/>
        <w:autoSpaceDN w:val="0"/>
        <w:adjustRightInd w:val="0"/>
        <w:spacing w:line="360" w:lineRule="auto"/>
        <w:ind w:firstLine="480" w:firstLineChars="200"/>
        <w:rPr>
          <w:rFonts w:hint="eastAsia" w:ascii="仿宋" w:hAnsi="仿宋" w:eastAsia="仿宋" w:cs="仿宋"/>
          <w:color w:val="000000"/>
          <w:kern w:val="0"/>
          <w:sz w:val="24"/>
          <w:szCs w:val="24"/>
          <w:lang w:val="en-US" w:eastAsia="zh-CN" w:bidi="ar-SA"/>
        </w:rPr>
      </w:pPr>
      <w:r>
        <w:rPr>
          <w:rFonts w:hint="eastAsia" w:ascii="仿宋" w:hAnsi="仿宋" w:eastAsia="仿宋" w:cs="仿宋"/>
          <w:color w:val="000000"/>
          <w:kern w:val="0"/>
          <w:sz w:val="24"/>
          <w:szCs w:val="24"/>
          <w:lang w:val="en-US" w:eastAsia="zh-CN" w:bidi="ar-SA"/>
        </w:rPr>
        <w:t>为保证系统的平稳有效运行，运维服务商须提供完善的服务体系，多样化的服务手段，维护服务方式应包括：远程服务、现场服务、应急服务等。</w:t>
      </w:r>
    </w:p>
    <w:p>
      <w:pPr>
        <w:widowControl w:val="0"/>
        <w:autoSpaceDE w:val="0"/>
        <w:autoSpaceDN w:val="0"/>
        <w:adjustRightInd w:val="0"/>
        <w:spacing w:line="360" w:lineRule="auto"/>
        <w:ind w:firstLine="480" w:firstLineChars="200"/>
        <w:rPr>
          <w:rFonts w:hint="eastAsia" w:ascii="仿宋" w:hAnsi="仿宋" w:eastAsia="仿宋" w:cs="仿宋"/>
          <w:color w:val="000000"/>
          <w:kern w:val="0"/>
          <w:sz w:val="24"/>
          <w:szCs w:val="24"/>
          <w:lang w:val="en-US" w:eastAsia="zh-CN" w:bidi="ar-SA"/>
        </w:rPr>
      </w:pPr>
      <w:r>
        <w:rPr>
          <w:rFonts w:hint="eastAsia" w:ascii="仿宋" w:hAnsi="仿宋" w:eastAsia="仿宋" w:cs="仿宋"/>
          <w:color w:val="000000"/>
          <w:kern w:val="0"/>
          <w:sz w:val="24"/>
          <w:szCs w:val="24"/>
          <w:lang w:val="en-US" w:eastAsia="zh-CN" w:bidi="ar-SA"/>
        </w:rPr>
        <w:t>远程服务：供应商须提供7x24全天候热线电话支持服务，用户方可以随时拨打服务热线电话，对疑难问题2小时内做出快速电话响应，4小时内作出故障诊断报告。</w:t>
      </w:r>
    </w:p>
    <w:p>
      <w:pPr>
        <w:widowControl w:val="0"/>
        <w:autoSpaceDE w:val="0"/>
        <w:autoSpaceDN w:val="0"/>
        <w:adjustRightInd w:val="0"/>
        <w:spacing w:line="360" w:lineRule="auto"/>
        <w:ind w:firstLine="480" w:firstLineChars="200"/>
        <w:rPr>
          <w:rFonts w:hint="eastAsia" w:ascii="仿宋" w:hAnsi="仿宋" w:eastAsia="仿宋" w:cs="仿宋"/>
          <w:color w:val="000000"/>
          <w:kern w:val="0"/>
          <w:sz w:val="24"/>
          <w:szCs w:val="24"/>
          <w:lang w:val="en-US" w:eastAsia="zh-CN" w:bidi="ar-SA"/>
        </w:rPr>
      </w:pPr>
      <w:r>
        <w:rPr>
          <w:rFonts w:hint="eastAsia" w:ascii="仿宋" w:hAnsi="仿宋" w:eastAsia="仿宋" w:cs="仿宋"/>
          <w:color w:val="000000"/>
          <w:kern w:val="0"/>
          <w:sz w:val="24"/>
          <w:szCs w:val="24"/>
          <w:lang w:val="en-US" w:eastAsia="zh-CN" w:bidi="ar-SA"/>
        </w:rPr>
        <w:t>现场服务：当系统发生故障，或任何影响用户业务正常运作的故障，远程服务的方式无法解决问题时，供应商须立刻派遣服务工程师在规定的时间内前往用户现场及时处理问题、解决故障，后备技术团队做为后备技术支持力量，对疑难问题进行分析处理。</w:t>
      </w:r>
    </w:p>
    <w:p>
      <w:pPr>
        <w:widowControl w:val="0"/>
        <w:autoSpaceDE w:val="0"/>
        <w:autoSpaceDN w:val="0"/>
        <w:adjustRightInd w:val="0"/>
        <w:spacing w:line="360" w:lineRule="auto"/>
        <w:ind w:firstLine="480" w:firstLineChars="200"/>
        <w:rPr>
          <w:rFonts w:hint="eastAsia" w:ascii="仿宋" w:hAnsi="仿宋" w:eastAsia="仿宋" w:cs="仿宋"/>
          <w:color w:val="000000"/>
          <w:kern w:val="0"/>
          <w:sz w:val="24"/>
          <w:szCs w:val="24"/>
          <w:lang w:val="en-US" w:eastAsia="zh-CN" w:bidi="ar-SA"/>
        </w:rPr>
      </w:pPr>
      <w:r>
        <w:rPr>
          <w:rFonts w:hint="eastAsia" w:ascii="仿宋" w:hAnsi="仿宋" w:eastAsia="仿宋" w:cs="仿宋"/>
          <w:color w:val="000000"/>
          <w:kern w:val="0"/>
          <w:sz w:val="24"/>
          <w:szCs w:val="24"/>
          <w:lang w:val="en-US" w:eastAsia="zh-CN" w:bidi="ar-SA"/>
        </w:rPr>
        <w:t>应急服务：当系统发生特大故障时候，运维服务商须采用特殊问题特殊处理的方式，在常规现场服务流程之外，开辟应急服务的模式，特事特办，在最短的时间内，集中最佳资源来解决故障，将用户的损失减小到最低程度。</w:t>
      </w:r>
    </w:p>
    <w:p>
      <w:pPr>
        <w:keepNext/>
        <w:keepLines/>
        <w:widowControl w:val="0"/>
        <w:numPr>
          <w:ilvl w:val="0"/>
          <w:numId w:val="6"/>
        </w:numPr>
        <w:tabs>
          <w:tab w:val="left" w:pos="425"/>
          <w:tab w:val="left" w:pos="709"/>
        </w:tabs>
        <w:spacing w:before="260" w:after="260" w:line="416" w:lineRule="auto"/>
        <w:ind w:left="840" w:hanging="440"/>
        <w:jc w:val="both"/>
        <w:outlineLvl w:val="2"/>
        <w:rPr>
          <w:rFonts w:hint="eastAsia" w:ascii="仿宋" w:hAnsi="仿宋" w:eastAsia="仿宋" w:cs="仿宋"/>
          <w:bCs/>
          <w:kern w:val="2"/>
          <w:sz w:val="24"/>
          <w:szCs w:val="24"/>
          <w:lang w:val="en-US" w:eastAsia="zh-CN" w:bidi="ar-SA"/>
        </w:rPr>
      </w:pPr>
      <w:r>
        <w:rPr>
          <w:rFonts w:hint="eastAsia" w:ascii="仿宋" w:hAnsi="仿宋" w:eastAsia="仿宋" w:cs="仿宋"/>
          <w:bCs/>
          <w:kern w:val="2"/>
          <w:sz w:val="24"/>
          <w:szCs w:val="24"/>
          <w:lang w:val="en-US" w:eastAsia="zh-CN" w:bidi="ar-SA"/>
        </w:rPr>
        <w:t>业务数据治理服务</w:t>
      </w:r>
    </w:p>
    <w:p>
      <w:pPr>
        <w:widowControl w:val="0"/>
        <w:autoSpaceDE w:val="0"/>
        <w:autoSpaceDN w:val="0"/>
        <w:adjustRightInd w:val="0"/>
        <w:spacing w:line="360" w:lineRule="auto"/>
        <w:ind w:firstLine="480" w:firstLineChars="200"/>
        <w:rPr>
          <w:rFonts w:hint="eastAsia" w:ascii="仿宋" w:hAnsi="仿宋" w:eastAsia="仿宋" w:cs="仿宋"/>
          <w:color w:val="000000"/>
          <w:kern w:val="0"/>
          <w:sz w:val="24"/>
          <w:szCs w:val="24"/>
          <w:lang w:val="en-US" w:eastAsia="zh-CN" w:bidi="ar-SA"/>
        </w:rPr>
      </w:pPr>
      <w:r>
        <w:rPr>
          <w:rFonts w:hint="eastAsia" w:ascii="仿宋" w:hAnsi="仿宋" w:eastAsia="仿宋" w:cs="仿宋"/>
          <w:color w:val="000000"/>
          <w:kern w:val="0"/>
          <w:sz w:val="24"/>
          <w:szCs w:val="24"/>
          <w:lang w:val="en-US" w:eastAsia="zh-CN" w:bidi="ar-SA"/>
        </w:rPr>
        <w:t>业务数据治理服务包括三大类，分别是基础数据更新维护、数据手工处理维护、数据统计分析维护。</w:t>
      </w:r>
    </w:p>
    <w:p>
      <w:pPr>
        <w:keepNext/>
        <w:keepLines/>
        <w:widowControl w:val="0"/>
        <w:numPr>
          <w:ilvl w:val="0"/>
          <w:numId w:val="9"/>
        </w:numPr>
        <w:spacing w:before="280" w:after="290" w:line="376" w:lineRule="auto"/>
        <w:ind w:left="440" w:hanging="440"/>
        <w:jc w:val="both"/>
        <w:outlineLvl w:val="3"/>
        <w:rPr>
          <w:rFonts w:hint="eastAsia" w:ascii="仿宋" w:hAnsi="仿宋" w:eastAsia="仿宋" w:cs="仿宋"/>
          <w:b/>
          <w:bCs/>
          <w:kern w:val="2"/>
          <w:sz w:val="24"/>
          <w:szCs w:val="24"/>
          <w:lang w:val="en-US" w:eastAsia="zh-CN" w:bidi="ar-SA"/>
        </w:rPr>
      </w:pPr>
      <w:r>
        <w:rPr>
          <w:rFonts w:hint="eastAsia" w:ascii="仿宋" w:hAnsi="仿宋" w:eastAsia="仿宋" w:cs="仿宋"/>
          <w:b/>
          <w:bCs/>
          <w:kern w:val="2"/>
          <w:sz w:val="24"/>
          <w:szCs w:val="24"/>
          <w:lang w:val="en-US" w:eastAsia="zh-CN" w:bidi="ar-SA"/>
        </w:rPr>
        <w:t>基础数据更新维护</w:t>
      </w:r>
    </w:p>
    <w:p>
      <w:pPr>
        <w:widowControl w:val="0"/>
        <w:autoSpaceDE w:val="0"/>
        <w:autoSpaceDN w:val="0"/>
        <w:adjustRightInd w:val="0"/>
        <w:spacing w:line="360" w:lineRule="auto"/>
        <w:ind w:firstLine="480" w:firstLineChars="200"/>
        <w:rPr>
          <w:rFonts w:hint="eastAsia" w:ascii="仿宋" w:hAnsi="仿宋" w:eastAsia="仿宋" w:cs="仿宋"/>
          <w:color w:val="000000"/>
          <w:kern w:val="0"/>
          <w:sz w:val="24"/>
          <w:szCs w:val="24"/>
          <w:lang w:val="en-US" w:eastAsia="zh-CN" w:bidi="ar-SA"/>
        </w:rPr>
      </w:pPr>
      <w:r>
        <w:rPr>
          <w:rFonts w:hint="eastAsia" w:ascii="仿宋" w:hAnsi="仿宋" w:eastAsia="仿宋" w:cs="仿宋"/>
          <w:color w:val="000000"/>
          <w:kern w:val="0"/>
          <w:sz w:val="24"/>
          <w:szCs w:val="24"/>
          <w:lang w:val="en-US" w:eastAsia="zh-CN" w:bidi="ar-SA"/>
        </w:rPr>
        <w:t>将省回流库数据根据身份证验证定时每天更新入库，保障本地基础库数据正常更新。</w:t>
      </w:r>
    </w:p>
    <w:p>
      <w:pPr>
        <w:keepNext/>
        <w:keepLines/>
        <w:widowControl w:val="0"/>
        <w:numPr>
          <w:ilvl w:val="0"/>
          <w:numId w:val="9"/>
        </w:numPr>
        <w:spacing w:before="280" w:after="290" w:line="376" w:lineRule="auto"/>
        <w:ind w:left="440" w:hanging="440"/>
        <w:jc w:val="both"/>
        <w:outlineLvl w:val="3"/>
        <w:rPr>
          <w:rFonts w:hint="eastAsia" w:ascii="仿宋" w:hAnsi="仿宋" w:eastAsia="仿宋" w:cs="仿宋"/>
          <w:b/>
          <w:bCs/>
          <w:kern w:val="2"/>
          <w:sz w:val="24"/>
          <w:szCs w:val="24"/>
          <w:lang w:val="en-US" w:eastAsia="zh-CN" w:bidi="ar-SA"/>
        </w:rPr>
      </w:pPr>
      <w:r>
        <w:rPr>
          <w:rFonts w:hint="eastAsia" w:ascii="仿宋" w:hAnsi="仿宋" w:eastAsia="仿宋" w:cs="仿宋"/>
          <w:b/>
          <w:bCs/>
          <w:kern w:val="2"/>
          <w:sz w:val="24"/>
          <w:szCs w:val="24"/>
          <w:lang w:val="en-US" w:eastAsia="zh-CN" w:bidi="ar-SA"/>
        </w:rPr>
        <w:t>数据手工处理维护</w:t>
      </w:r>
    </w:p>
    <w:p>
      <w:pPr>
        <w:widowControl w:val="0"/>
        <w:autoSpaceDE w:val="0"/>
        <w:autoSpaceDN w:val="0"/>
        <w:adjustRightInd w:val="0"/>
        <w:spacing w:line="360" w:lineRule="auto"/>
        <w:ind w:firstLine="480" w:firstLineChars="200"/>
        <w:rPr>
          <w:rFonts w:hint="eastAsia" w:ascii="仿宋" w:hAnsi="仿宋" w:eastAsia="仿宋" w:cs="仿宋"/>
          <w:color w:val="000000"/>
          <w:kern w:val="0"/>
          <w:sz w:val="24"/>
          <w:szCs w:val="24"/>
          <w:lang w:val="en-US" w:eastAsia="zh-CN" w:bidi="ar-SA"/>
        </w:rPr>
      </w:pPr>
      <w:r>
        <w:rPr>
          <w:rFonts w:hint="eastAsia" w:ascii="仿宋" w:hAnsi="仿宋" w:eastAsia="仿宋" w:cs="仿宋"/>
          <w:color w:val="000000"/>
          <w:kern w:val="0"/>
          <w:sz w:val="24"/>
          <w:szCs w:val="24"/>
          <w:lang w:val="en-US" w:eastAsia="zh-CN" w:bidi="ar-SA"/>
        </w:rPr>
        <w:t>数据手工处理维护主要是根据业务部门提出数据维护需要，对原程序缺陷而产生的各类异常数据或前期业务误操作产生的勘误数据，进行人工纠正处理，及时修复系统数据，以保证后续业务的完整性和正确性，如后延补缴人员相关数据处理等，也有因政策调整需要，对原市本级和三县农商银行参保人员数据迁移至省平台等。</w:t>
      </w:r>
    </w:p>
    <w:p>
      <w:pPr>
        <w:keepNext/>
        <w:keepLines/>
        <w:widowControl w:val="0"/>
        <w:numPr>
          <w:ilvl w:val="0"/>
          <w:numId w:val="9"/>
        </w:numPr>
        <w:spacing w:before="280" w:after="290" w:line="376" w:lineRule="auto"/>
        <w:ind w:left="440" w:hanging="440"/>
        <w:jc w:val="both"/>
        <w:outlineLvl w:val="3"/>
        <w:rPr>
          <w:rFonts w:hint="eastAsia" w:ascii="仿宋" w:hAnsi="仿宋" w:eastAsia="仿宋" w:cs="仿宋"/>
          <w:b/>
          <w:bCs/>
          <w:kern w:val="2"/>
          <w:sz w:val="24"/>
          <w:szCs w:val="24"/>
          <w:lang w:val="en-US" w:eastAsia="zh-CN" w:bidi="ar-SA"/>
        </w:rPr>
      </w:pPr>
      <w:r>
        <w:rPr>
          <w:rFonts w:hint="eastAsia" w:ascii="仿宋" w:hAnsi="仿宋" w:eastAsia="仿宋" w:cs="仿宋"/>
          <w:b/>
          <w:bCs/>
          <w:kern w:val="2"/>
          <w:sz w:val="24"/>
          <w:szCs w:val="24"/>
          <w:lang w:val="en-US" w:eastAsia="zh-CN" w:bidi="ar-SA"/>
        </w:rPr>
        <w:t>数据统计分析维护</w:t>
      </w:r>
    </w:p>
    <w:p>
      <w:pPr>
        <w:widowControl w:val="0"/>
        <w:autoSpaceDE w:val="0"/>
        <w:autoSpaceDN w:val="0"/>
        <w:adjustRightInd w:val="0"/>
        <w:spacing w:line="360" w:lineRule="auto"/>
        <w:ind w:firstLine="480" w:firstLineChars="200"/>
        <w:rPr>
          <w:rFonts w:hint="eastAsia" w:ascii="仿宋" w:hAnsi="仿宋" w:eastAsia="仿宋" w:cs="仿宋"/>
          <w:color w:val="000000"/>
          <w:kern w:val="0"/>
          <w:sz w:val="24"/>
          <w:szCs w:val="24"/>
          <w:lang w:val="en-US" w:eastAsia="zh-CN" w:bidi="ar-SA"/>
        </w:rPr>
      </w:pPr>
      <w:r>
        <w:rPr>
          <w:rFonts w:hint="eastAsia" w:ascii="仿宋" w:hAnsi="仿宋" w:eastAsia="仿宋" w:cs="仿宋"/>
          <w:color w:val="000000"/>
          <w:kern w:val="0"/>
          <w:sz w:val="24"/>
          <w:szCs w:val="24"/>
          <w:lang w:val="en-US" w:eastAsia="zh-CN" w:bidi="ar-SA"/>
        </w:rPr>
        <w:t>数据统计分析维护主要是按照业务部门提出临时数据的查询统计和分析研判，对各类参保登记类、待遇审核类等业务数据进行后台手工筛选查询、统计导出。</w:t>
      </w:r>
    </w:p>
    <w:p>
      <w:pPr>
        <w:widowControl w:val="0"/>
        <w:autoSpaceDE w:val="0"/>
        <w:autoSpaceDN w:val="0"/>
        <w:adjustRightInd w:val="0"/>
        <w:spacing w:line="360" w:lineRule="auto"/>
        <w:ind w:firstLine="480" w:firstLineChars="200"/>
        <w:rPr>
          <w:rFonts w:hint="eastAsia" w:ascii="仿宋" w:hAnsi="仿宋" w:eastAsia="仿宋" w:cs="仿宋"/>
          <w:color w:val="000000"/>
          <w:kern w:val="0"/>
          <w:sz w:val="24"/>
          <w:szCs w:val="24"/>
          <w:lang w:val="en-US" w:eastAsia="zh-CN" w:bidi="ar-SA"/>
        </w:rPr>
      </w:pPr>
      <w:r>
        <w:rPr>
          <w:rFonts w:hint="eastAsia" w:ascii="仿宋" w:hAnsi="仿宋" w:eastAsia="仿宋" w:cs="仿宋"/>
          <w:color w:val="000000"/>
          <w:kern w:val="0"/>
          <w:sz w:val="24"/>
          <w:szCs w:val="24"/>
          <w:lang w:val="en-US" w:eastAsia="zh-CN" w:bidi="ar-SA"/>
        </w:rPr>
        <w:t>例如：各地高学历人员首次参保缴费相关数据查询，新增人才就业的参保信息比对，汇总整理并上传市本级和各县的试点机关事业单位人员的待遇确认信息，同步协助各县做好制度衔接业务的技术支撑。</w:t>
      </w:r>
    </w:p>
    <w:p>
      <w:pPr>
        <w:keepNext/>
        <w:keepLines/>
        <w:widowControl w:val="0"/>
        <w:numPr>
          <w:ilvl w:val="0"/>
          <w:numId w:val="6"/>
        </w:numPr>
        <w:tabs>
          <w:tab w:val="left" w:pos="425"/>
          <w:tab w:val="left" w:pos="709"/>
        </w:tabs>
        <w:spacing w:before="260" w:after="260" w:line="416" w:lineRule="auto"/>
        <w:ind w:left="840" w:hanging="440"/>
        <w:jc w:val="both"/>
        <w:outlineLvl w:val="2"/>
        <w:rPr>
          <w:rFonts w:hint="eastAsia" w:ascii="仿宋" w:hAnsi="仿宋" w:eastAsia="仿宋" w:cs="仿宋"/>
          <w:bCs/>
          <w:kern w:val="2"/>
          <w:sz w:val="24"/>
          <w:szCs w:val="24"/>
          <w:lang w:val="en-US" w:eastAsia="zh-CN" w:bidi="ar-SA"/>
        </w:rPr>
      </w:pPr>
      <w:r>
        <w:rPr>
          <w:rFonts w:hint="eastAsia" w:ascii="仿宋" w:hAnsi="仿宋" w:eastAsia="仿宋" w:cs="仿宋"/>
          <w:bCs/>
          <w:kern w:val="2"/>
          <w:sz w:val="24"/>
          <w:szCs w:val="24"/>
          <w:lang w:val="en-US" w:eastAsia="zh-CN" w:bidi="ar-SA"/>
        </w:rPr>
        <w:t>外部系统数据对接服务</w:t>
      </w:r>
    </w:p>
    <w:p>
      <w:pPr>
        <w:widowControl w:val="0"/>
        <w:autoSpaceDE w:val="0"/>
        <w:autoSpaceDN w:val="0"/>
        <w:adjustRightInd w:val="0"/>
        <w:spacing w:line="360" w:lineRule="auto"/>
        <w:ind w:firstLine="480" w:firstLineChars="200"/>
        <w:rPr>
          <w:rFonts w:hint="eastAsia" w:ascii="仿宋" w:hAnsi="仿宋" w:eastAsia="仿宋" w:cs="仿宋"/>
          <w:color w:val="000000"/>
          <w:kern w:val="0"/>
          <w:sz w:val="24"/>
          <w:szCs w:val="24"/>
          <w:lang w:val="en-US" w:eastAsia="zh-CN" w:bidi="ar-SA"/>
        </w:rPr>
      </w:pPr>
      <w:r>
        <w:rPr>
          <w:rFonts w:hint="eastAsia" w:ascii="仿宋" w:hAnsi="仿宋" w:eastAsia="仿宋" w:cs="仿宋"/>
          <w:color w:val="000000"/>
          <w:kern w:val="0"/>
          <w:sz w:val="24"/>
          <w:szCs w:val="24"/>
          <w:lang w:val="en-US" w:eastAsia="zh-CN" w:bidi="ar-SA"/>
        </w:rPr>
        <w:t>做好市社保综合管理信息系统与跨平台的数据对接工作，提供标准化的接口规范，畅通数据共享渠道，实现数据高铁速率。数据对接服务范围包括如下。</w:t>
      </w:r>
    </w:p>
    <w:p>
      <w:pPr>
        <w:keepNext/>
        <w:keepLines/>
        <w:widowControl w:val="0"/>
        <w:numPr>
          <w:ilvl w:val="0"/>
          <w:numId w:val="10"/>
        </w:numPr>
        <w:spacing w:before="280" w:after="290" w:line="376" w:lineRule="auto"/>
        <w:ind w:left="440" w:hanging="440"/>
        <w:jc w:val="both"/>
        <w:outlineLvl w:val="3"/>
        <w:rPr>
          <w:rFonts w:hint="eastAsia" w:ascii="仿宋" w:hAnsi="仿宋" w:eastAsia="仿宋" w:cs="仿宋"/>
          <w:b/>
          <w:bCs/>
          <w:kern w:val="2"/>
          <w:sz w:val="24"/>
          <w:szCs w:val="24"/>
          <w:lang w:val="en-US" w:eastAsia="zh-CN" w:bidi="ar-SA"/>
        </w:rPr>
      </w:pPr>
      <w:r>
        <w:rPr>
          <w:rFonts w:hint="eastAsia" w:ascii="仿宋" w:hAnsi="仿宋" w:eastAsia="仿宋" w:cs="仿宋"/>
          <w:b/>
          <w:bCs/>
          <w:kern w:val="2"/>
          <w:sz w:val="24"/>
          <w:szCs w:val="24"/>
          <w:lang w:val="en-US" w:eastAsia="zh-CN" w:bidi="ar-SA"/>
        </w:rPr>
        <w:t>与税务的数据对接服务</w:t>
      </w:r>
    </w:p>
    <w:p>
      <w:pPr>
        <w:widowControl w:val="0"/>
        <w:autoSpaceDE w:val="0"/>
        <w:autoSpaceDN w:val="0"/>
        <w:adjustRightInd w:val="0"/>
        <w:spacing w:line="360" w:lineRule="auto"/>
        <w:ind w:firstLine="480" w:firstLineChars="200"/>
        <w:rPr>
          <w:rFonts w:hint="eastAsia" w:ascii="仿宋" w:hAnsi="仿宋" w:eastAsia="仿宋" w:cs="仿宋"/>
          <w:color w:val="000000"/>
          <w:kern w:val="0"/>
          <w:sz w:val="24"/>
          <w:szCs w:val="24"/>
          <w:lang w:val="en-US" w:eastAsia="zh-CN" w:bidi="ar-SA"/>
        </w:rPr>
      </w:pPr>
      <w:r>
        <w:rPr>
          <w:rFonts w:hint="eastAsia" w:ascii="仿宋" w:hAnsi="仿宋" w:eastAsia="仿宋" w:cs="仿宋"/>
          <w:color w:val="000000"/>
          <w:kern w:val="0"/>
          <w:sz w:val="24"/>
          <w:szCs w:val="24"/>
          <w:lang w:val="en-US" w:eastAsia="zh-CN" w:bidi="ar-SA"/>
        </w:rPr>
        <w:t>做好与税务部门数据对接工作，提供标准化的接口规范，保障试点机关事业征缴数据的共享互通。需要维护的接口服务包括：社保批量发送核定缴费工资（应征数）、社保取批量入库信息、社保取单户入库信息、社保发送缴费人员参保登记信息、社保批量发送缴费人应征数据、社保发送缴费人员基本信息数据、社保取税务入库数据等。</w:t>
      </w:r>
    </w:p>
    <w:p>
      <w:pPr>
        <w:keepNext/>
        <w:keepLines/>
        <w:widowControl w:val="0"/>
        <w:numPr>
          <w:ilvl w:val="0"/>
          <w:numId w:val="10"/>
        </w:numPr>
        <w:spacing w:before="280" w:after="290" w:line="376" w:lineRule="auto"/>
        <w:ind w:left="440" w:hanging="440"/>
        <w:jc w:val="both"/>
        <w:outlineLvl w:val="3"/>
        <w:rPr>
          <w:rFonts w:hint="eastAsia" w:ascii="仿宋" w:hAnsi="仿宋" w:eastAsia="仿宋" w:cs="仿宋"/>
          <w:b/>
          <w:bCs/>
          <w:kern w:val="2"/>
          <w:sz w:val="24"/>
          <w:szCs w:val="24"/>
          <w:lang w:val="en-US" w:eastAsia="zh-CN" w:bidi="ar-SA"/>
        </w:rPr>
      </w:pPr>
      <w:r>
        <w:rPr>
          <w:rFonts w:hint="eastAsia" w:ascii="仿宋" w:hAnsi="仿宋" w:eastAsia="仿宋" w:cs="仿宋"/>
          <w:b/>
          <w:bCs/>
          <w:kern w:val="2"/>
          <w:sz w:val="24"/>
          <w:szCs w:val="24"/>
          <w:lang w:val="en-US" w:eastAsia="zh-CN" w:bidi="ar-SA"/>
        </w:rPr>
        <w:t>与银行的数据对接服务</w:t>
      </w:r>
    </w:p>
    <w:p>
      <w:pPr>
        <w:widowControl w:val="0"/>
        <w:autoSpaceDE w:val="0"/>
        <w:autoSpaceDN w:val="0"/>
        <w:adjustRightInd w:val="0"/>
        <w:spacing w:line="360" w:lineRule="auto"/>
        <w:ind w:firstLine="480" w:firstLineChars="200"/>
        <w:rPr>
          <w:rFonts w:hint="eastAsia" w:ascii="仿宋" w:hAnsi="仿宋" w:eastAsia="仿宋" w:cs="仿宋"/>
          <w:color w:val="000000"/>
          <w:kern w:val="0"/>
          <w:sz w:val="24"/>
          <w:szCs w:val="24"/>
          <w:lang w:val="en-US" w:eastAsia="zh-CN" w:bidi="ar-SA"/>
        </w:rPr>
      </w:pPr>
      <w:r>
        <w:rPr>
          <w:rFonts w:hint="eastAsia" w:ascii="仿宋" w:hAnsi="仿宋" w:eastAsia="仿宋" w:cs="仿宋"/>
          <w:color w:val="000000"/>
          <w:kern w:val="0"/>
          <w:sz w:val="24"/>
          <w:szCs w:val="24"/>
          <w:lang w:val="en-US" w:eastAsia="zh-CN" w:bidi="ar-SA"/>
        </w:rPr>
        <w:t>做好与市本级和一区三县各大银行的数据对接工作，提供标准化的接口规范，保障试点机关事业和被征地等待遇发放数据的共享互通。需要维护的接口服务包括：社保发送零星支付数据、零星支付情况查询、批量支付授权、支付授权书受理、支付授权书作废、银行批量取支付数据、支付授权作废申请、银行批量支付数据返回、银行日对账、银行明细查询等。</w:t>
      </w:r>
    </w:p>
    <w:p>
      <w:pPr>
        <w:keepNext/>
        <w:keepLines/>
        <w:widowControl w:val="0"/>
        <w:numPr>
          <w:ilvl w:val="0"/>
          <w:numId w:val="10"/>
        </w:numPr>
        <w:spacing w:before="280" w:after="290" w:line="376" w:lineRule="auto"/>
        <w:ind w:left="440" w:hanging="440"/>
        <w:jc w:val="both"/>
        <w:outlineLvl w:val="3"/>
        <w:rPr>
          <w:rFonts w:hint="eastAsia" w:ascii="仿宋" w:hAnsi="仿宋" w:eastAsia="仿宋" w:cs="仿宋"/>
          <w:b/>
          <w:bCs/>
          <w:kern w:val="2"/>
          <w:sz w:val="24"/>
          <w:szCs w:val="24"/>
          <w:lang w:val="en-US" w:eastAsia="zh-CN" w:bidi="ar-SA"/>
        </w:rPr>
      </w:pPr>
      <w:r>
        <w:rPr>
          <w:rFonts w:hint="eastAsia" w:ascii="仿宋" w:hAnsi="仿宋" w:eastAsia="仿宋" w:cs="仿宋"/>
          <w:b/>
          <w:bCs/>
          <w:kern w:val="2"/>
          <w:sz w:val="24"/>
          <w:szCs w:val="24"/>
          <w:lang w:val="en-US" w:eastAsia="zh-CN" w:bidi="ar-SA"/>
        </w:rPr>
        <w:t>与其他部门的数据对接服务</w:t>
      </w:r>
    </w:p>
    <w:p>
      <w:pPr>
        <w:widowControl w:val="0"/>
        <w:autoSpaceDE w:val="0"/>
        <w:autoSpaceDN w:val="0"/>
        <w:adjustRightInd w:val="0"/>
        <w:spacing w:line="360" w:lineRule="auto"/>
        <w:ind w:firstLine="480" w:firstLineChars="200"/>
        <w:rPr>
          <w:rFonts w:hint="eastAsia" w:ascii="仿宋" w:hAnsi="仿宋" w:eastAsia="仿宋" w:cs="仿宋"/>
          <w:color w:val="000000"/>
          <w:kern w:val="0"/>
          <w:sz w:val="24"/>
          <w:szCs w:val="24"/>
          <w:lang w:val="en-US" w:eastAsia="zh-CN" w:bidi="ar-SA"/>
        </w:rPr>
      </w:pPr>
      <w:r>
        <w:rPr>
          <w:rFonts w:hint="eastAsia" w:ascii="仿宋" w:hAnsi="仿宋" w:eastAsia="仿宋" w:cs="仿宋"/>
          <w:color w:val="000000"/>
          <w:kern w:val="0"/>
          <w:sz w:val="24"/>
          <w:szCs w:val="24"/>
          <w:lang w:val="en-US" w:eastAsia="zh-CN" w:bidi="ar-SA"/>
        </w:rPr>
        <w:t>做好与市民卡和大数据局的数据对接工作，提供标准化的接口规范，保障省社保下发库数据的共享互通。</w:t>
      </w:r>
    </w:p>
    <w:p>
      <w:pPr>
        <w:keepNext/>
        <w:keepLines/>
        <w:widowControl w:val="0"/>
        <w:numPr>
          <w:ilvl w:val="0"/>
          <w:numId w:val="5"/>
        </w:numPr>
        <w:spacing w:before="260" w:after="260" w:line="416" w:lineRule="auto"/>
        <w:ind w:left="440" w:hanging="440"/>
        <w:jc w:val="both"/>
        <w:outlineLvl w:val="1"/>
        <w:rPr>
          <w:rFonts w:hint="eastAsia" w:ascii="仿宋" w:hAnsi="仿宋" w:eastAsia="仿宋" w:cs="仿宋"/>
          <w:b/>
          <w:bCs/>
          <w:kern w:val="2"/>
          <w:sz w:val="28"/>
          <w:szCs w:val="28"/>
          <w:lang w:val="en-US" w:eastAsia="zh-CN" w:bidi="ar-SA"/>
        </w:rPr>
      </w:pPr>
      <w:bookmarkStart w:id="10" w:name="_Toc151648009"/>
      <w:r>
        <w:rPr>
          <w:rFonts w:hint="eastAsia" w:ascii="仿宋" w:hAnsi="仿宋" w:eastAsia="仿宋" w:cs="仿宋"/>
          <w:b/>
          <w:bCs/>
          <w:kern w:val="2"/>
          <w:sz w:val="28"/>
          <w:szCs w:val="28"/>
          <w:lang w:val="en-US" w:eastAsia="zh-CN" w:bidi="ar-SA"/>
        </w:rPr>
        <w:t>与浙江社保省集中业务对接</w:t>
      </w:r>
      <w:bookmarkEnd w:id="10"/>
    </w:p>
    <w:p>
      <w:pPr>
        <w:widowControl w:val="0"/>
        <w:autoSpaceDE w:val="0"/>
        <w:autoSpaceDN w:val="0"/>
        <w:adjustRightInd w:val="0"/>
        <w:spacing w:line="360" w:lineRule="auto"/>
        <w:ind w:firstLine="480" w:firstLineChars="200"/>
        <w:rPr>
          <w:rFonts w:hint="eastAsia" w:ascii="仿宋" w:hAnsi="仿宋" w:eastAsia="仿宋" w:cs="仿宋"/>
          <w:color w:val="000000"/>
          <w:kern w:val="0"/>
          <w:sz w:val="24"/>
          <w:szCs w:val="24"/>
          <w:lang w:val="en-US" w:eastAsia="zh-CN" w:bidi="ar-SA"/>
        </w:rPr>
      </w:pPr>
      <w:r>
        <w:rPr>
          <w:rFonts w:hint="eastAsia" w:ascii="仿宋" w:hAnsi="仿宋" w:eastAsia="仿宋" w:cs="仿宋"/>
          <w:color w:val="000000"/>
          <w:kern w:val="0"/>
          <w:sz w:val="24"/>
          <w:szCs w:val="24"/>
          <w:lang w:val="en-US" w:eastAsia="zh-CN" w:bidi="ar-SA"/>
        </w:rPr>
        <w:t>与浙江社保省集中业务对接主要包括：系统故障和业务需求汇总管理、省系统历史数据问题处理技术支持两部分内容。</w:t>
      </w:r>
    </w:p>
    <w:p>
      <w:pPr>
        <w:keepNext/>
        <w:keepLines/>
        <w:widowControl w:val="0"/>
        <w:numPr>
          <w:ilvl w:val="0"/>
          <w:numId w:val="11"/>
        </w:numPr>
        <w:tabs>
          <w:tab w:val="left" w:pos="425"/>
          <w:tab w:val="left" w:pos="709"/>
        </w:tabs>
        <w:spacing w:before="260" w:after="260" w:line="416" w:lineRule="auto"/>
        <w:ind w:left="840" w:hanging="440"/>
        <w:jc w:val="both"/>
        <w:outlineLvl w:val="2"/>
        <w:rPr>
          <w:rFonts w:hint="eastAsia" w:ascii="仿宋" w:hAnsi="仿宋" w:eastAsia="仿宋" w:cs="仿宋"/>
          <w:bCs/>
          <w:kern w:val="2"/>
          <w:sz w:val="24"/>
          <w:szCs w:val="24"/>
          <w:lang w:val="en-US" w:eastAsia="zh-CN" w:bidi="ar-SA"/>
        </w:rPr>
      </w:pPr>
      <w:r>
        <w:rPr>
          <w:rFonts w:hint="eastAsia" w:ascii="仿宋" w:hAnsi="仿宋" w:eastAsia="仿宋" w:cs="仿宋"/>
          <w:bCs/>
          <w:kern w:val="2"/>
          <w:sz w:val="24"/>
          <w:szCs w:val="24"/>
          <w:lang w:val="en-US" w:eastAsia="zh-CN" w:bidi="ar-SA"/>
        </w:rPr>
        <w:t>系统故障和业务需求汇总管理</w:t>
      </w:r>
    </w:p>
    <w:p>
      <w:pPr>
        <w:widowControl w:val="0"/>
        <w:autoSpaceDE w:val="0"/>
        <w:autoSpaceDN w:val="0"/>
        <w:adjustRightInd w:val="0"/>
        <w:spacing w:line="360" w:lineRule="auto"/>
        <w:ind w:firstLine="480" w:firstLineChars="200"/>
        <w:rPr>
          <w:rFonts w:hint="eastAsia" w:ascii="仿宋" w:hAnsi="仿宋" w:eastAsia="仿宋" w:cs="仿宋"/>
          <w:color w:val="000000"/>
          <w:kern w:val="0"/>
          <w:sz w:val="24"/>
          <w:szCs w:val="24"/>
          <w:lang w:val="en-US" w:eastAsia="zh-CN" w:bidi="ar-SA"/>
        </w:rPr>
      </w:pPr>
      <w:r>
        <w:rPr>
          <w:rFonts w:hint="eastAsia" w:ascii="仿宋" w:hAnsi="仿宋" w:eastAsia="仿宋" w:cs="仿宋"/>
          <w:color w:val="000000"/>
          <w:kern w:val="0"/>
          <w:sz w:val="24"/>
          <w:szCs w:val="24"/>
          <w:lang w:val="en-US" w:eastAsia="zh-CN" w:bidi="ar-SA"/>
        </w:rPr>
        <w:t>针对市本级和各区县人社部门在日常社保业务经办过程中遇到的各类系统故障和业务需求进行预研判，排查问题根源，力争本地解决，若仍需省级开发商二次开发或数据维护，则汇总分析后跟踪处理进度，并及时反馈给业务部门。</w:t>
      </w:r>
    </w:p>
    <w:p>
      <w:pPr>
        <w:widowControl w:val="0"/>
        <w:autoSpaceDE w:val="0"/>
        <w:autoSpaceDN w:val="0"/>
        <w:adjustRightInd w:val="0"/>
        <w:spacing w:line="360" w:lineRule="auto"/>
        <w:ind w:firstLine="480" w:firstLineChars="200"/>
        <w:rPr>
          <w:rFonts w:hint="eastAsia" w:ascii="仿宋" w:hAnsi="仿宋" w:eastAsia="仿宋" w:cs="仿宋"/>
          <w:color w:val="000000"/>
          <w:kern w:val="0"/>
          <w:sz w:val="24"/>
          <w:szCs w:val="24"/>
          <w:lang w:val="en-US" w:eastAsia="zh-CN" w:bidi="ar-SA"/>
        </w:rPr>
      </w:pPr>
      <w:r>
        <w:rPr>
          <w:rFonts w:hint="eastAsia" w:ascii="仿宋" w:hAnsi="仿宋" w:eastAsia="仿宋" w:cs="仿宋"/>
          <w:color w:val="000000"/>
          <w:kern w:val="0"/>
          <w:sz w:val="24"/>
          <w:szCs w:val="24"/>
          <w:lang w:val="en-US" w:eastAsia="zh-CN" w:bidi="ar-SA"/>
        </w:rPr>
        <w:t>另针对各区县因本地政策原因而提出新增的业务需求，需主动对接市级部门，协助做好JIRA需求管理平台的信息提交。</w:t>
      </w:r>
    </w:p>
    <w:p>
      <w:pPr>
        <w:keepNext/>
        <w:keepLines/>
        <w:widowControl w:val="0"/>
        <w:numPr>
          <w:ilvl w:val="0"/>
          <w:numId w:val="11"/>
        </w:numPr>
        <w:tabs>
          <w:tab w:val="left" w:pos="425"/>
          <w:tab w:val="left" w:pos="709"/>
        </w:tabs>
        <w:spacing w:before="260" w:after="260" w:line="416" w:lineRule="auto"/>
        <w:ind w:left="840" w:hanging="440"/>
        <w:jc w:val="both"/>
        <w:outlineLvl w:val="2"/>
        <w:rPr>
          <w:rFonts w:hint="eastAsia" w:ascii="仿宋" w:hAnsi="仿宋" w:eastAsia="仿宋" w:cs="仿宋"/>
          <w:bCs/>
          <w:kern w:val="2"/>
          <w:sz w:val="24"/>
          <w:szCs w:val="24"/>
          <w:lang w:val="en-US" w:eastAsia="zh-CN" w:bidi="ar-SA"/>
        </w:rPr>
      </w:pPr>
      <w:r>
        <w:rPr>
          <w:rFonts w:hint="eastAsia" w:ascii="仿宋" w:hAnsi="仿宋" w:eastAsia="仿宋" w:cs="仿宋"/>
          <w:bCs/>
          <w:kern w:val="2"/>
          <w:sz w:val="24"/>
          <w:szCs w:val="24"/>
          <w:lang w:val="en-US" w:eastAsia="zh-CN" w:bidi="ar-SA"/>
        </w:rPr>
        <w:t>省系统历史数据问题处理技术支持</w:t>
      </w:r>
    </w:p>
    <w:p>
      <w:pPr>
        <w:widowControl w:val="0"/>
        <w:autoSpaceDE w:val="0"/>
        <w:autoSpaceDN w:val="0"/>
        <w:adjustRightInd w:val="0"/>
        <w:spacing w:line="360" w:lineRule="auto"/>
        <w:ind w:firstLine="480" w:firstLineChars="200"/>
        <w:rPr>
          <w:rFonts w:hint="eastAsia" w:ascii="仿宋" w:hAnsi="仿宋" w:eastAsia="仿宋" w:cs="仿宋"/>
          <w:color w:val="000000"/>
          <w:kern w:val="0"/>
          <w:sz w:val="24"/>
          <w:szCs w:val="24"/>
          <w:lang w:val="en-US" w:eastAsia="zh-CN" w:bidi="ar-SA"/>
        </w:rPr>
      </w:pPr>
      <w:r>
        <w:rPr>
          <w:rFonts w:hint="eastAsia" w:ascii="仿宋" w:hAnsi="仿宋" w:eastAsia="仿宋" w:cs="仿宋"/>
          <w:color w:val="000000"/>
          <w:kern w:val="0"/>
          <w:sz w:val="24"/>
          <w:szCs w:val="24"/>
          <w:lang w:val="en-US" w:eastAsia="zh-CN" w:bidi="ar-SA"/>
        </w:rPr>
        <w:t>在社保省集中业务经办过程中发现的历史数据问题，就原数据同步、转换代码等进行检查分析，确认数据问题原因，并修改问题数据对应的语句，主要包括城乡退休工人账户补迁数据、老工伤以及历史工伤认定鉴定信息补录以及迁移数据等。</w:t>
      </w:r>
      <w:bookmarkEnd w:id="8"/>
    </w:p>
    <w:p>
      <w:pPr>
        <w:keepNext/>
        <w:keepLines/>
        <w:widowControl w:val="0"/>
        <w:numPr>
          <w:ilvl w:val="0"/>
          <w:numId w:val="4"/>
        </w:numPr>
        <w:spacing w:before="340" w:after="330" w:line="578" w:lineRule="auto"/>
        <w:ind w:left="440" w:hanging="440"/>
        <w:jc w:val="both"/>
        <w:outlineLvl w:val="0"/>
        <w:rPr>
          <w:rFonts w:hint="eastAsia" w:ascii="仿宋" w:hAnsi="仿宋" w:eastAsia="仿宋" w:cs="仿宋"/>
          <w:b/>
          <w:bCs/>
          <w:kern w:val="44"/>
          <w:sz w:val="28"/>
          <w:szCs w:val="28"/>
          <w:lang w:val="en-US" w:eastAsia="zh-CN" w:bidi="ar-SA"/>
        </w:rPr>
      </w:pPr>
      <w:r>
        <w:rPr>
          <w:rFonts w:hint="eastAsia" w:ascii="仿宋" w:hAnsi="仿宋" w:eastAsia="仿宋" w:cs="仿宋"/>
          <w:b/>
          <w:bCs/>
          <w:kern w:val="44"/>
          <w:sz w:val="28"/>
          <w:szCs w:val="28"/>
          <w:lang w:val="en-US" w:eastAsia="zh-CN" w:bidi="ar-SA"/>
        </w:rPr>
        <w:t>项目要求</w:t>
      </w:r>
    </w:p>
    <w:p>
      <w:pPr>
        <w:keepNext/>
        <w:keepLines/>
        <w:widowControl w:val="0"/>
        <w:numPr>
          <w:ilvl w:val="0"/>
          <w:numId w:val="12"/>
        </w:numPr>
        <w:spacing w:before="260" w:after="260" w:line="416" w:lineRule="auto"/>
        <w:ind w:left="440" w:hanging="440"/>
        <w:jc w:val="both"/>
        <w:outlineLvl w:val="1"/>
        <w:rPr>
          <w:rFonts w:hint="eastAsia" w:ascii="仿宋" w:hAnsi="仿宋" w:eastAsia="仿宋" w:cs="仿宋"/>
          <w:b/>
          <w:bCs/>
          <w:kern w:val="2"/>
          <w:sz w:val="28"/>
          <w:szCs w:val="28"/>
          <w:lang w:val="en-US" w:eastAsia="zh-CN" w:bidi="ar-SA"/>
        </w:rPr>
      </w:pPr>
      <w:r>
        <w:rPr>
          <w:rFonts w:hint="eastAsia" w:ascii="仿宋" w:hAnsi="仿宋" w:eastAsia="仿宋" w:cs="仿宋"/>
          <w:b/>
          <w:bCs/>
          <w:kern w:val="2"/>
          <w:sz w:val="28"/>
          <w:szCs w:val="28"/>
          <w:lang w:val="en-US" w:eastAsia="zh-CN" w:bidi="ar-SA"/>
        </w:rPr>
        <w:t>服务期限</w:t>
      </w:r>
    </w:p>
    <w:p>
      <w:pPr>
        <w:widowControl w:val="0"/>
        <w:autoSpaceDE w:val="0"/>
        <w:autoSpaceDN w:val="0"/>
        <w:adjustRightInd w:val="0"/>
        <w:spacing w:line="360" w:lineRule="auto"/>
        <w:ind w:firstLine="480" w:firstLineChars="200"/>
        <w:rPr>
          <w:rFonts w:hint="eastAsia" w:ascii="仿宋" w:hAnsi="仿宋" w:eastAsia="仿宋" w:cs="仿宋"/>
          <w:color w:val="000000"/>
          <w:kern w:val="0"/>
          <w:sz w:val="24"/>
          <w:szCs w:val="24"/>
          <w:lang w:val="en-US" w:eastAsia="zh-CN" w:bidi="ar-SA"/>
        </w:rPr>
      </w:pPr>
      <w:r>
        <w:rPr>
          <w:rFonts w:hint="eastAsia" w:ascii="仿宋" w:hAnsi="仿宋" w:eastAsia="仿宋" w:cs="仿宋"/>
          <w:color w:val="000000"/>
          <w:kern w:val="0"/>
          <w:sz w:val="24"/>
          <w:szCs w:val="24"/>
          <w:lang w:val="en-US" w:eastAsia="zh-CN" w:bidi="ar-SA"/>
        </w:rPr>
        <w:t>本项目运维保障服务期为一年。</w:t>
      </w:r>
    </w:p>
    <w:p>
      <w:pPr>
        <w:keepNext/>
        <w:keepLines/>
        <w:widowControl w:val="0"/>
        <w:numPr>
          <w:ilvl w:val="0"/>
          <w:numId w:val="12"/>
        </w:numPr>
        <w:spacing w:before="260" w:after="260" w:line="416" w:lineRule="auto"/>
        <w:ind w:left="440" w:hanging="440"/>
        <w:jc w:val="both"/>
        <w:outlineLvl w:val="1"/>
        <w:rPr>
          <w:rFonts w:hint="eastAsia" w:ascii="仿宋" w:hAnsi="仿宋" w:eastAsia="仿宋" w:cs="仿宋"/>
          <w:b/>
          <w:bCs/>
          <w:kern w:val="2"/>
          <w:sz w:val="28"/>
          <w:szCs w:val="28"/>
          <w:lang w:val="en-US" w:eastAsia="zh-CN" w:bidi="ar-SA"/>
        </w:rPr>
      </w:pPr>
      <w:r>
        <w:rPr>
          <w:rFonts w:hint="eastAsia" w:ascii="仿宋" w:hAnsi="仿宋" w:eastAsia="仿宋" w:cs="仿宋"/>
          <w:b/>
          <w:bCs/>
          <w:kern w:val="2"/>
          <w:sz w:val="28"/>
          <w:szCs w:val="28"/>
          <w:lang w:val="en-US" w:eastAsia="zh-CN" w:bidi="ar-SA"/>
        </w:rPr>
        <w:t>驻场支持</w:t>
      </w:r>
    </w:p>
    <w:p>
      <w:pPr>
        <w:widowControl w:val="0"/>
        <w:autoSpaceDE w:val="0"/>
        <w:autoSpaceDN w:val="0"/>
        <w:adjustRightInd w:val="0"/>
        <w:spacing w:line="360" w:lineRule="auto"/>
        <w:ind w:firstLine="480" w:firstLineChars="200"/>
        <w:rPr>
          <w:rFonts w:hint="eastAsia" w:ascii="仿宋" w:hAnsi="仿宋" w:eastAsia="仿宋" w:cs="仿宋"/>
          <w:color w:val="000000"/>
          <w:kern w:val="0"/>
          <w:sz w:val="24"/>
          <w:szCs w:val="24"/>
          <w:lang w:val="en-US" w:eastAsia="zh-CN" w:bidi="ar-SA"/>
        </w:rPr>
      </w:pPr>
      <w:r>
        <w:rPr>
          <w:rFonts w:hint="eastAsia" w:ascii="仿宋" w:hAnsi="仿宋" w:eastAsia="仿宋" w:cs="仿宋"/>
          <w:color w:val="000000"/>
          <w:kern w:val="0"/>
          <w:sz w:val="24"/>
          <w:szCs w:val="24"/>
          <w:lang w:val="en-US" w:eastAsia="zh-CN" w:bidi="ar-SA"/>
        </w:rPr>
        <w:t>成交供应商须至少委派3名熟悉湖州本地系统的资深工程师常驻现场服务，专项负责对应核心应用系统的迭代升级和运维保障工作。项目组服务人员应具备相应技术能力水平，所产生的费用由成交供应商支付。</w:t>
      </w:r>
    </w:p>
    <w:p>
      <w:pPr>
        <w:keepNext/>
        <w:keepLines/>
        <w:widowControl w:val="0"/>
        <w:numPr>
          <w:ilvl w:val="0"/>
          <w:numId w:val="12"/>
        </w:numPr>
        <w:spacing w:before="260" w:after="260" w:line="416" w:lineRule="auto"/>
        <w:ind w:left="440" w:hanging="440"/>
        <w:jc w:val="both"/>
        <w:outlineLvl w:val="1"/>
        <w:rPr>
          <w:rFonts w:hint="eastAsia" w:ascii="仿宋" w:hAnsi="仿宋" w:eastAsia="仿宋" w:cs="仿宋"/>
          <w:b/>
          <w:bCs/>
          <w:kern w:val="2"/>
          <w:sz w:val="28"/>
          <w:szCs w:val="28"/>
          <w:lang w:val="en-US" w:eastAsia="zh-CN" w:bidi="ar-SA"/>
        </w:rPr>
      </w:pPr>
      <w:r>
        <w:rPr>
          <w:rFonts w:hint="eastAsia" w:ascii="仿宋" w:hAnsi="仿宋" w:eastAsia="仿宋" w:cs="仿宋"/>
          <w:b/>
          <w:bCs/>
          <w:kern w:val="2"/>
          <w:sz w:val="28"/>
          <w:szCs w:val="28"/>
          <w:lang w:val="en-US" w:eastAsia="zh-CN" w:bidi="ar-SA"/>
        </w:rPr>
        <w:t>安全保密</w:t>
      </w:r>
    </w:p>
    <w:p>
      <w:pPr>
        <w:widowControl w:val="0"/>
        <w:autoSpaceDE w:val="0"/>
        <w:autoSpaceDN w:val="0"/>
        <w:adjustRightInd w:val="0"/>
        <w:spacing w:line="360" w:lineRule="auto"/>
        <w:ind w:firstLine="480" w:firstLineChars="200"/>
        <w:rPr>
          <w:rFonts w:hint="eastAsia" w:ascii="仿宋" w:hAnsi="仿宋" w:eastAsia="仿宋" w:cs="仿宋"/>
          <w:color w:val="000000"/>
          <w:kern w:val="0"/>
          <w:sz w:val="24"/>
          <w:szCs w:val="24"/>
          <w:lang w:val="en-US" w:eastAsia="zh-CN" w:bidi="ar-SA"/>
        </w:rPr>
      </w:pPr>
      <w:r>
        <w:rPr>
          <w:rFonts w:hint="eastAsia" w:ascii="仿宋" w:hAnsi="仿宋" w:eastAsia="仿宋" w:cs="仿宋"/>
          <w:color w:val="000000"/>
          <w:kern w:val="0"/>
          <w:sz w:val="24"/>
          <w:szCs w:val="24"/>
          <w:lang w:val="en-US" w:eastAsia="zh-CN" w:bidi="ar-SA"/>
        </w:rPr>
        <w:t>成交供应商须加强数据安全保密工作，运维保障人员需签订数据安全保密协议，确因成交人原因造成采购人数据泄露、丢失等损失的，依法追求成交供应商责任。</w:t>
      </w:r>
    </w:p>
    <w:p>
      <w:pPr>
        <w:keepNext/>
        <w:keepLines/>
        <w:widowControl w:val="0"/>
        <w:numPr>
          <w:ilvl w:val="0"/>
          <w:numId w:val="12"/>
        </w:numPr>
        <w:spacing w:before="260" w:after="260" w:line="416" w:lineRule="auto"/>
        <w:ind w:left="440" w:hanging="440"/>
        <w:jc w:val="both"/>
        <w:outlineLvl w:val="1"/>
        <w:rPr>
          <w:rFonts w:hint="eastAsia" w:ascii="仿宋" w:hAnsi="仿宋" w:eastAsia="仿宋" w:cs="仿宋"/>
          <w:b/>
          <w:bCs/>
          <w:kern w:val="2"/>
          <w:sz w:val="28"/>
          <w:szCs w:val="28"/>
          <w:lang w:val="en-US" w:eastAsia="zh-CN" w:bidi="ar-SA"/>
        </w:rPr>
      </w:pPr>
      <w:r>
        <w:rPr>
          <w:rFonts w:hint="eastAsia" w:ascii="仿宋" w:hAnsi="仿宋" w:eastAsia="仿宋" w:cs="仿宋"/>
          <w:b/>
          <w:bCs/>
          <w:kern w:val="2"/>
          <w:sz w:val="28"/>
          <w:szCs w:val="28"/>
          <w:lang w:val="en-US" w:eastAsia="zh-CN" w:bidi="ar-SA"/>
        </w:rPr>
        <w:t>技术保障</w:t>
      </w:r>
    </w:p>
    <w:p>
      <w:pPr>
        <w:widowControl w:val="0"/>
        <w:autoSpaceDE w:val="0"/>
        <w:autoSpaceDN w:val="0"/>
        <w:adjustRightInd w:val="0"/>
        <w:spacing w:line="360" w:lineRule="auto"/>
        <w:ind w:firstLine="480" w:firstLineChars="200"/>
        <w:rPr>
          <w:rFonts w:hint="eastAsia" w:ascii="仿宋" w:hAnsi="仿宋" w:eastAsia="仿宋" w:cs="仿宋"/>
          <w:color w:val="000000"/>
          <w:kern w:val="0"/>
          <w:sz w:val="24"/>
          <w:szCs w:val="24"/>
          <w:lang w:val="en-US" w:eastAsia="zh-CN" w:bidi="ar-SA"/>
        </w:rPr>
      </w:pPr>
      <w:r>
        <w:rPr>
          <w:rFonts w:hint="eastAsia" w:ascii="仿宋" w:hAnsi="仿宋" w:eastAsia="仿宋" w:cs="仿宋"/>
          <w:color w:val="000000"/>
          <w:kern w:val="0"/>
          <w:sz w:val="24"/>
          <w:szCs w:val="24"/>
          <w:lang w:val="en-US" w:eastAsia="zh-CN" w:bidi="ar-SA"/>
        </w:rPr>
        <w:t>运维维护期内，成交供应商须提供 7*24 小时热线电话或电子邮件服务，对采购人提出的系统问题、发现的程序错误等，在最短的时间内予以响应，1小时内做出明确安排并做出故障诊断报告。若驻场人员不能有效解决问题的，具有解决故障能力的工程师应在4小时内到达现场提供支持。</w:t>
      </w:r>
    </w:p>
    <w:p>
      <w:pPr>
        <w:keepNext/>
        <w:keepLines/>
        <w:widowControl w:val="0"/>
        <w:numPr>
          <w:ilvl w:val="0"/>
          <w:numId w:val="12"/>
        </w:numPr>
        <w:spacing w:before="260" w:after="260" w:line="416" w:lineRule="auto"/>
        <w:ind w:left="440" w:hanging="440"/>
        <w:jc w:val="both"/>
        <w:outlineLvl w:val="1"/>
        <w:rPr>
          <w:rFonts w:hint="eastAsia" w:ascii="仿宋" w:hAnsi="仿宋" w:eastAsia="仿宋" w:cs="仿宋"/>
          <w:b/>
          <w:bCs/>
          <w:kern w:val="2"/>
          <w:sz w:val="28"/>
          <w:szCs w:val="28"/>
          <w:lang w:val="en-US" w:eastAsia="zh-CN" w:bidi="ar-SA"/>
        </w:rPr>
      </w:pPr>
      <w:r>
        <w:rPr>
          <w:rFonts w:hint="eastAsia" w:ascii="仿宋" w:hAnsi="仿宋" w:eastAsia="仿宋" w:cs="仿宋"/>
          <w:b/>
          <w:bCs/>
          <w:kern w:val="2"/>
          <w:sz w:val="28"/>
          <w:szCs w:val="28"/>
          <w:lang w:val="en-US" w:eastAsia="zh-CN" w:bidi="ar-SA"/>
        </w:rPr>
        <w:t>技术培训</w:t>
      </w:r>
    </w:p>
    <w:p>
      <w:pPr>
        <w:widowControl w:val="0"/>
        <w:autoSpaceDE w:val="0"/>
        <w:autoSpaceDN w:val="0"/>
        <w:adjustRightInd w:val="0"/>
        <w:spacing w:line="360" w:lineRule="auto"/>
        <w:ind w:firstLine="480" w:firstLineChars="200"/>
        <w:rPr>
          <w:rFonts w:hint="eastAsia" w:ascii="仿宋" w:hAnsi="仿宋" w:eastAsia="仿宋" w:cs="仿宋"/>
          <w:color w:val="000000"/>
          <w:kern w:val="0"/>
          <w:sz w:val="24"/>
          <w:szCs w:val="24"/>
          <w:lang w:val="en-US" w:eastAsia="zh-CN" w:bidi="ar-SA"/>
        </w:rPr>
      </w:pPr>
      <w:r>
        <w:rPr>
          <w:rFonts w:hint="eastAsia" w:ascii="仿宋" w:hAnsi="仿宋" w:eastAsia="仿宋" w:cs="仿宋"/>
          <w:color w:val="000000"/>
          <w:kern w:val="0"/>
          <w:sz w:val="24"/>
          <w:szCs w:val="24"/>
          <w:lang w:val="en-US" w:eastAsia="zh-CN" w:bidi="ar-SA"/>
        </w:rPr>
        <w:t>成交供应商须负责对采购人的技术人员进行培训。供应商须在响应文件中提供详细的培训计划，包括培训内容、培训时间、培训费用等。技术培训费用应包含在投标总价。</w:t>
      </w:r>
    </w:p>
    <w:p>
      <w:pPr>
        <w:keepNext/>
        <w:keepLines/>
        <w:widowControl w:val="0"/>
        <w:numPr>
          <w:ilvl w:val="0"/>
          <w:numId w:val="12"/>
        </w:numPr>
        <w:spacing w:before="260" w:after="260" w:line="416" w:lineRule="auto"/>
        <w:ind w:left="440" w:hanging="440"/>
        <w:jc w:val="both"/>
        <w:outlineLvl w:val="1"/>
        <w:rPr>
          <w:rFonts w:hint="eastAsia" w:ascii="仿宋" w:hAnsi="仿宋" w:eastAsia="仿宋" w:cs="仿宋"/>
          <w:b/>
          <w:bCs/>
          <w:kern w:val="2"/>
          <w:sz w:val="28"/>
          <w:szCs w:val="28"/>
          <w:lang w:val="en-US" w:eastAsia="zh-CN" w:bidi="ar-SA"/>
        </w:rPr>
      </w:pPr>
      <w:r>
        <w:rPr>
          <w:rFonts w:hint="eastAsia" w:ascii="仿宋" w:hAnsi="仿宋" w:eastAsia="仿宋" w:cs="仿宋"/>
          <w:b/>
          <w:bCs/>
          <w:kern w:val="2"/>
          <w:sz w:val="28"/>
          <w:szCs w:val="28"/>
          <w:lang w:val="en-US" w:eastAsia="zh-CN" w:bidi="ar-SA"/>
        </w:rPr>
        <w:t>项目验收</w:t>
      </w:r>
    </w:p>
    <w:p>
      <w:pPr>
        <w:widowControl w:val="0"/>
        <w:tabs>
          <w:tab w:val="right" w:leader="dot" w:pos="8494"/>
        </w:tabs>
        <w:ind w:firstLine="480"/>
        <w:jc w:val="both"/>
        <w:rPr>
          <w:rFonts w:hint="eastAsia" w:ascii="仿宋" w:hAnsi="仿宋" w:eastAsia="仿宋" w:cs="仿宋"/>
          <w:color w:val="000000"/>
          <w:kern w:val="0"/>
          <w:sz w:val="24"/>
          <w:szCs w:val="24"/>
          <w:lang w:val="en-US" w:eastAsia="zh-CN" w:bidi="ar-SA"/>
        </w:rPr>
      </w:pPr>
      <w:r>
        <w:rPr>
          <w:rFonts w:hint="eastAsia" w:ascii="仿宋" w:hAnsi="仿宋" w:eastAsia="仿宋" w:cs="仿宋"/>
          <w:color w:val="000000"/>
          <w:kern w:val="0"/>
          <w:sz w:val="24"/>
          <w:szCs w:val="24"/>
          <w:lang w:val="en-US" w:eastAsia="zh-CN" w:bidi="ar-SA"/>
        </w:rPr>
        <w:t>本项目服务期满，由采购人组织专家进行验收，有关费用由成交人承担。</w:t>
      </w:r>
    </w:p>
    <w:p>
      <w:pPr>
        <w:keepNext/>
        <w:keepLines/>
        <w:widowControl w:val="0"/>
        <w:numPr>
          <w:ilvl w:val="0"/>
          <w:numId w:val="4"/>
        </w:numPr>
        <w:spacing w:before="340" w:after="330" w:line="578" w:lineRule="auto"/>
        <w:ind w:left="440" w:hanging="440"/>
        <w:jc w:val="both"/>
        <w:outlineLvl w:val="0"/>
        <w:rPr>
          <w:rFonts w:hint="default" w:ascii="仿宋" w:hAnsi="仿宋" w:eastAsia="仿宋" w:cs="仿宋"/>
          <w:b/>
          <w:bCs/>
          <w:kern w:val="44"/>
          <w:sz w:val="28"/>
          <w:szCs w:val="28"/>
          <w:lang w:val="en-US" w:eastAsia="zh-CN" w:bidi="ar-SA"/>
        </w:rPr>
      </w:pPr>
      <w:r>
        <w:rPr>
          <w:rFonts w:hint="eastAsia" w:ascii="仿宋" w:hAnsi="仿宋" w:eastAsia="仿宋" w:cs="仿宋"/>
          <w:b/>
          <w:bCs/>
          <w:kern w:val="44"/>
          <w:sz w:val="28"/>
          <w:szCs w:val="28"/>
          <w:lang w:val="en-US" w:eastAsia="zh-CN" w:bidi="ar-SA"/>
        </w:rPr>
        <w:t>商务要求</w:t>
      </w:r>
    </w:p>
    <w:tbl>
      <w:tblPr>
        <w:tblStyle w:val="26"/>
        <w:tblW w:w="9151" w:type="dxa"/>
        <w:tblInd w:w="0" w:type="dxa"/>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
      <w:tblGrid>
        <w:gridCol w:w="2010"/>
        <w:gridCol w:w="7141"/>
      </w:tblGrid>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PrEx>
        <w:trPr>
          <w:trHeight w:val="752" w:hRule="atLeast"/>
        </w:trPr>
        <w:tc>
          <w:tcPr>
            <w:tcW w:w="2010" w:type="dxa"/>
            <w:tcBorders>
              <w:tl2br w:val="nil"/>
              <w:tr2bl w:val="nil"/>
            </w:tcBorders>
            <w:noWrap w:val="0"/>
            <w:vAlign w:val="center"/>
          </w:tcPr>
          <w:p>
            <w:pPr>
              <w:keepNext w:val="0"/>
              <w:keepLines w:val="0"/>
              <w:suppressLineNumbers w:val="0"/>
              <w:tabs>
                <w:tab w:val="left" w:pos="0"/>
              </w:tabs>
              <w:spacing w:before="0" w:beforeAutospacing="0" w:after="0" w:afterAutospacing="0" w:line="360" w:lineRule="auto"/>
              <w:ind w:left="0" w:right="0"/>
              <w:jc w:val="center"/>
              <w:rPr>
                <w:rFonts w:hint="default" w:ascii="仿宋" w:hAnsi="仿宋" w:eastAsia="仿宋" w:cs="仿宋"/>
                <w:b/>
                <w:bCs/>
                <w:sz w:val="24"/>
                <w:highlight w:val="none"/>
              </w:rPr>
            </w:pPr>
            <w:r>
              <w:rPr>
                <w:rFonts w:hint="eastAsia" w:ascii="仿宋" w:hAnsi="仿宋" w:eastAsia="仿宋" w:cs="仿宋"/>
                <w:b/>
                <w:bCs/>
                <w:sz w:val="24"/>
                <w:highlight w:val="none"/>
              </w:rPr>
              <w:t>服务期</w:t>
            </w:r>
          </w:p>
        </w:tc>
        <w:tc>
          <w:tcPr>
            <w:tcW w:w="7141" w:type="dxa"/>
            <w:tcBorders>
              <w:tl2br w:val="nil"/>
              <w:tr2bl w:val="nil"/>
            </w:tcBorders>
            <w:noWrap w:val="0"/>
            <w:vAlign w:val="center"/>
          </w:tcPr>
          <w:p>
            <w:pPr>
              <w:keepNext w:val="0"/>
              <w:keepLines w:val="0"/>
              <w:suppressLineNumbers w:val="0"/>
              <w:tabs>
                <w:tab w:val="left" w:pos="0"/>
              </w:tabs>
              <w:spacing w:before="0" w:beforeAutospacing="0" w:after="0" w:afterAutospacing="0" w:line="360" w:lineRule="auto"/>
              <w:ind w:left="0" w:right="0"/>
              <w:rPr>
                <w:rFonts w:hint="default" w:ascii="仿宋" w:hAnsi="仿宋" w:eastAsia="仿宋" w:cs="仿宋"/>
                <w:sz w:val="24"/>
                <w:highlight w:val="none"/>
                <w:lang w:val="en-US" w:eastAsia="zh-CN"/>
              </w:rPr>
            </w:pPr>
            <w:r>
              <w:rPr>
                <w:rFonts w:hint="eastAsia" w:ascii="仿宋" w:hAnsi="仿宋" w:eastAsia="仿宋" w:cs="仿宋"/>
                <w:sz w:val="24"/>
                <w:highlight w:val="none"/>
                <w:lang w:val="en-US" w:eastAsia="zh-CN"/>
              </w:rPr>
              <w:t>一年</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774" w:hRule="atLeast"/>
        </w:trPr>
        <w:tc>
          <w:tcPr>
            <w:tcW w:w="2010" w:type="dxa"/>
            <w:tcBorders>
              <w:tl2br w:val="nil"/>
              <w:tr2bl w:val="nil"/>
            </w:tcBorders>
            <w:noWrap w:val="0"/>
            <w:vAlign w:val="center"/>
          </w:tcPr>
          <w:p>
            <w:pPr>
              <w:keepNext w:val="0"/>
              <w:keepLines w:val="0"/>
              <w:suppressLineNumbers w:val="0"/>
              <w:tabs>
                <w:tab w:val="left" w:pos="0"/>
              </w:tabs>
              <w:spacing w:before="0" w:beforeAutospacing="0" w:after="0" w:afterAutospacing="0" w:line="360" w:lineRule="auto"/>
              <w:ind w:left="0" w:right="0"/>
              <w:jc w:val="center"/>
              <w:rPr>
                <w:rFonts w:hint="default" w:ascii="仿宋" w:hAnsi="仿宋" w:eastAsia="仿宋" w:cs="仿宋"/>
                <w:b/>
                <w:bCs/>
                <w:sz w:val="24"/>
                <w:highlight w:val="none"/>
              </w:rPr>
            </w:pPr>
            <w:r>
              <w:rPr>
                <w:rFonts w:hint="eastAsia" w:ascii="仿宋" w:hAnsi="仿宋" w:eastAsia="仿宋" w:cs="仿宋"/>
                <w:b/>
                <w:bCs/>
                <w:sz w:val="24"/>
                <w:highlight w:val="none"/>
              </w:rPr>
              <w:t>服务地点</w:t>
            </w:r>
          </w:p>
        </w:tc>
        <w:tc>
          <w:tcPr>
            <w:tcW w:w="7141" w:type="dxa"/>
            <w:tcBorders>
              <w:tl2br w:val="nil"/>
              <w:tr2bl w:val="nil"/>
            </w:tcBorders>
            <w:noWrap w:val="0"/>
            <w:vAlign w:val="center"/>
          </w:tcPr>
          <w:p>
            <w:pPr>
              <w:keepNext w:val="0"/>
              <w:keepLines w:val="0"/>
              <w:suppressLineNumbers w:val="0"/>
              <w:tabs>
                <w:tab w:val="left" w:pos="0"/>
                <w:tab w:val="left" w:pos="360"/>
              </w:tabs>
              <w:spacing w:before="0" w:beforeAutospacing="0" w:after="0" w:afterAutospacing="0" w:line="360" w:lineRule="auto"/>
              <w:ind w:left="0" w:right="0"/>
              <w:rPr>
                <w:rFonts w:hint="default" w:ascii="仿宋" w:hAnsi="仿宋" w:eastAsia="仿宋" w:cs="仿宋"/>
                <w:sz w:val="24"/>
                <w:highlight w:val="none"/>
              </w:rPr>
            </w:pPr>
            <w:r>
              <w:rPr>
                <w:rFonts w:hint="eastAsia" w:ascii="仿宋" w:hAnsi="仿宋" w:eastAsia="仿宋" w:cs="仿宋"/>
                <w:sz w:val="24"/>
                <w:highlight w:val="none"/>
              </w:rPr>
              <w:t>由采购人指定</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1098" w:hRule="atLeast"/>
        </w:trPr>
        <w:tc>
          <w:tcPr>
            <w:tcW w:w="2010" w:type="dxa"/>
            <w:tcBorders>
              <w:tl2br w:val="nil"/>
              <w:tr2bl w:val="nil"/>
            </w:tcBorders>
            <w:noWrap w:val="0"/>
            <w:vAlign w:val="center"/>
          </w:tcPr>
          <w:p>
            <w:pPr>
              <w:keepNext w:val="0"/>
              <w:keepLines w:val="0"/>
              <w:suppressLineNumbers w:val="0"/>
              <w:tabs>
                <w:tab w:val="left" w:pos="0"/>
              </w:tabs>
              <w:spacing w:before="0" w:beforeAutospacing="0" w:after="0" w:afterAutospacing="0" w:line="360" w:lineRule="auto"/>
              <w:ind w:left="0" w:right="0"/>
              <w:jc w:val="center"/>
              <w:rPr>
                <w:rFonts w:hint="default" w:ascii="仿宋" w:hAnsi="仿宋" w:eastAsia="仿宋" w:cs="仿宋"/>
                <w:b/>
                <w:bCs/>
                <w:sz w:val="24"/>
                <w:highlight w:val="none"/>
              </w:rPr>
            </w:pPr>
            <w:r>
              <w:rPr>
                <w:rFonts w:hint="eastAsia" w:ascii="仿宋" w:hAnsi="仿宋" w:eastAsia="仿宋" w:cs="仿宋"/>
                <w:b/>
                <w:bCs/>
                <w:sz w:val="24"/>
                <w:highlight w:val="none"/>
              </w:rPr>
              <w:t>付款方式</w:t>
            </w:r>
          </w:p>
        </w:tc>
        <w:tc>
          <w:tcPr>
            <w:tcW w:w="7141"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400" w:lineRule="exact"/>
              <w:ind w:left="0" w:right="0"/>
              <w:jc w:val="both"/>
              <w:textAlignment w:val="auto"/>
              <w:rPr>
                <w:rFonts w:hint="eastAsia" w:ascii="仿宋" w:hAnsi="仿宋" w:eastAsia="仿宋" w:cs="仿宋"/>
                <w:bCs/>
                <w:color w:val="auto"/>
                <w:sz w:val="24"/>
                <w:szCs w:val="24"/>
                <w:highlight w:val="none"/>
                <w:lang w:val="en-US"/>
              </w:rPr>
            </w:pPr>
            <w:r>
              <w:rPr>
                <w:rFonts w:hint="eastAsia" w:ascii="仿宋" w:hAnsi="仿宋" w:eastAsia="仿宋" w:cs="仿宋"/>
                <w:b/>
                <w:bCs/>
                <w:color w:val="auto"/>
                <w:kern w:val="0"/>
                <w:sz w:val="24"/>
                <w:szCs w:val="24"/>
                <w:highlight w:val="none"/>
                <w:lang w:val="en-US" w:eastAsia="zh-CN" w:bidi="ar"/>
              </w:rPr>
              <w:t xml:space="preserve">根据《保障中小企业款项支付条例》、省财政厅《关于进一步发挥政府采购政策功能全力推动经济稳进提质的通知》（浙财采监【2022】3号）要求，制定如下付款方式： </w:t>
            </w:r>
          </w:p>
          <w:p>
            <w:pPr>
              <w:keepNext w:val="0"/>
              <w:keepLines w:val="0"/>
              <w:suppressLineNumbers w:val="0"/>
              <w:tabs>
                <w:tab w:val="left" w:pos="0"/>
              </w:tabs>
              <w:spacing w:before="0" w:beforeAutospacing="0" w:after="0" w:afterAutospacing="0" w:line="360" w:lineRule="auto"/>
              <w:ind w:left="0" w:right="0"/>
              <w:rPr>
                <w:rFonts w:hint="default" w:ascii="仿宋" w:hAnsi="仿宋" w:eastAsia="仿宋" w:cs="仿宋"/>
                <w:bCs/>
                <w:sz w:val="24"/>
                <w:highlight w:val="none"/>
              </w:rPr>
            </w:pPr>
            <w:r>
              <w:rPr>
                <w:rFonts w:hint="eastAsia" w:ascii="仿宋" w:hAnsi="仿宋" w:eastAsia="仿宋" w:cs="仿宋"/>
                <w:bCs/>
                <w:sz w:val="24"/>
                <w:highlight w:val="none"/>
              </w:rPr>
              <w:t>1、合同生效及具备实施条件后7个工作日支付合同款项的50%</w:t>
            </w:r>
            <w:r>
              <w:rPr>
                <w:rFonts w:hint="eastAsia" w:ascii="仿宋" w:hAnsi="仿宋" w:eastAsia="仿宋" w:cs="仿宋"/>
                <w:bCs/>
                <w:sz w:val="24"/>
                <w:highlight w:val="none"/>
                <w:lang w:eastAsia="zh-CN"/>
              </w:rPr>
              <w:t>，</w:t>
            </w:r>
            <w:r>
              <w:rPr>
                <w:rFonts w:hint="eastAsia" w:ascii="仿宋" w:hAnsi="仿宋" w:eastAsia="仿宋" w:cs="仿宋"/>
                <w:bCs/>
                <w:sz w:val="24"/>
                <w:highlight w:val="none"/>
                <w:lang w:val="en-US" w:eastAsia="zh-CN"/>
              </w:rPr>
              <w:t>作为预付款</w:t>
            </w:r>
            <w:r>
              <w:rPr>
                <w:rFonts w:hint="eastAsia" w:ascii="仿宋" w:hAnsi="仿宋" w:eastAsia="仿宋" w:cs="仿宋"/>
                <w:bCs/>
                <w:sz w:val="24"/>
                <w:highlight w:val="none"/>
              </w:rPr>
              <w:t>；运维期结束后经验收合格，支付至合同款项的100%。</w:t>
            </w:r>
          </w:p>
          <w:p>
            <w:pPr>
              <w:keepNext w:val="0"/>
              <w:keepLines w:val="0"/>
              <w:suppressLineNumbers w:val="0"/>
              <w:tabs>
                <w:tab w:val="left" w:pos="0"/>
              </w:tabs>
              <w:spacing w:before="0" w:beforeAutospacing="0" w:after="0" w:afterAutospacing="0" w:line="360" w:lineRule="auto"/>
              <w:ind w:left="0" w:right="0"/>
              <w:rPr>
                <w:rFonts w:hint="default" w:ascii="仿宋" w:hAnsi="仿宋" w:eastAsia="仿宋" w:cs="仿宋"/>
                <w:bCs/>
                <w:sz w:val="24"/>
                <w:highlight w:val="none"/>
              </w:rPr>
            </w:pPr>
            <w:r>
              <w:rPr>
                <w:rFonts w:hint="eastAsia" w:ascii="仿宋" w:hAnsi="仿宋" w:eastAsia="仿宋" w:cs="仿宋"/>
                <w:bCs/>
                <w:sz w:val="24"/>
                <w:highlight w:val="none"/>
              </w:rPr>
              <w:t>2、中标人在结算合同价款时须提供合法税务发票。</w:t>
            </w:r>
          </w:p>
        </w:tc>
      </w:tr>
    </w:tbl>
    <w:p>
      <w:pPr>
        <w:widowControl/>
        <w:spacing w:line="440" w:lineRule="exact"/>
        <w:ind w:right="60"/>
        <w:jc w:val="both"/>
        <w:outlineLvl w:val="0"/>
        <w:rPr>
          <w:rFonts w:hint="eastAsia" w:ascii="仿宋" w:hAnsi="仿宋" w:eastAsia="仿宋" w:cs="仿宋"/>
          <w:b/>
          <w:bCs/>
          <w:color w:val="auto"/>
          <w:kern w:val="44"/>
          <w:sz w:val="36"/>
          <w:szCs w:val="36"/>
          <w:highlight w:val="none"/>
          <w:lang w:val="en-US" w:eastAsia="zh-CN" w:bidi="ar-SA"/>
        </w:rPr>
      </w:pPr>
    </w:p>
    <w:p>
      <w:pPr>
        <w:widowControl/>
        <w:spacing w:line="440" w:lineRule="exact"/>
        <w:ind w:right="60"/>
        <w:jc w:val="center"/>
        <w:outlineLvl w:val="0"/>
        <w:rPr>
          <w:rFonts w:hint="eastAsia" w:ascii="仿宋" w:hAnsi="仿宋" w:eastAsia="仿宋" w:cs="仿宋"/>
          <w:b/>
          <w:bCs/>
          <w:color w:val="auto"/>
          <w:kern w:val="44"/>
          <w:sz w:val="36"/>
          <w:szCs w:val="36"/>
          <w:highlight w:val="none"/>
          <w:lang w:val="en-US" w:eastAsia="zh-CN" w:bidi="ar-SA"/>
        </w:rPr>
      </w:pPr>
    </w:p>
    <w:p>
      <w:pPr>
        <w:widowControl/>
        <w:spacing w:line="440" w:lineRule="exact"/>
        <w:ind w:right="60"/>
        <w:jc w:val="center"/>
        <w:outlineLvl w:val="0"/>
        <w:rPr>
          <w:rFonts w:hint="eastAsia" w:ascii="仿宋" w:hAnsi="仿宋" w:eastAsia="仿宋" w:cs="仿宋"/>
          <w:b/>
          <w:bCs/>
          <w:color w:val="auto"/>
          <w:kern w:val="44"/>
          <w:sz w:val="36"/>
          <w:szCs w:val="36"/>
          <w:highlight w:val="none"/>
          <w:lang w:val="en-US" w:eastAsia="zh-CN" w:bidi="ar-SA"/>
        </w:rPr>
      </w:pPr>
    </w:p>
    <w:p>
      <w:pPr>
        <w:widowControl/>
        <w:spacing w:line="440" w:lineRule="exact"/>
        <w:ind w:right="60"/>
        <w:jc w:val="center"/>
        <w:outlineLvl w:val="0"/>
        <w:rPr>
          <w:rFonts w:hint="eastAsia" w:ascii="仿宋" w:hAnsi="仿宋" w:eastAsia="仿宋" w:cs="仿宋"/>
          <w:b/>
          <w:bCs/>
          <w:color w:val="auto"/>
          <w:kern w:val="44"/>
          <w:sz w:val="36"/>
          <w:szCs w:val="36"/>
          <w:highlight w:val="none"/>
          <w:lang w:val="en-US" w:eastAsia="zh-CN" w:bidi="ar-SA"/>
        </w:rPr>
      </w:pPr>
    </w:p>
    <w:p>
      <w:pPr>
        <w:widowControl/>
        <w:spacing w:line="440" w:lineRule="exact"/>
        <w:ind w:right="60"/>
        <w:jc w:val="center"/>
        <w:outlineLvl w:val="0"/>
        <w:rPr>
          <w:rFonts w:hint="eastAsia" w:ascii="仿宋" w:hAnsi="仿宋" w:eastAsia="仿宋" w:cs="仿宋"/>
          <w:b/>
          <w:bCs/>
          <w:color w:val="auto"/>
          <w:kern w:val="44"/>
          <w:sz w:val="36"/>
          <w:szCs w:val="36"/>
          <w:highlight w:val="none"/>
          <w:lang w:val="en-US" w:eastAsia="zh-CN" w:bidi="ar-SA"/>
        </w:rPr>
      </w:pPr>
    </w:p>
    <w:p>
      <w:pPr>
        <w:widowControl/>
        <w:spacing w:line="440" w:lineRule="exact"/>
        <w:ind w:right="60"/>
        <w:jc w:val="center"/>
        <w:outlineLvl w:val="0"/>
        <w:rPr>
          <w:rFonts w:hint="eastAsia" w:ascii="仿宋" w:hAnsi="仿宋" w:eastAsia="仿宋" w:cs="仿宋"/>
          <w:b/>
          <w:bCs/>
          <w:color w:val="auto"/>
          <w:kern w:val="44"/>
          <w:sz w:val="36"/>
          <w:szCs w:val="36"/>
          <w:highlight w:val="none"/>
          <w:lang w:val="en-US" w:eastAsia="zh-CN" w:bidi="ar-SA"/>
        </w:rPr>
      </w:pPr>
      <w:r>
        <w:rPr>
          <w:rFonts w:hint="eastAsia" w:ascii="仿宋" w:hAnsi="仿宋" w:eastAsia="仿宋" w:cs="仿宋"/>
          <w:b/>
          <w:bCs/>
          <w:color w:val="auto"/>
          <w:kern w:val="44"/>
          <w:sz w:val="36"/>
          <w:szCs w:val="36"/>
          <w:highlight w:val="none"/>
          <w:lang w:val="en-US" w:eastAsia="zh-CN" w:bidi="ar-SA"/>
        </w:rPr>
        <w:t>第三章  供应商须知</w:t>
      </w:r>
    </w:p>
    <w:p>
      <w:pPr>
        <w:pStyle w:val="3"/>
        <w:spacing w:line="440" w:lineRule="exact"/>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前 附 表</w:t>
      </w:r>
      <w:bookmarkEnd w:id="5"/>
    </w:p>
    <w:tbl>
      <w:tblPr>
        <w:tblStyle w:val="26"/>
        <w:tblW w:w="9957"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09"/>
        <w:gridCol w:w="1736"/>
        <w:gridCol w:w="751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4"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line="530" w:lineRule="exact"/>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1736"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line="530" w:lineRule="exact"/>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项  目</w:t>
            </w:r>
          </w:p>
        </w:tc>
        <w:tc>
          <w:tcPr>
            <w:tcW w:w="7512"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line="530" w:lineRule="exact"/>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内容与要求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8"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line="530" w:lineRule="exact"/>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1</w:t>
            </w:r>
          </w:p>
        </w:tc>
        <w:tc>
          <w:tcPr>
            <w:tcW w:w="1736"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line="530" w:lineRule="exact"/>
              <w:ind w:left="0" w:right="0"/>
              <w:jc w:val="center"/>
              <w:rPr>
                <w:rFonts w:hint="default" w:ascii="仿宋" w:hAnsi="仿宋" w:eastAsia="仿宋" w:cs="仿宋"/>
                <w:bCs/>
                <w:color w:val="auto"/>
                <w:sz w:val="24"/>
                <w:highlight w:val="none"/>
              </w:rPr>
            </w:pPr>
            <w:r>
              <w:rPr>
                <w:rFonts w:hint="eastAsia" w:ascii="仿宋" w:hAnsi="仿宋" w:eastAsia="仿宋" w:cs="仿宋"/>
                <w:bCs/>
                <w:color w:val="auto"/>
                <w:sz w:val="24"/>
                <w:highlight w:val="none"/>
              </w:rPr>
              <w:t>项目名称</w:t>
            </w:r>
          </w:p>
        </w:tc>
        <w:tc>
          <w:tcPr>
            <w:tcW w:w="7512"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rPr>
                <w:rFonts w:hint="default" w:ascii="仿宋" w:hAnsi="仿宋" w:eastAsia="仿宋" w:cs="仿宋"/>
                <w:bCs/>
                <w:color w:val="auto"/>
                <w:spacing w:val="-4"/>
                <w:sz w:val="24"/>
                <w:highlight w:val="none"/>
                <w:lang w:val="en-US" w:eastAsia="zh-CN"/>
              </w:rPr>
            </w:pPr>
            <w:r>
              <w:rPr>
                <w:rFonts w:hint="eastAsia" w:ascii="仿宋" w:hAnsi="仿宋" w:eastAsia="仿宋" w:cs="宋体"/>
                <w:bCs/>
                <w:color w:val="auto"/>
                <w:sz w:val="24"/>
                <w:highlight w:val="none"/>
                <w:lang w:eastAsia="zh-CN"/>
              </w:rPr>
              <w:t>2024年度湖州人社核心应用软件系统运维保障服务采购项目（</w:t>
            </w:r>
            <w:r>
              <w:rPr>
                <w:rFonts w:hint="eastAsia" w:ascii="仿宋" w:hAnsi="仿宋" w:eastAsia="仿宋" w:cs="宋体"/>
                <w:bCs/>
                <w:color w:val="auto"/>
                <w:sz w:val="24"/>
                <w:highlight w:val="none"/>
                <w:lang w:val="en-US" w:eastAsia="zh-CN"/>
              </w:rPr>
              <w:t>标项二</w:t>
            </w:r>
            <w:r>
              <w:rPr>
                <w:rFonts w:hint="eastAsia" w:ascii="仿宋" w:hAnsi="仿宋" w:eastAsia="仿宋" w:cs="宋体"/>
                <w:bCs/>
                <w:color w:val="auto"/>
                <w:sz w:val="24"/>
                <w:highlight w:val="none"/>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9"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line="530" w:lineRule="exact"/>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2</w:t>
            </w:r>
          </w:p>
        </w:tc>
        <w:tc>
          <w:tcPr>
            <w:tcW w:w="1736"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line="530" w:lineRule="exact"/>
              <w:ind w:left="0" w:right="0"/>
              <w:jc w:val="center"/>
              <w:rPr>
                <w:rFonts w:hint="default" w:ascii="仿宋" w:hAnsi="仿宋" w:eastAsia="仿宋" w:cs="仿宋"/>
                <w:bCs/>
                <w:color w:val="auto"/>
                <w:sz w:val="24"/>
                <w:highlight w:val="none"/>
              </w:rPr>
            </w:pPr>
            <w:r>
              <w:rPr>
                <w:rFonts w:hint="eastAsia" w:ascii="仿宋" w:hAnsi="仿宋" w:eastAsia="仿宋" w:cs="仿宋"/>
                <w:bCs/>
                <w:color w:val="auto"/>
                <w:sz w:val="24"/>
                <w:highlight w:val="none"/>
              </w:rPr>
              <w:t>编号</w:t>
            </w:r>
          </w:p>
        </w:tc>
        <w:tc>
          <w:tcPr>
            <w:tcW w:w="7512"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line="530" w:lineRule="exact"/>
              <w:ind w:left="0" w:right="0"/>
              <w:rPr>
                <w:rFonts w:hint="default" w:ascii="仿宋" w:hAnsi="仿宋" w:eastAsia="仿宋" w:cs="仿宋"/>
                <w:bCs/>
                <w:color w:val="auto"/>
                <w:spacing w:val="-4"/>
                <w:sz w:val="24"/>
                <w:highlight w:val="none"/>
              </w:rPr>
            </w:pPr>
            <w:r>
              <w:rPr>
                <w:rFonts w:hint="eastAsia" w:ascii="仿宋" w:hAnsi="仿宋" w:eastAsia="仿宋" w:cs="仿宋"/>
                <w:bCs/>
                <w:color w:val="auto"/>
                <w:spacing w:val="-4"/>
                <w:sz w:val="24"/>
                <w:highlight w:val="none"/>
              </w:rPr>
              <w:t>磋商文件编号：XCXHZ-2024-0</w:t>
            </w:r>
            <w:r>
              <w:rPr>
                <w:rFonts w:hint="eastAsia" w:ascii="仿宋" w:hAnsi="仿宋" w:eastAsia="仿宋" w:cs="仿宋"/>
                <w:bCs/>
                <w:color w:val="auto"/>
                <w:spacing w:val="-4"/>
                <w:sz w:val="24"/>
                <w:highlight w:val="none"/>
                <w:lang w:val="en-US" w:eastAsia="zh-CN"/>
              </w:rPr>
              <w:t>31-002</w:t>
            </w:r>
            <w:r>
              <w:rPr>
                <w:rFonts w:hint="eastAsia" w:ascii="仿宋" w:hAnsi="仿宋" w:eastAsia="仿宋" w:cs="仿宋"/>
                <w:bCs/>
                <w:color w:val="auto"/>
                <w:spacing w:val="-4"/>
                <w:sz w:val="24"/>
                <w:highlight w:val="none"/>
              </w:rPr>
              <w:t>（CG）</w:t>
            </w:r>
          </w:p>
          <w:p>
            <w:pPr>
              <w:keepNext w:val="0"/>
              <w:keepLines w:val="0"/>
              <w:suppressLineNumbers w:val="0"/>
              <w:spacing w:before="0" w:beforeAutospacing="0" w:after="0" w:afterAutospacing="0" w:line="530" w:lineRule="exact"/>
              <w:ind w:left="0" w:right="0"/>
              <w:rPr>
                <w:rFonts w:hint="default" w:ascii="仿宋" w:hAnsi="仿宋" w:eastAsia="仿宋" w:cs="仿宋"/>
                <w:bCs/>
                <w:color w:val="auto"/>
                <w:spacing w:val="-4"/>
                <w:sz w:val="24"/>
                <w:highlight w:val="none"/>
              </w:rPr>
            </w:pPr>
            <w:r>
              <w:rPr>
                <w:rFonts w:hint="eastAsia" w:ascii="仿宋" w:hAnsi="仿宋" w:eastAsia="仿宋" w:cs="仿宋"/>
                <w:bCs/>
                <w:color w:val="auto"/>
                <w:spacing w:val="-4"/>
                <w:sz w:val="24"/>
                <w:highlight w:val="none"/>
              </w:rPr>
              <w:t>财政审批编号：</w:t>
            </w:r>
            <w:r>
              <w:rPr>
                <w:rFonts w:hint="eastAsia" w:ascii="仿宋" w:hAnsi="仿宋" w:eastAsia="仿宋" w:cs="仿宋"/>
                <w:bCs/>
                <w:color w:val="auto"/>
                <w:spacing w:val="-4"/>
                <w:sz w:val="24"/>
                <w:highlight w:val="none"/>
                <w:lang w:val="en-US" w:eastAsia="zh-CN"/>
              </w:rPr>
              <w:t>湖</w:t>
            </w:r>
            <w:r>
              <w:rPr>
                <w:rFonts w:hint="eastAsia" w:ascii="仿宋" w:hAnsi="仿宋" w:eastAsia="仿宋" w:cs="仿宋"/>
                <w:bCs/>
                <w:color w:val="auto"/>
                <w:spacing w:val="-4"/>
                <w:sz w:val="24"/>
                <w:highlight w:val="none"/>
              </w:rPr>
              <w:t>财采确[2024]</w:t>
            </w:r>
            <w:r>
              <w:rPr>
                <w:rFonts w:hint="eastAsia" w:ascii="仿宋" w:hAnsi="仿宋" w:eastAsia="仿宋" w:cs="仿宋"/>
                <w:bCs/>
                <w:color w:val="auto"/>
                <w:spacing w:val="-4"/>
                <w:sz w:val="24"/>
                <w:highlight w:val="none"/>
                <w:lang w:val="en-US" w:eastAsia="zh-CN"/>
              </w:rPr>
              <w:t>7777</w:t>
            </w:r>
            <w:r>
              <w:rPr>
                <w:rFonts w:hint="eastAsia" w:ascii="仿宋" w:hAnsi="仿宋" w:eastAsia="仿宋" w:cs="仿宋"/>
                <w:bCs/>
                <w:color w:val="auto"/>
                <w:spacing w:val="-4"/>
                <w:sz w:val="24"/>
                <w:highlight w:val="none"/>
              </w:rPr>
              <w:t>号</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line="530" w:lineRule="exact"/>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3</w:t>
            </w:r>
          </w:p>
        </w:tc>
        <w:tc>
          <w:tcPr>
            <w:tcW w:w="1736"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line="530" w:lineRule="exact"/>
              <w:ind w:left="0" w:right="0"/>
              <w:jc w:val="center"/>
              <w:rPr>
                <w:rFonts w:hint="default" w:ascii="仿宋" w:hAnsi="仿宋" w:eastAsia="仿宋" w:cs="仿宋"/>
                <w:bCs/>
                <w:color w:val="auto"/>
                <w:sz w:val="24"/>
                <w:highlight w:val="none"/>
              </w:rPr>
            </w:pPr>
            <w:r>
              <w:rPr>
                <w:rFonts w:hint="eastAsia" w:ascii="仿宋" w:hAnsi="仿宋" w:eastAsia="仿宋" w:cs="仿宋"/>
                <w:bCs/>
                <w:color w:val="auto"/>
                <w:sz w:val="24"/>
                <w:highlight w:val="none"/>
              </w:rPr>
              <w:t>磋商内容</w:t>
            </w:r>
          </w:p>
        </w:tc>
        <w:tc>
          <w:tcPr>
            <w:tcW w:w="7512"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line="530" w:lineRule="exact"/>
              <w:ind w:left="0" w:right="0"/>
              <w:rPr>
                <w:rFonts w:hint="eastAsia" w:ascii="仿宋" w:hAnsi="仿宋" w:eastAsia="仿宋" w:cs="仿宋"/>
                <w:bCs/>
                <w:color w:val="auto"/>
                <w:spacing w:val="-4"/>
                <w:sz w:val="24"/>
                <w:highlight w:val="none"/>
                <w:lang w:eastAsia="zh-CN"/>
              </w:rPr>
            </w:pPr>
            <w:r>
              <w:rPr>
                <w:rFonts w:hint="eastAsia" w:ascii="仿宋" w:hAnsi="仿宋" w:eastAsia="仿宋" w:cs="仿宋"/>
                <w:color w:val="auto"/>
                <w:kern w:val="0"/>
                <w:sz w:val="24"/>
                <w:highlight w:val="none"/>
                <w:lang w:val="en-US" w:eastAsia="zh-CN"/>
              </w:rPr>
              <w:t>湖州市社保综合管理信息系统运维保障服务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2"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line="530" w:lineRule="exact"/>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4</w:t>
            </w:r>
          </w:p>
        </w:tc>
        <w:tc>
          <w:tcPr>
            <w:tcW w:w="1736"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line="530" w:lineRule="exact"/>
              <w:ind w:left="0" w:right="0"/>
              <w:jc w:val="center"/>
              <w:rPr>
                <w:rFonts w:hint="default" w:ascii="仿宋" w:hAnsi="仿宋" w:eastAsia="仿宋" w:cs="仿宋"/>
                <w:bCs/>
                <w:color w:val="auto"/>
                <w:sz w:val="24"/>
                <w:highlight w:val="none"/>
              </w:rPr>
            </w:pPr>
            <w:r>
              <w:rPr>
                <w:rFonts w:hint="eastAsia" w:ascii="仿宋" w:hAnsi="仿宋" w:eastAsia="仿宋" w:cs="仿宋"/>
                <w:bCs/>
                <w:color w:val="auto"/>
                <w:sz w:val="24"/>
                <w:highlight w:val="none"/>
              </w:rPr>
              <w:t>项目实施地点</w:t>
            </w:r>
          </w:p>
        </w:tc>
        <w:tc>
          <w:tcPr>
            <w:tcW w:w="7512"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line="530" w:lineRule="exact"/>
              <w:ind w:left="0" w:right="0"/>
              <w:rPr>
                <w:rFonts w:hint="default" w:ascii="仿宋" w:hAnsi="仿宋" w:eastAsia="仿宋" w:cs="仿宋"/>
                <w:bCs/>
                <w:color w:val="auto"/>
                <w:spacing w:val="-4"/>
                <w:sz w:val="24"/>
                <w:highlight w:val="none"/>
              </w:rPr>
            </w:pPr>
            <w:r>
              <w:rPr>
                <w:rFonts w:hint="eastAsia" w:ascii="仿宋" w:hAnsi="仿宋" w:eastAsia="仿宋" w:cs="仿宋"/>
                <w:color w:val="auto"/>
                <w:sz w:val="24"/>
                <w:highlight w:val="none"/>
              </w:rPr>
              <w:t>根据采购人指定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05"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line="530" w:lineRule="exact"/>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5</w:t>
            </w:r>
          </w:p>
        </w:tc>
        <w:tc>
          <w:tcPr>
            <w:tcW w:w="1736"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line="530" w:lineRule="exact"/>
              <w:ind w:left="0" w:right="0"/>
              <w:jc w:val="center"/>
              <w:rPr>
                <w:rFonts w:hint="default" w:ascii="仿宋" w:hAnsi="仿宋" w:eastAsia="仿宋" w:cs="仿宋"/>
                <w:bCs/>
                <w:color w:val="auto"/>
                <w:sz w:val="24"/>
                <w:highlight w:val="none"/>
              </w:rPr>
            </w:pPr>
            <w:r>
              <w:rPr>
                <w:rFonts w:hint="eastAsia" w:ascii="仿宋" w:hAnsi="仿宋" w:eastAsia="仿宋" w:cs="仿宋"/>
                <w:bCs/>
                <w:color w:val="auto"/>
                <w:sz w:val="24"/>
                <w:highlight w:val="none"/>
              </w:rPr>
              <w:t>答疑时间</w:t>
            </w:r>
          </w:p>
        </w:tc>
        <w:tc>
          <w:tcPr>
            <w:tcW w:w="7512"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line="530" w:lineRule="exact"/>
              <w:ind w:left="0" w:right="0"/>
              <w:rPr>
                <w:rFonts w:hint="default" w:ascii="仿宋" w:hAnsi="仿宋" w:eastAsia="仿宋" w:cs="仿宋"/>
                <w:color w:val="auto"/>
                <w:sz w:val="24"/>
                <w:highlight w:val="none"/>
              </w:rPr>
            </w:pPr>
            <w:r>
              <w:rPr>
                <w:rFonts w:hint="eastAsia" w:ascii="仿宋" w:hAnsi="仿宋" w:eastAsia="仿宋" w:cs="仿宋"/>
                <w:color w:val="auto"/>
                <w:sz w:val="24"/>
                <w:highlight w:val="none"/>
              </w:rPr>
              <w:t>供应商如认为</w:t>
            </w:r>
            <w:r>
              <w:rPr>
                <w:rFonts w:hint="eastAsia" w:ascii="仿宋" w:hAnsi="仿宋" w:eastAsia="仿宋" w:cs="仿宋"/>
                <w:color w:val="auto"/>
                <w:sz w:val="24"/>
                <w:highlight w:val="none"/>
                <w:lang w:val="en-US" w:eastAsia="zh-CN"/>
              </w:rPr>
              <w:t>采购</w:t>
            </w:r>
            <w:r>
              <w:rPr>
                <w:rFonts w:hint="eastAsia" w:ascii="仿宋" w:hAnsi="仿宋" w:eastAsia="仿宋" w:cs="仿宋"/>
                <w:color w:val="auto"/>
                <w:sz w:val="24"/>
                <w:highlight w:val="none"/>
              </w:rPr>
              <w:t>文件表述不清晰、存在歧视性或者其他违法内容的，可以在知道或者应知其权益受到损害之日起7个工作日内，以书面形式向采购人、采购代理机构提出质疑，根据《中华人民共和国财政部令第94号-政府采购质疑和投诉办法》第十条第二款规定，供应商在法定质疑期内须一次性提出针对同一采购程序环节的质疑，否则采购代理机构有权拒绝第一次质疑以外其他所有质疑。答疑内容是</w:t>
            </w:r>
            <w:r>
              <w:rPr>
                <w:rFonts w:hint="eastAsia" w:ascii="仿宋" w:hAnsi="仿宋" w:eastAsia="仿宋" w:cs="仿宋"/>
                <w:color w:val="auto"/>
                <w:sz w:val="24"/>
                <w:highlight w:val="none"/>
                <w:lang w:val="en-US" w:eastAsia="zh-CN"/>
              </w:rPr>
              <w:t>采购</w:t>
            </w:r>
            <w:r>
              <w:rPr>
                <w:rFonts w:hint="eastAsia" w:ascii="仿宋" w:hAnsi="仿宋" w:eastAsia="仿宋" w:cs="仿宋"/>
                <w:color w:val="auto"/>
                <w:sz w:val="24"/>
                <w:highlight w:val="none"/>
              </w:rPr>
              <w:t>文件的组成部分，并将在网上发布补充（答疑、澄清）文件，潜在供应商应自行关注网站公告，采购人不再一一通知，供应商因自身贻误行为导致投标失效的，责任自负。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2"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line="530" w:lineRule="exact"/>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6</w:t>
            </w:r>
          </w:p>
        </w:tc>
        <w:tc>
          <w:tcPr>
            <w:tcW w:w="1736"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line="530" w:lineRule="exact"/>
              <w:ind w:left="0" w:right="0"/>
              <w:jc w:val="center"/>
              <w:rPr>
                <w:rFonts w:hint="default" w:ascii="仿宋" w:hAnsi="仿宋" w:eastAsia="仿宋" w:cs="仿宋"/>
                <w:bCs/>
                <w:color w:val="auto"/>
                <w:sz w:val="24"/>
                <w:highlight w:val="none"/>
              </w:rPr>
            </w:pPr>
            <w:r>
              <w:rPr>
                <w:rFonts w:hint="eastAsia" w:ascii="仿宋" w:hAnsi="仿宋" w:eastAsia="仿宋" w:cs="仿宋"/>
                <w:bCs/>
                <w:color w:val="auto"/>
                <w:sz w:val="24"/>
                <w:highlight w:val="none"/>
              </w:rPr>
              <w:t>响应文件要求</w:t>
            </w:r>
          </w:p>
        </w:tc>
        <w:tc>
          <w:tcPr>
            <w:tcW w:w="7512" w:type="dxa"/>
            <w:tcBorders>
              <w:top w:val="single" w:color="auto" w:sz="4" w:space="0"/>
              <w:left w:val="single" w:color="auto" w:sz="4" w:space="0"/>
              <w:bottom w:val="single" w:color="auto" w:sz="4" w:space="0"/>
              <w:right w:val="single" w:color="auto" w:sz="4" w:space="0"/>
            </w:tcBorders>
            <w:noWrap/>
            <w:vAlign w:val="center"/>
          </w:tcPr>
          <w:p>
            <w:pPr>
              <w:keepNext w:val="0"/>
              <w:keepLines w:val="0"/>
              <w:numPr>
                <w:ilvl w:val="0"/>
                <w:numId w:val="13"/>
              </w:numPr>
              <w:suppressLineNumbers w:val="0"/>
              <w:spacing w:before="0" w:beforeAutospacing="0" w:after="0" w:afterAutospacing="0" w:line="530" w:lineRule="exact"/>
              <w:ind w:right="0"/>
              <w:rPr>
                <w:rFonts w:hint="default" w:ascii="仿宋" w:hAnsi="仿宋" w:eastAsia="仿宋" w:cs="仿宋"/>
                <w:color w:val="auto"/>
                <w:sz w:val="24"/>
                <w:highlight w:val="none"/>
              </w:rPr>
            </w:pPr>
            <w:r>
              <w:rPr>
                <w:rFonts w:hint="eastAsia" w:ascii="仿宋" w:hAnsi="仿宋" w:eastAsia="仿宋" w:cs="仿宋"/>
                <w:color w:val="auto"/>
                <w:sz w:val="24"/>
                <w:highlight w:val="none"/>
              </w:rPr>
              <w:t>响应文件的制作：本项目实行电子磋商。</w:t>
            </w:r>
          </w:p>
          <w:p>
            <w:pPr>
              <w:keepNext w:val="0"/>
              <w:keepLines w:val="0"/>
              <w:suppressLineNumbers w:val="0"/>
              <w:spacing w:before="0" w:beforeAutospacing="0" w:after="0" w:afterAutospacing="0" w:line="530" w:lineRule="exact"/>
              <w:ind w:left="0" w:right="0"/>
              <w:rPr>
                <w:rFonts w:hint="default" w:ascii="仿宋" w:hAnsi="仿宋" w:eastAsia="仿宋" w:cs="仿宋"/>
                <w:color w:val="auto"/>
                <w:sz w:val="24"/>
                <w:highlight w:val="none"/>
              </w:rPr>
            </w:pPr>
            <w:r>
              <w:rPr>
                <w:rFonts w:hint="eastAsia" w:ascii="仿宋" w:hAnsi="仿宋" w:eastAsia="仿宋" w:cs="仿宋"/>
                <w:color w:val="auto"/>
                <w:sz w:val="24"/>
                <w:highlight w:val="none"/>
              </w:rPr>
              <w:t xml:space="preserve">2、供应商应按要求提供电子响应文件及数据电子备份响应文件（U盘），具体内容如下： </w:t>
            </w:r>
          </w:p>
          <w:p>
            <w:pPr>
              <w:keepNext w:val="0"/>
              <w:keepLines w:val="0"/>
              <w:suppressLineNumbers w:val="0"/>
              <w:spacing w:before="0" w:beforeAutospacing="0" w:after="0" w:afterAutospacing="0" w:line="530" w:lineRule="exact"/>
              <w:ind w:left="0" w:right="0"/>
              <w:rPr>
                <w:rFonts w:hint="default" w:ascii="仿宋" w:hAnsi="仿宋" w:eastAsia="仿宋" w:cs="仿宋"/>
                <w:color w:val="auto"/>
                <w:sz w:val="24"/>
                <w:highlight w:val="none"/>
              </w:rPr>
            </w:pPr>
            <w:r>
              <w:rPr>
                <w:rFonts w:hint="eastAsia" w:ascii="仿宋" w:hAnsi="仿宋" w:eastAsia="仿宋" w:cs="仿宋"/>
                <w:color w:val="auto"/>
                <w:sz w:val="24"/>
                <w:highlight w:val="none"/>
              </w:rPr>
              <w:t>2.1电子响应文件：按政采云平台项目采购-电子交易操作指南及本磋商文件要求制作、加密并递交，超过上传时间的视为放弃磋商资格，作无效标处理；</w:t>
            </w:r>
          </w:p>
          <w:p>
            <w:pPr>
              <w:keepNext w:val="0"/>
              <w:keepLines w:val="0"/>
              <w:suppressLineNumbers w:val="0"/>
              <w:spacing w:before="0" w:beforeAutospacing="0" w:after="0" w:afterAutospacing="0" w:line="530" w:lineRule="exact"/>
              <w:ind w:left="0" w:right="0"/>
              <w:rPr>
                <w:rFonts w:hint="default" w:ascii="仿宋" w:hAnsi="仿宋" w:eastAsia="仿宋" w:cs="仿宋"/>
                <w:color w:val="auto"/>
                <w:sz w:val="24"/>
                <w:highlight w:val="none"/>
              </w:rPr>
            </w:pPr>
            <w:r>
              <w:rPr>
                <w:rFonts w:hint="eastAsia" w:ascii="仿宋" w:hAnsi="仿宋" w:eastAsia="仿宋" w:cs="仿宋"/>
                <w:color w:val="auto"/>
                <w:sz w:val="24"/>
                <w:highlight w:val="none"/>
              </w:rPr>
              <w:t>2.2数据电子备份响应文件（U盘）：以U盘形式提供的数据电子备份响应文件格式及内容须与政采云平台项目采购-电子交易操作指南中制作、加密并递交的电子响应文件格式及内容一致。数据电子备份响应文件应加密，允许制作成一个U盘，但须密封、包装，不按此规定密封、包装的数据电子备份响应文件（U盘）均按未提供处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2"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line="530" w:lineRule="exact"/>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7</w:t>
            </w:r>
          </w:p>
        </w:tc>
        <w:tc>
          <w:tcPr>
            <w:tcW w:w="1736"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line="530" w:lineRule="exact"/>
              <w:ind w:left="0" w:right="0"/>
              <w:jc w:val="center"/>
              <w:rPr>
                <w:rFonts w:hint="default" w:ascii="仿宋" w:hAnsi="仿宋" w:eastAsia="仿宋" w:cs="仿宋"/>
                <w:bCs/>
                <w:color w:val="auto"/>
                <w:sz w:val="24"/>
                <w:highlight w:val="none"/>
              </w:rPr>
            </w:pPr>
            <w:r>
              <w:rPr>
                <w:rFonts w:hint="eastAsia" w:ascii="仿宋" w:hAnsi="仿宋" w:eastAsia="仿宋" w:cs="仿宋"/>
                <w:color w:val="auto"/>
                <w:sz w:val="24"/>
                <w:highlight w:val="none"/>
              </w:rPr>
              <w:t>响应截止时间</w:t>
            </w:r>
          </w:p>
        </w:tc>
        <w:tc>
          <w:tcPr>
            <w:tcW w:w="7512"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napToGrid w:val="0"/>
              <w:spacing w:before="0" w:beforeAutospacing="0" w:after="0" w:afterAutospacing="0" w:line="530" w:lineRule="exact"/>
              <w:ind w:left="0" w:right="0"/>
              <w:rPr>
                <w:rFonts w:hint="default" w:ascii="仿宋" w:hAnsi="仿宋" w:eastAsia="仿宋" w:cs="仿宋"/>
                <w:color w:val="auto"/>
                <w:sz w:val="24"/>
                <w:highlight w:val="none"/>
              </w:rPr>
            </w:pPr>
            <w:r>
              <w:rPr>
                <w:rFonts w:hint="eastAsia" w:ascii="仿宋" w:hAnsi="仿宋" w:eastAsia="仿宋" w:cs="仿宋"/>
                <w:color w:val="auto"/>
                <w:kern w:val="0"/>
                <w:sz w:val="24"/>
                <w:highlight w:val="none"/>
              </w:rPr>
              <w:t>2024年</w:t>
            </w:r>
            <w:r>
              <w:rPr>
                <w:rFonts w:hint="eastAsia" w:ascii="仿宋" w:hAnsi="仿宋" w:eastAsia="仿宋" w:cs="仿宋"/>
                <w:color w:val="auto"/>
                <w:kern w:val="0"/>
                <w:sz w:val="24"/>
                <w:highlight w:val="none"/>
                <w:lang w:val="en-US" w:eastAsia="zh-CN"/>
              </w:rPr>
              <w:t>6</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5</w:t>
            </w:r>
            <w:r>
              <w:rPr>
                <w:rFonts w:hint="eastAsia" w:ascii="仿宋" w:hAnsi="仿宋" w:eastAsia="仿宋" w:cs="仿宋"/>
                <w:color w:val="auto"/>
                <w:kern w:val="0"/>
                <w:sz w:val="24"/>
                <w:highlight w:val="none"/>
              </w:rPr>
              <w:t>日</w:t>
            </w:r>
            <w:r>
              <w:rPr>
                <w:rFonts w:hint="eastAsia" w:ascii="仿宋" w:hAnsi="仿宋" w:eastAsia="仿宋" w:cs="仿宋"/>
                <w:color w:val="auto"/>
                <w:kern w:val="0"/>
                <w:sz w:val="24"/>
                <w:highlight w:val="none"/>
                <w:lang w:val="en-US" w:eastAsia="zh-CN"/>
              </w:rPr>
              <w:t>9</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val="en-US" w:eastAsia="zh-CN"/>
              </w:rPr>
              <w:t>0</w:t>
            </w:r>
            <w:r>
              <w:rPr>
                <w:rFonts w:hint="eastAsia" w:ascii="仿宋" w:hAnsi="仿宋" w:eastAsia="仿宋" w:cs="仿宋"/>
                <w:color w:val="auto"/>
                <w:kern w:val="0"/>
                <w:sz w:val="24"/>
                <w:highlight w:val="none"/>
              </w:rPr>
              <w:t>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line="530" w:lineRule="exact"/>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8</w:t>
            </w:r>
          </w:p>
        </w:tc>
        <w:tc>
          <w:tcPr>
            <w:tcW w:w="1736"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line="530" w:lineRule="exact"/>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响应文件</w:t>
            </w:r>
            <w:r>
              <w:rPr>
                <w:rFonts w:hint="eastAsia" w:ascii="仿宋" w:hAnsi="仿宋" w:eastAsia="仿宋" w:cs="仿宋"/>
                <w:bCs/>
                <w:color w:val="auto"/>
                <w:sz w:val="24"/>
                <w:highlight w:val="none"/>
              </w:rPr>
              <w:t>提交</w:t>
            </w:r>
            <w:r>
              <w:rPr>
                <w:rFonts w:hint="eastAsia" w:ascii="仿宋" w:hAnsi="仿宋" w:eastAsia="仿宋" w:cs="仿宋"/>
                <w:color w:val="auto"/>
                <w:sz w:val="24"/>
                <w:highlight w:val="none"/>
              </w:rPr>
              <w:t>地点</w:t>
            </w:r>
          </w:p>
        </w:tc>
        <w:tc>
          <w:tcPr>
            <w:tcW w:w="7512"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line="530" w:lineRule="exact"/>
              <w:ind w:left="0" w:right="0"/>
              <w:rPr>
                <w:rFonts w:hint="default" w:ascii="仿宋" w:hAnsi="仿宋" w:eastAsia="仿宋" w:cs="仿宋"/>
                <w:color w:val="auto"/>
                <w:sz w:val="24"/>
                <w:highlight w:val="none"/>
              </w:rPr>
            </w:pPr>
            <w:r>
              <w:rPr>
                <w:rFonts w:hint="eastAsia" w:ascii="仿宋" w:hAnsi="仿宋" w:eastAsia="仿宋" w:cs="仿宋"/>
                <w:color w:val="auto"/>
                <w:sz w:val="24"/>
                <w:highlight w:val="none"/>
              </w:rPr>
              <w:t>磋商时间：</w:t>
            </w:r>
            <w:r>
              <w:rPr>
                <w:rFonts w:hint="eastAsia" w:ascii="仿宋" w:hAnsi="仿宋" w:eastAsia="仿宋" w:cs="仿宋"/>
                <w:color w:val="auto"/>
                <w:kern w:val="0"/>
                <w:sz w:val="24"/>
                <w:highlight w:val="none"/>
              </w:rPr>
              <w:t>2024年</w:t>
            </w:r>
            <w:r>
              <w:rPr>
                <w:rFonts w:hint="eastAsia" w:ascii="仿宋" w:hAnsi="仿宋" w:eastAsia="仿宋" w:cs="仿宋"/>
                <w:color w:val="auto"/>
                <w:kern w:val="0"/>
                <w:sz w:val="24"/>
                <w:highlight w:val="none"/>
                <w:lang w:val="en-US" w:eastAsia="zh-CN"/>
              </w:rPr>
              <w:t>6</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5</w:t>
            </w:r>
            <w:r>
              <w:rPr>
                <w:rFonts w:hint="eastAsia" w:ascii="仿宋" w:hAnsi="仿宋" w:eastAsia="仿宋" w:cs="仿宋"/>
                <w:color w:val="auto"/>
                <w:kern w:val="0"/>
                <w:sz w:val="24"/>
                <w:highlight w:val="none"/>
              </w:rPr>
              <w:t>日</w:t>
            </w:r>
            <w:r>
              <w:rPr>
                <w:rFonts w:hint="eastAsia" w:ascii="仿宋" w:hAnsi="仿宋" w:eastAsia="仿宋" w:cs="仿宋"/>
                <w:color w:val="auto"/>
                <w:kern w:val="0"/>
                <w:sz w:val="24"/>
                <w:highlight w:val="none"/>
                <w:lang w:val="en-US" w:eastAsia="zh-CN"/>
              </w:rPr>
              <w:t>9</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val="en-US" w:eastAsia="zh-CN"/>
              </w:rPr>
              <w:t>0</w:t>
            </w:r>
            <w:r>
              <w:rPr>
                <w:rFonts w:hint="eastAsia" w:ascii="仿宋" w:hAnsi="仿宋" w:eastAsia="仿宋" w:cs="仿宋"/>
                <w:color w:val="auto"/>
                <w:kern w:val="0"/>
                <w:sz w:val="24"/>
                <w:highlight w:val="none"/>
              </w:rPr>
              <w:t>0</w:t>
            </w:r>
          </w:p>
          <w:p>
            <w:pPr>
              <w:keepNext w:val="0"/>
              <w:keepLines w:val="0"/>
              <w:suppressLineNumbers w:val="0"/>
              <w:spacing w:before="0" w:beforeAutospacing="0" w:after="0" w:afterAutospacing="0" w:line="530" w:lineRule="exact"/>
              <w:ind w:left="0" w:right="0"/>
              <w:rPr>
                <w:rFonts w:hint="default" w:ascii="仿宋" w:hAnsi="仿宋" w:eastAsia="仿宋" w:cs="仿宋"/>
                <w:color w:val="auto"/>
                <w:sz w:val="24"/>
                <w:highlight w:val="none"/>
              </w:rPr>
            </w:pPr>
            <w:r>
              <w:rPr>
                <w:rFonts w:hint="eastAsia" w:ascii="仿宋" w:hAnsi="仿宋" w:eastAsia="仿宋" w:cs="仿宋"/>
                <w:color w:val="auto"/>
                <w:sz w:val="24"/>
                <w:highlight w:val="none"/>
              </w:rPr>
              <w:t>磋商地点：湖州市公共资源交易中心开标室（湖州市仁皇山片区金盖山路66号2号楼二楼），具体详见二楼休息区电子显示屏。</w:t>
            </w:r>
          </w:p>
          <w:p>
            <w:pPr>
              <w:keepNext w:val="0"/>
              <w:keepLines w:val="0"/>
              <w:suppressLineNumbers w:val="0"/>
              <w:spacing w:before="0" w:beforeAutospacing="0" w:after="0" w:afterAutospacing="0" w:line="530" w:lineRule="exact"/>
              <w:ind w:left="0" w:right="0"/>
              <w:rPr>
                <w:rFonts w:hint="default" w:ascii="仿宋" w:hAnsi="仿宋" w:eastAsia="仿宋" w:cs="仿宋"/>
                <w:color w:val="auto"/>
                <w:sz w:val="24"/>
                <w:highlight w:val="none"/>
              </w:rPr>
            </w:pPr>
            <w:r>
              <w:rPr>
                <w:rFonts w:hint="eastAsia" w:ascii="仿宋" w:hAnsi="仿宋" w:eastAsia="仿宋" w:cs="仿宋"/>
                <w:color w:val="auto"/>
                <w:sz w:val="24"/>
                <w:highlight w:val="none"/>
              </w:rPr>
              <w:t>1、供应商应当在磋商截止时间前完成电子响应文件的传输递交，磋商截止时间前可以补充、修改或者撤回电子响应文件。补充或者修改电子响应文件的，应当先行撤回原文件，补充、修改后重新传输递交。磋商截止时间止未完成传输的，视为放弃磋商资格，作无效标处理。</w:t>
            </w:r>
          </w:p>
          <w:p>
            <w:pPr>
              <w:keepNext w:val="0"/>
              <w:keepLines w:val="0"/>
              <w:suppressLineNumbers w:val="0"/>
              <w:spacing w:before="0" w:beforeAutospacing="0" w:after="0" w:afterAutospacing="0" w:line="530" w:lineRule="exact"/>
              <w:ind w:left="0" w:right="0"/>
              <w:rPr>
                <w:rFonts w:hint="default" w:ascii="仿宋" w:hAnsi="仿宋" w:eastAsia="仿宋" w:cs="仿宋"/>
                <w:color w:val="auto"/>
                <w:sz w:val="24"/>
                <w:highlight w:val="none"/>
              </w:rPr>
            </w:pPr>
            <w:r>
              <w:rPr>
                <w:rFonts w:hint="eastAsia" w:ascii="仿宋" w:hAnsi="仿宋" w:eastAsia="仿宋" w:cs="仿宋"/>
                <w:color w:val="auto"/>
                <w:sz w:val="24"/>
                <w:highlight w:val="none"/>
              </w:rPr>
              <w:t>2、数据电子备份响应文件（U盘）：以U盘形式提供的数据电子备份响应文件格式及内容须与政采云平台项目采购-电子交易操作指南中制作、加密并递交的电子响应文件格式及内容一致。递交方式：数据电子备份响应文件（U盘）应通过邮寄快递方式送达，邮寄地址为：浙江新诚信工程咨询有限公司[湖州市太湖路1155号14层1402室]，联系电话：18768247439。邮寄截止时间：供应商应于2024年</w:t>
            </w: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日17:00时前准时送达，逾期不予受理。未按时送达的，均按未提供处理。</w:t>
            </w:r>
          </w:p>
          <w:p>
            <w:pPr>
              <w:keepNext w:val="0"/>
              <w:keepLines w:val="0"/>
              <w:suppressLineNumbers w:val="0"/>
              <w:spacing w:before="0" w:beforeAutospacing="0" w:after="0" w:afterAutospacing="0" w:line="530" w:lineRule="exact"/>
              <w:ind w:left="0" w:right="0"/>
              <w:rPr>
                <w:rFonts w:hint="default" w:ascii="仿宋" w:hAnsi="仿宋" w:eastAsia="仿宋" w:cs="仿宋"/>
                <w:b/>
                <w:color w:val="auto"/>
                <w:sz w:val="24"/>
                <w:highlight w:val="none"/>
              </w:rPr>
            </w:pPr>
            <w:r>
              <w:rPr>
                <w:rFonts w:hint="eastAsia" w:ascii="仿宋" w:hAnsi="仿宋" w:eastAsia="仿宋" w:cs="仿宋"/>
                <w:b/>
                <w:color w:val="auto"/>
                <w:sz w:val="24"/>
                <w:highlight w:val="none"/>
              </w:rPr>
              <w:t>3、整个磋商过程中若因供应商问题造成电子响应文件无法正常解密的，均认定为未提交电子响应文件，作无效标处理。若因网络或者其他非供应商问题造成电子响应文件无法正常解密的，启用数据电子备份响应文件（U盘），因供应商自身原因造成数据电子备份响应文件（U盘）无法打开的，作无效标处理。若正常解密成功，则数据电子备份响应文件（U盘）不予开启。在下一顺位的响应文件启用时，前一顺位的响应文件自动失效。</w:t>
            </w:r>
          </w:p>
          <w:p>
            <w:pPr>
              <w:keepNext w:val="0"/>
              <w:keepLines w:val="0"/>
              <w:suppressLineNumbers w:val="0"/>
              <w:spacing w:before="0" w:beforeAutospacing="0" w:after="0" w:afterAutospacing="0" w:line="530" w:lineRule="exact"/>
              <w:ind w:left="0" w:right="0"/>
              <w:rPr>
                <w:rFonts w:hint="default" w:ascii="仿宋" w:hAnsi="仿宋" w:eastAsia="仿宋" w:cs="仿宋"/>
                <w:b/>
                <w:color w:val="auto"/>
                <w:sz w:val="24"/>
                <w:highlight w:val="none"/>
              </w:rPr>
            </w:pPr>
            <w:r>
              <w:rPr>
                <w:rFonts w:hint="eastAsia" w:ascii="仿宋" w:hAnsi="仿宋" w:eastAsia="仿宋" w:cs="仿宋"/>
                <w:b/>
                <w:color w:val="auto"/>
                <w:sz w:val="24"/>
                <w:highlight w:val="none"/>
              </w:rPr>
              <w:t>4、供应商仅提供其中一种形式的备份响应文件。造成项目开评标活动</w:t>
            </w:r>
          </w:p>
          <w:p>
            <w:pPr>
              <w:keepNext w:val="0"/>
              <w:keepLines w:val="0"/>
              <w:suppressLineNumbers w:val="0"/>
              <w:spacing w:before="0" w:beforeAutospacing="0" w:after="0" w:afterAutospacing="0" w:line="530" w:lineRule="exact"/>
              <w:ind w:left="0" w:right="0"/>
              <w:rPr>
                <w:rFonts w:hint="default" w:ascii="仿宋" w:hAnsi="仿宋" w:eastAsia="仿宋" w:cs="仿宋"/>
                <w:b/>
                <w:color w:val="auto"/>
                <w:sz w:val="24"/>
                <w:highlight w:val="none"/>
              </w:rPr>
            </w:pPr>
            <w:r>
              <w:rPr>
                <w:rFonts w:hint="eastAsia" w:ascii="仿宋" w:hAnsi="仿宋" w:eastAsia="仿宋" w:cs="仿宋"/>
                <w:b/>
                <w:color w:val="auto"/>
                <w:sz w:val="24"/>
                <w:highlight w:val="none"/>
              </w:rPr>
              <w:t>无法进行下去的，相关风险由供应商自行承担。</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9"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line="530" w:lineRule="exact"/>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9</w:t>
            </w:r>
          </w:p>
        </w:tc>
        <w:tc>
          <w:tcPr>
            <w:tcW w:w="1736"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line="530" w:lineRule="exact"/>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磋商时间</w:t>
            </w:r>
          </w:p>
        </w:tc>
        <w:tc>
          <w:tcPr>
            <w:tcW w:w="7512"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line="530" w:lineRule="exact"/>
              <w:ind w:left="0" w:right="0"/>
              <w:rPr>
                <w:rFonts w:hint="default" w:ascii="仿宋" w:hAnsi="仿宋" w:eastAsia="仿宋" w:cs="仿宋"/>
                <w:color w:val="auto"/>
                <w:sz w:val="24"/>
                <w:highlight w:val="none"/>
              </w:rPr>
            </w:pPr>
            <w:r>
              <w:rPr>
                <w:rFonts w:hint="eastAsia" w:ascii="仿宋" w:hAnsi="仿宋" w:eastAsia="仿宋" w:cs="仿宋"/>
                <w:color w:val="auto"/>
                <w:kern w:val="0"/>
                <w:sz w:val="24"/>
                <w:highlight w:val="none"/>
              </w:rPr>
              <w:t>2024年</w:t>
            </w:r>
            <w:r>
              <w:rPr>
                <w:rFonts w:hint="eastAsia" w:ascii="仿宋" w:hAnsi="仿宋" w:eastAsia="仿宋" w:cs="仿宋"/>
                <w:color w:val="auto"/>
                <w:kern w:val="0"/>
                <w:sz w:val="24"/>
                <w:highlight w:val="none"/>
                <w:lang w:val="en-US" w:eastAsia="zh-CN"/>
              </w:rPr>
              <w:t>6</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5</w:t>
            </w:r>
            <w:r>
              <w:rPr>
                <w:rFonts w:hint="eastAsia" w:ascii="仿宋" w:hAnsi="仿宋" w:eastAsia="仿宋" w:cs="仿宋"/>
                <w:color w:val="auto"/>
                <w:kern w:val="0"/>
                <w:sz w:val="24"/>
                <w:highlight w:val="none"/>
              </w:rPr>
              <w:t>日</w:t>
            </w:r>
            <w:r>
              <w:rPr>
                <w:rFonts w:hint="eastAsia" w:ascii="仿宋" w:hAnsi="仿宋" w:eastAsia="仿宋" w:cs="仿宋"/>
                <w:color w:val="auto"/>
                <w:kern w:val="0"/>
                <w:sz w:val="24"/>
                <w:highlight w:val="none"/>
                <w:lang w:val="en-US" w:eastAsia="zh-CN"/>
              </w:rPr>
              <w:t>9</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val="en-US" w:eastAsia="zh-CN"/>
              </w:rPr>
              <w:t>0</w:t>
            </w:r>
            <w:r>
              <w:rPr>
                <w:rFonts w:hint="eastAsia" w:ascii="仿宋" w:hAnsi="仿宋" w:eastAsia="仿宋" w:cs="仿宋"/>
                <w:color w:val="auto"/>
                <w:kern w:val="0"/>
                <w:sz w:val="24"/>
                <w:highlight w:val="none"/>
              </w:rPr>
              <w:t>0</w:t>
            </w:r>
            <w:r>
              <w:rPr>
                <w:rFonts w:hint="eastAsia" w:ascii="仿宋" w:hAnsi="仿宋" w:eastAsia="仿宋" w:cs="仿宋"/>
                <w:color w:val="auto"/>
                <w:sz w:val="24"/>
                <w:highlight w:val="none"/>
              </w:rPr>
              <w:t>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1"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line="530" w:lineRule="exact"/>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10</w:t>
            </w:r>
          </w:p>
        </w:tc>
        <w:tc>
          <w:tcPr>
            <w:tcW w:w="1736"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line="530" w:lineRule="exact"/>
              <w:ind w:left="0" w:right="0"/>
              <w:jc w:val="center"/>
              <w:rPr>
                <w:rFonts w:hint="default" w:ascii="仿宋" w:hAnsi="仿宋" w:eastAsia="仿宋" w:cs="仿宋"/>
                <w:bCs/>
                <w:color w:val="auto"/>
                <w:sz w:val="24"/>
                <w:highlight w:val="none"/>
              </w:rPr>
            </w:pPr>
            <w:r>
              <w:rPr>
                <w:rFonts w:hint="eastAsia" w:ascii="仿宋" w:hAnsi="仿宋" w:eastAsia="仿宋" w:cs="仿宋"/>
                <w:color w:val="auto"/>
                <w:sz w:val="24"/>
                <w:highlight w:val="none"/>
              </w:rPr>
              <w:t>磋商地点</w:t>
            </w:r>
          </w:p>
        </w:tc>
        <w:tc>
          <w:tcPr>
            <w:tcW w:w="7512"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line="530" w:lineRule="exact"/>
              <w:ind w:left="0" w:right="0"/>
              <w:rPr>
                <w:rFonts w:hint="default" w:ascii="仿宋" w:hAnsi="仿宋" w:eastAsia="仿宋" w:cs="仿宋"/>
                <w:bCs/>
                <w:color w:val="auto"/>
                <w:sz w:val="24"/>
                <w:highlight w:val="none"/>
              </w:rPr>
            </w:pPr>
            <w:r>
              <w:rPr>
                <w:rFonts w:hint="eastAsia" w:ascii="仿宋" w:hAnsi="仿宋" w:eastAsia="仿宋" w:cs="仿宋"/>
                <w:bCs/>
                <w:color w:val="auto"/>
                <w:sz w:val="24"/>
                <w:highlight w:val="none"/>
              </w:rPr>
              <w:t>湖州市公共资源交易中心开标室（湖州市仁皇山片区金盖山路66号2号楼二楼，届时详见二楼休息区电子显示屏），未按时上传电子响应文件的将拒绝接收，作无效标处理。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2"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line="530" w:lineRule="exact"/>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11</w:t>
            </w:r>
          </w:p>
        </w:tc>
        <w:tc>
          <w:tcPr>
            <w:tcW w:w="1736"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line="530" w:lineRule="exact"/>
              <w:ind w:left="0" w:right="0" w:firstLine="240" w:firstLineChars="100"/>
              <w:jc w:val="left"/>
              <w:rPr>
                <w:rFonts w:hint="default" w:ascii="仿宋" w:hAnsi="仿宋" w:eastAsia="仿宋" w:cs="仿宋"/>
                <w:color w:val="auto"/>
                <w:sz w:val="24"/>
                <w:highlight w:val="none"/>
              </w:rPr>
            </w:pPr>
            <w:r>
              <w:rPr>
                <w:rFonts w:hint="eastAsia" w:ascii="仿宋" w:hAnsi="仿宋" w:eastAsia="仿宋" w:cs="仿宋"/>
                <w:color w:val="auto"/>
                <w:sz w:val="24"/>
                <w:highlight w:val="none"/>
              </w:rPr>
              <w:t>履约保证金</w:t>
            </w:r>
          </w:p>
        </w:tc>
        <w:tc>
          <w:tcPr>
            <w:tcW w:w="7512"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line="530" w:lineRule="exact"/>
              <w:ind w:left="0" w:right="0"/>
              <w:rPr>
                <w:rFonts w:hint="default" w:ascii="仿宋" w:hAnsi="仿宋" w:eastAsia="仿宋" w:cs="仿宋"/>
                <w:bCs/>
                <w:color w:val="auto"/>
                <w:sz w:val="24"/>
                <w:highlight w:val="none"/>
              </w:rPr>
            </w:pPr>
            <w:r>
              <w:rPr>
                <w:rFonts w:hint="eastAsia" w:ascii="仿宋" w:hAnsi="仿宋" w:eastAsia="仿宋" w:cs="仿宋"/>
                <w:color w:val="auto"/>
                <w:sz w:val="24"/>
                <w:highlight w:val="none"/>
              </w:rPr>
              <w:t>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2"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line="530" w:lineRule="exact"/>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12</w:t>
            </w:r>
          </w:p>
        </w:tc>
        <w:tc>
          <w:tcPr>
            <w:tcW w:w="1736"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line="530" w:lineRule="exact"/>
              <w:ind w:left="0" w:right="0"/>
              <w:jc w:val="center"/>
              <w:rPr>
                <w:rFonts w:hint="default" w:ascii="仿宋" w:hAnsi="仿宋" w:eastAsia="仿宋" w:cs="仿宋"/>
                <w:bCs/>
                <w:color w:val="auto"/>
                <w:sz w:val="24"/>
                <w:highlight w:val="none"/>
              </w:rPr>
            </w:pPr>
            <w:r>
              <w:rPr>
                <w:rFonts w:hint="eastAsia" w:ascii="仿宋" w:hAnsi="仿宋" w:eastAsia="仿宋" w:cs="仿宋"/>
                <w:color w:val="auto"/>
                <w:sz w:val="24"/>
                <w:highlight w:val="none"/>
              </w:rPr>
              <w:t>磋商</w:t>
            </w:r>
            <w:r>
              <w:rPr>
                <w:rFonts w:hint="eastAsia" w:ascii="仿宋" w:hAnsi="仿宋" w:eastAsia="仿宋" w:cs="仿宋"/>
                <w:bCs/>
                <w:color w:val="auto"/>
                <w:sz w:val="24"/>
                <w:highlight w:val="none"/>
              </w:rPr>
              <w:t>有效期</w:t>
            </w:r>
          </w:p>
        </w:tc>
        <w:tc>
          <w:tcPr>
            <w:tcW w:w="7512"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line="530" w:lineRule="exact"/>
              <w:ind w:left="0" w:right="0"/>
              <w:rPr>
                <w:rFonts w:hint="default" w:ascii="仿宋" w:hAnsi="仿宋" w:eastAsia="仿宋" w:cs="仿宋"/>
                <w:color w:val="auto"/>
                <w:sz w:val="24"/>
                <w:highlight w:val="none"/>
              </w:rPr>
            </w:pPr>
            <w:r>
              <w:rPr>
                <w:rFonts w:hint="eastAsia" w:ascii="仿宋" w:hAnsi="仿宋" w:eastAsia="仿宋" w:cs="仿宋"/>
                <w:color w:val="auto"/>
                <w:sz w:val="24"/>
                <w:highlight w:val="none"/>
              </w:rPr>
              <w:t>60天（日历天）</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2"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line="530" w:lineRule="exact"/>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13</w:t>
            </w:r>
          </w:p>
        </w:tc>
        <w:tc>
          <w:tcPr>
            <w:tcW w:w="1736"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line="530" w:lineRule="exact"/>
              <w:ind w:left="0" w:right="0"/>
              <w:jc w:val="center"/>
              <w:rPr>
                <w:rFonts w:hint="default" w:ascii="仿宋" w:hAnsi="仿宋" w:eastAsia="仿宋" w:cs="仿宋"/>
                <w:bCs/>
                <w:color w:val="auto"/>
                <w:sz w:val="24"/>
                <w:highlight w:val="none"/>
              </w:rPr>
            </w:pPr>
            <w:r>
              <w:rPr>
                <w:rFonts w:hint="eastAsia" w:ascii="仿宋" w:hAnsi="仿宋" w:eastAsia="仿宋" w:cs="仿宋"/>
                <w:bCs/>
                <w:color w:val="auto"/>
                <w:sz w:val="24"/>
                <w:highlight w:val="none"/>
              </w:rPr>
              <w:t>磋商办法及评分标准</w:t>
            </w:r>
          </w:p>
        </w:tc>
        <w:tc>
          <w:tcPr>
            <w:tcW w:w="7512"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line="530" w:lineRule="exact"/>
              <w:ind w:left="0" w:right="0"/>
              <w:rPr>
                <w:rFonts w:hint="default" w:ascii="仿宋" w:hAnsi="仿宋" w:eastAsia="仿宋" w:cs="仿宋"/>
                <w:bCs/>
                <w:color w:val="auto"/>
                <w:sz w:val="24"/>
                <w:highlight w:val="none"/>
              </w:rPr>
            </w:pPr>
            <w:r>
              <w:rPr>
                <w:rFonts w:hint="eastAsia" w:ascii="仿宋" w:hAnsi="仿宋" w:eastAsia="仿宋" w:cs="仿宋"/>
                <w:bCs/>
                <w:color w:val="auto"/>
                <w:sz w:val="24"/>
                <w:highlight w:val="none"/>
              </w:rPr>
              <w:t>详见磋商文件第六章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4"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line="530" w:lineRule="exact"/>
              <w:ind w:left="0" w:right="0"/>
              <w:jc w:val="center"/>
              <w:rPr>
                <w:rFonts w:hint="default" w:ascii="仿宋" w:hAnsi="仿宋" w:eastAsia="仿宋" w:cs="仿宋"/>
                <w:bCs/>
                <w:color w:val="auto"/>
                <w:sz w:val="24"/>
                <w:highlight w:val="none"/>
              </w:rPr>
            </w:pPr>
            <w:r>
              <w:rPr>
                <w:rFonts w:hint="eastAsia" w:ascii="仿宋" w:hAnsi="仿宋" w:eastAsia="仿宋" w:cs="仿宋"/>
                <w:bCs/>
                <w:color w:val="auto"/>
                <w:sz w:val="24"/>
                <w:highlight w:val="none"/>
              </w:rPr>
              <w:t>14</w:t>
            </w:r>
          </w:p>
        </w:tc>
        <w:tc>
          <w:tcPr>
            <w:tcW w:w="1736"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line="530" w:lineRule="exact"/>
              <w:ind w:left="0" w:right="0"/>
              <w:jc w:val="center"/>
              <w:rPr>
                <w:rFonts w:hint="default" w:ascii="仿宋" w:hAnsi="仿宋" w:eastAsia="仿宋" w:cs="仿宋"/>
                <w:bCs/>
                <w:color w:val="auto"/>
                <w:sz w:val="24"/>
                <w:highlight w:val="none"/>
              </w:rPr>
            </w:pPr>
            <w:r>
              <w:rPr>
                <w:rFonts w:hint="eastAsia" w:ascii="仿宋" w:hAnsi="仿宋" w:eastAsia="仿宋" w:cs="仿宋"/>
                <w:bCs/>
                <w:color w:val="auto"/>
                <w:sz w:val="24"/>
                <w:highlight w:val="none"/>
              </w:rPr>
              <w:t>采购人</w:t>
            </w:r>
          </w:p>
        </w:tc>
        <w:tc>
          <w:tcPr>
            <w:tcW w:w="7512"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line="530" w:lineRule="exact"/>
              <w:ind w:left="0" w:right="0"/>
              <w:rPr>
                <w:rFonts w:hint="eastAsia" w:ascii="仿宋" w:hAnsi="仿宋" w:eastAsia="仿宋" w:cs="仿宋"/>
                <w:bCs/>
                <w:color w:val="auto"/>
                <w:sz w:val="24"/>
                <w:highlight w:val="none"/>
                <w:lang w:eastAsia="zh-CN"/>
              </w:rPr>
            </w:pPr>
            <w:r>
              <w:rPr>
                <w:rFonts w:hint="eastAsia" w:ascii="仿宋" w:hAnsi="仿宋" w:eastAsia="仿宋" w:cs="仿宋"/>
                <w:bCs/>
                <w:color w:val="auto"/>
                <w:sz w:val="24"/>
                <w:highlight w:val="none"/>
                <w:lang w:eastAsia="zh-CN"/>
              </w:rPr>
              <w:t>湖州市人力资源和社会保障信息中心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3"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line="530" w:lineRule="exact"/>
              <w:ind w:left="0" w:right="0"/>
              <w:jc w:val="center"/>
              <w:rPr>
                <w:rFonts w:hint="default" w:ascii="仿宋" w:hAnsi="仿宋" w:eastAsia="仿宋" w:cs="仿宋"/>
                <w:bCs/>
                <w:color w:val="auto"/>
                <w:sz w:val="24"/>
                <w:highlight w:val="none"/>
              </w:rPr>
            </w:pPr>
            <w:r>
              <w:rPr>
                <w:rFonts w:hint="eastAsia" w:ascii="仿宋" w:hAnsi="仿宋" w:eastAsia="仿宋" w:cs="仿宋"/>
                <w:bCs/>
                <w:color w:val="auto"/>
                <w:sz w:val="24"/>
                <w:highlight w:val="none"/>
              </w:rPr>
              <w:t>15</w:t>
            </w:r>
          </w:p>
        </w:tc>
        <w:tc>
          <w:tcPr>
            <w:tcW w:w="1736"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line="530" w:lineRule="exact"/>
              <w:ind w:left="0" w:right="0"/>
              <w:jc w:val="center"/>
              <w:rPr>
                <w:rFonts w:hint="default" w:ascii="仿宋" w:hAnsi="仿宋" w:eastAsia="仿宋" w:cs="仿宋"/>
                <w:bCs/>
                <w:color w:val="auto"/>
                <w:sz w:val="24"/>
                <w:highlight w:val="none"/>
              </w:rPr>
            </w:pPr>
            <w:r>
              <w:rPr>
                <w:rFonts w:hint="eastAsia" w:ascii="仿宋" w:hAnsi="仿宋" w:eastAsia="仿宋" w:cs="仿宋"/>
                <w:bCs/>
                <w:color w:val="auto"/>
                <w:sz w:val="24"/>
                <w:highlight w:val="none"/>
              </w:rPr>
              <w:t>其他</w:t>
            </w:r>
          </w:p>
        </w:tc>
        <w:tc>
          <w:tcPr>
            <w:tcW w:w="7512"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line="530" w:lineRule="exact"/>
              <w:ind w:left="0" w:right="0"/>
              <w:rPr>
                <w:rFonts w:hint="default" w:ascii="仿宋" w:hAnsi="仿宋" w:eastAsia="仿宋" w:cs="仿宋"/>
                <w:bCs/>
                <w:color w:val="auto"/>
                <w:sz w:val="24"/>
                <w:highlight w:val="none"/>
              </w:rPr>
            </w:pPr>
            <w:r>
              <w:rPr>
                <w:rFonts w:hint="eastAsia" w:ascii="仿宋" w:hAnsi="仿宋" w:eastAsia="仿宋" w:cs="仿宋"/>
                <w:bCs/>
                <w:color w:val="auto"/>
                <w:sz w:val="24"/>
                <w:highlight w:val="none"/>
              </w:rPr>
              <w:t>在确定成交供应商后，签订合同前，成交供应商须提供二份完整的纸质响应文件</w:t>
            </w:r>
            <w:r>
              <w:rPr>
                <w:rFonts w:hint="eastAsia" w:ascii="仿宋" w:hAnsi="仿宋" w:eastAsia="仿宋" w:cs="仿宋"/>
                <w:b/>
                <w:bCs/>
                <w:color w:val="auto"/>
                <w:sz w:val="24"/>
                <w:highlight w:val="none"/>
              </w:rPr>
              <w:t>（包括最后报价文件）</w:t>
            </w:r>
            <w:r>
              <w:rPr>
                <w:rFonts w:hint="eastAsia" w:ascii="仿宋" w:hAnsi="仿宋" w:eastAsia="仿宋" w:cs="仿宋"/>
                <w:bCs/>
                <w:color w:val="auto"/>
                <w:sz w:val="24"/>
                <w:highlight w:val="none"/>
              </w:rPr>
              <w:t>给采购人，纸质响应文件须与电子响应文件格式及内容一致。</w:t>
            </w:r>
          </w:p>
        </w:tc>
      </w:tr>
    </w:tbl>
    <w:p>
      <w:pPr>
        <w:pStyle w:val="3"/>
        <w:spacing w:line="560" w:lineRule="exact"/>
        <w:jc w:val="center"/>
        <w:rPr>
          <w:rFonts w:ascii="仿宋" w:hAnsi="仿宋" w:eastAsia="仿宋" w:cs="仿宋"/>
          <w:color w:val="auto"/>
          <w:sz w:val="28"/>
          <w:szCs w:val="28"/>
          <w:highlight w:val="none"/>
        </w:rPr>
      </w:pPr>
      <w:bookmarkStart w:id="11" w:name="_Toc113441587"/>
      <w:bookmarkStart w:id="12" w:name="_Toc452995896"/>
      <w:r>
        <w:rPr>
          <w:rFonts w:hint="eastAsia" w:ascii="仿宋" w:hAnsi="仿宋" w:eastAsia="仿宋" w:cs="仿宋"/>
          <w:color w:val="auto"/>
          <w:sz w:val="28"/>
          <w:szCs w:val="28"/>
          <w:highlight w:val="none"/>
        </w:rPr>
        <w:t>一、</w:t>
      </w:r>
      <w:bookmarkEnd w:id="11"/>
      <w:r>
        <w:rPr>
          <w:rFonts w:hint="eastAsia" w:ascii="仿宋" w:hAnsi="仿宋" w:eastAsia="仿宋" w:cs="仿宋"/>
          <w:color w:val="auto"/>
          <w:sz w:val="28"/>
          <w:szCs w:val="28"/>
          <w:highlight w:val="none"/>
        </w:rPr>
        <w:t>总  则</w:t>
      </w:r>
      <w:bookmarkEnd w:id="12"/>
    </w:p>
    <w:p>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1．概况</w:t>
      </w:r>
    </w:p>
    <w:p>
      <w:pPr>
        <w:tabs>
          <w:tab w:val="left" w:pos="90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1.1项目名称：</w:t>
      </w:r>
      <w:r>
        <w:rPr>
          <w:rFonts w:hint="eastAsia" w:ascii="仿宋" w:hAnsi="仿宋" w:eastAsia="仿宋" w:cs="宋体"/>
          <w:bCs/>
          <w:color w:val="auto"/>
          <w:sz w:val="24"/>
          <w:highlight w:val="none"/>
          <w:lang w:eastAsia="zh-CN"/>
        </w:rPr>
        <w:t>2024年度湖州人社核心应用软件系统运维保障服务采购项目（</w:t>
      </w:r>
      <w:r>
        <w:rPr>
          <w:rFonts w:hint="eastAsia" w:ascii="仿宋" w:hAnsi="仿宋" w:eastAsia="仿宋" w:cs="宋体"/>
          <w:bCs/>
          <w:color w:val="auto"/>
          <w:sz w:val="24"/>
          <w:highlight w:val="none"/>
          <w:lang w:val="en-US" w:eastAsia="zh-CN"/>
        </w:rPr>
        <w:t>标项二</w:t>
      </w:r>
      <w:r>
        <w:rPr>
          <w:rFonts w:hint="eastAsia" w:ascii="仿宋" w:hAnsi="仿宋" w:eastAsia="仿宋" w:cs="宋体"/>
          <w:bCs/>
          <w:color w:val="auto"/>
          <w:sz w:val="24"/>
          <w:highlight w:val="none"/>
          <w:lang w:eastAsia="zh-CN"/>
        </w:rPr>
        <w:t>）</w:t>
      </w:r>
      <w:r>
        <w:rPr>
          <w:rFonts w:hint="eastAsia" w:ascii="仿宋" w:hAnsi="仿宋" w:eastAsia="仿宋" w:cs="宋体"/>
          <w:bCs/>
          <w:color w:val="auto"/>
          <w:sz w:val="24"/>
          <w:highlight w:val="none"/>
        </w:rPr>
        <w:t>；</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1.2采购人：</w:t>
      </w:r>
      <w:r>
        <w:rPr>
          <w:rFonts w:hint="eastAsia" w:ascii="仿宋" w:hAnsi="仿宋" w:eastAsia="仿宋" w:cs="仿宋"/>
          <w:bCs/>
          <w:color w:val="auto"/>
          <w:sz w:val="24"/>
          <w:highlight w:val="none"/>
          <w:lang w:eastAsia="zh-CN"/>
        </w:rPr>
        <w:t>湖州市人力资源和社会保障信息中心</w:t>
      </w:r>
      <w:r>
        <w:rPr>
          <w:rFonts w:hint="eastAsia" w:ascii="仿宋" w:hAnsi="仿宋" w:eastAsia="仿宋" w:cs="仿宋"/>
          <w:color w:val="auto"/>
          <w:sz w:val="24"/>
          <w:highlight w:val="none"/>
        </w:rPr>
        <w:t>；</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1.3监管部门: 湖州市财政局政府采购监管处；</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1.4项目资金来源：已得到政府有关部门的批准，其资金来源已落实；</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1.5采购方式:竞争性磋商；</w:t>
      </w:r>
    </w:p>
    <w:p>
      <w:pPr>
        <w:spacing w:line="560" w:lineRule="exact"/>
        <w:ind w:firstLine="480" w:firstLineChars="200"/>
        <w:rPr>
          <w:rFonts w:ascii="仿宋" w:hAnsi="仿宋" w:eastAsia="仿宋" w:cs="仿宋"/>
          <w:b/>
          <w:bCs/>
          <w:color w:val="auto"/>
          <w:sz w:val="24"/>
          <w:highlight w:val="none"/>
        </w:rPr>
      </w:pPr>
      <w:r>
        <w:rPr>
          <w:rFonts w:hint="eastAsia" w:ascii="仿宋" w:hAnsi="仿宋" w:eastAsia="仿宋" w:cs="仿宋"/>
          <w:color w:val="auto"/>
          <w:sz w:val="24"/>
          <w:highlight w:val="none"/>
        </w:rPr>
        <w:t>1.6采购项目服务地点：</w:t>
      </w:r>
      <w:r>
        <w:rPr>
          <w:rFonts w:hint="eastAsia" w:ascii="仿宋" w:hAnsi="仿宋" w:eastAsia="仿宋" w:cs="仿宋"/>
          <w:bCs/>
          <w:color w:val="auto"/>
          <w:sz w:val="24"/>
          <w:highlight w:val="none"/>
        </w:rPr>
        <w:t>根据采购人指令</w:t>
      </w:r>
      <w:r>
        <w:rPr>
          <w:rFonts w:hint="eastAsia" w:ascii="仿宋" w:hAnsi="仿宋" w:eastAsia="仿宋" w:cs="仿宋"/>
          <w:color w:val="auto"/>
          <w:sz w:val="24"/>
          <w:highlight w:val="none"/>
        </w:rPr>
        <w:t>；</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bCs/>
          <w:color w:val="auto"/>
          <w:sz w:val="24"/>
          <w:highlight w:val="none"/>
        </w:rPr>
        <w:t>1.7</w:t>
      </w:r>
      <w:r>
        <w:rPr>
          <w:rFonts w:hint="eastAsia" w:ascii="仿宋" w:hAnsi="仿宋" w:eastAsia="仿宋" w:cs="仿宋"/>
          <w:color w:val="auto"/>
          <w:sz w:val="24"/>
          <w:highlight w:val="none"/>
        </w:rPr>
        <w:t>采购代理机构：浙江新诚信工程咨询有限公司 ；</w:t>
      </w:r>
    </w:p>
    <w:p>
      <w:pPr>
        <w:tabs>
          <w:tab w:val="left" w:pos="90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1.8本磋商文件适用于</w:t>
      </w:r>
      <w:r>
        <w:rPr>
          <w:rFonts w:hint="eastAsia" w:ascii="仿宋" w:hAnsi="仿宋" w:eastAsia="仿宋" w:cs="仿宋"/>
          <w:bCs/>
          <w:color w:val="auto"/>
          <w:sz w:val="24"/>
          <w:highlight w:val="none"/>
        </w:rPr>
        <w:t>本</w:t>
      </w:r>
      <w:r>
        <w:rPr>
          <w:rFonts w:hint="eastAsia" w:ascii="仿宋" w:hAnsi="仿宋" w:eastAsia="仿宋" w:cs="仿宋"/>
          <w:color w:val="auto"/>
          <w:sz w:val="24"/>
          <w:highlight w:val="none"/>
        </w:rPr>
        <w:t>项目的磋商、成交、验收、合同履约、付款等（如法律、法规或省级以上规范性文件另有规定的，从其规定）。</w:t>
      </w:r>
    </w:p>
    <w:p>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2．供应商的资格条件</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符合《中华人民共和国政府采购法》第二十二条规定且未被“信用中国”（www.creditchina.gov.cn）、“中国政府采购网”（www.ccgp.gov.cn）等列入失信被执行人、重大税收违法案件当事人名单、政府采购严重违法失信行为记录名单。</w:t>
      </w:r>
    </w:p>
    <w:p>
      <w:pPr>
        <w:spacing w:line="560" w:lineRule="exact"/>
        <w:ind w:firstLine="240" w:firstLineChars="100"/>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本项目专门面向中小企业采购, 供应商需符合《政府采购促进中小企业发展管理办法》（财库【2020】46号）和提供本采购文件规定的《中小企业声明函》(监狱企业参加投标提供《监狱企业声明函》及其相关的证明材料、残疾人福利性单位参加投标提供《残疾人福利性单位声明函》，视为小型、微型企业，享受小微企业政策扶持)。</w:t>
      </w:r>
    </w:p>
    <w:p>
      <w:pPr>
        <w:spacing w:line="560" w:lineRule="exact"/>
        <w:ind w:firstLine="240" w:firstLineChars="10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2.3</w:t>
      </w:r>
      <w:r>
        <w:rPr>
          <w:rFonts w:hint="eastAsia" w:ascii="仿宋" w:hAnsi="仿宋" w:eastAsia="仿宋" w:cs="仿宋"/>
          <w:color w:val="auto"/>
          <w:sz w:val="24"/>
          <w:highlight w:val="none"/>
        </w:rPr>
        <w:t>本项目不接受联合体磋商。</w:t>
      </w:r>
    </w:p>
    <w:p>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3．磋商费用</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bCs/>
          <w:color w:val="auto"/>
          <w:sz w:val="24"/>
          <w:highlight w:val="none"/>
        </w:rPr>
        <w:t>3.1无论磋商采购结果如何，供应商均应自行承担所有与参加本次磋商采购有关的全部费用。</w:t>
      </w:r>
      <w:r>
        <w:rPr>
          <w:rFonts w:hint="eastAsia" w:ascii="仿宋" w:hAnsi="仿宋" w:eastAsia="仿宋" w:cs="仿宋"/>
          <w:color w:val="auto"/>
          <w:sz w:val="24"/>
          <w:highlight w:val="none"/>
        </w:rPr>
        <w:t>不论磋商结果如何，采购代理机构对上述费用不负任何责任；</w:t>
      </w:r>
    </w:p>
    <w:p>
      <w:pPr>
        <w:spacing w:line="560" w:lineRule="exact"/>
        <w:ind w:firstLine="480" w:firstLineChars="200"/>
        <w:rPr>
          <w:rFonts w:ascii="仿宋" w:hAnsi="仿宋" w:eastAsia="仿宋" w:cs="仿宋"/>
          <w:b/>
          <w:color w:val="auto"/>
          <w:sz w:val="44"/>
          <w:szCs w:val="44"/>
          <w:highlight w:val="none"/>
        </w:rPr>
      </w:pPr>
      <w:r>
        <w:rPr>
          <w:rFonts w:hint="eastAsia" w:ascii="仿宋" w:hAnsi="仿宋" w:eastAsia="仿宋" w:cs="仿宋"/>
          <w:bCs/>
          <w:color w:val="auto"/>
          <w:sz w:val="24"/>
          <w:highlight w:val="none"/>
        </w:rPr>
        <w:t>3.2本项目磋商代理费按人民币</w:t>
      </w:r>
      <w:r>
        <w:rPr>
          <w:rFonts w:hint="eastAsia" w:ascii="仿宋" w:hAnsi="仿宋" w:eastAsia="仿宋" w:cs="仿宋"/>
          <w:bCs/>
          <w:color w:val="auto"/>
          <w:sz w:val="24"/>
          <w:highlight w:val="none"/>
          <w:u w:val="single"/>
          <w:lang w:val="en-US" w:eastAsia="zh-CN"/>
        </w:rPr>
        <w:t>15800</w:t>
      </w:r>
      <w:r>
        <w:rPr>
          <w:rFonts w:hint="eastAsia" w:ascii="仿宋" w:hAnsi="仿宋" w:eastAsia="仿宋" w:cs="仿宋"/>
          <w:bCs/>
          <w:color w:val="auto"/>
          <w:sz w:val="24"/>
          <w:highlight w:val="none"/>
          <w:u w:val="single"/>
        </w:rPr>
        <w:t>元</w:t>
      </w:r>
      <w:r>
        <w:rPr>
          <w:rFonts w:hint="eastAsia" w:ascii="仿宋" w:hAnsi="仿宋" w:eastAsia="仿宋" w:cs="仿宋"/>
          <w:bCs/>
          <w:color w:val="auto"/>
          <w:sz w:val="24"/>
          <w:highlight w:val="none"/>
        </w:rPr>
        <w:t>计取，由成交供应商在领取成交通知书前一次性支付给采购代理机构，该费用请综合考虑在响应报价中。</w:t>
      </w:r>
    </w:p>
    <w:p>
      <w:pPr>
        <w:pStyle w:val="3"/>
        <w:spacing w:line="560" w:lineRule="exact"/>
        <w:jc w:val="center"/>
        <w:rPr>
          <w:rFonts w:ascii="仿宋" w:hAnsi="仿宋" w:eastAsia="仿宋" w:cs="仿宋"/>
          <w:color w:val="auto"/>
          <w:kern w:val="44"/>
          <w:sz w:val="28"/>
          <w:szCs w:val="28"/>
          <w:highlight w:val="none"/>
        </w:rPr>
      </w:pPr>
      <w:bookmarkStart w:id="13" w:name="_Toc452995897"/>
      <w:r>
        <w:rPr>
          <w:rFonts w:hint="eastAsia" w:ascii="仿宋" w:hAnsi="仿宋" w:eastAsia="仿宋" w:cs="仿宋"/>
          <w:color w:val="auto"/>
          <w:kern w:val="44"/>
          <w:sz w:val="28"/>
          <w:szCs w:val="28"/>
          <w:highlight w:val="none"/>
        </w:rPr>
        <w:t>二、磋商文件的说明</w:t>
      </w:r>
      <w:bookmarkEnd w:id="13"/>
    </w:p>
    <w:p>
      <w:pPr>
        <w:spacing w:line="560" w:lineRule="exact"/>
        <w:rPr>
          <w:rFonts w:ascii="仿宋" w:hAnsi="仿宋" w:eastAsia="仿宋" w:cs="仿宋"/>
          <w:color w:val="auto"/>
          <w:kern w:val="44"/>
          <w:sz w:val="24"/>
          <w:highlight w:val="none"/>
        </w:rPr>
      </w:pPr>
      <w:bookmarkStart w:id="14" w:name="_Toc113441589"/>
      <w:r>
        <w:rPr>
          <w:rFonts w:hint="eastAsia" w:ascii="仿宋" w:hAnsi="仿宋" w:eastAsia="仿宋" w:cs="仿宋"/>
          <w:color w:val="auto"/>
          <w:kern w:val="44"/>
          <w:sz w:val="24"/>
          <w:highlight w:val="none"/>
        </w:rPr>
        <w:t>4．磋商文件</w:t>
      </w:r>
      <w:bookmarkEnd w:id="14"/>
      <w:r>
        <w:rPr>
          <w:rFonts w:hint="eastAsia" w:ascii="仿宋" w:hAnsi="仿宋" w:eastAsia="仿宋" w:cs="仿宋"/>
          <w:color w:val="auto"/>
          <w:kern w:val="44"/>
          <w:sz w:val="24"/>
          <w:highlight w:val="none"/>
        </w:rPr>
        <w:t>的组成</w:t>
      </w:r>
    </w:p>
    <w:p>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4.1</w:t>
      </w:r>
      <w:r>
        <w:rPr>
          <w:rFonts w:hint="eastAsia" w:ascii="仿宋" w:hAnsi="仿宋" w:eastAsia="仿宋" w:cs="仿宋"/>
          <w:bCs/>
          <w:color w:val="auto"/>
          <w:sz w:val="24"/>
          <w:highlight w:val="none"/>
        </w:rPr>
        <w:t>磋商文件为本次采购人发出的竞争性磋商文件；响应文件为参加磋商的供应商提交的磋商响应文件。</w:t>
      </w:r>
    </w:p>
    <w:p>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4.2磋商文件包括以下内容：</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4.2.1第一章  竞争性磋商公告</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4.2.2第二章  项目采购需求</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4.2.3第三章  供应商须知</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4.2.4第四章  合同主要条款</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4.2.5第五章  响应文件格式</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4.2.6第六章  磋商办法及评分标准</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4.3 采购代理机构在磋商截止时间前，以书面形式发出的对磋商文件的澄清或修改内容，均为磋商文件的组成部分，对采购人和供应商起约束作用；</w:t>
      </w:r>
    </w:p>
    <w:p>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4.4供应商获取磋商文件后，应仔细检查磋商文件的所有内容，如有残缺等问题，均应在获得磋商文件后在1个工作日内向采购代理机构书面提出，否则，由此引起的损失由供应商自己承担。供应商同时应认真审阅竞争性磋商文件中所有的事项、格式、条款和规范要求（包括补充内容）等所有内容，若供应商的响应文件没有按磋商文件要求提交全部资料，或响应文件没有对磋商文件做出实质性响应，其风险由供应商自行承担，并根据有关条款规定，该响应文件有可能被拒绝。</w:t>
      </w:r>
    </w:p>
    <w:p>
      <w:pPr>
        <w:spacing w:line="560" w:lineRule="exact"/>
        <w:rPr>
          <w:rFonts w:ascii="仿宋" w:hAnsi="仿宋" w:eastAsia="仿宋" w:cs="仿宋"/>
          <w:color w:val="auto"/>
          <w:sz w:val="24"/>
          <w:highlight w:val="none"/>
        </w:rPr>
      </w:pPr>
      <w:r>
        <w:rPr>
          <w:rFonts w:hint="eastAsia" w:ascii="仿宋" w:hAnsi="仿宋" w:eastAsia="仿宋" w:cs="仿宋"/>
          <w:bCs/>
          <w:color w:val="auto"/>
          <w:sz w:val="24"/>
          <w:highlight w:val="none"/>
        </w:rPr>
        <w:t>5.</w:t>
      </w:r>
      <w:r>
        <w:rPr>
          <w:rFonts w:hint="eastAsia" w:ascii="仿宋" w:hAnsi="仿宋" w:eastAsia="仿宋" w:cs="仿宋"/>
          <w:color w:val="auto"/>
          <w:sz w:val="24"/>
          <w:highlight w:val="none"/>
        </w:rPr>
        <w:t>磋商文件的答疑</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5.1供应商如认为磋商文件表述不清晰、存在歧视性或者其他违法内容的，应当在2024年</w:t>
      </w: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日17：00分前以书面（含传真）形式向采购代理机构一次性提出，采购人将在规定的时间内统一进行澄清和修改，并书面（含传真）通知所有认购磋商文件的供应商。供应商未按规定要求提出的，则视同认可磋商文件，但法律法规及规范性文件有明确规定的除外；</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5.2答疑内容是磋商文件的组成部分，并将在网上发布补充（答疑、澄清）文件，潜在供应商应自行关注网站公告，采购人不再一一通知，供应商因自身贻误行为导致磋商失效的，责任自负。</w:t>
      </w:r>
    </w:p>
    <w:p>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6.磋商文件的澄清、修改</w:t>
      </w:r>
    </w:p>
    <w:p>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6.1</w:t>
      </w:r>
      <w:r>
        <w:rPr>
          <w:rFonts w:hint="eastAsia" w:ascii="仿宋" w:hAnsi="仿宋" w:eastAsia="仿宋" w:cs="仿宋"/>
          <w:bCs/>
          <w:color w:val="auto"/>
          <w:sz w:val="24"/>
          <w:highlight w:val="none"/>
        </w:rPr>
        <w:t>在磋商截止时间前，采购人及采购代理机构无论出于自己的考虑，还是出于对供应商提问的澄清，均可对磋商文件用补充文件的方式进行修改</w:t>
      </w:r>
      <w:r>
        <w:rPr>
          <w:rFonts w:hint="eastAsia" w:ascii="仿宋" w:hAnsi="仿宋" w:eastAsia="仿宋" w:cs="仿宋"/>
          <w:color w:val="auto"/>
          <w:sz w:val="24"/>
          <w:highlight w:val="none"/>
        </w:rPr>
        <w:t>；</w:t>
      </w:r>
    </w:p>
    <w:p>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6.2</w:t>
      </w:r>
      <w:r>
        <w:rPr>
          <w:rFonts w:hint="eastAsia" w:ascii="仿宋" w:hAnsi="仿宋" w:eastAsia="仿宋" w:cs="仿宋"/>
          <w:bCs/>
          <w:color w:val="auto"/>
          <w:sz w:val="24"/>
          <w:highlight w:val="none"/>
        </w:rPr>
        <w:t>对磋商文件的修改，将以书面、或传真的形式通知已购买同一磋商文件的每一供应商。补充文件将作为磋商文件的组成部分，对所有供应商有约束力。供应商在收到该补充文件后，应以书面方式予以确认</w:t>
      </w:r>
      <w:r>
        <w:rPr>
          <w:rFonts w:hint="eastAsia" w:ascii="仿宋" w:hAnsi="仿宋" w:eastAsia="仿宋" w:cs="仿宋"/>
          <w:color w:val="auto"/>
          <w:sz w:val="24"/>
          <w:highlight w:val="none"/>
        </w:rPr>
        <w:t>。</w:t>
      </w:r>
    </w:p>
    <w:p>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7.供应商应当按照磋商文件的要求编制响应文件。响应文件应对磋商文件提出的要求和条件作出实质性响应（如对服务期限、售后服务、合同主要条款及其它要求等内容作出满足或者优于磋商文件要求和条件的承诺）。</w:t>
      </w:r>
    </w:p>
    <w:p>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8.响应文件的签署</w:t>
      </w:r>
    </w:p>
    <w:p>
      <w:pPr>
        <w:spacing w:line="560" w:lineRule="exact"/>
        <w:ind w:firstLine="482" w:firstLineChars="200"/>
        <w:rPr>
          <w:rFonts w:ascii="仿宋" w:hAnsi="仿宋" w:eastAsia="仿宋" w:cs="仿宋"/>
          <w:b/>
          <w:color w:val="auto"/>
          <w:sz w:val="24"/>
          <w:highlight w:val="none"/>
        </w:rPr>
      </w:pPr>
      <w:r>
        <w:rPr>
          <w:rFonts w:hint="eastAsia" w:ascii="仿宋" w:hAnsi="仿宋" w:eastAsia="仿宋" w:cs="仿宋"/>
          <w:b/>
          <w:color w:val="auto"/>
          <w:sz w:val="24"/>
          <w:highlight w:val="none"/>
        </w:rPr>
        <w:t>8.1响应文件的形式与效力：</w:t>
      </w:r>
    </w:p>
    <w:p>
      <w:pPr>
        <w:tabs>
          <w:tab w:val="left" w:pos="3870"/>
          <w:tab w:val="left" w:pos="4085"/>
        </w:tabs>
        <w:snapToGrid w:val="0"/>
        <w:spacing w:line="560" w:lineRule="exact"/>
        <w:ind w:firstLine="240" w:firstLineChars="100"/>
        <w:jc w:val="left"/>
        <w:rPr>
          <w:rFonts w:ascii="仿宋" w:hAnsi="仿宋" w:eastAsia="仿宋" w:cs="仿宋"/>
          <w:color w:val="auto"/>
          <w:sz w:val="24"/>
          <w:highlight w:val="none"/>
        </w:rPr>
      </w:pPr>
      <w:r>
        <w:rPr>
          <w:rFonts w:hint="eastAsia" w:ascii="仿宋" w:hAnsi="仿宋" w:eastAsia="仿宋" w:cs="仿宋"/>
          <w:color w:val="auto"/>
          <w:sz w:val="24"/>
          <w:highlight w:val="none"/>
        </w:rPr>
        <w:t>（一）响应文件分为电子响应文件及数据电子备份响应文件（U盘），具体内容如下：</w:t>
      </w:r>
    </w:p>
    <w:p>
      <w:pPr>
        <w:tabs>
          <w:tab w:val="left" w:pos="3870"/>
          <w:tab w:val="left" w:pos="4085"/>
        </w:tabs>
        <w:snapToGrid w:val="0"/>
        <w:spacing w:line="56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（1）电子响应文件：按政采云平台项目采购-电子交易操作指南及本磋商文件要求制作、加密并递交，供应商电子交易操作指南详见网址：https://zfcg.czt.zj.gov.cn/）。</w:t>
      </w:r>
    </w:p>
    <w:p>
      <w:pPr>
        <w:tabs>
          <w:tab w:val="left" w:pos="3870"/>
          <w:tab w:val="left" w:pos="4085"/>
        </w:tabs>
        <w:snapToGrid w:val="0"/>
        <w:spacing w:line="56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数据电子备份响应文件（U盘）：以U盘形式提供的数据电子备份响应文件格式及内容须与政采云平台项目采购-电子交易操作指南中制作、加密并递交的电子响应文件格式及内容一致。数据电子备份响应文件应加密，允许制作成一个U盘，但须密封、包装，不按此规定密封、包装的数据电子备份响应文件（U盘）均按未提供处理。</w:t>
      </w:r>
    </w:p>
    <w:p>
      <w:pPr>
        <w:tabs>
          <w:tab w:val="left" w:pos="3870"/>
          <w:tab w:val="left" w:pos="4085"/>
        </w:tabs>
        <w:snapToGrid w:val="0"/>
        <w:spacing w:line="560" w:lineRule="exact"/>
        <w:ind w:firstLine="240" w:firstLineChars="100"/>
        <w:jc w:val="left"/>
        <w:rPr>
          <w:rFonts w:ascii="仿宋" w:hAnsi="仿宋" w:eastAsia="仿宋" w:cs="仿宋"/>
          <w:color w:val="auto"/>
          <w:sz w:val="24"/>
          <w:highlight w:val="none"/>
        </w:rPr>
      </w:pPr>
      <w:r>
        <w:rPr>
          <w:rFonts w:hint="eastAsia" w:ascii="仿宋" w:hAnsi="仿宋" w:eastAsia="仿宋" w:cs="仿宋"/>
          <w:color w:val="auto"/>
          <w:sz w:val="24"/>
          <w:highlight w:val="none"/>
        </w:rPr>
        <w:t>（二）响应文件的效力：</w:t>
      </w:r>
    </w:p>
    <w:p>
      <w:pPr>
        <w:tabs>
          <w:tab w:val="left" w:pos="3870"/>
          <w:tab w:val="left" w:pos="4085"/>
        </w:tabs>
        <w:snapToGrid w:val="0"/>
        <w:spacing w:line="560" w:lineRule="exact"/>
        <w:ind w:firstLine="480" w:firstLineChars="200"/>
        <w:jc w:val="left"/>
        <w:rPr>
          <w:rFonts w:ascii="仿宋" w:hAnsi="仿宋" w:eastAsia="仿宋" w:cs="仿宋"/>
          <w:bCs/>
          <w:color w:val="auto"/>
          <w:sz w:val="24"/>
          <w:highlight w:val="none"/>
        </w:rPr>
      </w:pPr>
      <w:r>
        <w:rPr>
          <w:rFonts w:hint="eastAsia" w:ascii="仿宋" w:hAnsi="仿宋" w:eastAsia="仿宋" w:cs="仿宋"/>
          <w:bCs/>
          <w:color w:val="auto"/>
          <w:sz w:val="24"/>
          <w:highlight w:val="none"/>
        </w:rPr>
        <w:t>响应文件的启用：按先后顺位分别为电子响应文件、数据电子备份响应文件（U盘）。整个磋商过程中若因供应商问题造成电子响应文件无法正常解密的，均认定为未提交电子响应文件，作无效标处理。若因网络或者其他非供应商问题造成电子响应文件无法正常解密的，启用数据电子备份响应文件（U盘），因供应商自身原因造成数据电子备份响应文件（U盘）无法打开的，作无效标处理。若正常解密成功，则数据电子备份响应文件（U盘）不予开启。在下一顺位的响应文件启用时，前一顺位的响应文件自动失效。</w:t>
      </w:r>
    </w:p>
    <w:p>
      <w:pPr>
        <w:tabs>
          <w:tab w:val="left" w:pos="3870"/>
          <w:tab w:val="left" w:pos="4085"/>
        </w:tabs>
        <w:snapToGrid w:val="0"/>
        <w:spacing w:line="560" w:lineRule="exact"/>
        <w:ind w:firstLine="480" w:firstLineChars="200"/>
        <w:jc w:val="left"/>
        <w:rPr>
          <w:rFonts w:ascii="仿宋" w:hAnsi="仿宋" w:eastAsia="仿宋" w:cs="仿宋"/>
          <w:bCs/>
          <w:color w:val="auto"/>
          <w:sz w:val="24"/>
          <w:highlight w:val="none"/>
        </w:rPr>
      </w:pPr>
      <w:r>
        <w:rPr>
          <w:rFonts w:hint="eastAsia" w:ascii="仿宋" w:hAnsi="仿宋" w:eastAsia="仿宋" w:cs="仿宋"/>
          <w:bCs/>
          <w:color w:val="auto"/>
          <w:sz w:val="24"/>
          <w:highlight w:val="none"/>
        </w:rPr>
        <w:t>8.2响应文件的组成（如无格式、格式自拟）</w:t>
      </w:r>
    </w:p>
    <w:p>
      <w:pPr>
        <w:tabs>
          <w:tab w:val="left" w:pos="3870"/>
          <w:tab w:val="left" w:pos="4085"/>
        </w:tabs>
        <w:snapToGrid w:val="0"/>
        <w:spacing w:line="56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响应文件（包括电子响应文件及数据电子备份响应文件（U盘））由</w:t>
      </w:r>
      <w:bookmarkStart w:id="15" w:name="_Hlk69030389"/>
      <w:r>
        <w:rPr>
          <w:rFonts w:hint="eastAsia" w:ascii="仿宋" w:hAnsi="仿宋" w:eastAsia="仿宋" w:cs="仿宋"/>
          <w:color w:val="auto"/>
          <w:sz w:val="24"/>
          <w:highlight w:val="none"/>
        </w:rPr>
        <w:t>《技术、商务、资信及其他文件》</w:t>
      </w:r>
      <w:bookmarkEnd w:id="15"/>
      <w:r>
        <w:rPr>
          <w:rFonts w:hint="eastAsia" w:ascii="仿宋" w:hAnsi="仿宋" w:eastAsia="仿宋" w:cs="仿宋"/>
          <w:color w:val="auto"/>
          <w:sz w:val="24"/>
          <w:highlight w:val="none"/>
        </w:rPr>
        <w:t>和《首次报价文件》两部分组成，其中电子响应文件中所须加盖公章部分均采用CA签章。</w:t>
      </w:r>
    </w:p>
    <w:p>
      <w:pPr>
        <w:tabs>
          <w:tab w:val="left" w:pos="3870"/>
          <w:tab w:val="left" w:pos="4085"/>
        </w:tabs>
        <w:snapToGrid w:val="0"/>
        <w:spacing w:line="560" w:lineRule="exact"/>
        <w:jc w:val="left"/>
        <w:rPr>
          <w:rFonts w:ascii="仿宋" w:hAnsi="仿宋" w:eastAsia="仿宋" w:cs="仿宋"/>
          <w:b/>
          <w:bCs/>
          <w:color w:val="auto"/>
          <w:sz w:val="24"/>
          <w:highlight w:val="none"/>
        </w:rPr>
      </w:pPr>
      <w:bookmarkStart w:id="16" w:name="_Hlk69030881"/>
      <w:r>
        <w:rPr>
          <w:rFonts w:hint="eastAsia" w:ascii="仿宋" w:hAnsi="仿宋" w:eastAsia="仿宋" w:cs="仿宋"/>
          <w:b/>
          <w:bCs/>
          <w:color w:val="auto"/>
          <w:sz w:val="24"/>
          <w:highlight w:val="none"/>
        </w:rPr>
        <w:t>（一）《技术、商务、资信及其他文件</w:t>
      </w:r>
      <w:bookmarkEnd w:id="16"/>
      <w:r>
        <w:rPr>
          <w:rFonts w:hint="eastAsia" w:ascii="仿宋" w:hAnsi="仿宋" w:eastAsia="仿宋" w:cs="仿宋"/>
          <w:b/>
          <w:bCs/>
          <w:color w:val="auto"/>
          <w:sz w:val="24"/>
          <w:highlight w:val="none"/>
        </w:rPr>
        <w:t>》</w:t>
      </w:r>
    </w:p>
    <w:p>
      <w:pPr>
        <w:tabs>
          <w:tab w:val="left" w:pos="3870"/>
          <w:tab w:val="left" w:pos="4085"/>
        </w:tabs>
        <w:snapToGrid w:val="0"/>
        <w:spacing w:line="560" w:lineRule="exact"/>
        <w:jc w:val="left"/>
        <w:rPr>
          <w:rFonts w:ascii="仿宋" w:hAnsi="仿宋" w:eastAsia="仿宋" w:cs="仿宋"/>
          <w:b/>
          <w:color w:val="auto"/>
          <w:sz w:val="24"/>
          <w:highlight w:val="none"/>
        </w:rPr>
      </w:pPr>
      <w:r>
        <w:rPr>
          <w:rFonts w:hint="eastAsia" w:ascii="仿宋" w:hAnsi="仿宋" w:eastAsia="仿宋" w:cs="仿宋"/>
          <w:b/>
          <w:color w:val="auto"/>
          <w:sz w:val="24"/>
          <w:highlight w:val="none"/>
        </w:rPr>
        <w:t>（1）供应商自评分索引表</w:t>
      </w:r>
      <w:r>
        <w:rPr>
          <w:rFonts w:hint="eastAsia" w:ascii="仿宋" w:hAnsi="仿宋" w:eastAsia="仿宋" w:cs="仿宋"/>
          <w:color w:val="auto"/>
          <w:sz w:val="24"/>
          <w:highlight w:val="none"/>
        </w:rPr>
        <w:t>（格式见第五章）；</w:t>
      </w:r>
    </w:p>
    <w:p>
      <w:pPr>
        <w:tabs>
          <w:tab w:val="left" w:pos="3870"/>
          <w:tab w:val="left" w:pos="4085"/>
        </w:tabs>
        <w:snapToGrid w:val="0"/>
        <w:spacing w:line="560" w:lineRule="exact"/>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（2）技术部分：</w:t>
      </w:r>
    </w:p>
    <w:p>
      <w:pPr>
        <w:tabs>
          <w:tab w:val="left" w:pos="3870"/>
          <w:tab w:val="left" w:pos="4085"/>
        </w:tabs>
        <w:snapToGrid w:val="0"/>
        <w:spacing w:line="560" w:lineRule="exact"/>
        <w:ind w:firstLine="480" w:firstLineChars="200"/>
        <w:jc w:val="left"/>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①项目理解情况</w:t>
      </w:r>
      <w:r>
        <w:rPr>
          <w:rFonts w:hint="eastAsia" w:ascii="仿宋" w:hAnsi="仿宋" w:eastAsia="仿宋" w:cs="仿宋"/>
          <w:color w:val="auto"/>
          <w:sz w:val="24"/>
          <w:highlight w:val="none"/>
          <w:lang w:eastAsia="zh-CN"/>
        </w:rPr>
        <w:t>；</w:t>
      </w:r>
    </w:p>
    <w:p>
      <w:pPr>
        <w:tabs>
          <w:tab w:val="left" w:pos="3870"/>
          <w:tab w:val="left" w:pos="4085"/>
        </w:tabs>
        <w:snapToGrid w:val="0"/>
        <w:spacing w:line="560" w:lineRule="exact"/>
        <w:ind w:firstLine="480" w:firstLineChars="200"/>
        <w:jc w:val="left"/>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②项目分析方案</w:t>
      </w:r>
      <w:r>
        <w:rPr>
          <w:rFonts w:hint="eastAsia" w:ascii="仿宋" w:hAnsi="仿宋" w:eastAsia="仿宋" w:cs="仿宋"/>
          <w:color w:val="auto"/>
          <w:sz w:val="24"/>
          <w:highlight w:val="none"/>
          <w:lang w:eastAsia="zh-CN"/>
        </w:rPr>
        <w:t>；</w:t>
      </w:r>
    </w:p>
    <w:p>
      <w:pPr>
        <w:tabs>
          <w:tab w:val="left" w:pos="3870"/>
          <w:tab w:val="left" w:pos="4085"/>
        </w:tabs>
        <w:snapToGrid w:val="0"/>
        <w:spacing w:line="560" w:lineRule="exact"/>
        <w:ind w:firstLine="480" w:firstLineChars="200"/>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③技术</w:t>
      </w:r>
      <w:r>
        <w:rPr>
          <w:rFonts w:hint="eastAsia" w:ascii="仿宋" w:hAnsi="仿宋" w:eastAsia="仿宋" w:cs="仿宋"/>
          <w:color w:val="auto"/>
          <w:sz w:val="24"/>
          <w:highlight w:val="none"/>
        </w:rPr>
        <w:t>方案</w:t>
      </w:r>
      <w:r>
        <w:rPr>
          <w:rFonts w:hint="eastAsia" w:ascii="仿宋" w:hAnsi="仿宋" w:eastAsia="仿宋" w:cs="仿宋"/>
          <w:color w:val="auto"/>
          <w:sz w:val="24"/>
          <w:highlight w:val="none"/>
          <w:lang w:eastAsia="zh-CN"/>
        </w:rPr>
        <w:t>；</w:t>
      </w:r>
    </w:p>
    <w:p>
      <w:pPr>
        <w:tabs>
          <w:tab w:val="left" w:pos="3870"/>
          <w:tab w:val="left" w:pos="4085"/>
        </w:tabs>
        <w:snapToGrid w:val="0"/>
        <w:spacing w:line="560" w:lineRule="exact"/>
        <w:ind w:firstLine="480" w:firstLineChars="200"/>
        <w:jc w:val="left"/>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④实施保障方案</w:t>
      </w:r>
      <w:r>
        <w:rPr>
          <w:rFonts w:hint="eastAsia" w:ascii="仿宋" w:hAnsi="仿宋" w:eastAsia="仿宋" w:cs="仿宋"/>
          <w:color w:val="auto"/>
          <w:sz w:val="24"/>
          <w:highlight w:val="none"/>
          <w:lang w:eastAsia="zh-CN"/>
        </w:rPr>
        <w:t>；</w:t>
      </w:r>
    </w:p>
    <w:p>
      <w:pPr>
        <w:tabs>
          <w:tab w:val="left" w:pos="3870"/>
          <w:tab w:val="left" w:pos="4085"/>
        </w:tabs>
        <w:snapToGrid w:val="0"/>
        <w:spacing w:line="560" w:lineRule="exact"/>
        <w:ind w:firstLine="480" w:firstLineChars="200"/>
        <w:jc w:val="left"/>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⑤应急方案</w:t>
      </w:r>
      <w:r>
        <w:rPr>
          <w:rFonts w:hint="eastAsia" w:ascii="仿宋" w:hAnsi="仿宋" w:eastAsia="仿宋" w:cs="仿宋"/>
          <w:color w:val="auto"/>
          <w:sz w:val="24"/>
          <w:highlight w:val="none"/>
          <w:lang w:eastAsia="zh-CN"/>
        </w:rPr>
        <w:t>；</w:t>
      </w:r>
    </w:p>
    <w:p>
      <w:pPr>
        <w:tabs>
          <w:tab w:val="left" w:pos="3870"/>
          <w:tab w:val="left" w:pos="4085"/>
        </w:tabs>
        <w:snapToGrid w:val="0"/>
        <w:spacing w:line="560" w:lineRule="exact"/>
        <w:ind w:firstLine="480" w:firstLineChars="200"/>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⑥员工培训；</w:t>
      </w:r>
    </w:p>
    <w:p>
      <w:pPr>
        <w:tabs>
          <w:tab w:val="left" w:pos="3870"/>
          <w:tab w:val="left" w:pos="4085"/>
        </w:tabs>
        <w:snapToGrid w:val="0"/>
        <w:spacing w:line="560" w:lineRule="exact"/>
        <w:ind w:firstLine="480" w:firstLineChars="200"/>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⑦技术团队方案；</w:t>
      </w:r>
    </w:p>
    <w:p>
      <w:pPr>
        <w:tabs>
          <w:tab w:val="left" w:pos="3870"/>
          <w:tab w:val="left" w:pos="4085"/>
        </w:tabs>
        <w:snapToGrid w:val="0"/>
        <w:spacing w:line="560" w:lineRule="exact"/>
        <w:ind w:firstLine="480" w:firstLineChars="200"/>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⑧技术团队配置</w:t>
      </w:r>
      <w:r>
        <w:rPr>
          <w:rFonts w:hint="eastAsia" w:ascii="仿宋" w:hAnsi="仿宋" w:eastAsia="仿宋" w:cs="仿宋"/>
          <w:color w:val="auto"/>
          <w:sz w:val="24"/>
          <w:highlight w:val="none"/>
        </w:rPr>
        <w:t>（格式见第五章）</w:t>
      </w:r>
      <w:r>
        <w:rPr>
          <w:rFonts w:hint="eastAsia" w:ascii="仿宋" w:hAnsi="仿宋" w:eastAsia="仿宋" w:cs="仿宋"/>
          <w:color w:val="auto"/>
          <w:sz w:val="24"/>
          <w:highlight w:val="none"/>
          <w:lang w:val="en-US" w:eastAsia="zh-CN"/>
        </w:rPr>
        <w:t>；</w:t>
      </w:r>
    </w:p>
    <w:p>
      <w:pPr>
        <w:tabs>
          <w:tab w:val="left" w:pos="3870"/>
          <w:tab w:val="left" w:pos="4085"/>
        </w:tabs>
        <w:snapToGrid w:val="0"/>
        <w:spacing w:line="560" w:lineRule="exact"/>
        <w:ind w:firstLine="480" w:firstLineChars="200"/>
        <w:jc w:val="left"/>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⑨合理化建议。</w:t>
      </w:r>
    </w:p>
    <w:p>
      <w:pPr>
        <w:tabs>
          <w:tab w:val="left" w:pos="3870"/>
          <w:tab w:val="left" w:pos="4085"/>
        </w:tabs>
        <w:snapToGrid w:val="0"/>
        <w:spacing w:line="560" w:lineRule="exact"/>
        <w:jc w:val="left"/>
        <w:rPr>
          <w:rFonts w:ascii="仿宋" w:hAnsi="仿宋" w:eastAsia="仿宋" w:cs="仿宋"/>
          <w:color w:val="auto"/>
          <w:sz w:val="24"/>
          <w:highlight w:val="none"/>
        </w:rPr>
      </w:pPr>
      <w:r>
        <w:rPr>
          <w:rFonts w:hint="eastAsia" w:ascii="仿宋" w:hAnsi="仿宋" w:eastAsia="仿宋" w:cs="仿宋"/>
          <w:b/>
          <w:color w:val="auto"/>
          <w:sz w:val="24"/>
          <w:highlight w:val="none"/>
        </w:rPr>
        <w:t>（3）商务部分：</w:t>
      </w:r>
    </w:p>
    <w:p>
      <w:pPr>
        <w:tabs>
          <w:tab w:val="left" w:pos="3870"/>
          <w:tab w:val="left" w:pos="4085"/>
        </w:tabs>
        <w:snapToGrid w:val="0"/>
        <w:spacing w:line="56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①商务响应表（格式见第五章）；</w:t>
      </w:r>
    </w:p>
    <w:p>
      <w:pPr>
        <w:tabs>
          <w:tab w:val="left" w:pos="3870"/>
          <w:tab w:val="left" w:pos="4085"/>
        </w:tabs>
        <w:snapToGrid w:val="0"/>
        <w:spacing w:line="56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②</w:t>
      </w:r>
      <w:r>
        <w:rPr>
          <w:rFonts w:hint="eastAsia" w:ascii="仿宋" w:hAnsi="仿宋" w:eastAsia="仿宋" w:cs="仿宋"/>
          <w:color w:val="auto"/>
          <w:sz w:val="24"/>
          <w:highlight w:val="none"/>
          <w:lang w:val="en-US" w:eastAsia="zh-CN"/>
        </w:rPr>
        <w:t>服务支持能力</w:t>
      </w:r>
      <w:r>
        <w:rPr>
          <w:rFonts w:hint="eastAsia" w:ascii="仿宋" w:hAnsi="仿宋" w:eastAsia="仿宋" w:cs="仿宋"/>
          <w:color w:val="auto"/>
          <w:sz w:val="24"/>
          <w:highlight w:val="none"/>
        </w:rPr>
        <w:t>；</w:t>
      </w:r>
    </w:p>
    <w:p>
      <w:pPr>
        <w:tabs>
          <w:tab w:val="left" w:pos="3870"/>
          <w:tab w:val="left" w:pos="4085"/>
        </w:tabs>
        <w:snapToGrid w:val="0"/>
        <w:spacing w:line="560" w:lineRule="exact"/>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③</w:t>
      </w:r>
      <w:r>
        <w:rPr>
          <w:rFonts w:hint="eastAsia" w:ascii="仿宋" w:hAnsi="仿宋" w:eastAsia="仿宋" w:cs="仿宋"/>
          <w:color w:val="auto"/>
          <w:sz w:val="24"/>
          <w:highlight w:val="none"/>
          <w:lang w:val="en-US" w:eastAsia="zh-CN"/>
        </w:rPr>
        <w:t>企业实力</w:t>
      </w:r>
      <w:r>
        <w:rPr>
          <w:rFonts w:hint="eastAsia" w:ascii="仿宋" w:hAnsi="仿宋" w:eastAsia="仿宋" w:cs="仿宋"/>
          <w:color w:val="auto"/>
          <w:sz w:val="24"/>
          <w:highlight w:val="none"/>
        </w:rPr>
        <w:t>；</w:t>
      </w:r>
    </w:p>
    <w:p>
      <w:pPr>
        <w:tabs>
          <w:tab w:val="left" w:pos="3870"/>
          <w:tab w:val="left" w:pos="4085"/>
        </w:tabs>
        <w:snapToGrid w:val="0"/>
        <w:spacing w:line="560" w:lineRule="exact"/>
        <w:ind w:firstLine="480" w:firstLineChars="200"/>
        <w:jc w:val="left"/>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④企业业绩。</w:t>
      </w:r>
    </w:p>
    <w:p>
      <w:pPr>
        <w:spacing w:line="560" w:lineRule="exact"/>
        <w:jc w:val="left"/>
        <w:rPr>
          <w:rFonts w:ascii="仿宋" w:hAnsi="仿宋" w:eastAsia="仿宋" w:cs="仿宋"/>
          <w:b/>
          <w:bCs/>
          <w:color w:val="auto"/>
          <w:sz w:val="24"/>
          <w:highlight w:val="none"/>
        </w:rPr>
      </w:pPr>
      <w:r>
        <w:rPr>
          <w:rFonts w:hint="eastAsia" w:ascii="仿宋" w:hAnsi="仿宋" w:eastAsia="仿宋" w:cs="仿宋"/>
          <w:b/>
          <w:bCs/>
          <w:color w:val="auto"/>
          <w:sz w:val="24"/>
          <w:highlight w:val="none"/>
        </w:rPr>
        <w:t>（4）资信及其他部分：</w:t>
      </w:r>
    </w:p>
    <w:p>
      <w:pPr>
        <w:snapToGrid w:val="0"/>
        <w:spacing w:line="560" w:lineRule="exact"/>
        <w:ind w:firstLine="470" w:firstLineChars="196"/>
        <w:jc w:val="left"/>
        <w:rPr>
          <w:rFonts w:ascii="仿宋" w:hAnsi="仿宋" w:eastAsia="仿宋" w:cs="仿宋"/>
          <w:b/>
          <w:color w:val="auto"/>
          <w:sz w:val="24"/>
          <w:highlight w:val="none"/>
        </w:rPr>
      </w:pPr>
      <w:r>
        <w:rPr>
          <w:rFonts w:hint="eastAsia" w:ascii="仿宋" w:hAnsi="仿宋" w:eastAsia="仿宋" w:cs="仿宋"/>
          <w:color w:val="auto"/>
          <w:sz w:val="24"/>
          <w:highlight w:val="none"/>
        </w:rPr>
        <w:t>①有效的营业执照、税务登记证、组织机构代码证或“三证合一”的营业执照或“五证合一”的营业执照</w:t>
      </w:r>
      <w:r>
        <w:rPr>
          <w:rFonts w:hint="eastAsia" w:ascii="仿宋" w:hAnsi="仿宋" w:eastAsia="仿宋" w:cs="仿宋"/>
          <w:b/>
          <w:color w:val="auto"/>
          <w:sz w:val="24"/>
          <w:highlight w:val="none"/>
        </w:rPr>
        <w:t>（资格审查条款）</w:t>
      </w:r>
      <w:r>
        <w:rPr>
          <w:rFonts w:hint="eastAsia" w:ascii="仿宋" w:hAnsi="仿宋" w:eastAsia="仿宋" w:cs="仿宋"/>
          <w:color w:val="auto"/>
          <w:sz w:val="24"/>
          <w:highlight w:val="none"/>
        </w:rPr>
        <w:t>；</w:t>
      </w:r>
    </w:p>
    <w:p>
      <w:pPr>
        <w:snapToGrid w:val="0"/>
        <w:spacing w:line="560" w:lineRule="exact"/>
        <w:ind w:firstLine="470" w:firstLineChars="196"/>
        <w:jc w:val="left"/>
        <w:rPr>
          <w:rFonts w:ascii="仿宋" w:hAnsi="仿宋" w:eastAsia="仿宋" w:cs="仿宋"/>
          <w:color w:val="auto"/>
          <w:sz w:val="24"/>
          <w:highlight w:val="none"/>
        </w:rPr>
      </w:pPr>
      <w:r>
        <w:rPr>
          <w:rFonts w:hint="eastAsia" w:ascii="仿宋" w:hAnsi="仿宋" w:eastAsia="仿宋" w:cs="仿宋"/>
          <w:color w:val="auto"/>
          <w:sz w:val="24"/>
          <w:highlight w:val="none"/>
        </w:rPr>
        <w:t>②法定代表人有效身份证明书及身份证（法定代表人参加磋商提供）或法定代表人授权书及授权委托人身份证、授权委托人最近1个月个人社保缴纳证明文件（法定代表人授权委托人参加磋商提供）</w:t>
      </w:r>
      <w:r>
        <w:rPr>
          <w:rFonts w:hint="eastAsia" w:ascii="仿宋" w:hAnsi="仿宋" w:eastAsia="仿宋" w:cs="仿宋"/>
          <w:b/>
          <w:color w:val="auto"/>
          <w:sz w:val="24"/>
          <w:highlight w:val="none"/>
        </w:rPr>
        <w:t>（资格审查条款）</w:t>
      </w:r>
      <w:r>
        <w:rPr>
          <w:rFonts w:hint="eastAsia" w:ascii="仿宋" w:hAnsi="仿宋" w:eastAsia="仿宋" w:cs="仿宋"/>
          <w:color w:val="auto"/>
          <w:sz w:val="24"/>
          <w:highlight w:val="none"/>
        </w:rPr>
        <w:t>；</w:t>
      </w:r>
    </w:p>
    <w:p>
      <w:pPr>
        <w:snapToGrid w:val="0"/>
        <w:spacing w:line="560" w:lineRule="exact"/>
        <w:ind w:left="488" w:leftChars="228" w:hanging="9" w:hangingChars="4"/>
        <w:jc w:val="left"/>
        <w:rPr>
          <w:rFonts w:ascii="仿宋" w:hAnsi="仿宋" w:eastAsia="仿宋" w:cs="仿宋"/>
          <w:color w:val="auto"/>
          <w:sz w:val="24"/>
          <w:highlight w:val="none"/>
        </w:rPr>
      </w:pPr>
      <w:r>
        <w:rPr>
          <w:rFonts w:hint="eastAsia" w:ascii="仿宋" w:hAnsi="仿宋" w:eastAsia="仿宋" w:cs="仿宋"/>
          <w:color w:val="auto"/>
          <w:sz w:val="24"/>
          <w:highlight w:val="none"/>
        </w:rPr>
        <w:t>③承诺书（格式见第五章，</w:t>
      </w:r>
      <w:r>
        <w:rPr>
          <w:rFonts w:hint="eastAsia" w:ascii="仿宋" w:hAnsi="仿宋" w:eastAsia="仿宋" w:cs="仿宋"/>
          <w:b/>
          <w:bCs/>
          <w:color w:val="auto"/>
          <w:sz w:val="24"/>
          <w:highlight w:val="none"/>
        </w:rPr>
        <w:t>资格审查条款</w:t>
      </w:r>
      <w:r>
        <w:rPr>
          <w:rFonts w:hint="eastAsia" w:ascii="仿宋" w:hAnsi="仿宋" w:eastAsia="仿宋" w:cs="仿宋"/>
          <w:color w:val="auto"/>
          <w:sz w:val="24"/>
          <w:highlight w:val="none"/>
        </w:rPr>
        <w:t>）；</w:t>
      </w:r>
    </w:p>
    <w:p>
      <w:pPr>
        <w:snapToGrid w:val="0"/>
        <w:spacing w:line="560" w:lineRule="exact"/>
        <w:ind w:firstLine="470" w:firstLineChars="196"/>
        <w:jc w:val="left"/>
        <w:rPr>
          <w:rFonts w:ascii="仿宋" w:hAnsi="仿宋" w:eastAsia="仿宋" w:cs="仿宋"/>
          <w:b/>
          <w:color w:val="auto"/>
          <w:sz w:val="24"/>
          <w:highlight w:val="none"/>
        </w:rPr>
      </w:pPr>
      <w:r>
        <w:rPr>
          <w:rFonts w:hint="eastAsia" w:ascii="仿宋" w:hAnsi="仿宋" w:eastAsia="仿宋" w:cs="仿宋"/>
          <w:color w:val="auto"/>
          <w:sz w:val="24"/>
          <w:highlight w:val="none"/>
        </w:rPr>
        <w:t>④信用承诺书（格式见第五章，</w:t>
      </w:r>
      <w:r>
        <w:rPr>
          <w:rFonts w:hint="eastAsia" w:ascii="仿宋" w:hAnsi="仿宋" w:eastAsia="仿宋" w:cs="仿宋"/>
          <w:b/>
          <w:bCs/>
          <w:color w:val="auto"/>
          <w:sz w:val="24"/>
          <w:highlight w:val="none"/>
        </w:rPr>
        <w:t>资格审查条款</w:t>
      </w:r>
      <w:r>
        <w:rPr>
          <w:rFonts w:hint="eastAsia" w:ascii="仿宋" w:hAnsi="仿宋" w:eastAsia="仿宋" w:cs="仿宋"/>
          <w:color w:val="auto"/>
          <w:sz w:val="24"/>
          <w:highlight w:val="none"/>
        </w:rPr>
        <w:t>）；</w:t>
      </w:r>
    </w:p>
    <w:p>
      <w:pPr>
        <w:snapToGrid w:val="0"/>
        <w:spacing w:line="560" w:lineRule="exact"/>
        <w:ind w:firstLine="480" w:firstLineChars="200"/>
        <w:jc w:val="left"/>
        <w:rPr>
          <w:rFonts w:ascii="仿宋" w:hAnsi="仿宋" w:eastAsia="仿宋" w:cs="仿宋"/>
          <w:bCs/>
          <w:color w:val="auto"/>
          <w:sz w:val="24"/>
          <w:highlight w:val="none"/>
        </w:rPr>
      </w:pPr>
      <w:r>
        <w:rPr>
          <w:rFonts w:hint="eastAsia" w:ascii="仿宋" w:hAnsi="仿宋" w:eastAsia="仿宋" w:cs="仿宋"/>
          <w:color w:val="auto"/>
          <w:sz w:val="24"/>
          <w:highlight w:val="none"/>
          <w:lang w:val="en-US" w:eastAsia="zh-CN"/>
        </w:rPr>
        <w:t>⑤</w:t>
      </w:r>
      <w:r>
        <w:rPr>
          <w:rFonts w:hint="eastAsia" w:ascii="仿宋" w:hAnsi="仿宋" w:eastAsia="仿宋" w:cs="仿宋"/>
          <w:color w:val="auto"/>
          <w:sz w:val="24"/>
          <w:highlight w:val="none"/>
        </w:rPr>
        <w:t>中小企业声明函（本项目</w:t>
      </w:r>
      <w:r>
        <w:rPr>
          <w:rFonts w:hint="eastAsia" w:ascii="仿宋" w:hAnsi="仿宋" w:eastAsia="仿宋" w:cs="仿宋"/>
          <w:color w:val="auto"/>
          <w:sz w:val="24"/>
          <w:highlight w:val="none"/>
          <w:lang w:val="en-US" w:eastAsia="zh-CN"/>
        </w:rPr>
        <w:t>所属行业：</w:t>
      </w:r>
      <w:r>
        <w:rPr>
          <w:rFonts w:hint="eastAsia" w:ascii="仿宋" w:hAnsi="仿宋" w:eastAsia="仿宋" w:cs="仿宋"/>
          <w:color w:val="auto"/>
          <w:sz w:val="24"/>
          <w:highlight w:val="none"/>
        </w:rPr>
        <w:t>软件和信息技术服务业，</w:t>
      </w:r>
      <w:r>
        <w:rPr>
          <w:rFonts w:hint="eastAsia" w:ascii="仿宋" w:hAnsi="仿宋" w:eastAsia="仿宋" w:cs="仿宋"/>
          <w:bCs/>
          <w:color w:val="auto"/>
          <w:sz w:val="24"/>
          <w:highlight w:val="none"/>
        </w:rPr>
        <w:t>格式见第五章</w:t>
      </w:r>
      <w:r>
        <w:rPr>
          <w:rFonts w:hint="eastAsia" w:ascii="仿宋" w:hAnsi="仿宋" w:eastAsia="仿宋" w:cs="仿宋"/>
          <w:color w:val="auto"/>
          <w:sz w:val="24"/>
          <w:highlight w:val="none"/>
        </w:rPr>
        <w:t>）；</w:t>
      </w:r>
    </w:p>
    <w:p>
      <w:pPr>
        <w:snapToGrid w:val="0"/>
        <w:spacing w:line="560" w:lineRule="exact"/>
        <w:ind w:left="488" w:leftChars="228" w:hanging="9" w:hangingChars="4"/>
        <w:jc w:val="left"/>
        <w:rPr>
          <w:rFonts w:ascii="仿宋" w:hAnsi="仿宋" w:eastAsia="仿宋" w:cs="仿宋"/>
          <w:bCs/>
          <w:color w:val="auto"/>
          <w:sz w:val="24"/>
          <w:highlight w:val="none"/>
        </w:rPr>
      </w:pPr>
      <w:r>
        <w:rPr>
          <w:rFonts w:hint="eastAsia" w:ascii="仿宋" w:hAnsi="仿宋" w:eastAsia="仿宋" w:cs="仿宋"/>
          <w:bCs/>
          <w:color w:val="auto"/>
          <w:sz w:val="24"/>
          <w:highlight w:val="none"/>
          <w:lang w:val="en-US" w:eastAsia="zh-CN"/>
        </w:rPr>
        <w:t>⑥</w:t>
      </w:r>
      <w:r>
        <w:rPr>
          <w:rFonts w:hint="eastAsia" w:ascii="仿宋" w:hAnsi="仿宋" w:eastAsia="仿宋" w:cs="仿宋"/>
          <w:bCs/>
          <w:color w:val="auto"/>
          <w:sz w:val="24"/>
          <w:highlight w:val="none"/>
        </w:rPr>
        <w:t>监狱企业声明函（如有，格式见第五章）；</w:t>
      </w:r>
    </w:p>
    <w:p>
      <w:pPr>
        <w:snapToGrid w:val="0"/>
        <w:spacing w:line="560" w:lineRule="exact"/>
        <w:ind w:firstLine="470" w:firstLineChars="196"/>
        <w:jc w:val="left"/>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⑦</w:t>
      </w:r>
      <w:r>
        <w:rPr>
          <w:rFonts w:hint="eastAsia" w:ascii="仿宋" w:hAnsi="仿宋" w:eastAsia="仿宋" w:cs="仿宋"/>
          <w:color w:val="auto"/>
          <w:sz w:val="24"/>
          <w:highlight w:val="none"/>
        </w:rPr>
        <w:t>残疾人福利性单位声明函（如有，</w:t>
      </w:r>
      <w:r>
        <w:rPr>
          <w:rFonts w:hint="eastAsia" w:ascii="仿宋" w:hAnsi="仿宋" w:eastAsia="仿宋" w:cs="仿宋"/>
          <w:bCs/>
          <w:color w:val="auto"/>
          <w:sz w:val="24"/>
          <w:highlight w:val="none"/>
        </w:rPr>
        <w:t>格式见第五章</w:t>
      </w:r>
      <w:r>
        <w:rPr>
          <w:rFonts w:hint="eastAsia" w:ascii="仿宋" w:hAnsi="仿宋" w:eastAsia="仿宋" w:cs="仿宋"/>
          <w:color w:val="auto"/>
          <w:sz w:val="24"/>
          <w:highlight w:val="none"/>
        </w:rPr>
        <w:t>）。</w:t>
      </w:r>
    </w:p>
    <w:p>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（5）其他磋商文件要求提供的或供应商认为需要说明的技术、商务、资信及其他文件内容。</w:t>
      </w:r>
    </w:p>
    <w:p>
      <w:pPr>
        <w:spacing w:line="560" w:lineRule="exact"/>
        <w:rPr>
          <w:rFonts w:ascii="仿宋" w:hAnsi="仿宋" w:eastAsia="仿宋" w:cs="仿宋"/>
          <w:b/>
          <w:bCs/>
          <w:color w:val="auto"/>
          <w:sz w:val="24"/>
          <w:highlight w:val="none"/>
        </w:rPr>
      </w:pPr>
      <w:r>
        <w:rPr>
          <w:rFonts w:hint="eastAsia" w:ascii="仿宋" w:hAnsi="仿宋" w:eastAsia="仿宋" w:cs="仿宋"/>
          <w:b/>
          <w:bCs/>
          <w:color w:val="auto"/>
          <w:sz w:val="24"/>
          <w:highlight w:val="none"/>
        </w:rPr>
        <w:t>（二）《首次报价文件》：</w:t>
      </w:r>
    </w:p>
    <w:p>
      <w:pPr>
        <w:snapToGrid w:val="0"/>
        <w:spacing w:line="56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（1）响应函（格式见第五章）；</w:t>
      </w:r>
    </w:p>
    <w:p>
      <w:pPr>
        <w:snapToGrid w:val="0"/>
        <w:spacing w:line="56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（2）磋商报价表（首次报价）（格式见第五章）；</w:t>
      </w:r>
    </w:p>
    <w:p>
      <w:pPr>
        <w:snapToGrid w:val="0"/>
        <w:spacing w:line="56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（3）报价明细表（如有，格式自拟）；</w:t>
      </w:r>
    </w:p>
    <w:p>
      <w:pPr>
        <w:snapToGrid w:val="0"/>
        <w:spacing w:line="560" w:lineRule="exact"/>
        <w:ind w:firstLine="480" w:firstLineChars="200"/>
        <w:jc w:val="left"/>
        <w:rPr>
          <w:rFonts w:ascii="仿宋" w:hAnsi="仿宋" w:eastAsia="仿宋" w:cs="仿宋"/>
          <w:color w:val="auto"/>
          <w:highlight w:val="none"/>
        </w:rPr>
      </w:pP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磋商代理服务费承诺函（格式见第五章）；</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）供应商针对报价需要说明的其他材料（格式自拟）。</w:t>
      </w:r>
    </w:p>
    <w:p>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9.磋商报价说明</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9.1响应报价应按采购文件中相关附表格式填写；</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9.2供应商应按本磋商文件提供相应的报价，不得缺项和漏项，每一项目只允许有一个报价，任何有选择性的报价，将不予接受；</w:t>
      </w:r>
    </w:p>
    <w:p>
      <w:pPr>
        <w:spacing w:line="54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9.3供应商的报价应是完成本磋商文件规定内容所需发生的全部费用（包含税金、保险、服务及其他应由供应商承担的费用），应为履行合同的最终价格，凡未列入表达清楚的，将被视为均已包含在投标总报价中；</w:t>
      </w:r>
    </w:p>
    <w:p>
      <w:pPr>
        <w:spacing w:line="54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9.4如实际服务中发生服务内容的调整须经采购人同意，增减服务内容的结算按相应成交价格计算；</w:t>
      </w:r>
    </w:p>
    <w:p>
      <w:pPr>
        <w:spacing w:line="54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9.5供应商的最后报价由供应商自担全部风险责任，成交后不得以任何理由调报价或追加任何费用；</w:t>
      </w:r>
    </w:p>
    <w:p>
      <w:pPr>
        <w:spacing w:line="54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9.6各供应商拟采取的竞争措施和提供给采购人的优惠条件应在响应文件中列明，开标后提出的优惠条件一律不予考虑；</w:t>
      </w:r>
    </w:p>
    <w:p>
      <w:pPr>
        <w:spacing w:line="54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9.7供应商所有优惠条件和优惠费用不得降低和影响本采购项目质量；</w:t>
      </w:r>
    </w:p>
    <w:p>
      <w:pPr>
        <w:spacing w:line="54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9.8供应商对磋商文件里有关响应报价的全部内容应仔细确认，若有个别异议，应在开标前五天提出修改意见，否则视同全部确认；</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9.9</w:t>
      </w:r>
      <w:r>
        <w:rPr>
          <w:rFonts w:hint="eastAsia" w:ascii="仿宋" w:hAnsi="仿宋" w:eastAsia="仿宋" w:cs="仿宋"/>
          <w:bCs/>
          <w:color w:val="auto"/>
          <w:sz w:val="24"/>
          <w:highlight w:val="none"/>
        </w:rPr>
        <w:t>供应商要按磋商项目内容、数量及服务要求，就采购事项按格式要求规范填写，并由法定代表人或授权代理人签署，未经采购人书面同意，</w:t>
      </w:r>
      <w:r>
        <w:rPr>
          <w:rFonts w:hint="eastAsia" w:ascii="仿宋" w:hAnsi="仿宋" w:eastAsia="仿宋" w:cs="仿宋"/>
          <w:color w:val="auto"/>
          <w:sz w:val="24"/>
          <w:highlight w:val="none"/>
        </w:rPr>
        <w:t>不得随意更改项目名称、计量单位，否则有可能被视为无效磋商；</w:t>
      </w:r>
    </w:p>
    <w:p>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9.10磋商分二轮进行，首次报价在响应文件中体现；</w:t>
      </w:r>
    </w:p>
    <w:p>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9.11最后报价应通过政采云系统进行在线磋商、报价，若因系统原因无法在线磋商、报价时，可通过如下方式：代理机构通过电子邮箱（2756977296@qq.com）向各供应商指定的电子邮箱发送最后报价的通知函，供应商在收到此函后30分钟内通过指定的电子邮箱进行最后报价，最后报价应按照本磋商文件规定的格式并以邮件的形式提供，且由法定代表人或其授权代理人签字确认并加盖公章，最后报价由代理机构统一提交至磋商小组，并宣读最后报价，采购人及监督人在最后报价表上签字确认；</w:t>
      </w:r>
    </w:p>
    <w:p>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9.12各供应商应事先做好充足准备，如未能在规定的时间内进行最后报价，作自动放弃处理；</w:t>
      </w:r>
    </w:p>
    <w:p>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9.13</w:t>
      </w:r>
      <w:r>
        <w:rPr>
          <w:rFonts w:hint="eastAsia" w:ascii="仿宋" w:hAnsi="仿宋" w:eastAsia="仿宋" w:cs="仿宋"/>
          <w:bCs/>
          <w:color w:val="auto"/>
          <w:sz w:val="24"/>
          <w:highlight w:val="none"/>
        </w:rPr>
        <w:t>响应文件中的所有报价均以人民币（元）为单位；</w:t>
      </w:r>
    </w:p>
    <w:p>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9.14采购人不接受备选方案。</w:t>
      </w:r>
    </w:p>
    <w:p>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10.磋商有效期</w:t>
      </w:r>
    </w:p>
    <w:p>
      <w:pPr>
        <w:tabs>
          <w:tab w:val="left" w:pos="1440"/>
          <w:tab w:val="left" w:pos="1620"/>
        </w:tabs>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10.1</w:t>
      </w:r>
      <w:r>
        <w:rPr>
          <w:rFonts w:hint="eastAsia" w:ascii="仿宋" w:hAnsi="仿宋" w:eastAsia="仿宋" w:cs="仿宋"/>
          <w:bCs/>
          <w:color w:val="auto"/>
          <w:sz w:val="24"/>
          <w:highlight w:val="none"/>
        </w:rPr>
        <w:t>自磋商开始之日起60天内。有效期短于这个规定期限的响应文件，将被拒绝；</w:t>
      </w:r>
    </w:p>
    <w:p>
      <w:pPr>
        <w:tabs>
          <w:tab w:val="left" w:pos="1440"/>
          <w:tab w:val="left" w:pos="162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10.2在特殊情况下，采购代理机构在原定磋商有效期内，可以根据需要以书面形式向供应商提出延长磋商有效期的要求，供应商须以书面形式予以答复。供应商可以拒绝采购代理机构的这种要求。同意延长磋商有效期的供应商既不能要求也不允许修改其响应文件。</w:t>
      </w:r>
    </w:p>
    <w:p>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11.响应文件的签署和份数</w:t>
      </w:r>
    </w:p>
    <w:p>
      <w:pPr>
        <w:tabs>
          <w:tab w:val="left" w:pos="1440"/>
          <w:tab w:val="left" w:pos="1620"/>
        </w:tabs>
        <w:spacing w:line="560" w:lineRule="exact"/>
        <w:ind w:firstLine="482" w:firstLineChars="200"/>
        <w:rPr>
          <w:rFonts w:ascii="仿宋" w:hAnsi="仿宋" w:eastAsia="仿宋" w:cs="仿宋"/>
          <w:b/>
          <w:color w:val="auto"/>
          <w:sz w:val="24"/>
          <w:highlight w:val="none"/>
        </w:rPr>
      </w:pPr>
      <w:r>
        <w:rPr>
          <w:rFonts w:hint="eastAsia" w:ascii="仿宋" w:hAnsi="仿宋" w:eastAsia="仿宋" w:cs="仿宋"/>
          <w:b/>
          <w:color w:val="auto"/>
          <w:sz w:val="24"/>
          <w:highlight w:val="none"/>
        </w:rPr>
        <w:t>11.1电子响应文件：</w:t>
      </w:r>
    </w:p>
    <w:p>
      <w:pPr>
        <w:tabs>
          <w:tab w:val="left" w:pos="1440"/>
          <w:tab w:val="left" w:pos="162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供应商应根据“政采云供应商项目采购-电子招投标操作指南”及本磋商文件规定的格式和顺序编制电子响应文件并进行关联定位，若因响应文件内容不完整、编排混乱导致响应文件被误读、漏读或者查找不到相关内容的，是供应商的责任。</w:t>
      </w:r>
    </w:p>
    <w:p>
      <w:pPr>
        <w:tabs>
          <w:tab w:val="left" w:pos="1440"/>
          <w:tab w:val="left" w:pos="1620"/>
        </w:tabs>
        <w:spacing w:line="560" w:lineRule="exact"/>
        <w:ind w:firstLine="482" w:firstLineChars="200"/>
        <w:rPr>
          <w:rFonts w:ascii="仿宋" w:hAnsi="仿宋" w:eastAsia="仿宋" w:cs="仿宋"/>
          <w:b/>
          <w:color w:val="auto"/>
          <w:sz w:val="24"/>
          <w:highlight w:val="none"/>
        </w:rPr>
      </w:pPr>
      <w:r>
        <w:rPr>
          <w:rFonts w:hint="eastAsia" w:ascii="仿宋" w:hAnsi="仿宋" w:eastAsia="仿宋" w:cs="仿宋"/>
          <w:b/>
          <w:color w:val="auto"/>
          <w:sz w:val="24"/>
          <w:highlight w:val="none"/>
        </w:rPr>
        <w:t>11.2数据电子备份响应文件（U盘）：</w:t>
      </w:r>
    </w:p>
    <w:p>
      <w:pPr>
        <w:tabs>
          <w:tab w:val="left" w:pos="1440"/>
          <w:tab w:val="left" w:pos="162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电子响应文件的备份文件以U盘形式存储。数据电子备份响应文件格式及内容须与政采云平台项目采购-电子交易操作指南中制作、加密并递交的电子响应文件格式及内容一致。数据电子备份响应文件（U盘）须密封、包装，不按此规定密封、包装的数据电子备份响应文件（U盘）均按未提供处理；</w:t>
      </w:r>
    </w:p>
    <w:p>
      <w:pPr>
        <w:autoSpaceDE w:val="0"/>
        <w:autoSpaceDN w:val="0"/>
        <w:spacing w:line="56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sz w:val="24"/>
          <w:highlight w:val="none"/>
        </w:rPr>
        <w:t>11.3</w:t>
      </w:r>
      <w:r>
        <w:rPr>
          <w:rFonts w:hint="eastAsia" w:ascii="仿宋" w:hAnsi="仿宋" w:eastAsia="仿宋" w:cs="仿宋"/>
          <w:color w:val="auto"/>
          <w:kern w:val="0"/>
          <w:sz w:val="24"/>
          <w:highlight w:val="none"/>
        </w:rPr>
        <w:t>响应文件需按磋商文件要求的格式填写，未按规定格式填写将有可能视为无效响应文件；</w:t>
      </w:r>
    </w:p>
    <w:p>
      <w:pPr>
        <w:spacing w:line="560" w:lineRule="exact"/>
        <w:ind w:firstLine="480" w:firstLineChars="200"/>
        <w:rPr>
          <w:rFonts w:ascii="仿宋" w:hAnsi="仿宋" w:eastAsia="仿宋" w:cs="仿宋"/>
          <w:color w:val="auto"/>
          <w:kern w:val="0"/>
          <w:sz w:val="24"/>
          <w:highlight w:val="none"/>
        </w:rPr>
      </w:pPr>
      <w:r>
        <w:rPr>
          <w:rFonts w:hint="eastAsia" w:ascii="仿宋" w:hAnsi="仿宋" w:eastAsia="仿宋" w:cs="仿宋"/>
          <w:color w:val="auto"/>
          <w:sz w:val="24"/>
          <w:highlight w:val="none"/>
        </w:rPr>
        <w:t>11.4</w:t>
      </w:r>
      <w:r>
        <w:rPr>
          <w:rFonts w:hint="eastAsia" w:ascii="仿宋" w:hAnsi="仿宋" w:eastAsia="仿宋" w:cs="仿宋"/>
          <w:color w:val="auto"/>
          <w:kern w:val="0"/>
          <w:sz w:val="24"/>
          <w:highlight w:val="none"/>
        </w:rPr>
        <w:t>除供应商对错处做必要修改外，响应文件不得行间插字、涂改和增删，如有修改错漏处，应由供应商加盖校对章。</w:t>
      </w:r>
    </w:p>
    <w:p>
      <w:pPr>
        <w:pStyle w:val="3"/>
        <w:spacing w:line="560" w:lineRule="exact"/>
        <w:jc w:val="center"/>
        <w:rPr>
          <w:rFonts w:ascii="仿宋" w:hAnsi="仿宋" w:eastAsia="仿宋" w:cs="仿宋"/>
          <w:color w:val="auto"/>
          <w:kern w:val="44"/>
          <w:sz w:val="28"/>
          <w:szCs w:val="28"/>
          <w:highlight w:val="none"/>
        </w:rPr>
      </w:pPr>
      <w:bookmarkStart w:id="17" w:name="_Toc452995898"/>
      <w:r>
        <w:rPr>
          <w:rFonts w:hint="eastAsia" w:ascii="仿宋" w:hAnsi="仿宋" w:eastAsia="仿宋" w:cs="仿宋"/>
          <w:color w:val="auto"/>
          <w:kern w:val="44"/>
          <w:sz w:val="28"/>
          <w:szCs w:val="28"/>
          <w:highlight w:val="none"/>
        </w:rPr>
        <w:t>三、响应文件的提交</w:t>
      </w:r>
      <w:bookmarkEnd w:id="17"/>
    </w:p>
    <w:p>
      <w:pPr>
        <w:tabs>
          <w:tab w:val="left" w:pos="720"/>
        </w:tabs>
        <w:spacing w:line="560" w:lineRule="exact"/>
        <w:rPr>
          <w:rFonts w:ascii="仿宋" w:hAnsi="仿宋" w:eastAsia="仿宋" w:cs="仿宋"/>
          <w:bCs/>
          <w:color w:val="auto"/>
          <w:sz w:val="24"/>
          <w:highlight w:val="none"/>
        </w:rPr>
      </w:pPr>
      <w:r>
        <w:rPr>
          <w:rFonts w:hint="eastAsia" w:ascii="仿宋" w:hAnsi="仿宋" w:eastAsia="仿宋" w:cs="仿宋"/>
          <w:color w:val="auto"/>
          <w:sz w:val="24"/>
          <w:highlight w:val="none"/>
        </w:rPr>
        <w:t>12</w:t>
      </w:r>
      <w:r>
        <w:rPr>
          <w:rFonts w:hint="eastAsia" w:ascii="仿宋" w:hAnsi="仿宋" w:eastAsia="仿宋" w:cs="仿宋"/>
          <w:bCs/>
          <w:color w:val="auto"/>
          <w:sz w:val="24"/>
          <w:highlight w:val="none"/>
        </w:rPr>
        <w:t>.数据电子备份响应文件（U盘）的密封及标记</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12.1供应商在数据电子备份响应文件（U盘）包封上应注明项目名称、项目编号、供应商名称并加盖供应商盖章；</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12.2如果数据电子备份响应文件（U盘）未按上述要求密封和加写标记，采购人有权予以拒绝此响应文件，视为未提供，并退回供应商；</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12.3如果因密封不严、标记不明而造成过早启封、失密等情况，</w:t>
      </w:r>
      <w:r>
        <w:rPr>
          <w:rFonts w:hint="eastAsia" w:ascii="仿宋" w:hAnsi="仿宋" w:eastAsia="仿宋" w:cs="仿宋"/>
          <w:bCs/>
          <w:color w:val="auto"/>
          <w:sz w:val="24"/>
          <w:highlight w:val="none"/>
        </w:rPr>
        <w:t>采购代理机构</w:t>
      </w:r>
      <w:r>
        <w:rPr>
          <w:rFonts w:hint="eastAsia" w:ascii="仿宋" w:hAnsi="仿宋" w:eastAsia="仿宋" w:cs="仿宋"/>
          <w:color w:val="auto"/>
          <w:sz w:val="24"/>
          <w:highlight w:val="none"/>
        </w:rPr>
        <w:t>概不负责。</w:t>
      </w:r>
    </w:p>
    <w:p>
      <w:pPr>
        <w:tabs>
          <w:tab w:val="left" w:pos="720"/>
        </w:tabs>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13.响应文件的递交及磋商截止时间：</w:t>
      </w:r>
    </w:p>
    <w:p>
      <w:pPr>
        <w:tabs>
          <w:tab w:val="left" w:pos="72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13.1供应商应当在磋商截止时间前完成电子响应文件的传输递交，磋商截止时间前可以补充、修改或者撤回电子响应文件。补充或者修改电子响应文件的，应当先行撤回原文件，补充、修改后重新传输递交。磋商截止时间止未完成传输的，视为放弃磋商资格，作无效标处理；</w:t>
      </w:r>
    </w:p>
    <w:p>
      <w:pPr>
        <w:tabs>
          <w:tab w:val="left" w:pos="72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13.2数据电子备份响应文件（U盘）：以U盘形式提供的数据电子备份响应文件格式及内容须与政采云平台项目采购-电子交易操作指南中制作、加密并递交的电子响应文件格式及内容一致。递交方式：数据电子备份响应文件（U盘）应通过邮寄快递方式送达（原则上邮寄公司统一采用顺丰），邮寄地址为：浙江新诚信工程咨询有限公司  [湖州市太湖路1155号14层1402室]，联系电话：18768247439。邮寄截止时间：供应商应于2024年</w:t>
      </w: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日17:00时前准时送达，逾期不予受理。截止磋商截止时间前，采购人由二名人员（一名接收人、一名监督人员）统一负责接收并送至专门的监控室，与磋商资料一并归档。供应商须留足响应文件邮寄时间,确保数据电子备份响应文件（U盘）于规定的时间前送达指定地点，未按时送达的，均按未提供处理；</w:t>
      </w:r>
    </w:p>
    <w:p>
      <w:pPr>
        <w:tabs>
          <w:tab w:val="left" w:pos="720"/>
        </w:tabs>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13.3整个磋商过程中若因供应商问题造成电子响应文件无法正常解密的，均认定为未提交电子响应文件，作无效标处理。若因网络或者其他非供应商问题造成电子响应文件无法正常解密的，启用数据电子备份响应文件（U盘），因供应商自身原因造成数据电子备份响应文件（U盘）无法打开的，作无效标处理。若正常解密成功，则数据电子备份响应文件（U盘）不予开启。在下一顺位的响应文件启用时，前一顺位的响应文件自动失效；</w:t>
      </w:r>
    </w:p>
    <w:p>
      <w:pPr>
        <w:tabs>
          <w:tab w:val="left" w:pos="72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13.4采购代理机构可通过修改磋商文件酌情延长递交响应文件的截止时间，在此情况下，供应商的所有权利和义务以及供应商的磋商截止时间均应以延长后新的截止时间为准；</w:t>
      </w:r>
    </w:p>
    <w:p>
      <w:pPr>
        <w:tabs>
          <w:tab w:val="left" w:pos="72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13.5供应商的修改书和撤回通知应在规定的磋商截止日期前按规定的时间及方式（邮箱或传真等）送达；</w:t>
      </w:r>
    </w:p>
    <w:p>
      <w:pPr>
        <w:tabs>
          <w:tab w:val="left" w:pos="72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13.6采购代理机构收到供应商的响应文件或修改撤回通知书后，应当出具签收单（或收回签收单），通过邮箱或传真等方式送达；</w:t>
      </w:r>
    </w:p>
    <w:p>
      <w:pPr>
        <w:tabs>
          <w:tab w:val="left" w:pos="720"/>
        </w:tabs>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13.7因网络或其他非供应商问题造成电子响应文件未成功解密，且供应商提供了数据电子备份响应文件（U盘）的，以数据电子备份响应文件（U盘）作为评审依据，否则视为电子响应文件撤回，作无效标处理。电子响应文件已成功解密的，数据电子备份响应文件（U盘）自动失效，不予启封。</w:t>
      </w:r>
    </w:p>
    <w:p>
      <w:pPr>
        <w:tabs>
          <w:tab w:val="left" w:pos="720"/>
        </w:tabs>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14.迟交的响应文件</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采购人将不接受在规定的磋商截止时间后收到的任何响应文件。</w:t>
      </w:r>
    </w:p>
    <w:p>
      <w:pPr>
        <w:tabs>
          <w:tab w:val="left" w:pos="720"/>
        </w:tabs>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15.响应文件的修改和撤回</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15.1供应商在提交响应文件后，可以修改或撤回其响应文件，但这种修改和撤回通知，必须在规定的磋商截止时间前，以书面形式（包括邮箱或传真等方式）通知采购代理机构；</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15.2在磋商截止时间至规定的磋商有效期满之间的这段时间，供应商不得撤回其响应文件。</w:t>
      </w:r>
    </w:p>
    <w:p>
      <w:pPr>
        <w:tabs>
          <w:tab w:val="left" w:pos="720"/>
        </w:tabs>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16.出现以下情形，导致电子交易平台无法正常进行，或者无法保证电子交易的公平、公正和安全时，中止电子交易活动：</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16.1电子交易平台发生故障而无法登录访问的；</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16.2电子交易平台应用或数据库出现错误，不能进行正常操作的；</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16.3电子交易平台发现严重安全漏洞，有潜在泄密危险的；</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16.4病毒发作导致不能进行正常操作的；</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16.5其他无法保证电子交易的公平、公正和安全的情况。</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出现以上规定情形，不影响采购公平、公正性的，采购代理机构可以待上述情形消除后继续组织电子交易活动，也可以决定某些环节以其他形式（数据备份响应文件（U盘））进行；影响或可能影响采购公平、公正性的，重新采购。</w:t>
      </w:r>
    </w:p>
    <w:p>
      <w:pPr>
        <w:pStyle w:val="3"/>
        <w:spacing w:line="560" w:lineRule="exact"/>
        <w:jc w:val="center"/>
        <w:rPr>
          <w:rFonts w:ascii="仿宋" w:hAnsi="仿宋" w:eastAsia="仿宋" w:cs="仿宋"/>
          <w:color w:val="auto"/>
          <w:sz w:val="28"/>
          <w:szCs w:val="28"/>
          <w:highlight w:val="none"/>
        </w:rPr>
      </w:pPr>
      <w:bookmarkStart w:id="18" w:name="_Toc452995899"/>
      <w:r>
        <w:rPr>
          <w:rFonts w:hint="eastAsia" w:ascii="仿宋" w:hAnsi="仿宋" w:eastAsia="仿宋" w:cs="仿宋"/>
          <w:color w:val="auto"/>
          <w:kern w:val="44"/>
          <w:sz w:val="28"/>
          <w:szCs w:val="28"/>
          <w:highlight w:val="none"/>
        </w:rPr>
        <w:t>四、</w:t>
      </w:r>
      <w:r>
        <w:rPr>
          <w:rFonts w:hint="eastAsia" w:ascii="仿宋" w:hAnsi="仿宋" w:eastAsia="仿宋" w:cs="仿宋"/>
          <w:color w:val="auto"/>
          <w:sz w:val="28"/>
          <w:szCs w:val="28"/>
          <w:highlight w:val="none"/>
        </w:rPr>
        <w:t>磋商</w:t>
      </w:r>
      <w:r>
        <w:rPr>
          <w:rFonts w:hint="eastAsia" w:ascii="仿宋" w:hAnsi="仿宋" w:eastAsia="仿宋" w:cs="仿宋"/>
          <w:color w:val="auto"/>
          <w:spacing w:val="14"/>
          <w:sz w:val="28"/>
          <w:szCs w:val="28"/>
          <w:highlight w:val="none"/>
        </w:rPr>
        <w:t>规则、</w:t>
      </w:r>
      <w:r>
        <w:rPr>
          <w:rFonts w:hint="eastAsia" w:ascii="仿宋" w:hAnsi="仿宋" w:eastAsia="仿宋" w:cs="仿宋"/>
          <w:color w:val="auto"/>
          <w:sz w:val="28"/>
          <w:szCs w:val="28"/>
          <w:highlight w:val="none"/>
        </w:rPr>
        <w:t>程序</w:t>
      </w:r>
      <w:bookmarkEnd w:id="18"/>
    </w:p>
    <w:p>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17.磋商规则</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17.1采购代理机构将于本须知前附表规定的时间和地点召开磋商会，所有供应商均应准时参加磋商会，本项目的磋商会采用不见面线上模式，供应商登录政采云平台在线响应；</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17.2磋商会由采购代理机构主持。</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17.3对供应商的磋商文件出现下列情况之一的，按照无效响应文件处理：</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17.3.1电子响应文件逾期未上传、传输的将拒绝接收；</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17.3.2不具备磋商文件中规定的资格条件要求的；</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17.3.3供应商提交两份或两份以上内容不同的响应文件，或在一份响应文件中对同一采购项目有两个或两个以上报价的；</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17.3.4响应文件载明的采购项目完成期限超过磋商文件规定的期限，采购人不能接受的；</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17.3.5响应文件载明的采购项目磋商有效期、服务期少于磋商文件规定期限的；</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17.3.6响应文件未响应磋商文件规定的付款方式的；</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17.3.7响应货物或服务的技术规范、技术标准明显不符合国家强制性要求的；</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17.3.8响应货物或服务载明的验收标准和方法等不符合国家规定及竞争性磋商文件要求的；</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17.3.9响应文件字迹模糊辨认不清的（磋商小组一致认为难以确认）；</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17.3.10提供不真实资料的；</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17.3.11不符合法律、法规和磋商文件规定的其他实质性要求（磋商小组一致认定）的；</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17.3.12磋商服务的服务指标、参数等存在实质性偏离（磋商小组一致认定）的；</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17.3.13二分之一以上的磋商小组认为供应商报价明显</w:t>
      </w:r>
      <w:r>
        <w:rPr>
          <w:rFonts w:hint="eastAsia" w:ascii="仿宋" w:hAnsi="仿宋" w:eastAsia="仿宋" w:cs="仿宋"/>
          <w:color w:val="auto"/>
          <w:sz w:val="24"/>
          <w:highlight w:val="none"/>
          <w:lang w:val="en-US" w:eastAsia="zh-CN"/>
        </w:rPr>
        <w:t>低于</w:t>
      </w:r>
      <w:r>
        <w:rPr>
          <w:rFonts w:hint="eastAsia" w:ascii="仿宋" w:hAnsi="仿宋" w:eastAsia="仿宋" w:cs="仿宋"/>
          <w:color w:val="auto"/>
          <w:sz w:val="24"/>
          <w:highlight w:val="none"/>
        </w:rPr>
        <w:t>市场平均价的；</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17.3.14未在浙江政府采购网（政采云平台）完成本项目网上报名的；</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17.3.15法律、法规、规章及省级以上规范性文件等规定的其他情形；</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17.3.16未响应磋商文件中“▲”实质性条款。</w:t>
      </w:r>
    </w:p>
    <w:p>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18.磋商小组与磋商原则</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磋商小组由采购代理机构依法组建，负责磋商活动。磋商小组遵循公开、公平、公正、科学合理，竞争择优的原则。</w:t>
      </w:r>
    </w:p>
    <w:p>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19.磋商过程的保密</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19.1磋商会开始后，直至授予成交供应商合同为止，凡属于对响应文件的审查、澄清、评判和比较的有关资料、成交候选供应商的推荐情况及与磋商有关的其他任何情况均依法严格保密；</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19.2在响应文件的评判和比较、成交候选供应商推荐以及授予合同的过程中，供应商向采购人和磋商小组施加影响的任何行为，都将会导致其磋商被拒绝；</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19.3磋商小组通过政采云系统分别与各供应商进行技术、商务、资信及价格磋商，在磋商过程中，磋商小组成员不得透露其他供应商的磋商信息，严守商业秘密；</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19.4供应商有下列情形之一的，视为供应商串通磋商，其磋商无效：</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19.4.1不同供应商的响应文件由同一单位或者个人编制；</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19.4.2不同供应商委托同一单位或者个人办理磋商事宜；</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19.4.3不同供应商的响应文件载明的项目管理成员或者联系人员为同一人；</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19.4.4不同供应商的响应文件异常一致或者响应报价呈规律性差异；</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19.4.5不同供应商的数据电子备份响应文件（U盘）相互混装。</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19.5供应商有下列情形之一的，属于恶意串通，其磋商无效：</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19.5.1供应商直接或者间接从采购人或者采购代理机构处获得其他供应商的相关情况并修改其响应文件；</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19.5.2供应商按照采购人或者采购代理机构的授意撤换、修改响应文件；</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19.5.3供应商之间协商报价、技术方案等响应文件的实质性内容；</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19.5.4属于同一集团、协会、商会等组织成员的供应商按照该组织要求协同参加政府采购活动；</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19.5.5供应商之间事先约定由某一特定供应商成交；</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19.5.6供应商之间商定部分供应商放弃参加政府采购活动或者放弃成交；</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19.5.7供应商与采购人或者采购代理机构之间、供应商相互之间，为谋求特定供应商成交或者排斥其他供应商的其他串通行为。</w:t>
      </w:r>
    </w:p>
    <w:p>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20.响应文件的澄清</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为有助于响应文件的审查、评判和比较，磋商小组可以要求供应商对响应文件含义不明确的内容作必要的澄清或说明，供应商应通过政采云系统采用书面形式进行必要的澄清、说明或承诺。</w:t>
      </w:r>
    </w:p>
    <w:p>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21.</w:t>
      </w:r>
      <w:r>
        <w:rPr>
          <w:rFonts w:hint="eastAsia" w:ascii="仿宋" w:hAnsi="仿宋" w:eastAsia="仿宋" w:cs="仿宋"/>
          <w:color w:val="auto"/>
          <w:spacing w:val="14"/>
          <w:sz w:val="24"/>
          <w:highlight w:val="none"/>
        </w:rPr>
        <w:t>磋商程序与方法</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21.1资格性审查</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磋商小组依据法律、法规和磋商文件规定，对响应文件中的资格证明等进行审查，以确定供应商是否具备磋商资格。</w:t>
      </w:r>
      <w:r>
        <w:rPr>
          <w:rFonts w:hint="eastAsia" w:ascii="仿宋" w:hAnsi="仿宋" w:eastAsia="仿宋" w:cs="仿宋"/>
          <w:b/>
          <w:color w:val="auto"/>
          <w:sz w:val="24"/>
          <w:highlight w:val="none"/>
          <w:u w:val="single"/>
        </w:rPr>
        <w:t>审查内容详见响应文件组成中资格审查条款1-5</w:t>
      </w:r>
      <w:r>
        <w:rPr>
          <w:rFonts w:hint="eastAsia" w:ascii="仿宋" w:hAnsi="仿宋" w:eastAsia="仿宋" w:cs="仿宋"/>
          <w:color w:val="auto"/>
          <w:sz w:val="24"/>
          <w:highlight w:val="none"/>
        </w:rPr>
        <w:t>。</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21.2初步审查</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磋商小组对通过资格性检查的供应商进行</w:t>
      </w:r>
      <w:r>
        <w:rPr>
          <w:rFonts w:hint="eastAsia" w:ascii="仿宋" w:hAnsi="仿宋" w:eastAsia="仿宋" w:cs="仿宋"/>
          <w:bCs/>
          <w:color w:val="auto"/>
          <w:sz w:val="24"/>
          <w:highlight w:val="none"/>
        </w:rPr>
        <w:t>符合性</w:t>
      </w:r>
      <w:r>
        <w:rPr>
          <w:rFonts w:hint="eastAsia" w:ascii="仿宋" w:hAnsi="仿宋" w:eastAsia="仿宋" w:cs="仿宋"/>
          <w:color w:val="auto"/>
          <w:sz w:val="24"/>
          <w:highlight w:val="none"/>
        </w:rPr>
        <w:t>检查。依据磋商文件的规定，从响应文件的有效性、完整性和对磋商文件的响应程度进行初步审查，以确定是否对磋商文件的实质性要求作出响应。</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21.3通过政采云系统，磋商小组根据磋商文件的内容与各供应商分别进行磋商，各供应商在线答复的同时，须对磋商中所涉及的澄清、修改、承诺等补充资料等在规定的时间内以书面文件形式通过系统提交至磋商小组，其书面文件必须由供应商的法定代表人或其授权代理人签字（或签章），作为响应文件的补充。如该供应商成为成交供应商，则该供应商的响应文件（含所有补充资料）将作为合同的组成部分。</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21.4响应文件计算错误的修正</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21.4.1响应文件中磋商报价一览表内容与响应文件中磋商分项报价表内容不一致的，以磋商报价一览表为准；</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21.4.2响应文件的大写金额和小写金额不一致的，以大写金额为准；</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21.4.3总</w:t>
      </w:r>
      <w:r>
        <w:rPr>
          <w:rFonts w:hint="eastAsia" w:ascii="仿宋" w:hAnsi="仿宋" w:eastAsia="仿宋" w:cs="仿宋"/>
          <w:color w:val="auto"/>
          <w:spacing w:val="-8"/>
          <w:sz w:val="24"/>
          <w:highlight w:val="none"/>
        </w:rPr>
        <w:t>价金额与按单价汇总金额不一致的，以单价金额计算结果为准</w:t>
      </w:r>
      <w:r>
        <w:rPr>
          <w:rFonts w:hint="eastAsia" w:ascii="仿宋" w:hAnsi="仿宋" w:eastAsia="仿宋" w:cs="仿宋"/>
          <w:color w:val="auto"/>
          <w:sz w:val="24"/>
          <w:highlight w:val="none"/>
        </w:rPr>
        <w:t>。</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21.4.4单价金额小数点有明显错位的，应以总价为准，并修改单价；</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21.4.5对不同文字文本响应文件的解释发生异议的，以中文文本为准。</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21.5技术、商务、资信及其他部分磋商结束后，所有供应商须按磋商小组要求，在规定时间内通过政采云系统进行最后报价，并提交至磋商小组。</w:t>
      </w:r>
    </w:p>
    <w:p>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21.6</w:t>
      </w:r>
      <w:r>
        <w:rPr>
          <w:rFonts w:hint="eastAsia" w:ascii="仿宋" w:hAnsi="仿宋" w:eastAsia="仿宋" w:cs="仿宋"/>
          <w:bCs/>
          <w:color w:val="auto"/>
          <w:sz w:val="24"/>
          <w:highlight w:val="none"/>
        </w:rPr>
        <w:t>确定成交供应商</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21.6.1在全部满足磋商文件实质性要求的前提下，按综合得分高低确定成交供应商。</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21.6.2采购代理机构应当在磋商结束后二个工作日内将磋商评审报告送采购人确认。</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21.6.3采购人应当在收到磋商评审报告后五个工作日内，按照磋商评审报告中推荐的排列顺序依法确定成交供应商。</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21.6.4替补候选人的设定与使用：第一成交候选供应商放弃成交或者因不可抗力提出不能履行合同，采购人可以确定第二成交候选供应商为成交供应商或重新组织采购活动，排名第二的成交候选供应商因前款同样的原因不能签订合同，采购人可以确定排名第三的成交候选供应商为成交供应商或重新组织采购活动。</w:t>
      </w:r>
    </w:p>
    <w:p>
      <w:pPr>
        <w:spacing w:line="560" w:lineRule="exact"/>
        <w:rPr>
          <w:rFonts w:ascii="仿宋" w:hAnsi="仿宋" w:eastAsia="仿宋" w:cs="仿宋"/>
          <w:bCs/>
          <w:color w:val="auto"/>
          <w:sz w:val="24"/>
          <w:highlight w:val="none"/>
        </w:rPr>
      </w:pPr>
      <w:r>
        <w:rPr>
          <w:rFonts w:hint="eastAsia" w:ascii="仿宋" w:hAnsi="仿宋" w:eastAsia="仿宋" w:cs="仿宋"/>
          <w:color w:val="auto"/>
          <w:sz w:val="24"/>
          <w:highlight w:val="none"/>
        </w:rPr>
        <w:t>22.</w:t>
      </w:r>
      <w:r>
        <w:rPr>
          <w:rFonts w:hint="eastAsia" w:ascii="仿宋" w:hAnsi="仿宋" w:eastAsia="仿宋" w:cs="仿宋"/>
          <w:bCs/>
          <w:color w:val="auto"/>
          <w:sz w:val="24"/>
          <w:highlight w:val="none"/>
        </w:rPr>
        <w:t>成交公告</w:t>
      </w:r>
    </w:p>
    <w:p>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采购代理机构应当在收到采购人书面确定的成交供应商通知后将成交结果在原发布磋商公告的媒体上予以公告。公告期按有关规定执行。</w:t>
      </w:r>
    </w:p>
    <w:p>
      <w:pPr>
        <w:spacing w:line="560" w:lineRule="exact"/>
        <w:rPr>
          <w:rFonts w:ascii="仿宋" w:hAnsi="仿宋" w:eastAsia="仿宋" w:cs="仿宋"/>
          <w:bCs/>
          <w:color w:val="auto"/>
          <w:sz w:val="24"/>
          <w:highlight w:val="none"/>
        </w:rPr>
      </w:pPr>
      <w:r>
        <w:rPr>
          <w:rFonts w:hint="eastAsia" w:ascii="仿宋" w:hAnsi="仿宋" w:eastAsia="仿宋" w:cs="仿宋"/>
          <w:color w:val="auto"/>
          <w:sz w:val="24"/>
          <w:highlight w:val="none"/>
        </w:rPr>
        <w:t>23.成交通知</w:t>
      </w:r>
    </w:p>
    <w:p>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23.1</w:t>
      </w:r>
      <w:r>
        <w:rPr>
          <w:rFonts w:hint="eastAsia" w:ascii="仿宋" w:hAnsi="仿宋" w:eastAsia="仿宋" w:cs="仿宋"/>
          <w:bCs/>
          <w:color w:val="auto"/>
          <w:sz w:val="24"/>
          <w:highlight w:val="none"/>
        </w:rPr>
        <w:t>在磋商有效期内，</w:t>
      </w:r>
      <w:r>
        <w:rPr>
          <w:rFonts w:hint="eastAsia" w:ascii="仿宋" w:hAnsi="仿宋" w:eastAsia="仿宋" w:cs="仿宋"/>
          <w:color w:val="auto"/>
          <w:sz w:val="24"/>
          <w:highlight w:val="none"/>
        </w:rPr>
        <w:t>采购代理机构</w:t>
      </w:r>
      <w:r>
        <w:rPr>
          <w:rFonts w:hint="eastAsia" w:ascii="仿宋" w:hAnsi="仿宋" w:eastAsia="仿宋" w:cs="仿宋"/>
          <w:bCs/>
          <w:color w:val="auto"/>
          <w:sz w:val="24"/>
          <w:highlight w:val="none"/>
        </w:rPr>
        <w:t>可以书面形式通知所选定的成交供应商。通知也可以传真、信函的形式，但需要以书面确认，</w:t>
      </w:r>
      <w:r>
        <w:rPr>
          <w:rFonts w:hint="eastAsia" w:ascii="仿宋" w:hAnsi="仿宋" w:eastAsia="仿宋" w:cs="仿宋"/>
          <w:color w:val="auto"/>
          <w:sz w:val="24"/>
          <w:highlight w:val="none"/>
        </w:rPr>
        <w:t>领取成交通知书前须完成以下事项：</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23.2成交通知书为双方签订合同的依据；</w:t>
      </w:r>
    </w:p>
    <w:p>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23.3成交供应商应根据成交通知书中规定的时间内，由法定代表人或其授权代理人与采购人签订合同。</w:t>
      </w:r>
    </w:p>
    <w:p>
      <w:pPr>
        <w:spacing w:line="560" w:lineRule="exact"/>
        <w:rPr>
          <w:rFonts w:ascii="仿宋" w:hAnsi="仿宋" w:eastAsia="仿宋" w:cs="仿宋"/>
          <w:bCs/>
          <w:color w:val="auto"/>
          <w:sz w:val="24"/>
          <w:highlight w:val="none"/>
        </w:rPr>
      </w:pPr>
      <w:r>
        <w:rPr>
          <w:rFonts w:hint="eastAsia" w:ascii="仿宋" w:hAnsi="仿宋" w:eastAsia="仿宋" w:cs="仿宋"/>
          <w:color w:val="auto"/>
          <w:sz w:val="24"/>
          <w:highlight w:val="none"/>
        </w:rPr>
        <w:t>24.</w:t>
      </w:r>
      <w:r>
        <w:rPr>
          <w:rFonts w:hint="eastAsia" w:ascii="仿宋" w:hAnsi="仿宋" w:eastAsia="仿宋" w:cs="仿宋"/>
          <w:bCs/>
          <w:color w:val="auto"/>
          <w:sz w:val="24"/>
          <w:highlight w:val="none"/>
        </w:rPr>
        <w:t>废标</w:t>
      </w:r>
    </w:p>
    <w:p>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在磋商中，出现下列情形之一的，应予废标：</w:t>
      </w:r>
    </w:p>
    <w:p>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24.1出现影响采购公正的违法、违规行为的；</w:t>
      </w:r>
    </w:p>
    <w:p>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24.2因重大变故，采购任务取消的；</w:t>
      </w:r>
    </w:p>
    <w:p>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24.3供应商的报价均超采购预算的，采购人不能支付的；</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bCs/>
          <w:color w:val="auto"/>
          <w:sz w:val="24"/>
          <w:highlight w:val="none"/>
        </w:rPr>
        <w:t>24.4</w:t>
      </w:r>
      <w:r>
        <w:rPr>
          <w:rFonts w:hint="eastAsia" w:ascii="仿宋" w:hAnsi="仿宋" w:eastAsia="仿宋" w:cs="仿宋"/>
          <w:bCs/>
          <w:snapToGrid w:val="0"/>
          <w:color w:val="auto"/>
          <w:sz w:val="24"/>
          <w:highlight w:val="none"/>
        </w:rPr>
        <w:t>法律、法规、规章等规定的其他情形除外。</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废标后，采购代理机构将废标理由通知所有供应商。</w:t>
      </w:r>
    </w:p>
    <w:p>
      <w:pPr>
        <w:spacing w:line="560" w:lineRule="exact"/>
        <w:ind w:firstLine="536" w:firstLineChars="200"/>
        <w:rPr>
          <w:rFonts w:ascii="仿宋" w:hAnsi="仿宋" w:eastAsia="仿宋" w:cs="仿宋"/>
          <w:bCs/>
          <w:color w:val="auto"/>
          <w:spacing w:val="14"/>
          <w:sz w:val="24"/>
          <w:highlight w:val="none"/>
          <w:u w:val="single"/>
        </w:rPr>
      </w:pPr>
      <w:r>
        <w:rPr>
          <w:rFonts w:hint="eastAsia" w:ascii="仿宋" w:hAnsi="仿宋" w:eastAsia="仿宋" w:cs="仿宋"/>
          <w:bCs/>
          <w:color w:val="auto"/>
          <w:spacing w:val="14"/>
          <w:sz w:val="24"/>
          <w:highlight w:val="none"/>
        </w:rPr>
        <w:t>本磋商规则及</w:t>
      </w:r>
      <w:r>
        <w:rPr>
          <w:rFonts w:hint="eastAsia" w:ascii="仿宋" w:hAnsi="仿宋" w:eastAsia="仿宋" w:cs="仿宋"/>
          <w:bCs/>
          <w:color w:val="auto"/>
          <w:sz w:val="24"/>
          <w:highlight w:val="none"/>
        </w:rPr>
        <w:t>程序</w:t>
      </w:r>
      <w:r>
        <w:rPr>
          <w:rFonts w:hint="eastAsia" w:ascii="仿宋" w:hAnsi="仿宋" w:eastAsia="仿宋" w:cs="仿宋"/>
          <w:bCs/>
          <w:color w:val="auto"/>
          <w:spacing w:val="14"/>
          <w:sz w:val="24"/>
          <w:highlight w:val="none"/>
        </w:rPr>
        <w:t>只适用于</w:t>
      </w:r>
      <w:r>
        <w:rPr>
          <w:rFonts w:hint="eastAsia" w:ascii="仿宋" w:hAnsi="仿宋" w:eastAsia="仿宋" w:cs="宋体"/>
          <w:b/>
          <w:color w:val="auto"/>
          <w:sz w:val="24"/>
          <w:highlight w:val="none"/>
          <w:u w:val="single"/>
          <w:lang w:eastAsia="zh-CN"/>
        </w:rPr>
        <w:t>2024年度湖州人社核心应用软件系统运维保障服务采购项目（</w:t>
      </w:r>
      <w:r>
        <w:rPr>
          <w:rFonts w:hint="eastAsia" w:ascii="仿宋" w:hAnsi="仿宋" w:eastAsia="仿宋" w:cs="宋体"/>
          <w:b/>
          <w:color w:val="auto"/>
          <w:sz w:val="24"/>
          <w:highlight w:val="none"/>
          <w:u w:val="single"/>
          <w:lang w:val="en-US" w:eastAsia="zh-CN"/>
        </w:rPr>
        <w:t>标项二</w:t>
      </w:r>
      <w:r>
        <w:rPr>
          <w:rFonts w:hint="eastAsia" w:ascii="仿宋" w:hAnsi="仿宋" w:eastAsia="仿宋" w:cs="宋体"/>
          <w:b/>
          <w:color w:val="auto"/>
          <w:sz w:val="24"/>
          <w:highlight w:val="none"/>
          <w:u w:val="single"/>
          <w:lang w:eastAsia="zh-CN"/>
        </w:rPr>
        <w:t>）</w:t>
      </w:r>
      <w:r>
        <w:rPr>
          <w:rFonts w:hint="eastAsia" w:ascii="仿宋" w:hAnsi="仿宋" w:eastAsia="仿宋" w:cs="仿宋"/>
          <w:bCs/>
          <w:color w:val="auto"/>
          <w:spacing w:val="-4"/>
          <w:sz w:val="24"/>
          <w:szCs w:val="21"/>
          <w:highlight w:val="none"/>
        </w:rPr>
        <w:t>（</w:t>
      </w:r>
      <w:r>
        <w:rPr>
          <w:rFonts w:hint="eastAsia" w:ascii="仿宋" w:hAnsi="仿宋" w:eastAsia="仿宋" w:cs="仿宋"/>
          <w:bCs/>
          <w:color w:val="auto"/>
          <w:spacing w:val="14"/>
          <w:sz w:val="24"/>
          <w:highlight w:val="none"/>
        </w:rPr>
        <w:t>编号：XCXHZ-2024-0</w:t>
      </w:r>
      <w:r>
        <w:rPr>
          <w:rFonts w:hint="eastAsia" w:ascii="仿宋" w:hAnsi="仿宋" w:eastAsia="仿宋" w:cs="仿宋"/>
          <w:bCs/>
          <w:color w:val="auto"/>
          <w:spacing w:val="14"/>
          <w:sz w:val="24"/>
          <w:highlight w:val="none"/>
          <w:lang w:val="en-US" w:eastAsia="zh-CN"/>
        </w:rPr>
        <w:t>31-002</w:t>
      </w:r>
      <w:r>
        <w:rPr>
          <w:rFonts w:hint="eastAsia" w:ascii="仿宋" w:hAnsi="仿宋" w:eastAsia="仿宋" w:cs="仿宋"/>
          <w:bCs/>
          <w:color w:val="auto"/>
          <w:spacing w:val="14"/>
          <w:sz w:val="24"/>
          <w:highlight w:val="none"/>
        </w:rPr>
        <w:t>（CG）)磋商文件。</w:t>
      </w:r>
    </w:p>
    <w:p>
      <w:pPr>
        <w:pStyle w:val="3"/>
        <w:spacing w:line="560" w:lineRule="exact"/>
        <w:jc w:val="center"/>
        <w:rPr>
          <w:rFonts w:ascii="仿宋" w:hAnsi="仿宋" w:eastAsia="仿宋" w:cs="仿宋"/>
          <w:color w:val="auto"/>
          <w:spacing w:val="14"/>
          <w:sz w:val="28"/>
          <w:szCs w:val="28"/>
          <w:highlight w:val="none"/>
        </w:rPr>
      </w:pPr>
      <w:bookmarkStart w:id="19" w:name="_Toc452995900"/>
      <w:r>
        <w:rPr>
          <w:rFonts w:hint="eastAsia" w:ascii="仿宋" w:hAnsi="仿宋" w:eastAsia="仿宋" w:cs="仿宋"/>
          <w:color w:val="auto"/>
          <w:spacing w:val="14"/>
          <w:sz w:val="28"/>
          <w:szCs w:val="28"/>
          <w:highlight w:val="none"/>
        </w:rPr>
        <w:t>五、授予合同</w:t>
      </w:r>
      <w:bookmarkEnd w:id="19"/>
    </w:p>
    <w:p>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25.授予合同的依据</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25</w:t>
      </w:r>
      <w:r>
        <w:rPr>
          <w:rFonts w:hint="eastAsia" w:ascii="仿宋" w:hAnsi="仿宋" w:eastAsia="仿宋" w:cs="仿宋"/>
          <w:bCs/>
          <w:color w:val="auto"/>
          <w:sz w:val="24"/>
          <w:highlight w:val="none"/>
        </w:rPr>
        <w:t>.1</w:t>
      </w:r>
      <w:r>
        <w:rPr>
          <w:rFonts w:hint="eastAsia" w:ascii="仿宋" w:hAnsi="仿宋" w:eastAsia="仿宋" w:cs="仿宋"/>
          <w:color w:val="auto"/>
          <w:sz w:val="24"/>
          <w:highlight w:val="none"/>
        </w:rPr>
        <w:t>采购代理机构签发的成交通知书；</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25</w:t>
      </w:r>
      <w:r>
        <w:rPr>
          <w:rFonts w:hint="eastAsia" w:ascii="仿宋" w:hAnsi="仿宋" w:eastAsia="仿宋" w:cs="仿宋"/>
          <w:bCs/>
          <w:color w:val="auto"/>
          <w:sz w:val="24"/>
          <w:highlight w:val="none"/>
        </w:rPr>
        <w:t>.2</w:t>
      </w:r>
      <w:r>
        <w:rPr>
          <w:rFonts w:hint="eastAsia" w:ascii="仿宋" w:hAnsi="仿宋" w:eastAsia="仿宋" w:cs="仿宋"/>
          <w:color w:val="auto"/>
          <w:sz w:val="24"/>
          <w:highlight w:val="none"/>
        </w:rPr>
        <w:t>磋商文件、磋商文件的修改及补充通知（函）；</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25</w:t>
      </w:r>
      <w:r>
        <w:rPr>
          <w:rFonts w:hint="eastAsia" w:ascii="仿宋" w:hAnsi="仿宋" w:eastAsia="仿宋" w:cs="仿宋"/>
          <w:bCs/>
          <w:color w:val="auto"/>
          <w:sz w:val="24"/>
          <w:highlight w:val="none"/>
        </w:rPr>
        <w:t>.3</w:t>
      </w:r>
      <w:r>
        <w:rPr>
          <w:rFonts w:hint="eastAsia" w:ascii="仿宋" w:hAnsi="仿宋" w:eastAsia="仿宋" w:cs="仿宋"/>
          <w:color w:val="auto"/>
          <w:sz w:val="24"/>
          <w:highlight w:val="none"/>
        </w:rPr>
        <w:t>响应文件和磋商时供应商作出的书面澄清、说明、纠正、承诺等；</w:t>
      </w:r>
    </w:p>
    <w:p>
      <w:pPr>
        <w:spacing w:line="560" w:lineRule="exact"/>
        <w:rPr>
          <w:rFonts w:ascii="仿宋" w:hAnsi="仿宋" w:eastAsia="仿宋" w:cs="仿宋"/>
          <w:bCs/>
          <w:color w:val="auto"/>
          <w:sz w:val="24"/>
          <w:highlight w:val="none"/>
        </w:rPr>
      </w:pPr>
      <w:r>
        <w:rPr>
          <w:rFonts w:hint="eastAsia" w:ascii="仿宋" w:hAnsi="仿宋" w:eastAsia="仿宋" w:cs="仿宋"/>
          <w:bCs/>
          <w:color w:val="auto"/>
          <w:sz w:val="24"/>
          <w:highlight w:val="none"/>
        </w:rPr>
        <w:t>26</w:t>
      </w:r>
      <w:r>
        <w:rPr>
          <w:rFonts w:hint="eastAsia" w:ascii="仿宋" w:hAnsi="仿宋" w:eastAsia="仿宋" w:cs="仿宋"/>
          <w:color w:val="auto"/>
          <w:sz w:val="24"/>
          <w:highlight w:val="none"/>
        </w:rPr>
        <w:t>.</w:t>
      </w:r>
      <w:r>
        <w:rPr>
          <w:rFonts w:hint="eastAsia" w:ascii="仿宋" w:hAnsi="仿宋" w:eastAsia="仿宋" w:cs="仿宋"/>
          <w:bCs/>
          <w:color w:val="auto"/>
          <w:sz w:val="24"/>
          <w:highlight w:val="none"/>
        </w:rPr>
        <w:t>合同签订</w:t>
      </w:r>
    </w:p>
    <w:p>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26.1成交供应商与采购人应按成交通知书中规定的时间、地点签订合同，否则应承担相应的法律责任。</w:t>
      </w:r>
    </w:p>
    <w:p>
      <w:pPr>
        <w:spacing w:line="560" w:lineRule="exact"/>
        <w:ind w:firstLine="480" w:firstLineChars="200"/>
        <w:rPr>
          <w:rFonts w:ascii="仿宋" w:hAnsi="仿宋" w:eastAsia="仿宋" w:cs="仿宋"/>
          <w:b/>
          <w:bCs/>
          <w:color w:val="auto"/>
          <w:sz w:val="24"/>
          <w:highlight w:val="none"/>
        </w:rPr>
      </w:pPr>
      <w:r>
        <w:rPr>
          <w:rFonts w:hint="eastAsia" w:ascii="仿宋" w:hAnsi="仿宋" w:eastAsia="仿宋" w:cs="仿宋"/>
          <w:bCs/>
          <w:color w:val="auto"/>
          <w:sz w:val="24"/>
          <w:highlight w:val="none"/>
        </w:rPr>
        <w:t>26.2磋商文件、成交供应商的响应文件及磋商过程中有关澄清文件和承诺均为合同附件。</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26.3</w:t>
      </w:r>
      <w:r>
        <w:rPr>
          <w:rFonts w:hint="eastAsia" w:ascii="仿宋" w:hAnsi="仿宋" w:eastAsia="仿宋" w:cs="仿宋"/>
          <w:snapToGrid w:val="0"/>
          <w:color w:val="auto"/>
          <w:sz w:val="24"/>
          <w:highlight w:val="none"/>
        </w:rPr>
        <w:t>采购人与成交供应商将根据《中华人民共和国</w:t>
      </w:r>
      <w:r>
        <w:rPr>
          <w:rFonts w:hint="eastAsia" w:ascii="仿宋" w:hAnsi="仿宋" w:eastAsia="仿宋" w:cs="仿宋"/>
          <w:snapToGrid w:val="0"/>
          <w:color w:val="auto"/>
          <w:sz w:val="24"/>
          <w:highlight w:val="none"/>
          <w:lang w:val="en-US" w:eastAsia="zh-CN"/>
        </w:rPr>
        <w:t>民法典</w:t>
      </w:r>
      <w:r>
        <w:rPr>
          <w:rFonts w:hint="eastAsia" w:ascii="仿宋" w:hAnsi="仿宋" w:eastAsia="仿宋" w:cs="仿宋"/>
          <w:snapToGrid w:val="0"/>
          <w:color w:val="auto"/>
          <w:sz w:val="24"/>
          <w:highlight w:val="none"/>
        </w:rPr>
        <w:t>》的规定，依据磋商文件和成交供应商的响应文件签订书面合同。</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26.4采购人如不与</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供应商订立合同，或者采购人、</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供应商订立背离合同实质性内容的协议，由政府有关部门责令改正，同时依法承担相应法律责任；</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26.5</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供应商如不按规定与采购人订立合同，则采购代理机构将废除授标，保证金不予退还，给采购人造成的损失超过响应担保数额的，还应当对超过部分予以赔偿，同时依法承担相应法律责任。</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26.6</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供应商应当按照合同约定履行义务，完成</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项目各项工作，不得将</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项目违法转让（转包）给他人；</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26.7如果</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供应商未能遵守本须知第26.6条的规定，则可取消其</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资格。在此情况下，可将合同授予排序在</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供应商之后的第一位</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候选供应商。</w:t>
      </w:r>
    </w:p>
    <w:p>
      <w:pPr>
        <w:pStyle w:val="24"/>
        <w:ind w:firstLine="0"/>
        <w:rPr>
          <w:color w:val="auto"/>
          <w:highlight w:val="none"/>
        </w:rPr>
      </w:pPr>
    </w:p>
    <w:p>
      <w:pPr>
        <w:pStyle w:val="3"/>
        <w:spacing w:line="560" w:lineRule="exact"/>
        <w:jc w:val="center"/>
        <w:rPr>
          <w:rFonts w:ascii="仿宋" w:hAnsi="仿宋" w:eastAsia="仿宋" w:cs="仿宋"/>
          <w:color w:val="auto"/>
          <w:spacing w:val="14"/>
          <w:sz w:val="28"/>
          <w:szCs w:val="28"/>
          <w:highlight w:val="none"/>
        </w:rPr>
      </w:pPr>
      <w:r>
        <w:rPr>
          <w:rFonts w:hint="eastAsia" w:ascii="仿宋" w:hAnsi="仿宋" w:eastAsia="仿宋" w:cs="仿宋"/>
          <w:color w:val="auto"/>
          <w:spacing w:val="14"/>
          <w:sz w:val="28"/>
          <w:szCs w:val="28"/>
          <w:highlight w:val="none"/>
        </w:rPr>
        <w:t>六、其他内容</w:t>
      </w:r>
    </w:p>
    <w:p>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27.发生下列情况之一，供应商自愿接受取消磋商资格、记入信用档案、媒体通报、1-3年内禁止参与政府采购等处罚；如已成交的，自动放弃成交资格，并承担全部法律责任；给采购人造成损失的，依法承担赔偿责任：</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27.1供应商在提交磋商（响应）文件截止时间后撤回磋商（响应）文件的；</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27.2供应商在磋商（响应）文件中提交虚假材料的；</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27.3除因不可抗力或磋商文件认可的情形以外，成交供应商不与采购人签订合同的；</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27.4供应商与采购人、其他供应商或者采购代理机构恶意串通的；</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27.5磋商文件规定的其他情形。</w:t>
      </w:r>
    </w:p>
    <w:p>
      <w:pPr>
        <w:rPr>
          <w:rFonts w:ascii="仿宋" w:hAnsi="仿宋" w:eastAsia="仿宋" w:cs="仿宋"/>
          <w:color w:val="auto"/>
          <w:sz w:val="24"/>
          <w:highlight w:val="none"/>
        </w:rPr>
      </w:pPr>
    </w:p>
    <w:p>
      <w:pPr>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br w:type="page"/>
      </w:r>
    </w:p>
    <w:p>
      <w:pPr>
        <w:tabs>
          <w:tab w:val="left" w:pos="8100"/>
        </w:tabs>
        <w:spacing w:line="560" w:lineRule="exact"/>
        <w:jc w:val="center"/>
        <w:outlineLvl w:val="0"/>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t>第四章 合同主要条款</w:t>
      </w:r>
    </w:p>
    <w:p>
      <w:pPr>
        <w:pStyle w:val="2"/>
        <w:spacing w:line="500" w:lineRule="exact"/>
        <w:jc w:val="center"/>
        <w:rPr>
          <w:rFonts w:ascii="仿宋" w:hAnsi="仿宋" w:eastAsia="仿宋" w:cs="仿宋"/>
          <w:b w:val="0"/>
          <w:bCs w:val="0"/>
          <w:snapToGrid w:val="0"/>
          <w:color w:val="auto"/>
          <w:sz w:val="36"/>
          <w:szCs w:val="36"/>
          <w:highlight w:val="none"/>
        </w:rPr>
      </w:pPr>
      <w:r>
        <w:rPr>
          <w:rFonts w:hint="eastAsia" w:ascii="仿宋" w:hAnsi="仿宋" w:eastAsia="仿宋" w:cs="仿宋"/>
          <w:color w:val="auto"/>
          <w:sz w:val="28"/>
          <w:szCs w:val="28"/>
          <w:highlight w:val="none"/>
        </w:rPr>
        <w:t>（仅供参考，以正式合同为准）</w:t>
      </w:r>
    </w:p>
    <w:p>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财政审批编号:</w:t>
      </w:r>
      <w:r>
        <w:rPr>
          <w:rFonts w:hint="eastAsia" w:ascii="仿宋" w:hAnsi="仿宋" w:eastAsia="仿宋" w:cs="仿宋"/>
          <w:color w:val="auto"/>
          <w:sz w:val="24"/>
          <w:highlight w:val="none"/>
          <w:lang w:val="en-US" w:eastAsia="zh-CN"/>
        </w:rPr>
        <w:t>湖</w:t>
      </w:r>
      <w:r>
        <w:rPr>
          <w:rFonts w:hint="eastAsia" w:ascii="仿宋" w:hAnsi="仿宋" w:eastAsia="仿宋" w:cs="仿宋"/>
          <w:color w:val="auto"/>
          <w:sz w:val="24"/>
          <w:highlight w:val="none"/>
        </w:rPr>
        <w:t>财采确[2024]</w:t>
      </w:r>
      <w:r>
        <w:rPr>
          <w:rFonts w:hint="eastAsia" w:ascii="仿宋" w:hAnsi="仿宋" w:eastAsia="仿宋" w:cs="仿宋"/>
          <w:color w:val="auto"/>
          <w:sz w:val="24"/>
          <w:highlight w:val="none"/>
          <w:lang w:val="en-US" w:eastAsia="zh-CN"/>
        </w:rPr>
        <w:t>7777</w:t>
      </w:r>
      <w:r>
        <w:rPr>
          <w:rFonts w:hint="eastAsia" w:ascii="仿宋" w:hAnsi="仿宋" w:eastAsia="仿宋" w:cs="仿宋"/>
          <w:color w:val="auto"/>
          <w:sz w:val="24"/>
          <w:highlight w:val="none"/>
        </w:rPr>
        <w:t>号  采购文件编号: XCXHZ-2024-0</w:t>
      </w:r>
      <w:r>
        <w:rPr>
          <w:rFonts w:hint="eastAsia" w:ascii="仿宋" w:hAnsi="仿宋" w:eastAsia="仿宋" w:cs="仿宋"/>
          <w:color w:val="auto"/>
          <w:sz w:val="24"/>
          <w:highlight w:val="none"/>
          <w:lang w:val="en-US" w:eastAsia="zh-CN"/>
        </w:rPr>
        <w:t>31-002</w:t>
      </w:r>
      <w:r>
        <w:rPr>
          <w:rFonts w:hint="eastAsia" w:ascii="仿宋" w:hAnsi="仿宋" w:eastAsia="仿宋" w:cs="仿宋"/>
          <w:color w:val="auto"/>
          <w:sz w:val="24"/>
          <w:highlight w:val="none"/>
        </w:rPr>
        <w:t>（CG）</w:t>
      </w:r>
    </w:p>
    <w:p>
      <w:pPr>
        <w:snapToGrid w:val="0"/>
        <w:spacing w:line="400" w:lineRule="exact"/>
        <w:jc w:val="left"/>
        <w:rPr>
          <w:rFonts w:ascii="仿宋" w:hAnsi="仿宋" w:eastAsia="仿宋" w:cs="仿宋"/>
          <w:color w:val="auto"/>
          <w:sz w:val="24"/>
          <w:highlight w:val="none"/>
        </w:rPr>
      </w:pPr>
      <w:r>
        <w:rPr>
          <w:rFonts w:hint="eastAsia" w:ascii="仿宋" w:hAnsi="仿宋" w:eastAsia="仿宋" w:cs="仿宋"/>
          <w:color w:val="auto"/>
          <w:sz w:val="24"/>
          <w:highlight w:val="none"/>
        </w:rPr>
        <w:t>甲方（采购人）：</w:t>
      </w:r>
    </w:p>
    <w:p>
      <w:pPr>
        <w:snapToGrid w:val="0"/>
        <w:spacing w:line="400" w:lineRule="exact"/>
        <w:jc w:val="left"/>
        <w:rPr>
          <w:rFonts w:ascii="仿宋" w:hAnsi="仿宋" w:eastAsia="仿宋" w:cs="仿宋"/>
          <w:color w:val="auto"/>
          <w:sz w:val="24"/>
          <w:highlight w:val="none"/>
        </w:rPr>
      </w:pPr>
      <w:r>
        <w:rPr>
          <w:rFonts w:hint="eastAsia" w:ascii="仿宋" w:hAnsi="仿宋" w:eastAsia="仿宋" w:cs="仿宋"/>
          <w:color w:val="auto"/>
          <w:sz w:val="24"/>
          <w:highlight w:val="none"/>
        </w:rPr>
        <w:t>乙方（成交人）：</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甲、乙双方根据</w:t>
      </w:r>
      <w:r>
        <w:rPr>
          <w:rFonts w:hint="eastAsia" w:ascii="仿宋" w:hAnsi="仿宋" w:eastAsia="仿宋" w:cs="仿宋"/>
          <w:color w:val="auto"/>
          <w:sz w:val="24"/>
          <w:highlight w:val="none"/>
          <w:u w:val="single"/>
        </w:rPr>
        <w:t xml:space="preserve">浙江新诚信工程咨询有限公司 </w:t>
      </w:r>
      <w:r>
        <w:rPr>
          <w:rFonts w:hint="eastAsia" w:ascii="仿宋" w:hAnsi="仿宋" w:eastAsia="仿宋" w:cs="仿宋"/>
          <w:color w:val="auto"/>
          <w:sz w:val="24"/>
          <w:highlight w:val="none"/>
        </w:rPr>
        <w:t>关于</w:t>
      </w:r>
      <w:r>
        <w:rPr>
          <w:rFonts w:hint="eastAsia" w:ascii="仿宋" w:hAnsi="仿宋" w:eastAsia="仿宋" w:cs="宋体"/>
          <w:bCs/>
          <w:color w:val="auto"/>
          <w:sz w:val="24"/>
          <w:highlight w:val="none"/>
          <w:u w:val="single"/>
          <w:lang w:eastAsia="zh-CN"/>
        </w:rPr>
        <w:t>2024年度湖州人社核心应用软件系统运维保障服务采购项目（</w:t>
      </w:r>
      <w:r>
        <w:rPr>
          <w:rFonts w:hint="eastAsia" w:ascii="仿宋" w:hAnsi="仿宋" w:eastAsia="仿宋" w:cs="宋体"/>
          <w:bCs/>
          <w:color w:val="auto"/>
          <w:sz w:val="24"/>
          <w:highlight w:val="none"/>
          <w:u w:val="single"/>
          <w:lang w:val="en-US" w:eastAsia="zh-CN"/>
        </w:rPr>
        <w:t>标项二</w:t>
      </w:r>
      <w:r>
        <w:rPr>
          <w:rFonts w:hint="eastAsia" w:ascii="仿宋" w:hAnsi="仿宋" w:eastAsia="仿宋" w:cs="宋体"/>
          <w:bCs/>
          <w:color w:val="auto"/>
          <w:sz w:val="24"/>
          <w:highlight w:val="none"/>
          <w:u w:val="single"/>
          <w:lang w:eastAsia="zh-CN"/>
        </w:rPr>
        <w:t>）</w:t>
      </w:r>
      <w:r>
        <w:rPr>
          <w:rFonts w:hint="eastAsia" w:ascii="仿宋" w:hAnsi="仿宋" w:eastAsia="仿宋" w:cs="仿宋"/>
          <w:color w:val="auto"/>
          <w:sz w:val="24"/>
          <w:highlight w:val="none"/>
        </w:rPr>
        <w:t>竞争性磋商的结果，签署本合同。</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1.定义</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本合同中的下列术语应解释为：</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1.1“合同”系指供需双方签署的、合同格式中载明的供需双方所达成的协议，包括所有的附件、附录和构成合同的所有文件；</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1.2“合同价”系指根据合同规定，甲方在供应商完全履行合同义务后应付给的价格；</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1.3“货物”系指乙方根据合同规定向采购人提供的一切货物、质量保证书和其他技术资料及技术参数；</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1.4“服务”系指根据合同规定乙方承担与供货有关的辅助服务，如运输、装卸、安装、保险以及其他的服务，例如安装、调试提供技术援助、培训和其他类似的义务；</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1.5“甲方”系指具体使用货物和接受服务的使用单位；</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1.6“乙方”系指根据合同规定提供采购项目货物和服务的具有法人资格的公司、企业或实体；</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2.合同项目与内容</w:t>
      </w:r>
    </w:p>
    <w:p>
      <w:pPr>
        <w:snapToGrid w:val="0"/>
        <w:spacing w:line="400" w:lineRule="exact"/>
        <w:ind w:firstLine="480" w:firstLineChars="200"/>
        <w:jc w:val="left"/>
        <w:rPr>
          <w:rFonts w:hint="eastAsia" w:ascii="仿宋" w:hAnsi="仿宋" w:eastAsia="仿宋" w:cs="宋体"/>
          <w:bCs/>
          <w:color w:val="auto"/>
          <w:sz w:val="24"/>
          <w:highlight w:val="none"/>
          <w:lang w:eastAsia="zh-CN"/>
        </w:rPr>
      </w:pPr>
      <w:r>
        <w:rPr>
          <w:rFonts w:hint="eastAsia" w:ascii="仿宋" w:hAnsi="仿宋" w:eastAsia="仿宋" w:cs="仿宋"/>
          <w:color w:val="auto"/>
          <w:sz w:val="24"/>
          <w:highlight w:val="none"/>
        </w:rPr>
        <w:t>2.1合同项目：</w:t>
      </w:r>
      <w:r>
        <w:rPr>
          <w:rFonts w:hint="eastAsia" w:ascii="仿宋" w:hAnsi="仿宋" w:eastAsia="仿宋" w:cs="仿宋"/>
          <w:color w:val="auto"/>
          <w:sz w:val="24"/>
          <w:highlight w:val="none"/>
          <w:lang w:val="en-US" w:eastAsia="zh-CN"/>
        </w:rPr>
        <w:t>2</w:t>
      </w:r>
      <w:r>
        <w:rPr>
          <w:rFonts w:hint="eastAsia" w:ascii="仿宋" w:hAnsi="仿宋" w:eastAsia="仿宋" w:cs="宋体"/>
          <w:bCs/>
          <w:color w:val="auto"/>
          <w:sz w:val="24"/>
          <w:highlight w:val="none"/>
          <w:lang w:eastAsia="zh-CN"/>
        </w:rPr>
        <w:t>024年度湖州人社核心应用软件系统运维保障服务采购项目（标项二）</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2.2内容：</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2.3合同价款：</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3.服务时间与服务地点</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服务时间：</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服务地点：由甲方指定。</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4.签署合同的要求</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4.1、乙方必须按照磋商文件和询标过程中承诺的条款以及成交通知书中规定的时间、地点与甲方签订合同；</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4.2、所签订的合同内容不得对磋商文件和乙方的磋商文件作实质性修改；</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4.3、甲方不得向供应商提出任何不合理的要求，作为签订合同的条件，不得与乙方私下订立背离合同实质性内容的协议；</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5.技术规范</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本合同执行国家及本省、市现行项目实施及验收规范及有关条例、实施办法等。</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提供和交付的服务技术规范应与磋商文件规定的技术规范相一致。</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6.知识产权</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乙方保证所提供的服务及货物均不存在知识产权纠纷。乙方应保证甲方在使用时不受第三方提出侵犯其专利权、商标权等知识产权的诉讼。</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7.工作考核及付款方式</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8.支付：</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付款方式：根据《保障中小企业款项支付条例》、省财政厅《浙江省财政厅关于进一步发挥政府采购政策功能全力推动经济稳进提质的通知》（浙财采监〔2022〕3号）要求，制定如下付款方式：</w:t>
      </w:r>
    </w:p>
    <w:p>
      <w:pPr>
        <w:spacing w:line="400" w:lineRule="exact"/>
        <w:ind w:firstLine="480" w:firstLineChars="200"/>
        <w:rPr>
          <w:rFonts w:hint="eastAsia" w:ascii="仿宋" w:hAnsi="仿宋" w:eastAsia="仿宋" w:cs="仿宋"/>
          <w:bCs/>
          <w:color w:val="auto"/>
          <w:kern w:val="2"/>
          <w:sz w:val="24"/>
          <w:szCs w:val="24"/>
          <w:highlight w:val="none"/>
          <w:lang w:val="en-US" w:eastAsia="zh-CN" w:bidi="ar"/>
        </w:rPr>
      </w:pPr>
      <w:r>
        <w:rPr>
          <w:rFonts w:hint="eastAsia" w:ascii="仿宋" w:hAnsi="仿宋" w:eastAsia="仿宋" w:cs="仿宋"/>
          <w:bCs/>
          <w:color w:val="auto"/>
          <w:kern w:val="2"/>
          <w:sz w:val="24"/>
          <w:szCs w:val="24"/>
          <w:highlight w:val="none"/>
          <w:lang w:val="en-US" w:eastAsia="zh-CN" w:bidi="ar"/>
        </w:rPr>
        <w:t>合同生效及具备实施条件后7个工作日支付合同款项的50%，作为预付款；运维期结束后经验收合格，支付至合同款项的100%。</w:t>
      </w:r>
    </w:p>
    <w:p>
      <w:pPr>
        <w:spacing w:line="4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采购人应自收到供应商开具的发票后7个工作日内将上述相关款项支付到合同约定的供应商账户。</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在签订合同时，供应商明确表示无需预付款或者主动要求降低预付款比例的，采购合同可不适用前述规定。</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9.技术服务</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乙方应负责安排采购人相关人员进行操作、维修的培训。具体时间及培训内容在磋商时由供应商提出建议；</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10.售后服务及承诺</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10.1乙方应明确承诺售后服务各项内容和措施，提供详细的服务地点、联系人、电话等有关资料；</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10.2售后服务期：</w:t>
      </w:r>
      <w:r>
        <w:rPr>
          <w:rFonts w:hint="eastAsia" w:ascii="仿宋" w:hAnsi="仿宋" w:eastAsia="仿宋" w:cs="仿宋"/>
          <w:color w:val="auto"/>
          <w:sz w:val="24"/>
          <w:szCs w:val="28"/>
          <w:highlight w:val="none"/>
        </w:rPr>
        <w:t>。</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11.履约保证及后续服务</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11.1 履约保证金：无</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11.2乙方应按磋商文件规定的服务标准向采购人提供服务。</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11.3 如甲方检查发现供应商提供的服务服务不符合标准要求，乙方应立即进行整改，直到符合要求为止。甲方可根据考核标准中扣除供应商因检查不合格而应该扣罚的款项（扣罚款项在签订合同时明确）。</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11.4乙方提供的服务人员不符合本合同约定的数额，乙方应当自接到甲方通知之日起2日内予以补足，甲方有权按照缺岗天数及缺岗人数扣除相应的违约金。</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11.5 由于乙方服务人员原因在服务工作中给甲方的设施、材料造成损失，供应商应负责赔偿。</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11.6 在使用过程中发生问题，乙方在接到甲方通知后在</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小时内到达采购人现场。</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11.7 在服务质量保证期内，乙方应对出现的服务质量及安全问题负责处理解决并承担一切费用。</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12.违约责任</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12.1 甲方无正当理由拒收接受服务的，甲方向供应商偿付合同款项百分之五作为违约金。</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12.2 甲方无故逾期验收和办理款项支付手续的,甲方应按逾期付款总额每日万分之五向乙方支付违约金。</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12.3 乙方不按约定提供服务的，每日向甲方支付千分之六违约金。逾期提供服务超过约定日期10个工作日的，甲方可解除本合同。乙方因逾期提供服务或因其他违约行为导致甲方解除合同的，乙方应向甲方支付合同总值5%的违约金，如造成甲方损失超过违约金的，超出部分由乙方继续承担赔偿责任。</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 xml:space="preserve">12.4如乙方提供的服务或与服务相关的物品存在知识产权纠纷而导致本合同无法继续履行，在甲方发函要求解决相关知识产权问题后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日内仍未解决的，则甲方有权单方终止本合同的履行，并要求乙方承担相应赔偿责任。</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13.不可抗力事件处理</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13.1 在合同有效期内，任何一方因不可抗力事件导致不能履行合同，则合同履行期可延长，其延长期与不可抗力影响期相同。</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13.2 不可抗力事件发生后，应立即通知对方，并寄送有关权威机构出具的证明。</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13.3 不可抗力事件延续120天以上，双方应通过友好协商，确定是否继续履行合同。</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14.争议解决</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14.1在执行本合同中所发生的或与本合同有关的一切争端，合同双方应通过友好协商解决，经过协商仍不能解决，双方选择通过下列第x种方式解决：</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（1）将争端提交湖州仲裁委员会仲裁</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（2）直接向采购人所在地有管辖权的人民法院起诉。</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14.2仲裁费用或诉讼费用应由败诉方负担。</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14.3在仲裁或诉讼期间，除进行仲裁或诉讼的部分外，本合同其它部分应继续执行。</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15.转让或分包</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15.1本合同范围的服务，应由乙方提供，不得转让他人供应；</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15.2除非得到甲方的书面同意后，乙方可以将其中部分依法分包给他人供应和实施。甲方有绝对权力阻止分包。虽然甲方之前未有阻止分包，甲方仍有权在任何时候拒绝任何分包人，有权要求任何分包人脱离本货物的供应和服务，并不承担任何赔偿责任。</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15.3本合同全部或部分的分包不能减轻乙方承担的责任，乙方仍须将分包人的任何行动、错误或疏忽当作是自己完成的并负全责；</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15.4在任何分包合同中，须注明分包人按分包合同的范围履行，在乙方按本合同的履行终止时（不论任何原因），亦同时一并终止；</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15.5如有转让和未经甲方同意的分包行为，甲方有权给予终止合同。</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 xml:space="preserve">16.验收要求 </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 xml:space="preserve">按照采购文件要求、乙方的响应文件（承诺）及签订的合同约定标准进行验收。 </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17.适用法律</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合同适用法律有《中华人民共和国民法典》、《中华人民共和国产品质量法》和浙江省有关条例等。</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18.合同生效及其它</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1）合同经双方法定代表人或授权代理人签字并加盖单位公章后生效。</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2）合同执行中涉及采购资金和采购内容修改或补充的，须经财政部门审批，并签书面补充协议报政府采购监督管理部门备案，方可作为主合同不可分割的一部分。</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3）本合同未尽事宜，遵照《中华人民共和国民法典》有关条文执行。</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4）本合同一式六份，其中甲乙双方各执三份。</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19.软件知识产权</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本标项所涉及到的应用软件开发完成后，知识产权归甲方所有。</w:t>
      </w:r>
    </w:p>
    <w:p>
      <w:pPr>
        <w:spacing w:line="440" w:lineRule="exact"/>
        <w:ind w:firstLine="480" w:firstLineChars="200"/>
        <w:rPr>
          <w:rFonts w:ascii="仿宋" w:hAnsi="仿宋" w:eastAsia="仿宋" w:cs="仿宋"/>
          <w:bCs/>
          <w:color w:val="auto"/>
          <w:sz w:val="24"/>
          <w:highlight w:val="none"/>
        </w:rPr>
      </w:pPr>
    </w:p>
    <w:p>
      <w:pPr>
        <w:spacing w:line="44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 xml:space="preserve">采购人：                                 供应商： </w:t>
      </w:r>
    </w:p>
    <w:p>
      <w:pPr>
        <w:spacing w:line="440" w:lineRule="exact"/>
        <w:ind w:firstLine="480" w:firstLineChars="200"/>
        <w:rPr>
          <w:rFonts w:ascii="仿宋" w:hAnsi="仿宋" w:eastAsia="仿宋" w:cs="仿宋"/>
          <w:bCs/>
          <w:color w:val="auto"/>
          <w:sz w:val="24"/>
          <w:highlight w:val="none"/>
        </w:rPr>
      </w:pPr>
    </w:p>
    <w:p>
      <w:pPr>
        <w:spacing w:line="44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 xml:space="preserve">地址：                                   地址： </w:t>
      </w:r>
    </w:p>
    <w:p>
      <w:pPr>
        <w:spacing w:line="440" w:lineRule="exact"/>
        <w:ind w:firstLine="480" w:firstLineChars="200"/>
        <w:rPr>
          <w:rFonts w:ascii="仿宋" w:hAnsi="仿宋" w:eastAsia="仿宋" w:cs="仿宋"/>
          <w:bCs/>
          <w:color w:val="auto"/>
          <w:sz w:val="24"/>
          <w:highlight w:val="none"/>
        </w:rPr>
      </w:pPr>
    </w:p>
    <w:p>
      <w:pPr>
        <w:spacing w:line="44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法定（或授权）代表人：                   法定（或授权）代表人：</w:t>
      </w:r>
    </w:p>
    <w:p>
      <w:pPr>
        <w:pStyle w:val="25"/>
        <w:rPr>
          <w:rFonts w:ascii="仿宋" w:hAnsi="仿宋" w:eastAsia="仿宋" w:cs="仿宋"/>
          <w:color w:val="auto"/>
          <w:highlight w:val="none"/>
        </w:rPr>
      </w:pPr>
    </w:p>
    <w:p>
      <w:pPr>
        <w:spacing w:line="44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签字日期：年  月  日                     签字日期：年  月  日</w:t>
      </w:r>
    </w:p>
    <w:p>
      <w:pPr>
        <w:autoSpaceDE w:val="0"/>
        <w:autoSpaceDN w:val="0"/>
        <w:adjustRightInd w:val="0"/>
        <w:spacing w:line="540" w:lineRule="exact"/>
        <w:contextualSpacing/>
        <w:jc w:val="center"/>
        <w:outlineLvl w:val="0"/>
        <w:rPr>
          <w:rFonts w:ascii="仿宋" w:hAnsi="仿宋" w:eastAsia="仿宋" w:cs="仿宋"/>
          <w:b/>
          <w:color w:val="auto"/>
          <w:sz w:val="36"/>
          <w:szCs w:val="36"/>
          <w:highlight w:val="none"/>
        </w:rPr>
      </w:pPr>
      <w:r>
        <w:rPr>
          <w:rFonts w:hint="eastAsia" w:ascii="仿宋" w:hAnsi="仿宋" w:eastAsia="仿宋" w:cs="仿宋"/>
          <w:color w:val="auto"/>
          <w:sz w:val="28"/>
          <w:szCs w:val="28"/>
          <w:highlight w:val="none"/>
        </w:rPr>
        <w:br w:type="page"/>
      </w:r>
      <w:r>
        <w:rPr>
          <w:rFonts w:hint="eastAsia" w:ascii="仿宋" w:hAnsi="仿宋" w:eastAsia="仿宋" w:cs="仿宋"/>
          <w:b/>
          <w:color w:val="auto"/>
          <w:sz w:val="36"/>
          <w:szCs w:val="36"/>
          <w:highlight w:val="none"/>
        </w:rPr>
        <w:t>第五章  响应文件格式</w:t>
      </w:r>
    </w:p>
    <w:p>
      <w:pPr>
        <w:pStyle w:val="36"/>
        <w:rPr>
          <w:rFonts w:ascii="仿宋" w:hAnsi="仿宋" w:eastAsia="仿宋" w:cs="Times New Roman"/>
          <w:color w:val="auto"/>
          <w:highlight w:val="none"/>
        </w:rPr>
      </w:pPr>
    </w:p>
    <w:p>
      <w:pPr>
        <w:pStyle w:val="36"/>
        <w:rPr>
          <w:rFonts w:ascii="仿宋" w:hAnsi="仿宋" w:eastAsia="仿宋" w:cs="Times New Roman"/>
          <w:b/>
          <w:color w:val="auto"/>
          <w:highlight w:val="none"/>
        </w:rPr>
      </w:pPr>
      <w:r>
        <w:rPr>
          <w:rFonts w:ascii="仿宋" w:hAnsi="仿宋" w:eastAsia="仿宋" w:cs="Times New Roman"/>
          <w:color w:val="auto"/>
          <w:highlight w:val="none"/>
        </w:rPr>
        <w:t>封面格式</w:t>
      </w:r>
      <w:r>
        <w:rPr>
          <w:rFonts w:hint="eastAsia" w:ascii="仿宋" w:hAnsi="仿宋" w:eastAsia="仿宋" w:cs="Times New Roman"/>
          <w:b/>
          <w:color w:val="auto"/>
          <w:highlight w:val="none"/>
        </w:rPr>
        <w:t>（成交后提供的纸质版本格式）</w:t>
      </w:r>
    </w:p>
    <w:p>
      <w:pPr>
        <w:pStyle w:val="36"/>
        <w:rPr>
          <w:rFonts w:ascii="仿宋" w:hAnsi="仿宋" w:eastAsia="仿宋" w:cs="Times New Roman"/>
          <w:color w:val="auto"/>
          <w:highlight w:val="none"/>
        </w:rPr>
      </w:pPr>
    </w:p>
    <w:p>
      <w:pPr>
        <w:pStyle w:val="36"/>
        <w:rPr>
          <w:rFonts w:ascii="仿宋" w:hAnsi="仿宋" w:eastAsia="仿宋" w:cs="Times New Roman"/>
          <w:color w:val="auto"/>
          <w:highlight w:val="none"/>
        </w:rPr>
      </w:pPr>
    </w:p>
    <w:p>
      <w:pPr>
        <w:pStyle w:val="36"/>
        <w:rPr>
          <w:rFonts w:ascii="仿宋" w:hAnsi="仿宋" w:eastAsia="仿宋" w:cs="Times New Roman"/>
          <w:color w:val="auto"/>
          <w:sz w:val="36"/>
          <w:szCs w:val="36"/>
          <w:highlight w:val="none"/>
        </w:rPr>
      </w:pPr>
    </w:p>
    <w:p>
      <w:pPr>
        <w:pStyle w:val="36"/>
        <w:jc w:val="center"/>
        <w:rPr>
          <w:rFonts w:ascii="仿宋" w:hAnsi="仿宋" w:eastAsia="仿宋" w:cs="Times New Roman"/>
          <w:color w:val="auto"/>
          <w:sz w:val="36"/>
          <w:szCs w:val="36"/>
          <w:highlight w:val="none"/>
        </w:rPr>
      </w:pPr>
      <w:r>
        <w:rPr>
          <w:rFonts w:hint="eastAsia" w:ascii="仿宋" w:hAnsi="仿宋" w:eastAsia="仿宋" w:cs="Times New Roman"/>
          <w:b/>
          <w:color w:val="auto"/>
          <w:sz w:val="36"/>
          <w:szCs w:val="36"/>
          <w:highlight w:val="none"/>
        </w:rPr>
        <w:t>磋商响应文件</w:t>
      </w:r>
    </w:p>
    <w:p>
      <w:pPr>
        <w:pStyle w:val="36"/>
        <w:jc w:val="right"/>
        <w:rPr>
          <w:rFonts w:ascii="仿宋" w:hAnsi="仿宋" w:eastAsia="仿宋" w:cs="Times New Roman"/>
          <w:color w:val="auto"/>
          <w:highlight w:val="none"/>
        </w:rPr>
      </w:pPr>
    </w:p>
    <w:p>
      <w:pPr>
        <w:pStyle w:val="36"/>
        <w:jc w:val="center"/>
        <w:rPr>
          <w:rFonts w:ascii="仿宋" w:hAnsi="仿宋" w:eastAsia="仿宋" w:cs="Times New Roman"/>
          <w:b/>
          <w:color w:val="auto"/>
          <w:highlight w:val="none"/>
        </w:rPr>
      </w:pPr>
      <w:r>
        <w:rPr>
          <w:rFonts w:ascii="仿宋" w:hAnsi="仿宋" w:eastAsia="仿宋" w:cs="Times New Roman"/>
          <w:b/>
          <w:color w:val="auto"/>
          <w:highlight w:val="none"/>
        </w:rPr>
        <w:t>技术、商务、资信及其他文件</w:t>
      </w:r>
      <w:r>
        <w:rPr>
          <w:rFonts w:hint="eastAsia" w:ascii="仿宋" w:hAnsi="仿宋" w:eastAsia="仿宋" w:cs="Times New Roman"/>
          <w:b/>
          <w:color w:val="auto"/>
          <w:highlight w:val="none"/>
        </w:rPr>
        <w:t>/报价文件</w:t>
      </w:r>
    </w:p>
    <w:p>
      <w:pPr>
        <w:pStyle w:val="36"/>
        <w:jc w:val="center"/>
        <w:rPr>
          <w:rFonts w:ascii="仿宋" w:hAnsi="仿宋" w:eastAsia="仿宋" w:cs="Times New Roman"/>
          <w:b/>
          <w:color w:val="auto"/>
          <w:highlight w:val="none"/>
        </w:rPr>
      </w:pPr>
    </w:p>
    <w:p>
      <w:pPr>
        <w:pStyle w:val="36"/>
        <w:jc w:val="center"/>
        <w:rPr>
          <w:rFonts w:ascii="仿宋" w:hAnsi="仿宋" w:eastAsia="仿宋" w:cs="Times New Roman"/>
          <w:b/>
          <w:color w:val="auto"/>
          <w:highlight w:val="none"/>
        </w:rPr>
      </w:pPr>
    </w:p>
    <w:p>
      <w:pPr>
        <w:pStyle w:val="36"/>
        <w:jc w:val="center"/>
        <w:rPr>
          <w:rFonts w:ascii="仿宋" w:hAnsi="仿宋" w:eastAsia="仿宋" w:cs="Times New Roman"/>
          <w:b/>
          <w:color w:val="auto"/>
          <w:highlight w:val="none"/>
        </w:rPr>
      </w:pPr>
    </w:p>
    <w:p>
      <w:pPr>
        <w:pStyle w:val="36"/>
        <w:jc w:val="center"/>
        <w:rPr>
          <w:rFonts w:ascii="仿宋" w:hAnsi="仿宋" w:eastAsia="仿宋" w:cs="Times New Roman"/>
          <w:b/>
          <w:color w:val="auto"/>
          <w:highlight w:val="none"/>
        </w:rPr>
      </w:pPr>
    </w:p>
    <w:p>
      <w:pPr>
        <w:pStyle w:val="36"/>
        <w:rPr>
          <w:rFonts w:ascii="仿宋" w:hAnsi="仿宋" w:eastAsia="仿宋" w:cs="Times New Roman"/>
          <w:color w:val="auto"/>
          <w:highlight w:val="none"/>
        </w:rPr>
      </w:pPr>
    </w:p>
    <w:p>
      <w:pPr>
        <w:pStyle w:val="36"/>
        <w:rPr>
          <w:rFonts w:ascii="仿宋" w:hAnsi="仿宋" w:eastAsia="仿宋" w:cs="Times New Roman"/>
          <w:color w:val="auto"/>
          <w:highlight w:val="none"/>
        </w:rPr>
      </w:pPr>
      <w:r>
        <w:rPr>
          <w:rFonts w:ascii="仿宋" w:hAnsi="仿宋" w:eastAsia="仿宋" w:cs="Times New Roman"/>
          <w:color w:val="auto"/>
          <w:highlight w:val="none"/>
        </w:rPr>
        <w:t xml:space="preserve">项目名称： </w:t>
      </w:r>
    </w:p>
    <w:p>
      <w:pPr>
        <w:pStyle w:val="36"/>
        <w:rPr>
          <w:rFonts w:ascii="仿宋" w:hAnsi="仿宋" w:eastAsia="仿宋" w:cs="Times New Roman"/>
          <w:color w:val="auto"/>
          <w:highlight w:val="none"/>
        </w:rPr>
      </w:pPr>
    </w:p>
    <w:p>
      <w:pPr>
        <w:pStyle w:val="36"/>
        <w:rPr>
          <w:rFonts w:ascii="仿宋" w:hAnsi="仿宋" w:eastAsia="仿宋" w:cs="Times New Roman"/>
          <w:color w:val="auto"/>
          <w:highlight w:val="none"/>
        </w:rPr>
      </w:pPr>
      <w:r>
        <w:rPr>
          <w:rFonts w:ascii="仿宋" w:hAnsi="仿宋" w:eastAsia="仿宋" w:cs="Times New Roman"/>
          <w:color w:val="auto"/>
          <w:highlight w:val="none"/>
        </w:rPr>
        <w:t>项目编号</w:t>
      </w:r>
      <w:r>
        <w:rPr>
          <w:rFonts w:hint="eastAsia" w:ascii="仿宋" w:hAnsi="仿宋" w:eastAsia="仿宋" w:cs="Times New Roman"/>
          <w:color w:val="auto"/>
          <w:highlight w:val="none"/>
        </w:rPr>
        <w:t>：</w:t>
      </w:r>
    </w:p>
    <w:p>
      <w:pPr>
        <w:pStyle w:val="36"/>
        <w:rPr>
          <w:rFonts w:ascii="仿宋" w:hAnsi="仿宋" w:eastAsia="仿宋" w:cs="Times New Roman"/>
          <w:color w:val="auto"/>
          <w:highlight w:val="none"/>
        </w:rPr>
      </w:pPr>
    </w:p>
    <w:p>
      <w:pPr>
        <w:pStyle w:val="36"/>
        <w:rPr>
          <w:rFonts w:ascii="仿宋" w:hAnsi="仿宋" w:eastAsia="仿宋" w:cs="Times New Roman"/>
          <w:color w:val="auto"/>
          <w:highlight w:val="none"/>
        </w:rPr>
      </w:pPr>
      <w:r>
        <w:rPr>
          <w:rFonts w:hint="eastAsia" w:ascii="仿宋" w:hAnsi="仿宋" w:eastAsia="仿宋" w:cs="Times New Roman"/>
          <w:color w:val="auto"/>
          <w:highlight w:val="none"/>
        </w:rPr>
        <w:t>响应</w:t>
      </w:r>
      <w:r>
        <w:rPr>
          <w:rFonts w:ascii="仿宋" w:hAnsi="仿宋" w:eastAsia="仿宋" w:cs="Times New Roman"/>
          <w:color w:val="auto"/>
          <w:highlight w:val="none"/>
        </w:rPr>
        <w:t xml:space="preserve">文件名称：技术、商务资信及其他文件 </w:t>
      </w:r>
      <w:r>
        <w:rPr>
          <w:rFonts w:hint="eastAsia" w:ascii="仿宋" w:hAnsi="仿宋" w:eastAsia="仿宋" w:cs="Times New Roman"/>
          <w:color w:val="auto"/>
          <w:highlight w:val="none"/>
        </w:rPr>
        <w:t>/报价文件</w:t>
      </w:r>
    </w:p>
    <w:p>
      <w:pPr>
        <w:pStyle w:val="36"/>
        <w:rPr>
          <w:rFonts w:ascii="仿宋" w:hAnsi="仿宋" w:eastAsia="仿宋" w:cs="Times New Roman"/>
          <w:color w:val="auto"/>
          <w:highlight w:val="none"/>
        </w:rPr>
      </w:pPr>
    </w:p>
    <w:p>
      <w:pPr>
        <w:pStyle w:val="36"/>
        <w:rPr>
          <w:rFonts w:ascii="仿宋" w:hAnsi="仿宋" w:eastAsia="仿宋" w:cs="Times New Roman"/>
          <w:color w:val="auto"/>
          <w:highlight w:val="none"/>
        </w:rPr>
      </w:pPr>
      <w:r>
        <w:rPr>
          <w:rFonts w:hint="eastAsia" w:ascii="仿宋" w:hAnsi="仿宋" w:eastAsia="仿宋" w:cs="Times New Roman"/>
          <w:color w:val="auto"/>
          <w:highlight w:val="none"/>
        </w:rPr>
        <w:t>供应商</w:t>
      </w:r>
      <w:r>
        <w:rPr>
          <w:rFonts w:ascii="仿宋" w:hAnsi="仿宋" w:eastAsia="仿宋" w:cs="Times New Roman"/>
          <w:color w:val="auto"/>
          <w:highlight w:val="none"/>
        </w:rPr>
        <w:t xml:space="preserve">名称： </w:t>
      </w:r>
    </w:p>
    <w:p>
      <w:pPr>
        <w:pStyle w:val="36"/>
        <w:rPr>
          <w:rFonts w:ascii="仿宋" w:hAnsi="仿宋" w:eastAsia="仿宋" w:cs="Times New Roman"/>
          <w:color w:val="auto"/>
          <w:highlight w:val="none"/>
        </w:rPr>
      </w:pPr>
    </w:p>
    <w:p>
      <w:pPr>
        <w:pStyle w:val="36"/>
        <w:rPr>
          <w:rFonts w:ascii="仿宋" w:hAnsi="仿宋" w:eastAsia="仿宋" w:cs="Times New Roman"/>
          <w:color w:val="auto"/>
          <w:highlight w:val="none"/>
        </w:rPr>
      </w:pPr>
      <w:r>
        <w:rPr>
          <w:rFonts w:hint="eastAsia" w:ascii="仿宋" w:hAnsi="仿宋" w:eastAsia="仿宋" w:cs="Times New Roman"/>
          <w:color w:val="auto"/>
          <w:highlight w:val="none"/>
        </w:rPr>
        <w:t>供应商</w:t>
      </w:r>
      <w:r>
        <w:rPr>
          <w:rFonts w:ascii="仿宋" w:hAnsi="仿宋" w:eastAsia="仿宋" w:cs="Times New Roman"/>
          <w:color w:val="auto"/>
          <w:highlight w:val="none"/>
        </w:rPr>
        <w:t xml:space="preserve">地址： </w:t>
      </w:r>
    </w:p>
    <w:p>
      <w:pPr>
        <w:pStyle w:val="36"/>
        <w:rPr>
          <w:rFonts w:ascii="仿宋" w:hAnsi="仿宋" w:eastAsia="仿宋" w:cs="Times New Roman"/>
          <w:color w:val="auto"/>
          <w:highlight w:val="none"/>
        </w:rPr>
      </w:pPr>
    </w:p>
    <w:p>
      <w:pPr>
        <w:pStyle w:val="36"/>
        <w:rPr>
          <w:rFonts w:ascii="仿宋" w:hAnsi="仿宋" w:eastAsia="仿宋" w:cs="Times New Roman"/>
          <w:color w:val="auto"/>
          <w:highlight w:val="none"/>
        </w:rPr>
      </w:pPr>
    </w:p>
    <w:p>
      <w:pPr>
        <w:wordWrap w:val="0"/>
        <w:ind w:firstLine="480" w:firstLineChars="200"/>
        <w:jc w:val="right"/>
        <w:rPr>
          <w:rFonts w:ascii="仿宋" w:hAnsi="仿宋" w:eastAsia="仿宋"/>
          <w:color w:val="auto"/>
          <w:sz w:val="24"/>
          <w:highlight w:val="none"/>
        </w:rPr>
      </w:pPr>
      <w:r>
        <w:rPr>
          <w:rFonts w:ascii="仿宋" w:hAnsi="仿宋" w:eastAsia="仿宋"/>
          <w:color w:val="auto"/>
          <w:sz w:val="24"/>
          <w:highlight w:val="none"/>
        </w:rPr>
        <w:t>年 月 日</w:t>
      </w:r>
    </w:p>
    <w:p>
      <w:pPr>
        <w:pStyle w:val="38"/>
        <w:rPr>
          <w:rFonts w:ascii="仿宋" w:hAnsi="仿宋" w:eastAsia="仿宋"/>
          <w:color w:val="auto"/>
          <w:highlight w:val="none"/>
        </w:rPr>
      </w:pPr>
    </w:p>
    <w:p>
      <w:pPr>
        <w:pStyle w:val="38"/>
        <w:rPr>
          <w:rFonts w:ascii="仿宋" w:hAnsi="仿宋" w:eastAsia="仿宋"/>
          <w:color w:val="auto"/>
          <w:highlight w:val="none"/>
        </w:rPr>
      </w:pPr>
    </w:p>
    <w:p>
      <w:pPr>
        <w:pStyle w:val="38"/>
        <w:rPr>
          <w:rFonts w:ascii="仿宋" w:hAnsi="仿宋" w:eastAsia="仿宋"/>
          <w:color w:val="auto"/>
          <w:highlight w:val="none"/>
        </w:rPr>
      </w:pPr>
    </w:p>
    <w:p>
      <w:pPr>
        <w:pStyle w:val="38"/>
        <w:rPr>
          <w:rFonts w:ascii="仿宋" w:hAnsi="仿宋" w:eastAsia="仿宋"/>
          <w:color w:val="auto"/>
          <w:highlight w:val="none"/>
        </w:rPr>
      </w:pPr>
    </w:p>
    <w:p>
      <w:pPr>
        <w:pStyle w:val="38"/>
        <w:rPr>
          <w:rFonts w:ascii="仿宋" w:hAnsi="仿宋" w:eastAsia="仿宋"/>
          <w:color w:val="auto"/>
          <w:highlight w:val="none"/>
        </w:rPr>
      </w:pPr>
    </w:p>
    <w:p>
      <w:pPr>
        <w:pStyle w:val="38"/>
        <w:rPr>
          <w:rFonts w:ascii="仿宋" w:hAnsi="仿宋" w:eastAsia="仿宋"/>
          <w:color w:val="auto"/>
          <w:highlight w:val="none"/>
        </w:rPr>
      </w:pPr>
    </w:p>
    <w:p>
      <w:pPr>
        <w:pStyle w:val="38"/>
        <w:rPr>
          <w:rFonts w:ascii="仿宋" w:hAnsi="仿宋" w:eastAsia="仿宋"/>
          <w:color w:val="auto"/>
          <w:highlight w:val="none"/>
        </w:rPr>
      </w:pPr>
    </w:p>
    <w:p>
      <w:pPr>
        <w:pStyle w:val="38"/>
        <w:rPr>
          <w:rFonts w:ascii="仿宋" w:hAnsi="仿宋" w:eastAsia="仿宋"/>
          <w:color w:val="auto"/>
          <w:highlight w:val="none"/>
        </w:rPr>
      </w:pPr>
    </w:p>
    <w:p>
      <w:pPr>
        <w:autoSpaceDE w:val="0"/>
        <w:autoSpaceDN w:val="0"/>
        <w:adjustRightInd w:val="0"/>
        <w:spacing w:line="540" w:lineRule="exact"/>
        <w:contextualSpacing/>
        <w:jc w:val="center"/>
        <w:rPr>
          <w:rFonts w:ascii="仿宋" w:hAnsi="仿宋" w:eastAsia="仿宋" w:cs="仿宋"/>
          <w:b/>
          <w:color w:val="auto"/>
          <w:sz w:val="36"/>
          <w:szCs w:val="36"/>
          <w:highlight w:val="none"/>
        </w:rPr>
      </w:pPr>
    </w:p>
    <w:p>
      <w:pPr>
        <w:snapToGrid w:val="0"/>
        <w:spacing w:before="50" w:after="50" w:line="360" w:lineRule="auto"/>
        <w:jc w:val="center"/>
        <w:rPr>
          <w:rFonts w:ascii="仿宋" w:hAnsi="仿宋" w:eastAsia="仿宋" w:cs="仿宋"/>
          <w:color w:val="auto"/>
          <w:sz w:val="24"/>
          <w:szCs w:val="28"/>
          <w:highlight w:val="none"/>
        </w:rPr>
      </w:pPr>
      <w:r>
        <w:rPr>
          <w:rFonts w:hint="eastAsia" w:ascii="仿宋" w:hAnsi="仿宋" w:eastAsia="仿宋" w:cs="仿宋"/>
          <w:color w:val="auto"/>
          <w:sz w:val="28"/>
          <w:szCs w:val="28"/>
          <w:highlight w:val="none"/>
        </w:rPr>
        <w:t>目   录</w:t>
      </w:r>
    </w:p>
    <w:p>
      <w:pPr>
        <w:pStyle w:val="38"/>
        <w:rPr>
          <w:color w:val="auto"/>
          <w:highlight w:val="none"/>
        </w:rPr>
      </w:pPr>
    </w:p>
    <w:p>
      <w:pPr>
        <w:snapToGrid w:val="0"/>
        <w:spacing w:before="50" w:after="50" w:line="360" w:lineRule="auto"/>
        <w:rPr>
          <w:rFonts w:ascii="仿宋" w:hAnsi="仿宋" w:eastAsia="仿宋" w:cs="仿宋"/>
          <w:color w:val="auto"/>
          <w:sz w:val="24"/>
          <w:szCs w:val="28"/>
          <w:highlight w:val="none"/>
        </w:rPr>
      </w:pPr>
      <w:r>
        <w:rPr>
          <w:rFonts w:hint="eastAsia" w:ascii="仿宋" w:hAnsi="仿宋" w:eastAsia="仿宋" w:cs="仿宋"/>
          <w:color w:val="auto"/>
          <w:sz w:val="24"/>
          <w:szCs w:val="28"/>
          <w:highlight w:val="none"/>
        </w:rPr>
        <w:t>1、技术、商务资信及其他文件目录（具体参考第三章供应商须知“响应文件的组成”）</w:t>
      </w:r>
    </w:p>
    <w:p>
      <w:pPr>
        <w:snapToGrid w:val="0"/>
        <w:spacing w:before="50" w:after="50" w:line="360" w:lineRule="auto"/>
        <w:rPr>
          <w:rFonts w:ascii="仿宋" w:hAnsi="仿宋" w:eastAsia="仿宋" w:cs="仿宋"/>
          <w:color w:val="auto"/>
          <w:sz w:val="24"/>
          <w:szCs w:val="28"/>
          <w:highlight w:val="none"/>
        </w:rPr>
      </w:pPr>
    </w:p>
    <w:p>
      <w:pPr>
        <w:snapToGrid w:val="0"/>
        <w:spacing w:before="50" w:after="50" w:line="360" w:lineRule="auto"/>
        <w:rPr>
          <w:rFonts w:ascii="仿宋" w:hAnsi="仿宋" w:eastAsia="仿宋" w:cs="仿宋"/>
          <w:color w:val="auto"/>
          <w:szCs w:val="28"/>
          <w:highlight w:val="none"/>
        </w:rPr>
      </w:pPr>
    </w:p>
    <w:p>
      <w:pPr>
        <w:snapToGrid w:val="0"/>
        <w:spacing w:before="50" w:after="50" w:line="360" w:lineRule="auto"/>
        <w:rPr>
          <w:rFonts w:ascii="仿宋" w:hAnsi="仿宋" w:eastAsia="仿宋" w:cs="仿宋"/>
          <w:color w:val="auto"/>
          <w:sz w:val="24"/>
          <w:szCs w:val="28"/>
          <w:highlight w:val="none"/>
        </w:rPr>
      </w:pPr>
      <w:r>
        <w:rPr>
          <w:rFonts w:hint="eastAsia" w:ascii="仿宋" w:hAnsi="仿宋" w:eastAsia="仿宋" w:cs="仿宋"/>
          <w:color w:val="auto"/>
          <w:sz w:val="24"/>
          <w:szCs w:val="28"/>
          <w:highlight w:val="none"/>
        </w:rPr>
        <w:t>2、首次报价文件目录（具体参考第三章供应商须知“响应文件的组成”）</w:t>
      </w:r>
    </w:p>
    <w:p>
      <w:pPr>
        <w:snapToGrid w:val="0"/>
        <w:spacing w:before="50" w:after="156" w:afterLines="50" w:line="360" w:lineRule="auto"/>
        <w:jc w:val="left"/>
        <w:rPr>
          <w:rFonts w:ascii="仿宋" w:hAnsi="仿宋" w:eastAsia="仿宋" w:cs="仿宋"/>
          <w:color w:val="auto"/>
          <w:szCs w:val="28"/>
          <w:highlight w:val="none"/>
        </w:rPr>
      </w:pPr>
    </w:p>
    <w:p>
      <w:pPr>
        <w:snapToGrid w:val="0"/>
        <w:spacing w:before="50" w:after="156" w:afterLines="50" w:line="360" w:lineRule="auto"/>
        <w:jc w:val="left"/>
        <w:rPr>
          <w:rFonts w:ascii="仿宋" w:hAnsi="仿宋" w:eastAsia="仿宋" w:cs="仿宋"/>
          <w:color w:val="auto"/>
          <w:szCs w:val="28"/>
          <w:highlight w:val="none"/>
        </w:rPr>
      </w:pPr>
    </w:p>
    <w:p>
      <w:pPr>
        <w:snapToGrid w:val="0"/>
        <w:spacing w:before="50" w:after="156" w:afterLines="50" w:line="360" w:lineRule="auto"/>
        <w:jc w:val="left"/>
        <w:rPr>
          <w:rFonts w:ascii="仿宋" w:hAnsi="仿宋" w:eastAsia="仿宋" w:cs="仿宋"/>
          <w:color w:val="auto"/>
          <w:szCs w:val="28"/>
          <w:highlight w:val="none"/>
        </w:rPr>
      </w:pPr>
    </w:p>
    <w:p>
      <w:pPr>
        <w:snapToGrid w:val="0"/>
        <w:spacing w:before="50" w:after="156" w:afterLines="50" w:line="360" w:lineRule="auto"/>
        <w:jc w:val="left"/>
        <w:rPr>
          <w:rFonts w:ascii="仿宋" w:hAnsi="仿宋" w:eastAsia="仿宋" w:cs="仿宋"/>
          <w:color w:val="auto"/>
          <w:sz w:val="24"/>
          <w:highlight w:val="none"/>
        </w:rPr>
      </w:pPr>
      <w:r>
        <w:rPr>
          <w:rFonts w:hint="eastAsia" w:ascii="仿宋" w:hAnsi="仿宋" w:eastAsia="仿宋" w:cs="仿宋"/>
          <w:color w:val="auto"/>
          <w:sz w:val="24"/>
          <w:highlight w:val="none"/>
        </w:rPr>
        <w:t>（本章仅提供部分标准通用表格，具体格式内容请参照本磋商文件中对响应文件编制要求）</w:t>
      </w:r>
    </w:p>
    <w:p>
      <w:pPr>
        <w:snapToGrid w:val="0"/>
        <w:spacing w:before="50" w:after="156" w:afterLines="50" w:line="360" w:lineRule="auto"/>
        <w:jc w:val="left"/>
        <w:rPr>
          <w:rFonts w:ascii="仿宋" w:hAnsi="仿宋" w:eastAsia="仿宋" w:cs="仿宋"/>
          <w:color w:val="auto"/>
          <w:sz w:val="24"/>
          <w:highlight w:val="none"/>
        </w:rPr>
      </w:pPr>
    </w:p>
    <w:p>
      <w:pPr>
        <w:snapToGrid w:val="0"/>
        <w:spacing w:before="50" w:after="156" w:afterLines="50" w:line="360" w:lineRule="auto"/>
        <w:jc w:val="left"/>
        <w:rPr>
          <w:rFonts w:ascii="仿宋" w:hAnsi="仿宋" w:eastAsia="仿宋" w:cs="仿宋"/>
          <w:color w:val="auto"/>
          <w:sz w:val="24"/>
          <w:highlight w:val="none"/>
        </w:rPr>
      </w:pPr>
    </w:p>
    <w:p>
      <w:pPr>
        <w:snapToGrid w:val="0"/>
        <w:spacing w:before="50" w:after="156" w:afterLines="50" w:line="360" w:lineRule="auto"/>
        <w:jc w:val="left"/>
        <w:rPr>
          <w:rFonts w:ascii="仿宋" w:hAnsi="仿宋" w:eastAsia="仿宋" w:cs="仿宋"/>
          <w:color w:val="auto"/>
          <w:sz w:val="24"/>
          <w:highlight w:val="none"/>
        </w:rPr>
      </w:pPr>
    </w:p>
    <w:p>
      <w:pPr>
        <w:snapToGrid w:val="0"/>
        <w:spacing w:before="50" w:after="156" w:afterLines="50" w:line="360" w:lineRule="auto"/>
        <w:jc w:val="left"/>
        <w:rPr>
          <w:rFonts w:ascii="仿宋" w:hAnsi="仿宋" w:eastAsia="仿宋" w:cs="仿宋"/>
          <w:color w:val="auto"/>
          <w:sz w:val="24"/>
          <w:highlight w:val="none"/>
        </w:rPr>
      </w:pPr>
    </w:p>
    <w:p>
      <w:pPr>
        <w:snapToGrid w:val="0"/>
        <w:spacing w:before="50" w:after="156" w:afterLines="50" w:line="360" w:lineRule="auto"/>
        <w:jc w:val="left"/>
        <w:rPr>
          <w:rFonts w:ascii="仿宋" w:hAnsi="仿宋" w:eastAsia="仿宋" w:cs="仿宋"/>
          <w:color w:val="auto"/>
          <w:sz w:val="24"/>
          <w:highlight w:val="none"/>
        </w:rPr>
      </w:pPr>
    </w:p>
    <w:p>
      <w:pPr>
        <w:snapToGrid w:val="0"/>
        <w:spacing w:before="50" w:after="156" w:afterLines="50" w:line="360" w:lineRule="auto"/>
        <w:jc w:val="left"/>
        <w:rPr>
          <w:rFonts w:ascii="仿宋" w:hAnsi="仿宋" w:eastAsia="仿宋" w:cs="仿宋"/>
          <w:color w:val="auto"/>
          <w:sz w:val="24"/>
          <w:highlight w:val="none"/>
        </w:rPr>
      </w:pPr>
    </w:p>
    <w:p>
      <w:pPr>
        <w:snapToGrid w:val="0"/>
        <w:spacing w:before="50" w:after="156" w:afterLines="50" w:line="360" w:lineRule="auto"/>
        <w:jc w:val="left"/>
        <w:rPr>
          <w:rFonts w:ascii="仿宋" w:hAnsi="仿宋" w:eastAsia="仿宋" w:cs="仿宋"/>
          <w:color w:val="auto"/>
          <w:sz w:val="24"/>
          <w:highlight w:val="none"/>
        </w:rPr>
      </w:pPr>
    </w:p>
    <w:p>
      <w:pPr>
        <w:snapToGrid w:val="0"/>
        <w:spacing w:before="50" w:after="156" w:afterLines="50" w:line="360" w:lineRule="auto"/>
        <w:jc w:val="left"/>
        <w:rPr>
          <w:rFonts w:ascii="仿宋" w:hAnsi="仿宋" w:eastAsia="仿宋" w:cs="仿宋"/>
          <w:color w:val="auto"/>
          <w:sz w:val="24"/>
          <w:highlight w:val="none"/>
        </w:rPr>
      </w:pPr>
    </w:p>
    <w:p>
      <w:pPr>
        <w:snapToGrid w:val="0"/>
        <w:spacing w:before="50" w:after="156" w:afterLines="50" w:line="360" w:lineRule="auto"/>
        <w:jc w:val="left"/>
        <w:rPr>
          <w:rFonts w:ascii="仿宋" w:hAnsi="仿宋" w:eastAsia="仿宋" w:cs="仿宋"/>
          <w:color w:val="auto"/>
          <w:sz w:val="24"/>
          <w:highlight w:val="none"/>
        </w:rPr>
      </w:pPr>
    </w:p>
    <w:p>
      <w:pPr>
        <w:snapToGrid w:val="0"/>
        <w:spacing w:before="50" w:after="156" w:afterLines="50" w:line="360" w:lineRule="auto"/>
        <w:jc w:val="left"/>
        <w:rPr>
          <w:rFonts w:ascii="仿宋" w:hAnsi="仿宋" w:eastAsia="仿宋" w:cs="仿宋"/>
          <w:color w:val="auto"/>
          <w:sz w:val="24"/>
          <w:highlight w:val="none"/>
        </w:rPr>
      </w:pPr>
    </w:p>
    <w:p>
      <w:pPr>
        <w:snapToGrid w:val="0"/>
        <w:spacing w:before="50" w:after="156" w:afterLines="50" w:line="360" w:lineRule="auto"/>
        <w:jc w:val="left"/>
        <w:rPr>
          <w:rFonts w:ascii="仿宋" w:hAnsi="仿宋" w:eastAsia="仿宋" w:cs="仿宋"/>
          <w:color w:val="auto"/>
          <w:sz w:val="24"/>
          <w:highlight w:val="none"/>
        </w:rPr>
      </w:pPr>
    </w:p>
    <w:p>
      <w:pPr>
        <w:snapToGrid w:val="0"/>
        <w:spacing w:before="50" w:after="50" w:line="480" w:lineRule="auto"/>
        <w:rPr>
          <w:rFonts w:ascii="仿宋" w:hAnsi="仿宋" w:eastAsia="仿宋" w:cs="仿宋"/>
          <w:color w:val="auto"/>
          <w:sz w:val="24"/>
          <w:highlight w:val="none"/>
        </w:rPr>
      </w:pPr>
    </w:p>
    <w:p>
      <w:pPr>
        <w:jc w:val="left"/>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p>
      <w:pPr>
        <w:snapToGrid w:val="0"/>
        <w:spacing w:before="50" w:after="50"/>
        <w:jc w:val="center"/>
        <w:rPr>
          <w:rFonts w:ascii="仿宋" w:hAnsi="仿宋" w:eastAsia="仿宋" w:cs="仿宋"/>
          <w:b/>
          <w:bCs/>
          <w:color w:val="auto"/>
          <w:sz w:val="28"/>
          <w:szCs w:val="28"/>
          <w:highlight w:val="none"/>
        </w:rPr>
      </w:pPr>
    </w:p>
    <w:p>
      <w:pPr>
        <w:snapToGrid w:val="0"/>
        <w:spacing w:before="50" w:after="50"/>
        <w:jc w:val="center"/>
        <w:outlineLvl w:val="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供应商自评分索引表</w:t>
      </w:r>
    </w:p>
    <w:p>
      <w:pPr>
        <w:snapToGrid w:val="0"/>
        <w:spacing w:before="50"/>
        <w:jc w:val="center"/>
        <w:rPr>
          <w:rFonts w:ascii="仿宋" w:hAnsi="仿宋" w:eastAsia="仿宋" w:cs="仿宋"/>
          <w:b/>
          <w:color w:val="auto"/>
          <w:szCs w:val="28"/>
          <w:highlight w:val="none"/>
        </w:rPr>
      </w:pPr>
    </w:p>
    <w:p>
      <w:pPr>
        <w:pStyle w:val="9"/>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供应商全称（加盖公章）：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pPr>
        <w:spacing w:line="460" w:lineRule="exact"/>
        <w:ind w:firstLine="480" w:firstLineChars="200"/>
        <w:jc w:val="left"/>
        <w:rPr>
          <w:rFonts w:ascii="仿宋" w:hAnsi="仿宋" w:eastAsia="仿宋" w:cs="仿宋"/>
          <w:color w:val="auto"/>
          <w:sz w:val="24"/>
          <w:szCs w:val="24"/>
          <w:highlight w:val="none"/>
        </w:rPr>
      </w:pPr>
      <w:r>
        <w:rPr>
          <w:rFonts w:hint="eastAsia" w:ascii="仿宋" w:hAnsi="仿宋" w:eastAsia="仿宋" w:cs="仿宋"/>
          <w:color w:val="auto"/>
          <w:sz w:val="24"/>
          <w:highlight w:val="none"/>
        </w:rPr>
        <w:t>项目名称：</w:t>
      </w:r>
      <w:r>
        <w:rPr>
          <w:rFonts w:hint="eastAsia" w:ascii="仿宋" w:hAnsi="仿宋" w:eastAsia="仿宋" w:cs="宋体"/>
          <w:bCs/>
          <w:color w:val="auto"/>
          <w:sz w:val="24"/>
          <w:highlight w:val="none"/>
          <w:lang w:eastAsia="zh-CN"/>
        </w:rPr>
        <w:t>2024年度湖州人社核心应用软件系统运维保障服务采购项目（</w:t>
      </w:r>
      <w:r>
        <w:rPr>
          <w:rFonts w:hint="eastAsia" w:ascii="仿宋" w:hAnsi="仿宋" w:eastAsia="仿宋" w:cs="宋体"/>
          <w:bCs/>
          <w:color w:val="auto"/>
          <w:sz w:val="24"/>
          <w:highlight w:val="none"/>
          <w:lang w:val="en-US" w:eastAsia="zh-CN"/>
        </w:rPr>
        <w:t>标项二</w:t>
      </w:r>
      <w:r>
        <w:rPr>
          <w:rFonts w:hint="eastAsia" w:ascii="仿宋" w:hAnsi="仿宋" w:eastAsia="仿宋" w:cs="宋体"/>
          <w:bCs/>
          <w:color w:val="auto"/>
          <w:sz w:val="24"/>
          <w:highlight w:val="none"/>
          <w:lang w:eastAsia="zh-CN"/>
        </w:rPr>
        <w:t>）</w:t>
      </w:r>
      <w:r>
        <w:rPr>
          <w:rFonts w:hint="eastAsia" w:ascii="仿宋" w:hAnsi="仿宋" w:eastAsia="仿宋" w:cs="仿宋"/>
          <w:color w:val="auto"/>
          <w:sz w:val="24"/>
          <w:szCs w:val="24"/>
          <w:highlight w:val="none"/>
        </w:rPr>
        <w:t xml:space="preserve">         </w:t>
      </w:r>
    </w:p>
    <w:tbl>
      <w:tblPr>
        <w:tblStyle w:val="26"/>
        <w:tblW w:w="8912"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3243"/>
        <w:gridCol w:w="2552"/>
        <w:gridCol w:w="1134"/>
        <w:gridCol w:w="1983"/>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评分项目</w:t>
            </w:r>
          </w:p>
        </w:tc>
        <w:tc>
          <w:tcPr>
            <w:tcW w:w="2552"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响应文件对应资料</w:t>
            </w:r>
          </w:p>
        </w:tc>
        <w:tc>
          <w:tcPr>
            <w:tcW w:w="1134"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自评分</w:t>
            </w:r>
          </w:p>
        </w:tc>
        <w:tc>
          <w:tcPr>
            <w:tcW w:w="1983"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响应文件页码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napToGrid w:val="0"/>
              <w:spacing w:before="0" w:beforeAutospacing="0" w:after="0" w:afterAutospacing="0"/>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对应第六章评分办法及评分标准（报价除外）</w:t>
            </w:r>
          </w:p>
        </w:tc>
        <w:tc>
          <w:tcPr>
            <w:tcW w:w="2552"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napToGrid w:val="0"/>
              <w:spacing w:before="0" w:beforeAutospacing="0" w:after="0" w:afterAutospacing="0"/>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w:t>
            </w:r>
          </w:p>
        </w:tc>
        <w:tc>
          <w:tcPr>
            <w:tcW w:w="2552"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napToGrid w:val="0"/>
              <w:spacing w:before="156" w:beforeLines="50" w:beforeAutospacing="0" w:after="0" w:afterAutospacing="0"/>
              <w:ind w:left="43" w:right="0"/>
              <w:jc w:val="center"/>
              <w:rPr>
                <w:rFonts w:hint="default"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napToGrid w:val="0"/>
              <w:spacing w:before="156" w:beforeLines="50" w:beforeAutospacing="0" w:after="0" w:afterAutospacing="0"/>
              <w:ind w:left="43" w:right="0"/>
              <w:jc w:val="center"/>
              <w:rPr>
                <w:rFonts w:hint="default" w:ascii="仿宋" w:hAnsi="仿宋" w:eastAsia="仿宋" w:cs="仿宋"/>
                <w:color w:val="auto"/>
                <w:sz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napToGrid w:val="0"/>
              <w:spacing w:before="0" w:beforeAutospacing="0" w:after="0" w:afterAutospacing="0"/>
              <w:ind w:left="0" w:right="0"/>
              <w:jc w:val="center"/>
              <w:rPr>
                <w:rFonts w:hint="default"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napToGrid w:val="0"/>
              <w:spacing w:before="156" w:beforeLines="50" w:beforeAutospacing="0" w:after="0" w:afterAutospacing="0"/>
              <w:ind w:left="43" w:right="0"/>
              <w:jc w:val="center"/>
              <w:rPr>
                <w:rFonts w:hint="default"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napToGrid w:val="0"/>
              <w:spacing w:before="156" w:beforeLines="50" w:beforeAutospacing="0" w:after="0" w:afterAutospacing="0"/>
              <w:ind w:left="43" w:right="0"/>
              <w:jc w:val="center"/>
              <w:rPr>
                <w:rFonts w:hint="default" w:ascii="仿宋" w:hAnsi="仿宋" w:eastAsia="仿宋" w:cs="仿宋"/>
                <w:color w:val="auto"/>
                <w:sz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napToGrid w:val="0"/>
              <w:spacing w:before="0" w:beforeAutospacing="0" w:after="0" w:afterAutospacing="0"/>
              <w:ind w:left="0" w:right="0"/>
              <w:jc w:val="center"/>
              <w:rPr>
                <w:rFonts w:hint="default"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napToGrid w:val="0"/>
              <w:spacing w:before="156" w:beforeLines="50" w:beforeAutospacing="0" w:after="0" w:afterAutospacing="0"/>
              <w:ind w:left="43" w:right="0"/>
              <w:jc w:val="center"/>
              <w:rPr>
                <w:rFonts w:hint="default"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napToGrid w:val="0"/>
              <w:spacing w:before="156" w:beforeLines="50" w:beforeAutospacing="0" w:after="0" w:afterAutospacing="0"/>
              <w:ind w:left="43" w:right="0"/>
              <w:jc w:val="center"/>
              <w:rPr>
                <w:rFonts w:hint="default" w:ascii="仿宋" w:hAnsi="仿宋" w:eastAsia="仿宋" w:cs="仿宋"/>
                <w:color w:val="auto"/>
                <w:sz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napToGrid w:val="0"/>
              <w:spacing w:before="0" w:beforeAutospacing="0" w:after="0" w:afterAutospacing="0"/>
              <w:ind w:left="0" w:right="0"/>
              <w:jc w:val="center"/>
              <w:rPr>
                <w:rFonts w:hint="default"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napToGrid w:val="0"/>
              <w:spacing w:before="0" w:beforeAutospacing="0" w:after="0" w:afterAutospacing="0"/>
              <w:ind w:left="0" w:right="0"/>
              <w:jc w:val="center"/>
              <w:rPr>
                <w:rFonts w:hint="default"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napToGrid w:val="0"/>
              <w:spacing w:before="0" w:beforeAutospacing="0" w:after="0" w:afterAutospacing="0"/>
              <w:ind w:left="0" w:right="0"/>
              <w:jc w:val="center"/>
              <w:rPr>
                <w:rFonts w:hint="default"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napToGrid w:val="0"/>
              <w:spacing w:before="0" w:beforeAutospacing="0" w:after="0" w:afterAutospacing="0"/>
              <w:ind w:left="0" w:right="0"/>
              <w:jc w:val="center"/>
              <w:rPr>
                <w:rFonts w:hint="default"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napToGrid w:val="0"/>
              <w:spacing w:before="0" w:beforeAutospacing="0" w:after="0" w:afterAutospacing="0"/>
              <w:ind w:left="0" w:right="0"/>
              <w:jc w:val="center"/>
              <w:rPr>
                <w:rFonts w:hint="default"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r>
    </w:tbl>
    <w:p>
      <w:pPr>
        <w:snapToGrid w:val="0"/>
        <w:spacing w:line="460" w:lineRule="exact"/>
        <w:ind w:firstLine="240" w:firstLineChars="100"/>
        <w:rPr>
          <w:rFonts w:ascii="仿宋" w:hAnsi="仿宋" w:eastAsia="仿宋" w:cs="仿宋"/>
          <w:color w:val="auto"/>
          <w:sz w:val="24"/>
          <w:highlight w:val="none"/>
        </w:rPr>
      </w:pPr>
    </w:p>
    <w:p>
      <w:pPr>
        <w:snapToGrid w:val="0"/>
        <w:spacing w:line="460" w:lineRule="exact"/>
        <w:ind w:firstLine="240" w:firstLineChars="100"/>
        <w:rPr>
          <w:rFonts w:ascii="仿宋" w:hAnsi="仿宋" w:eastAsia="仿宋" w:cs="仿宋"/>
          <w:color w:val="auto"/>
          <w:sz w:val="24"/>
          <w:highlight w:val="none"/>
        </w:rPr>
      </w:pPr>
      <w:r>
        <w:rPr>
          <w:rFonts w:hint="eastAsia" w:ascii="仿宋" w:hAnsi="仿宋" w:eastAsia="仿宋" w:cs="仿宋"/>
          <w:color w:val="auto"/>
          <w:sz w:val="24"/>
          <w:highlight w:val="none"/>
        </w:rPr>
        <w:t>法定代表人或其授权代理人签字或盖章：</w:t>
      </w:r>
    </w:p>
    <w:p>
      <w:pPr>
        <w:snapToGrid w:val="0"/>
        <w:spacing w:line="460" w:lineRule="exact"/>
        <w:jc w:val="right"/>
        <w:rPr>
          <w:rFonts w:ascii="仿宋" w:hAnsi="仿宋" w:eastAsia="仿宋" w:cs="仿宋"/>
          <w:b/>
          <w:color w:val="auto"/>
          <w:sz w:val="28"/>
          <w:szCs w:val="28"/>
          <w:highlight w:val="none"/>
        </w:rPr>
      </w:pPr>
      <w:r>
        <w:rPr>
          <w:rFonts w:hint="eastAsia" w:ascii="仿宋" w:hAnsi="仿宋" w:eastAsia="仿宋" w:cs="仿宋"/>
          <w:color w:val="auto"/>
          <w:sz w:val="24"/>
          <w:highlight w:val="none"/>
        </w:rPr>
        <w:t>日期：    年  月   日</w:t>
      </w:r>
    </w:p>
    <w:p>
      <w:pPr>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br w:type="page"/>
      </w:r>
    </w:p>
    <w:p>
      <w:pPr>
        <w:spacing w:line="560" w:lineRule="exact"/>
        <w:jc w:val="center"/>
        <w:outlineLvl w:val="1"/>
        <w:rPr>
          <w:rFonts w:hint="eastAsia"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lang w:val="en-US" w:eastAsia="zh-CN"/>
        </w:rPr>
        <w:t>人员配备</w:t>
      </w:r>
    </w:p>
    <w:p>
      <w:pPr>
        <w:spacing w:line="460" w:lineRule="exact"/>
        <w:ind w:firstLine="480" w:firstLineChars="200"/>
        <w:jc w:val="left"/>
        <w:rPr>
          <w:rFonts w:hint="eastAsia" w:ascii="宋体" w:hAnsi="宋体" w:eastAsia="宋体" w:cs="宋体"/>
          <w:b/>
          <w:color w:val="auto"/>
          <w:sz w:val="36"/>
          <w:szCs w:val="36"/>
          <w:highlight w:val="none"/>
          <w:lang w:val="zh-CN"/>
        </w:rPr>
      </w:pPr>
      <w:r>
        <w:rPr>
          <w:rFonts w:hint="eastAsia" w:ascii="仿宋" w:hAnsi="仿宋" w:eastAsia="仿宋" w:cs="仿宋"/>
          <w:color w:val="auto"/>
          <w:sz w:val="24"/>
          <w:highlight w:val="none"/>
        </w:rPr>
        <w:t>项目名称：</w:t>
      </w:r>
      <w:r>
        <w:rPr>
          <w:rFonts w:hint="eastAsia" w:ascii="仿宋" w:hAnsi="仿宋" w:eastAsia="仿宋" w:cs="宋体"/>
          <w:bCs/>
          <w:color w:val="auto"/>
          <w:sz w:val="24"/>
          <w:highlight w:val="none"/>
          <w:lang w:eastAsia="zh-CN"/>
        </w:rPr>
        <w:t>2024年度湖州人社核心应用软件系统运维保障服务采购项目（</w:t>
      </w:r>
      <w:r>
        <w:rPr>
          <w:rFonts w:hint="eastAsia" w:ascii="仿宋" w:hAnsi="仿宋" w:eastAsia="仿宋" w:cs="宋体"/>
          <w:bCs/>
          <w:color w:val="auto"/>
          <w:sz w:val="24"/>
          <w:highlight w:val="none"/>
          <w:lang w:val="en-US" w:eastAsia="zh-CN"/>
        </w:rPr>
        <w:t>标项二</w:t>
      </w:r>
      <w:r>
        <w:rPr>
          <w:rFonts w:hint="eastAsia" w:ascii="仿宋" w:hAnsi="仿宋" w:eastAsia="仿宋" w:cs="宋体"/>
          <w:bCs/>
          <w:color w:val="auto"/>
          <w:sz w:val="24"/>
          <w:highlight w:val="none"/>
          <w:lang w:eastAsia="zh-CN"/>
        </w:rPr>
        <w:t>）</w:t>
      </w:r>
    </w:p>
    <w:tbl>
      <w:tblPr>
        <w:tblStyle w:val="26"/>
        <w:tblW w:w="9030" w:type="dxa"/>
        <w:jc w:val="center"/>
        <w:tblLayout w:type="fixed"/>
        <w:tblCellMar>
          <w:top w:w="0" w:type="dxa"/>
          <w:left w:w="108" w:type="dxa"/>
          <w:bottom w:w="0" w:type="dxa"/>
          <w:right w:w="108" w:type="dxa"/>
        </w:tblCellMar>
      </w:tblPr>
      <w:tblGrid>
        <w:gridCol w:w="420"/>
        <w:gridCol w:w="787"/>
        <w:gridCol w:w="609"/>
        <w:gridCol w:w="540"/>
        <w:gridCol w:w="884"/>
        <w:gridCol w:w="1080"/>
        <w:gridCol w:w="1080"/>
        <w:gridCol w:w="1260"/>
        <w:gridCol w:w="900"/>
        <w:gridCol w:w="1470"/>
      </w:tblGrid>
      <w:tr>
        <w:tblPrEx>
          <w:tblCellMar>
            <w:top w:w="0" w:type="dxa"/>
            <w:left w:w="108" w:type="dxa"/>
            <w:bottom w:w="0" w:type="dxa"/>
            <w:right w:w="108" w:type="dxa"/>
          </w:tblCellMar>
        </w:tblPrEx>
        <w:trPr>
          <w:jc w:val="center"/>
        </w:trPr>
        <w:tc>
          <w:tcPr>
            <w:tcW w:w="42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序号</w:t>
            </w:r>
          </w:p>
        </w:tc>
        <w:tc>
          <w:tcPr>
            <w:tcW w:w="78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姓名</w:t>
            </w:r>
          </w:p>
        </w:tc>
        <w:tc>
          <w:tcPr>
            <w:tcW w:w="609"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性别</w:t>
            </w:r>
          </w:p>
        </w:tc>
        <w:tc>
          <w:tcPr>
            <w:tcW w:w="54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年龄</w:t>
            </w:r>
          </w:p>
        </w:tc>
        <w:tc>
          <w:tcPr>
            <w:tcW w:w="884"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学历</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身份证号</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职称等证书</w:t>
            </w:r>
          </w:p>
        </w:tc>
        <w:tc>
          <w:tcPr>
            <w:tcW w:w="126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本项目中的职责</w:t>
            </w:r>
          </w:p>
        </w:tc>
        <w:tc>
          <w:tcPr>
            <w:tcW w:w="90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项目经历</w:t>
            </w:r>
          </w:p>
        </w:tc>
        <w:tc>
          <w:tcPr>
            <w:tcW w:w="147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参与本项目的到位情况</w:t>
            </w:r>
          </w:p>
        </w:tc>
      </w:tr>
      <w:tr>
        <w:tblPrEx>
          <w:tblCellMar>
            <w:top w:w="0" w:type="dxa"/>
            <w:left w:w="108" w:type="dxa"/>
            <w:bottom w:w="0" w:type="dxa"/>
            <w:right w:w="108" w:type="dxa"/>
          </w:tblCellMar>
        </w:tblPrEx>
        <w:trPr>
          <w:trHeight w:val="479" w:hRule="atLeast"/>
          <w:jc w:val="center"/>
        </w:trPr>
        <w:tc>
          <w:tcPr>
            <w:tcW w:w="42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p>
        </w:tc>
        <w:tc>
          <w:tcPr>
            <w:tcW w:w="78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p>
        </w:tc>
        <w:tc>
          <w:tcPr>
            <w:tcW w:w="609"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p>
        </w:tc>
        <w:tc>
          <w:tcPr>
            <w:tcW w:w="54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p>
        </w:tc>
        <w:tc>
          <w:tcPr>
            <w:tcW w:w="884"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p>
        </w:tc>
        <w:tc>
          <w:tcPr>
            <w:tcW w:w="126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p>
        </w:tc>
        <w:tc>
          <w:tcPr>
            <w:tcW w:w="90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p>
        </w:tc>
        <w:tc>
          <w:tcPr>
            <w:tcW w:w="147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p>
        </w:tc>
      </w:tr>
      <w:tr>
        <w:tblPrEx>
          <w:tblCellMar>
            <w:top w:w="0" w:type="dxa"/>
            <w:left w:w="108" w:type="dxa"/>
            <w:bottom w:w="0" w:type="dxa"/>
            <w:right w:w="108" w:type="dxa"/>
          </w:tblCellMar>
        </w:tblPrEx>
        <w:trPr>
          <w:trHeight w:val="473" w:hRule="atLeast"/>
          <w:jc w:val="center"/>
        </w:trPr>
        <w:tc>
          <w:tcPr>
            <w:tcW w:w="42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p>
        </w:tc>
        <w:tc>
          <w:tcPr>
            <w:tcW w:w="78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p>
        </w:tc>
        <w:tc>
          <w:tcPr>
            <w:tcW w:w="609"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p>
        </w:tc>
        <w:tc>
          <w:tcPr>
            <w:tcW w:w="54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p>
        </w:tc>
        <w:tc>
          <w:tcPr>
            <w:tcW w:w="884"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p>
        </w:tc>
        <w:tc>
          <w:tcPr>
            <w:tcW w:w="126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p>
        </w:tc>
        <w:tc>
          <w:tcPr>
            <w:tcW w:w="90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p>
        </w:tc>
        <w:tc>
          <w:tcPr>
            <w:tcW w:w="147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p>
        </w:tc>
      </w:tr>
      <w:tr>
        <w:tblPrEx>
          <w:tblCellMar>
            <w:top w:w="0" w:type="dxa"/>
            <w:left w:w="108" w:type="dxa"/>
            <w:bottom w:w="0" w:type="dxa"/>
            <w:right w:w="108" w:type="dxa"/>
          </w:tblCellMar>
        </w:tblPrEx>
        <w:trPr>
          <w:trHeight w:val="473" w:hRule="atLeast"/>
          <w:jc w:val="center"/>
        </w:trPr>
        <w:tc>
          <w:tcPr>
            <w:tcW w:w="42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p>
        </w:tc>
        <w:tc>
          <w:tcPr>
            <w:tcW w:w="78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p>
        </w:tc>
        <w:tc>
          <w:tcPr>
            <w:tcW w:w="609"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p>
        </w:tc>
        <w:tc>
          <w:tcPr>
            <w:tcW w:w="54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p>
        </w:tc>
        <w:tc>
          <w:tcPr>
            <w:tcW w:w="884"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p>
        </w:tc>
        <w:tc>
          <w:tcPr>
            <w:tcW w:w="126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p>
        </w:tc>
        <w:tc>
          <w:tcPr>
            <w:tcW w:w="90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p>
        </w:tc>
        <w:tc>
          <w:tcPr>
            <w:tcW w:w="147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p>
        </w:tc>
      </w:tr>
      <w:tr>
        <w:tblPrEx>
          <w:tblCellMar>
            <w:top w:w="0" w:type="dxa"/>
            <w:left w:w="108" w:type="dxa"/>
            <w:bottom w:w="0" w:type="dxa"/>
            <w:right w:w="108" w:type="dxa"/>
          </w:tblCellMar>
        </w:tblPrEx>
        <w:trPr>
          <w:trHeight w:val="473" w:hRule="atLeast"/>
          <w:jc w:val="center"/>
        </w:trPr>
        <w:tc>
          <w:tcPr>
            <w:tcW w:w="42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p>
        </w:tc>
        <w:tc>
          <w:tcPr>
            <w:tcW w:w="78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p>
        </w:tc>
        <w:tc>
          <w:tcPr>
            <w:tcW w:w="609"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p>
        </w:tc>
        <w:tc>
          <w:tcPr>
            <w:tcW w:w="54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p>
        </w:tc>
        <w:tc>
          <w:tcPr>
            <w:tcW w:w="884"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p>
        </w:tc>
        <w:tc>
          <w:tcPr>
            <w:tcW w:w="126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p>
        </w:tc>
        <w:tc>
          <w:tcPr>
            <w:tcW w:w="90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p>
        </w:tc>
        <w:tc>
          <w:tcPr>
            <w:tcW w:w="147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p>
        </w:tc>
      </w:tr>
    </w:tbl>
    <w:p>
      <w:pPr>
        <w:adjustRightInd w:val="0"/>
        <w:spacing w:line="480" w:lineRule="exact"/>
        <w:rPr>
          <w:rFonts w:hint="eastAsia" w:ascii="仿宋" w:hAnsi="仿宋" w:eastAsia="仿宋" w:cs="仿宋"/>
          <w:color w:val="auto"/>
          <w:kern w:val="0"/>
          <w:sz w:val="24"/>
          <w:szCs w:val="24"/>
          <w:highlight w:val="none"/>
          <w:lang w:val="zh-CN"/>
        </w:rPr>
      </w:pPr>
      <w:r>
        <w:rPr>
          <w:rFonts w:hint="eastAsia" w:ascii="仿宋" w:hAnsi="仿宋" w:eastAsia="仿宋" w:cs="仿宋"/>
          <w:color w:val="auto"/>
          <w:kern w:val="0"/>
          <w:sz w:val="24"/>
          <w:szCs w:val="24"/>
          <w:highlight w:val="none"/>
          <w:lang w:val="zh-CN"/>
        </w:rPr>
        <w:t>注：</w:t>
      </w:r>
      <w:r>
        <w:rPr>
          <w:rFonts w:hint="eastAsia" w:ascii="仿宋" w:hAnsi="仿宋" w:eastAsia="仿宋" w:cs="仿宋"/>
          <w:color w:val="auto"/>
          <w:kern w:val="0"/>
          <w:sz w:val="24"/>
          <w:szCs w:val="24"/>
          <w:highlight w:val="none"/>
          <w:lang w:val="en-US" w:eastAsia="zh-CN"/>
        </w:rPr>
        <w:t>供应商</w:t>
      </w:r>
      <w:r>
        <w:rPr>
          <w:rFonts w:hint="eastAsia" w:ascii="仿宋" w:hAnsi="仿宋" w:eastAsia="仿宋" w:cs="仿宋"/>
          <w:color w:val="auto"/>
          <w:kern w:val="0"/>
          <w:sz w:val="24"/>
          <w:szCs w:val="24"/>
          <w:highlight w:val="none"/>
          <w:lang w:val="zh-CN"/>
        </w:rPr>
        <w:t>可按上述的格式自行编制（</w:t>
      </w:r>
      <w:r>
        <w:rPr>
          <w:rFonts w:hint="eastAsia" w:ascii="仿宋" w:hAnsi="仿宋" w:eastAsia="仿宋" w:cs="仿宋"/>
          <w:color w:val="auto"/>
          <w:kern w:val="0"/>
          <w:sz w:val="24"/>
          <w:szCs w:val="24"/>
          <w:highlight w:val="none"/>
        </w:rPr>
        <w:t>可根据自身情况稍作修改</w:t>
      </w:r>
      <w:r>
        <w:rPr>
          <w:rFonts w:hint="eastAsia" w:ascii="仿宋" w:hAnsi="仿宋" w:eastAsia="仿宋" w:cs="仿宋"/>
          <w:color w:val="auto"/>
          <w:kern w:val="0"/>
          <w:sz w:val="24"/>
          <w:szCs w:val="24"/>
          <w:highlight w:val="none"/>
          <w:lang w:val="zh-CN"/>
        </w:rPr>
        <w:t>），</w:t>
      </w:r>
      <w:r>
        <w:rPr>
          <w:rFonts w:hint="eastAsia" w:ascii="仿宋" w:hAnsi="仿宋" w:eastAsia="仿宋" w:cs="仿宋"/>
          <w:color w:val="auto"/>
          <w:kern w:val="0"/>
          <w:sz w:val="24"/>
          <w:szCs w:val="24"/>
          <w:highlight w:val="none"/>
        </w:rPr>
        <w:t>相关证明材料附后</w:t>
      </w:r>
      <w:r>
        <w:rPr>
          <w:rFonts w:hint="eastAsia" w:ascii="仿宋" w:hAnsi="仿宋" w:eastAsia="仿宋" w:cs="仿宋"/>
          <w:color w:val="auto"/>
          <w:kern w:val="0"/>
          <w:sz w:val="24"/>
          <w:szCs w:val="24"/>
          <w:highlight w:val="none"/>
          <w:lang w:val="zh-CN"/>
        </w:rPr>
        <w:t>。</w:t>
      </w:r>
    </w:p>
    <w:p>
      <w:pPr>
        <w:adjustRightInd w:val="0"/>
        <w:spacing w:line="480" w:lineRule="exact"/>
        <w:jc w:val="center"/>
        <w:rPr>
          <w:rFonts w:hint="eastAsia" w:ascii="仿宋" w:hAnsi="仿宋" w:eastAsia="仿宋" w:cs="仿宋"/>
          <w:b/>
          <w:color w:val="auto"/>
          <w:sz w:val="24"/>
          <w:szCs w:val="24"/>
          <w:highlight w:val="none"/>
          <w:lang w:val="zh-CN"/>
        </w:rPr>
      </w:pPr>
    </w:p>
    <w:p>
      <w:pPr>
        <w:adjustRightInd w:val="0"/>
        <w:snapToGrid w:val="0"/>
        <w:spacing w:line="360" w:lineRule="auto"/>
        <w:ind w:firstLine="5280" w:firstLineChars="2200"/>
        <w:rPr>
          <w:rFonts w:hint="eastAsia" w:ascii="仿宋" w:hAnsi="仿宋" w:eastAsia="仿宋" w:cs="仿宋"/>
          <w:color w:val="auto"/>
          <w:kern w:val="0"/>
          <w:sz w:val="24"/>
          <w:szCs w:val="24"/>
          <w:highlight w:val="none"/>
          <w:lang w:val="zh-CN"/>
        </w:rPr>
      </w:pPr>
    </w:p>
    <w:p>
      <w:pPr>
        <w:adjustRightInd w:val="0"/>
        <w:snapToGrid w:val="0"/>
        <w:spacing w:line="360" w:lineRule="auto"/>
        <w:ind w:firstLine="5280" w:firstLineChars="2200"/>
        <w:rPr>
          <w:rFonts w:hint="eastAsia" w:ascii="仿宋" w:hAnsi="仿宋" w:eastAsia="仿宋" w:cs="仿宋"/>
          <w:color w:val="auto"/>
          <w:kern w:val="0"/>
          <w:sz w:val="24"/>
          <w:szCs w:val="24"/>
          <w:highlight w:val="none"/>
          <w:lang w:val="zh-CN"/>
        </w:rPr>
      </w:pPr>
    </w:p>
    <w:p>
      <w:pPr>
        <w:adjustRightInd w:val="0"/>
        <w:snapToGrid w:val="0"/>
        <w:spacing w:line="360" w:lineRule="auto"/>
        <w:ind w:firstLine="5280" w:firstLineChars="2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zh-CN"/>
        </w:rPr>
        <w:t>供应商名称(公章)：</w:t>
      </w:r>
    </w:p>
    <w:p>
      <w:pPr>
        <w:adjustRightInd w:val="0"/>
        <w:snapToGrid w:val="0"/>
        <w:spacing w:line="360" w:lineRule="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zh-CN"/>
        </w:rPr>
        <w:t xml:space="preserve">                                       法定代表人或其授权代理人签名或盖章：</w:t>
      </w:r>
    </w:p>
    <w:p>
      <w:pPr>
        <w:adjustRightInd w:val="0"/>
        <w:snapToGrid w:val="0"/>
        <w:spacing w:line="360" w:lineRule="auto"/>
        <w:ind w:firstLine="5160" w:firstLineChars="215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日期：  年  月   日</w:t>
      </w:r>
    </w:p>
    <w:p>
      <w:pPr>
        <w:adjustRightInd w:val="0"/>
        <w:snapToGrid w:val="0"/>
        <w:spacing w:line="360" w:lineRule="auto"/>
        <w:ind w:firstLine="5160" w:firstLineChars="2150"/>
        <w:rPr>
          <w:rFonts w:hint="eastAsia" w:ascii="仿宋" w:hAnsi="仿宋" w:eastAsia="仿宋" w:cs="仿宋"/>
          <w:color w:val="auto"/>
          <w:kern w:val="0"/>
          <w:sz w:val="24"/>
          <w:szCs w:val="24"/>
          <w:highlight w:val="none"/>
        </w:rPr>
      </w:pPr>
    </w:p>
    <w:p>
      <w:pPr>
        <w:adjustRightInd w:val="0"/>
        <w:snapToGrid w:val="0"/>
        <w:spacing w:line="360" w:lineRule="auto"/>
        <w:ind w:firstLine="5160" w:firstLineChars="2150"/>
        <w:rPr>
          <w:rFonts w:hint="eastAsia" w:ascii="仿宋" w:hAnsi="仿宋" w:eastAsia="仿宋" w:cs="仿宋"/>
          <w:color w:val="auto"/>
          <w:kern w:val="0"/>
          <w:sz w:val="24"/>
          <w:szCs w:val="24"/>
          <w:highlight w:val="none"/>
        </w:rPr>
      </w:pPr>
    </w:p>
    <w:p>
      <w:pPr>
        <w:adjustRightInd w:val="0"/>
        <w:snapToGrid w:val="0"/>
        <w:spacing w:line="360" w:lineRule="auto"/>
        <w:ind w:firstLine="5160" w:firstLineChars="2150"/>
        <w:rPr>
          <w:rFonts w:hint="eastAsia" w:ascii="仿宋" w:hAnsi="仿宋" w:eastAsia="仿宋" w:cs="仿宋"/>
          <w:color w:val="auto"/>
          <w:kern w:val="0"/>
          <w:sz w:val="24"/>
          <w:szCs w:val="24"/>
          <w:highlight w:val="none"/>
        </w:rPr>
      </w:pPr>
    </w:p>
    <w:p>
      <w:pPr>
        <w:adjustRightInd w:val="0"/>
        <w:snapToGrid w:val="0"/>
        <w:spacing w:line="360" w:lineRule="auto"/>
        <w:ind w:firstLine="5160" w:firstLineChars="2150"/>
        <w:rPr>
          <w:rFonts w:hint="eastAsia" w:ascii="仿宋" w:hAnsi="仿宋" w:eastAsia="仿宋" w:cs="仿宋"/>
          <w:color w:val="auto"/>
          <w:kern w:val="0"/>
          <w:sz w:val="24"/>
          <w:szCs w:val="24"/>
          <w:highlight w:val="none"/>
        </w:rPr>
      </w:pPr>
    </w:p>
    <w:p>
      <w:pPr>
        <w:adjustRightInd w:val="0"/>
        <w:snapToGrid w:val="0"/>
        <w:spacing w:line="360" w:lineRule="auto"/>
        <w:ind w:firstLine="5160" w:firstLineChars="2150"/>
        <w:rPr>
          <w:rFonts w:hint="eastAsia" w:ascii="仿宋" w:hAnsi="仿宋" w:eastAsia="仿宋" w:cs="仿宋"/>
          <w:color w:val="auto"/>
          <w:kern w:val="0"/>
          <w:sz w:val="24"/>
          <w:szCs w:val="24"/>
          <w:highlight w:val="none"/>
        </w:rPr>
      </w:pPr>
    </w:p>
    <w:p>
      <w:pPr>
        <w:adjustRightInd w:val="0"/>
        <w:snapToGrid w:val="0"/>
        <w:spacing w:line="360" w:lineRule="auto"/>
        <w:ind w:firstLine="5160" w:firstLineChars="2150"/>
        <w:rPr>
          <w:rFonts w:hint="eastAsia" w:ascii="仿宋" w:hAnsi="仿宋" w:eastAsia="仿宋" w:cs="仿宋"/>
          <w:color w:val="auto"/>
          <w:kern w:val="0"/>
          <w:sz w:val="24"/>
          <w:szCs w:val="24"/>
          <w:highlight w:val="none"/>
        </w:rPr>
      </w:pPr>
    </w:p>
    <w:p>
      <w:pPr>
        <w:adjustRightInd w:val="0"/>
        <w:snapToGrid w:val="0"/>
        <w:spacing w:line="360" w:lineRule="auto"/>
        <w:ind w:firstLine="5160" w:firstLineChars="2150"/>
        <w:rPr>
          <w:rFonts w:hint="eastAsia" w:ascii="仿宋" w:hAnsi="仿宋" w:eastAsia="仿宋" w:cs="仿宋"/>
          <w:color w:val="auto"/>
          <w:kern w:val="0"/>
          <w:sz w:val="24"/>
          <w:szCs w:val="24"/>
          <w:highlight w:val="none"/>
        </w:rPr>
      </w:pPr>
    </w:p>
    <w:p>
      <w:pPr>
        <w:adjustRightInd w:val="0"/>
        <w:snapToGrid w:val="0"/>
        <w:spacing w:line="360" w:lineRule="auto"/>
        <w:ind w:firstLine="5160" w:firstLineChars="2150"/>
        <w:rPr>
          <w:rFonts w:hint="eastAsia" w:ascii="仿宋" w:hAnsi="仿宋" w:eastAsia="仿宋" w:cs="仿宋"/>
          <w:color w:val="auto"/>
          <w:kern w:val="0"/>
          <w:sz w:val="24"/>
          <w:szCs w:val="24"/>
          <w:highlight w:val="none"/>
        </w:rPr>
      </w:pPr>
    </w:p>
    <w:p>
      <w:pPr>
        <w:adjustRightInd w:val="0"/>
        <w:snapToGrid w:val="0"/>
        <w:spacing w:line="360" w:lineRule="auto"/>
        <w:ind w:firstLine="5160" w:firstLineChars="2150"/>
        <w:rPr>
          <w:rFonts w:hint="eastAsia" w:ascii="仿宋" w:hAnsi="仿宋" w:eastAsia="仿宋" w:cs="仿宋"/>
          <w:color w:val="auto"/>
          <w:kern w:val="0"/>
          <w:sz w:val="24"/>
          <w:szCs w:val="24"/>
          <w:highlight w:val="none"/>
        </w:rPr>
      </w:pPr>
    </w:p>
    <w:p>
      <w:pPr>
        <w:adjustRightInd w:val="0"/>
        <w:snapToGrid w:val="0"/>
        <w:spacing w:line="360" w:lineRule="auto"/>
        <w:ind w:firstLine="5160" w:firstLineChars="2150"/>
        <w:rPr>
          <w:rFonts w:hint="eastAsia" w:ascii="仿宋" w:hAnsi="仿宋" w:eastAsia="仿宋" w:cs="仿宋"/>
          <w:color w:val="auto"/>
          <w:kern w:val="0"/>
          <w:sz w:val="24"/>
          <w:szCs w:val="24"/>
          <w:highlight w:val="none"/>
        </w:rPr>
      </w:pPr>
    </w:p>
    <w:p>
      <w:pPr>
        <w:adjustRightInd w:val="0"/>
        <w:snapToGrid w:val="0"/>
        <w:spacing w:line="360" w:lineRule="auto"/>
        <w:ind w:firstLine="5160" w:firstLineChars="2150"/>
        <w:rPr>
          <w:rFonts w:hint="eastAsia" w:ascii="仿宋" w:hAnsi="仿宋" w:eastAsia="仿宋" w:cs="仿宋"/>
          <w:color w:val="auto"/>
          <w:kern w:val="0"/>
          <w:sz w:val="24"/>
          <w:szCs w:val="24"/>
          <w:highlight w:val="none"/>
        </w:rPr>
      </w:pPr>
    </w:p>
    <w:p>
      <w:pPr>
        <w:adjustRightInd w:val="0"/>
        <w:snapToGrid w:val="0"/>
        <w:spacing w:line="360" w:lineRule="auto"/>
        <w:ind w:firstLine="5160" w:firstLineChars="2150"/>
        <w:rPr>
          <w:rFonts w:hint="eastAsia" w:ascii="仿宋" w:hAnsi="仿宋" w:eastAsia="仿宋" w:cs="仿宋"/>
          <w:color w:val="auto"/>
          <w:kern w:val="0"/>
          <w:sz w:val="24"/>
          <w:szCs w:val="24"/>
          <w:highlight w:val="none"/>
        </w:rPr>
      </w:pPr>
    </w:p>
    <w:p>
      <w:pPr>
        <w:adjustRightInd w:val="0"/>
        <w:snapToGrid w:val="0"/>
        <w:spacing w:line="360" w:lineRule="auto"/>
        <w:ind w:firstLine="5160" w:firstLineChars="2150"/>
        <w:rPr>
          <w:rFonts w:hint="eastAsia" w:ascii="仿宋" w:hAnsi="仿宋" w:eastAsia="仿宋" w:cs="仿宋"/>
          <w:color w:val="auto"/>
          <w:kern w:val="0"/>
          <w:sz w:val="24"/>
          <w:szCs w:val="24"/>
          <w:highlight w:val="none"/>
        </w:rPr>
      </w:pPr>
    </w:p>
    <w:p>
      <w:pPr>
        <w:adjustRightInd w:val="0"/>
        <w:snapToGrid w:val="0"/>
        <w:spacing w:line="360" w:lineRule="auto"/>
        <w:ind w:firstLine="5160" w:firstLineChars="2150"/>
        <w:rPr>
          <w:rFonts w:hint="eastAsia" w:ascii="仿宋" w:hAnsi="仿宋" w:eastAsia="仿宋" w:cs="仿宋"/>
          <w:color w:val="auto"/>
          <w:kern w:val="0"/>
          <w:sz w:val="24"/>
          <w:szCs w:val="24"/>
          <w:highlight w:val="none"/>
        </w:rPr>
      </w:pPr>
    </w:p>
    <w:p>
      <w:pPr>
        <w:adjustRightInd w:val="0"/>
        <w:snapToGrid w:val="0"/>
        <w:spacing w:line="360" w:lineRule="auto"/>
        <w:ind w:firstLine="5160" w:firstLineChars="2150"/>
        <w:jc w:val="center"/>
        <w:rPr>
          <w:rFonts w:hint="eastAsia" w:ascii="仿宋" w:hAnsi="仿宋" w:eastAsia="仿宋" w:cs="仿宋"/>
          <w:color w:val="auto"/>
          <w:kern w:val="0"/>
          <w:sz w:val="24"/>
          <w:szCs w:val="24"/>
          <w:highlight w:val="none"/>
        </w:rPr>
      </w:pPr>
    </w:p>
    <w:p>
      <w:pPr>
        <w:spacing w:line="560" w:lineRule="exact"/>
        <w:jc w:val="center"/>
        <w:outlineLvl w:val="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商务响应表</w:t>
      </w:r>
    </w:p>
    <w:p>
      <w:pPr>
        <w:pStyle w:val="25"/>
        <w:rPr>
          <w:color w:val="auto"/>
          <w:highlight w:val="none"/>
        </w:rPr>
      </w:pPr>
    </w:p>
    <w:p>
      <w:pPr>
        <w:pStyle w:val="36"/>
        <w:spacing w:line="460" w:lineRule="exact"/>
        <w:rPr>
          <w:rFonts w:ascii="仿宋" w:hAnsi="仿宋" w:eastAsia="仿宋" w:cs="仿宋"/>
          <w:color w:val="auto"/>
          <w:highlight w:val="none"/>
        </w:rPr>
      </w:pPr>
      <w:r>
        <w:rPr>
          <w:rFonts w:hint="eastAsia" w:ascii="仿宋" w:hAnsi="仿宋" w:eastAsia="仿宋" w:cs="仿宋"/>
          <w:color w:val="auto"/>
          <w:highlight w:val="none"/>
        </w:rPr>
        <w:t>供应商全称（加盖公章）：</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w:t>
      </w:r>
    </w:p>
    <w:p>
      <w:pPr>
        <w:spacing w:line="460" w:lineRule="exact"/>
        <w:jc w:val="left"/>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rPr>
        <w:t>项目名称：</w:t>
      </w:r>
      <w:r>
        <w:rPr>
          <w:rFonts w:hint="eastAsia" w:ascii="仿宋" w:hAnsi="仿宋" w:eastAsia="仿宋" w:cs="宋体"/>
          <w:bCs/>
          <w:color w:val="auto"/>
          <w:sz w:val="24"/>
          <w:highlight w:val="none"/>
          <w:lang w:eastAsia="zh-CN"/>
        </w:rPr>
        <w:t>2024年度湖州人社核心应用软件系统运维保障服务采购项目（</w:t>
      </w:r>
      <w:r>
        <w:rPr>
          <w:rFonts w:hint="eastAsia" w:ascii="仿宋" w:hAnsi="仿宋" w:eastAsia="仿宋" w:cs="宋体"/>
          <w:bCs/>
          <w:color w:val="auto"/>
          <w:sz w:val="24"/>
          <w:highlight w:val="none"/>
          <w:lang w:val="en-US" w:eastAsia="zh-CN"/>
        </w:rPr>
        <w:t>标项二</w:t>
      </w:r>
      <w:r>
        <w:rPr>
          <w:rFonts w:hint="eastAsia" w:ascii="仿宋" w:hAnsi="仿宋" w:eastAsia="仿宋" w:cs="宋体"/>
          <w:bCs/>
          <w:color w:val="auto"/>
          <w:sz w:val="24"/>
          <w:highlight w:val="none"/>
          <w:lang w:eastAsia="zh-CN"/>
        </w:rPr>
        <w:t>）</w:t>
      </w:r>
    </w:p>
    <w:p>
      <w:pPr>
        <w:pStyle w:val="25"/>
        <w:rPr>
          <w:color w:val="auto"/>
          <w:highlight w:val="none"/>
        </w:rPr>
      </w:pPr>
    </w:p>
    <w:tbl>
      <w:tblPr>
        <w:tblStyle w:val="26"/>
        <w:tblW w:w="87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7"/>
        <w:gridCol w:w="2120"/>
        <w:gridCol w:w="1843"/>
        <w:gridCol w:w="28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7" w:type="dxa"/>
            <w:vAlign w:val="center"/>
          </w:tcPr>
          <w:p>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kern w:val="0"/>
                <w:sz w:val="24"/>
                <w:highlight w:val="none"/>
              </w:rPr>
            </w:pPr>
            <w:r>
              <w:rPr>
                <w:rFonts w:hint="eastAsia" w:ascii="仿宋" w:hAnsi="仿宋" w:eastAsia="仿宋" w:cs="仿宋"/>
                <w:color w:val="auto"/>
                <w:kern w:val="0"/>
                <w:sz w:val="24"/>
                <w:highlight w:val="none"/>
              </w:rPr>
              <w:t>项目</w:t>
            </w:r>
          </w:p>
        </w:tc>
        <w:tc>
          <w:tcPr>
            <w:tcW w:w="2120" w:type="dxa"/>
            <w:vAlign w:val="center"/>
          </w:tcPr>
          <w:p>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kern w:val="0"/>
                <w:sz w:val="24"/>
                <w:highlight w:val="none"/>
              </w:rPr>
            </w:pPr>
            <w:r>
              <w:rPr>
                <w:rFonts w:hint="eastAsia" w:ascii="仿宋" w:hAnsi="仿宋" w:eastAsia="仿宋" w:cs="仿宋"/>
                <w:color w:val="auto"/>
                <w:kern w:val="0"/>
                <w:sz w:val="24"/>
                <w:highlight w:val="none"/>
              </w:rPr>
              <w:t>磋商文件要求</w:t>
            </w:r>
          </w:p>
        </w:tc>
        <w:tc>
          <w:tcPr>
            <w:tcW w:w="1843" w:type="dxa"/>
            <w:vAlign w:val="center"/>
          </w:tcPr>
          <w:p>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kern w:val="0"/>
                <w:sz w:val="24"/>
                <w:highlight w:val="none"/>
              </w:rPr>
            </w:pPr>
            <w:r>
              <w:rPr>
                <w:rFonts w:hint="eastAsia" w:ascii="仿宋" w:hAnsi="仿宋" w:eastAsia="仿宋" w:cs="仿宋"/>
                <w:color w:val="auto"/>
                <w:kern w:val="0"/>
                <w:sz w:val="24"/>
                <w:highlight w:val="none"/>
              </w:rPr>
              <w:t>是否响应</w:t>
            </w:r>
          </w:p>
        </w:tc>
        <w:tc>
          <w:tcPr>
            <w:tcW w:w="2801" w:type="dxa"/>
            <w:vAlign w:val="center"/>
          </w:tcPr>
          <w:p>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kern w:val="0"/>
                <w:sz w:val="24"/>
                <w:highlight w:val="none"/>
              </w:rPr>
            </w:pPr>
            <w:r>
              <w:rPr>
                <w:rFonts w:hint="eastAsia" w:ascii="仿宋" w:hAnsi="仿宋" w:eastAsia="仿宋" w:cs="仿宋"/>
                <w:color w:val="auto"/>
                <w:kern w:val="0"/>
                <w:sz w:val="24"/>
                <w:highlight w:val="none"/>
              </w:rPr>
              <w:t>供应商的承诺或说明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7" w:type="dxa"/>
            <w:vAlign w:val="center"/>
          </w:tcPr>
          <w:p>
            <w:pPr>
              <w:keepNext w:val="0"/>
              <w:keepLines w:val="0"/>
              <w:suppressLineNumbers w:val="0"/>
              <w:spacing w:before="0" w:beforeAutospacing="0" w:after="0" w:afterAutospacing="0"/>
              <w:ind w:left="0" w:right="0"/>
              <w:jc w:val="center"/>
              <w:rPr>
                <w:rFonts w:hint="default" w:ascii="仿宋" w:hAnsi="仿宋" w:eastAsia="仿宋" w:cs="仿宋"/>
                <w:color w:val="auto"/>
                <w:kern w:val="0"/>
                <w:sz w:val="24"/>
                <w:highlight w:val="none"/>
              </w:rPr>
            </w:pPr>
            <w:r>
              <w:rPr>
                <w:rFonts w:hint="eastAsia" w:ascii="仿宋" w:hAnsi="仿宋" w:eastAsia="仿宋" w:cs="仿宋"/>
                <w:color w:val="auto"/>
                <w:kern w:val="0"/>
                <w:sz w:val="24"/>
                <w:highlight w:val="none"/>
              </w:rPr>
              <w:t>服务期</w:t>
            </w:r>
          </w:p>
        </w:tc>
        <w:tc>
          <w:tcPr>
            <w:tcW w:w="2120" w:type="dxa"/>
            <w:vAlign w:val="center"/>
          </w:tcPr>
          <w:p>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kern w:val="0"/>
                <w:sz w:val="24"/>
                <w:highlight w:val="none"/>
              </w:rPr>
            </w:pPr>
          </w:p>
        </w:tc>
        <w:tc>
          <w:tcPr>
            <w:tcW w:w="1843" w:type="dxa"/>
            <w:vAlign w:val="center"/>
          </w:tcPr>
          <w:p>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kern w:val="0"/>
                <w:sz w:val="24"/>
                <w:highlight w:val="none"/>
              </w:rPr>
            </w:pPr>
          </w:p>
        </w:tc>
        <w:tc>
          <w:tcPr>
            <w:tcW w:w="2801" w:type="dxa"/>
            <w:vAlign w:val="center"/>
          </w:tcPr>
          <w:p>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7" w:type="dxa"/>
            <w:vAlign w:val="center"/>
          </w:tcPr>
          <w:p>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kern w:val="0"/>
                <w:sz w:val="24"/>
                <w:highlight w:val="none"/>
                <w:lang w:val="en-US" w:eastAsia="zh-CN"/>
              </w:rPr>
            </w:pPr>
            <w:r>
              <w:rPr>
                <w:rFonts w:hint="eastAsia" w:ascii="仿宋" w:hAnsi="仿宋" w:eastAsia="仿宋" w:cs="仿宋"/>
                <w:color w:val="auto"/>
                <w:kern w:val="0"/>
                <w:sz w:val="24"/>
                <w:highlight w:val="none"/>
                <w:lang w:val="en-US" w:eastAsia="zh-CN"/>
              </w:rPr>
              <w:t>服务地点</w:t>
            </w:r>
          </w:p>
        </w:tc>
        <w:tc>
          <w:tcPr>
            <w:tcW w:w="2120" w:type="dxa"/>
            <w:vAlign w:val="center"/>
          </w:tcPr>
          <w:p>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kern w:val="0"/>
                <w:sz w:val="24"/>
                <w:highlight w:val="none"/>
              </w:rPr>
            </w:pPr>
          </w:p>
        </w:tc>
        <w:tc>
          <w:tcPr>
            <w:tcW w:w="1843" w:type="dxa"/>
            <w:vAlign w:val="center"/>
          </w:tcPr>
          <w:p>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kern w:val="0"/>
                <w:sz w:val="24"/>
                <w:highlight w:val="none"/>
              </w:rPr>
            </w:pPr>
          </w:p>
        </w:tc>
        <w:tc>
          <w:tcPr>
            <w:tcW w:w="2801" w:type="dxa"/>
            <w:vAlign w:val="center"/>
          </w:tcPr>
          <w:p>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7" w:type="dxa"/>
            <w:vAlign w:val="center"/>
          </w:tcPr>
          <w:p>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kern w:val="0"/>
                <w:sz w:val="24"/>
                <w:highlight w:val="none"/>
              </w:rPr>
            </w:pPr>
            <w:r>
              <w:rPr>
                <w:rFonts w:hint="eastAsia" w:ascii="仿宋" w:hAnsi="仿宋" w:eastAsia="仿宋" w:cs="仿宋"/>
                <w:color w:val="auto"/>
                <w:kern w:val="0"/>
                <w:sz w:val="24"/>
                <w:highlight w:val="none"/>
              </w:rPr>
              <w:t>付款方式</w:t>
            </w:r>
          </w:p>
        </w:tc>
        <w:tc>
          <w:tcPr>
            <w:tcW w:w="2120" w:type="dxa"/>
            <w:vAlign w:val="center"/>
          </w:tcPr>
          <w:p>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kern w:val="0"/>
                <w:sz w:val="24"/>
                <w:highlight w:val="none"/>
              </w:rPr>
            </w:pPr>
          </w:p>
        </w:tc>
        <w:tc>
          <w:tcPr>
            <w:tcW w:w="1843" w:type="dxa"/>
            <w:vAlign w:val="center"/>
          </w:tcPr>
          <w:p>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kern w:val="0"/>
                <w:sz w:val="24"/>
                <w:highlight w:val="none"/>
              </w:rPr>
            </w:pPr>
          </w:p>
        </w:tc>
        <w:tc>
          <w:tcPr>
            <w:tcW w:w="2801" w:type="dxa"/>
            <w:vAlign w:val="center"/>
          </w:tcPr>
          <w:p>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7" w:type="dxa"/>
            <w:vAlign w:val="center"/>
          </w:tcPr>
          <w:p>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sz w:val="24"/>
                <w:highlight w:val="none"/>
              </w:rPr>
            </w:pPr>
          </w:p>
        </w:tc>
        <w:tc>
          <w:tcPr>
            <w:tcW w:w="2120" w:type="dxa"/>
            <w:vAlign w:val="center"/>
          </w:tcPr>
          <w:p>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kern w:val="0"/>
                <w:sz w:val="24"/>
                <w:highlight w:val="none"/>
              </w:rPr>
            </w:pPr>
          </w:p>
        </w:tc>
        <w:tc>
          <w:tcPr>
            <w:tcW w:w="1843" w:type="dxa"/>
            <w:vAlign w:val="center"/>
          </w:tcPr>
          <w:p>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kern w:val="0"/>
                <w:sz w:val="24"/>
                <w:highlight w:val="none"/>
              </w:rPr>
            </w:pPr>
          </w:p>
        </w:tc>
        <w:tc>
          <w:tcPr>
            <w:tcW w:w="2801" w:type="dxa"/>
            <w:vAlign w:val="center"/>
          </w:tcPr>
          <w:p>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7" w:type="dxa"/>
            <w:vAlign w:val="center"/>
          </w:tcPr>
          <w:p>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sz w:val="24"/>
                <w:highlight w:val="none"/>
              </w:rPr>
            </w:pPr>
          </w:p>
        </w:tc>
        <w:tc>
          <w:tcPr>
            <w:tcW w:w="2120" w:type="dxa"/>
            <w:vAlign w:val="center"/>
          </w:tcPr>
          <w:p>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kern w:val="0"/>
                <w:sz w:val="24"/>
                <w:highlight w:val="none"/>
              </w:rPr>
            </w:pPr>
          </w:p>
        </w:tc>
        <w:tc>
          <w:tcPr>
            <w:tcW w:w="1843" w:type="dxa"/>
            <w:vAlign w:val="center"/>
          </w:tcPr>
          <w:p>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kern w:val="0"/>
                <w:sz w:val="24"/>
                <w:highlight w:val="none"/>
              </w:rPr>
            </w:pPr>
          </w:p>
        </w:tc>
        <w:tc>
          <w:tcPr>
            <w:tcW w:w="2801" w:type="dxa"/>
            <w:vAlign w:val="center"/>
          </w:tcPr>
          <w:p>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kern w:val="0"/>
                <w:sz w:val="24"/>
                <w:highlight w:val="none"/>
              </w:rPr>
            </w:pPr>
          </w:p>
        </w:tc>
      </w:tr>
    </w:tbl>
    <w:p>
      <w:pPr>
        <w:spacing w:line="460" w:lineRule="exact"/>
        <w:jc w:val="left"/>
        <w:rPr>
          <w:rFonts w:ascii="仿宋" w:hAnsi="仿宋" w:eastAsia="仿宋" w:cs="仿宋"/>
          <w:color w:val="auto"/>
          <w:kern w:val="0"/>
          <w:sz w:val="24"/>
          <w:highlight w:val="none"/>
        </w:rPr>
      </w:pPr>
    </w:p>
    <w:p>
      <w:pPr>
        <w:spacing w:line="460" w:lineRule="exact"/>
        <w:jc w:val="left"/>
        <w:rPr>
          <w:rFonts w:ascii="仿宋" w:hAnsi="仿宋" w:eastAsia="仿宋" w:cs="仿宋"/>
          <w:color w:val="auto"/>
          <w:sz w:val="24"/>
          <w:highlight w:val="none"/>
        </w:rPr>
      </w:pPr>
      <w:r>
        <w:rPr>
          <w:rFonts w:hint="eastAsia" w:ascii="仿宋" w:hAnsi="仿宋" w:eastAsia="仿宋" w:cs="仿宋"/>
          <w:color w:val="auto"/>
          <w:sz w:val="24"/>
          <w:highlight w:val="none"/>
        </w:rPr>
        <w:t>法定代表人或其授权代理人签名或盖章：</w:t>
      </w:r>
    </w:p>
    <w:p>
      <w:pPr>
        <w:spacing w:line="460" w:lineRule="exact"/>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日期： 年 月 日</w:t>
      </w:r>
    </w:p>
    <w:p>
      <w:pPr>
        <w:rPr>
          <w:rFonts w:ascii="仿宋" w:hAnsi="仿宋" w:eastAsia="仿宋" w:cs="仿宋"/>
          <w:b/>
          <w:color w:val="auto"/>
          <w:sz w:val="24"/>
          <w:highlight w:val="none"/>
        </w:rPr>
      </w:pPr>
    </w:p>
    <w:p>
      <w:pPr>
        <w:snapToGrid w:val="0"/>
        <w:spacing w:before="50" w:after="156" w:afterLines="50"/>
        <w:jc w:val="left"/>
        <w:rPr>
          <w:rFonts w:ascii="仿宋" w:hAnsi="仿宋" w:eastAsia="仿宋" w:cs="仿宋"/>
          <w:b/>
          <w:color w:val="auto"/>
          <w:sz w:val="24"/>
          <w:highlight w:val="none"/>
        </w:rPr>
      </w:pPr>
    </w:p>
    <w:p>
      <w:pPr>
        <w:snapToGrid w:val="0"/>
        <w:spacing w:before="50" w:after="156" w:afterLines="50"/>
        <w:jc w:val="left"/>
        <w:rPr>
          <w:rFonts w:ascii="仿宋" w:hAnsi="仿宋" w:eastAsia="仿宋" w:cs="仿宋"/>
          <w:b/>
          <w:color w:val="auto"/>
          <w:sz w:val="24"/>
          <w:highlight w:val="none"/>
        </w:rPr>
      </w:pPr>
    </w:p>
    <w:p>
      <w:pPr>
        <w:snapToGrid w:val="0"/>
        <w:spacing w:before="50" w:after="156" w:afterLines="50"/>
        <w:jc w:val="left"/>
        <w:rPr>
          <w:rFonts w:ascii="仿宋" w:hAnsi="仿宋" w:eastAsia="仿宋" w:cs="仿宋"/>
          <w:b/>
          <w:color w:val="auto"/>
          <w:sz w:val="24"/>
          <w:highlight w:val="none"/>
        </w:rPr>
      </w:pPr>
    </w:p>
    <w:p>
      <w:pPr>
        <w:snapToGrid w:val="0"/>
        <w:spacing w:before="50" w:after="156" w:afterLines="50"/>
        <w:jc w:val="left"/>
        <w:rPr>
          <w:rFonts w:ascii="仿宋" w:hAnsi="仿宋" w:eastAsia="仿宋" w:cs="仿宋"/>
          <w:b/>
          <w:color w:val="auto"/>
          <w:sz w:val="24"/>
          <w:highlight w:val="none"/>
        </w:rPr>
      </w:pPr>
    </w:p>
    <w:p>
      <w:pPr>
        <w:snapToGrid w:val="0"/>
        <w:spacing w:before="50" w:after="156" w:afterLines="50"/>
        <w:jc w:val="left"/>
        <w:rPr>
          <w:rFonts w:ascii="仿宋" w:hAnsi="仿宋" w:eastAsia="仿宋" w:cs="仿宋"/>
          <w:b/>
          <w:color w:val="auto"/>
          <w:sz w:val="24"/>
          <w:highlight w:val="none"/>
        </w:rPr>
      </w:pPr>
    </w:p>
    <w:p>
      <w:pPr>
        <w:snapToGrid w:val="0"/>
        <w:spacing w:before="50" w:after="156" w:afterLines="50"/>
        <w:jc w:val="left"/>
        <w:rPr>
          <w:rFonts w:ascii="仿宋" w:hAnsi="仿宋" w:eastAsia="仿宋" w:cs="仿宋"/>
          <w:b/>
          <w:color w:val="auto"/>
          <w:sz w:val="24"/>
          <w:highlight w:val="none"/>
        </w:rPr>
      </w:pPr>
    </w:p>
    <w:p>
      <w:pPr>
        <w:snapToGrid w:val="0"/>
        <w:spacing w:before="50" w:after="156" w:afterLines="50"/>
        <w:jc w:val="left"/>
        <w:rPr>
          <w:rFonts w:ascii="仿宋" w:hAnsi="仿宋" w:eastAsia="仿宋" w:cs="仿宋"/>
          <w:b/>
          <w:color w:val="auto"/>
          <w:sz w:val="24"/>
          <w:highlight w:val="none"/>
        </w:rPr>
      </w:pPr>
    </w:p>
    <w:p>
      <w:pPr>
        <w:snapToGrid w:val="0"/>
        <w:spacing w:before="50" w:after="156" w:afterLines="50"/>
        <w:jc w:val="left"/>
        <w:rPr>
          <w:rFonts w:ascii="仿宋" w:hAnsi="仿宋" w:eastAsia="仿宋" w:cs="仿宋"/>
          <w:b/>
          <w:color w:val="auto"/>
          <w:sz w:val="24"/>
          <w:highlight w:val="none"/>
        </w:rPr>
      </w:pPr>
    </w:p>
    <w:p>
      <w:pPr>
        <w:snapToGrid w:val="0"/>
        <w:spacing w:before="50" w:after="156" w:afterLines="50"/>
        <w:jc w:val="left"/>
        <w:rPr>
          <w:rFonts w:ascii="仿宋" w:hAnsi="仿宋" w:eastAsia="仿宋" w:cs="仿宋"/>
          <w:b/>
          <w:color w:val="auto"/>
          <w:sz w:val="24"/>
          <w:highlight w:val="none"/>
        </w:rPr>
      </w:pPr>
    </w:p>
    <w:p>
      <w:pPr>
        <w:snapToGrid w:val="0"/>
        <w:spacing w:before="50" w:after="156" w:afterLines="50"/>
        <w:jc w:val="left"/>
        <w:rPr>
          <w:rFonts w:ascii="仿宋" w:hAnsi="仿宋" w:eastAsia="仿宋" w:cs="仿宋"/>
          <w:b/>
          <w:color w:val="auto"/>
          <w:sz w:val="24"/>
          <w:highlight w:val="none"/>
        </w:rPr>
      </w:pPr>
    </w:p>
    <w:p>
      <w:pPr>
        <w:snapToGrid w:val="0"/>
        <w:spacing w:before="50" w:after="156" w:afterLines="50"/>
        <w:jc w:val="left"/>
        <w:rPr>
          <w:rFonts w:ascii="仿宋" w:hAnsi="仿宋" w:eastAsia="仿宋" w:cs="仿宋"/>
          <w:b/>
          <w:color w:val="auto"/>
          <w:sz w:val="24"/>
          <w:highlight w:val="none"/>
        </w:rPr>
      </w:pPr>
    </w:p>
    <w:p>
      <w:pPr>
        <w:snapToGrid w:val="0"/>
        <w:spacing w:before="50" w:after="156" w:afterLines="50"/>
        <w:jc w:val="left"/>
        <w:rPr>
          <w:rFonts w:ascii="仿宋" w:hAnsi="仿宋" w:eastAsia="仿宋" w:cs="仿宋"/>
          <w:b/>
          <w:color w:val="auto"/>
          <w:sz w:val="24"/>
          <w:highlight w:val="none"/>
        </w:rPr>
      </w:pPr>
    </w:p>
    <w:p>
      <w:pPr>
        <w:snapToGrid w:val="0"/>
        <w:spacing w:before="50" w:after="156" w:afterLines="50"/>
        <w:jc w:val="left"/>
        <w:rPr>
          <w:rFonts w:ascii="仿宋" w:hAnsi="仿宋" w:eastAsia="仿宋" w:cs="仿宋"/>
          <w:b/>
          <w:color w:val="auto"/>
          <w:sz w:val="24"/>
          <w:highlight w:val="none"/>
        </w:rPr>
      </w:pPr>
    </w:p>
    <w:p>
      <w:pPr>
        <w:snapToGrid w:val="0"/>
        <w:spacing w:before="50" w:after="156" w:afterLines="50"/>
        <w:jc w:val="left"/>
        <w:rPr>
          <w:rFonts w:ascii="仿宋" w:hAnsi="仿宋" w:eastAsia="仿宋" w:cs="仿宋"/>
          <w:b/>
          <w:color w:val="auto"/>
          <w:sz w:val="24"/>
          <w:highlight w:val="none"/>
        </w:rPr>
      </w:pPr>
    </w:p>
    <w:p>
      <w:pPr>
        <w:snapToGrid w:val="0"/>
        <w:spacing w:before="50" w:after="156" w:afterLines="50"/>
        <w:jc w:val="left"/>
        <w:rPr>
          <w:rFonts w:ascii="仿宋" w:hAnsi="仿宋" w:eastAsia="仿宋" w:cs="仿宋"/>
          <w:b/>
          <w:color w:val="auto"/>
          <w:sz w:val="24"/>
          <w:highlight w:val="none"/>
        </w:rPr>
      </w:pPr>
    </w:p>
    <w:p>
      <w:pPr>
        <w:snapToGrid w:val="0"/>
        <w:spacing w:beforeLines="50" w:after="50" w:line="400" w:lineRule="exact"/>
        <w:jc w:val="center"/>
        <w:outlineLvl w:val="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企业业绩</w:t>
      </w:r>
    </w:p>
    <w:p>
      <w:pPr>
        <w:keepNext w:val="0"/>
        <w:keepLines w:val="0"/>
        <w:pageBreakBefore w:val="0"/>
        <w:widowControl w:val="0"/>
        <w:kinsoku/>
        <w:wordWrap/>
        <w:overflowPunct/>
        <w:topLinePunct w:val="0"/>
        <w:autoSpaceDE w:val="0"/>
        <w:autoSpaceDN w:val="0"/>
        <w:bidi w:val="0"/>
        <w:adjustRightInd w:val="0"/>
        <w:snapToGrid/>
        <w:spacing w:line="500" w:lineRule="exact"/>
        <w:textAlignment w:val="auto"/>
        <w:rPr>
          <w:rFonts w:hint="eastAsia" w:ascii="仿宋" w:hAnsi="仿宋" w:eastAsia="仿宋" w:cs="仿宋"/>
          <w:color w:val="auto"/>
          <w:sz w:val="24"/>
          <w:szCs w:val="24"/>
          <w:highlight w:val="none"/>
          <w:lang w:val="en-US" w:eastAsia="zh-CN" w:bidi="ar-SA"/>
        </w:rPr>
      </w:pPr>
      <w:r>
        <w:rPr>
          <w:rFonts w:hint="eastAsia" w:ascii="仿宋" w:hAnsi="仿宋" w:eastAsia="仿宋" w:cs="仿宋"/>
          <w:color w:val="auto"/>
          <w:sz w:val="24"/>
          <w:szCs w:val="24"/>
          <w:highlight w:val="none"/>
          <w:lang w:val="en-US" w:eastAsia="zh-CN" w:bidi="ar-SA"/>
        </w:rPr>
        <w:t xml:space="preserve">供应商全称（加盖公章）：  </w:t>
      </w:r>
    </w:p>
    <w:p>
      <w:pPr>
        <w:spacing w:line="460" w:lineRule="exact"/>
        <w:jc w:val="left"/>
        <w:rPr>
          <w:rFonts w:hint="eastAsia" w:ascii="仿宋" w:hAnsi="仿宋" w:eastAsia="仿宋" w:cs="仿宋"/>
          <w:color w:val="auto"/>
          <w:sz w:val="24"/>
          <w:szCs w:val="24"/>
          <w:highlight w:val="none"/>
          <w:lang w:val="en-US" w:eastAsia="zh-CN" w:bidi="ar-SA"/>
        </w:rPr>
      </w:pPr>
      <w:r>
        <w:rPr>
          <w:rFonts w:hint="eastAsia" w:ascii="仿宋" w:hAnsi="仿宋" w:eastAsia="仿宋" w:cs="仿宋"/>
          <w:color w:val="auto"/>
          <w:sz w:val="24"/>
          <w:highlight w:val="none"/>
        </w:rPr>
        <w:t>项目名称：</w:t>
      </w:r>
      <w:r>
        <w:rPr>
          <w:rFonts w:hint="eastAsia" w:ascii="仿宋" w:hAnsi="仿宋" w:eastAsia="仿宋" w:cs="宋体"/>
          <w:bCs/>
          <w:color w:val="auto"/>
          <w:sz w:val="24"/>
          <w:highlight w:val="none"/>
          <w:lang w:eastAsia="zh-CN"/>
        </w:rPr>
        <w:t>2024年度湖州人社核心应用软件系统运维保障服务采购项目（</w:t>
      </w:r>
      <w:r>
        <w:rPr>
          <w:rFonts w:hint="eastAsia" w:ascii="仿宋" w:hAnsi="仿宋" w:eastAsia="仿宋" w:cs="宋体"/>
          <w:bCs/>
          <w:color w:val="auto"/>
          <w:sz w:val="24"/>
          <w:highlight w:val="none"/>
          <w:lang w:val="en-US" w:eastAsia="zh-CN"/>
        </w:rPr>
        <w:t>标项二</w:t>
      </w:r>
      <w:r>
        <w:rPr>
          <w:rFonts w:hint="eastAsia" w:ascii="仿宋" w:hAnsi="仿宋" w:eastAsia="仿宋" w:cs="宋体"/>
          <w:bCs/>
          <w:color w:val="auto"/>
          <w:sz w:val="24"/>
          <w:highlight w:val="none"/>
          <w:lang w:eastAsia="zh-CN"/>
        </w:rPr>
        <w:t>）</w:t>
      </w:r>
    </w:p>
    <w:tbl>
      <w:tblPr>
        <w:tblStyle w:val="26"/>
        <w:tblW w:w="87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532"/>
        <w:gridCol w:w="1161"/>
        <w:gridCol w:w="1418"/>
        <w:gridCol w:w="1159"/>
        <w:gridCol w:w="1246"/>
        <w:gridCol w:w="12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1532"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项目名称</w:t>
            </w:r>
          </w:p>
        </w:tc>
        <w:tc>
          <w:tcPr>
            <w:tcW w:w="1161"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使用方</w:t>
            </w:r>
          </w:p>
        </w:tc>
        <w:tc>
          <w:tcPr>
            <w:tcW w:w="1418"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合同金额（元）</w:t>
            </w:r>
          </w:p>
        </w:tc>
        <w:tc>
          <w:tcPr>
            <w:tcW w:w="1159"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签订</w:t>
            </w:r>
          </w:p>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时间</w:t>
            </w:r>
          </w:p>
        </w:tc>
        <w:tc>
          <w:tcPr>
            <w:tcW w:w="1246"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使用方联系人</w:t>
            </w:r>
          </w:p>
        </w:tc>
        <w:tc>
          <w:tcPr>
            <w:tcW w:w="1246"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联系</w:t>
            </w:r>
          </w:p>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532"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161"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418"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159"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246"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246"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532"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161"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418"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159"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246"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246"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532"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161"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418"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159"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246"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246"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532"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161"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418"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159"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246"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246"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532"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161"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418"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159"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246"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246"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532"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161"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418"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159"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246"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246"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532"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161"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418"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159"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246"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246"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532"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161"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418"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159"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246"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246"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r>
    </w:tbl>
    <w:p>
      <w:pPr>
        <w:snapToGrid w:val="0"/>
        <w:spacing w:beforeLines="50" w:after="50"/>
        <w:jc w:val="left"/>
        <w:rPr>
          <w:rFonts w:hint="eastAsia" w:ascii="仿宋" w:hAnsi="仿宋" w:eastAsia="仿宋" w:cs="仿宋"/>
          <w:b/>
          <w:color w:val="auto"/>
          <w:sz w:val="24"/>
          <w:highlight w:val="none"/>
          <w:lang w:eastAsia="zh-CN"/>
        </w:rPr>
      </w:pPr>
      <w:r>
        <w:rPr>
          <w:rFonts w:hint="eastAsia" w:ascii="仿宋" w:hAnsi="仿宋" w:eastAsia="仿宋" w:cs="仿宋"/>
          <w:b/>
          <w:color w:val="auto"/>
          <w:sz w:val="24"/>
          <w:highlight w:val="none"/>
          <w:lang w:val="en-US" w:eastAsia="zh-CN"/>
        </w:rPr>
        <w:t>注：</w:t>
      </w:r>
      <w:r>
        <w:rPr>
          <w:rFonts w:hint="eastAsia" w:ascii="仿宋" w:hAnsi="仿宋" w:eastAsia="仿宋" w:cs="仿宋"/>
          <w:b/>
          <w:color w:val="auto"/>
          <w:sz w:val="24"/>
          <w:highlight w:val="none"/>
        </w:rPr>
        <w:t>此表仅提供了表格形式，</w:t>
      </w:r>
      <w:r>
        <w:rPr>
          <w:rFonts w:hint="eastAsia" w:ascii="仿宋" w:hAnsi="仿宋" w:eastAsia="仿宋" w:cs="仿宋"/>
          <w:b/>
          <w:color w:val="auto"/>
          <w:sz w:val="24"/>
          <w:highlight w:val="none"/>
          <w:lang w:val="en-US" w:eastAsia="zh-CN"/>
        </w:rPr>
        <w:t>供应商</w:t>
      </w:r>
      <w:r>
        <w:rPr>
          <w:rFonts w:hint="eastAsia" w:ascii="仿宋" w:hAnsi="仿宋" w:eastAsia="仿宋" w:cs="仿宋"/>
          <w:b/>
          <w:color w:val="auto"/>
          <w:sz w:val="24"/>
          <w:highlight w:val="none"/>
        </w:rPr>
        <w:t>应根据需要准备足够数量的表格来填写</w:t>
      </w:r>
      <w:r>
        <w:rPr>
          <w:rFonts w:hint="eastAsia" w:ascii="仿宋" w:hAnsi="仿宋" w:eastAsia="仿宋" w:cs="仿宋"/>
          <w:b/>
          <w:color w:val="auto"/>
          <w:sz w:val="24"/>
          <w:highlight w:val="none"/>
          <w:lang w:eastAsia="zh-CN"/>
        </w:rPr>
        <w:t>。</w:t>
      </w:r>
    </w:p>
    <w:p>
      <w:pPr>
        <w:snapToGrid w:val="0"/>
        <w:spacing w:beforeLines="50" w:after="50"/>
        <w:jc w:val="left"/>
        <w:rPr>
          <w:rFonts w:hint="eastAsia" w:ascii="仿宋" w:hAnsi="仿宋" w:eastAsia="仿宋" w:cs="仿宋"/>
          <w:b/>
          <w:color w:val="auto"/>
          <w:sz w:val="24"/>
          <w:highlight w:val="none"/>
        </w:rPr>
      </w:pPr>
    </w:p>
    <w:p>
      <w:pPr>
        <w:snapToGrid w:val="0"/>
        <w:spacing w:beforeLines="50" w:after="50"/>
        <w:jc w:val="left"/>
        <w:rPr>
          <w:rFonts w:hint="eastAsia" w:ascii="仿宋" w:hAnsi="仿宋" w:eastAsia="仿宋" w:cs="仿宋"/>
          <w:b/>
          <w:color w:val="auto"/>
          <w:sz w:val="24"/>
          <w:highlight w:val="none"/>
        </w:rPr>
      </w:pPr>
    </w:p>
    <w:p>
      <w:pPr>
        <w:snapToGrid w:val="0"/>
        <w:spacing w:beforeLines="50" w:after="5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法定代表人或其授权代理人签</w:t>
      </w:r>
      <w:r>
        <w:rPr>
          <w:rFonts w:hint="eastAsia" w:ascii="仿宋" w:hAnsi="仿宋" w:eastAsia="仿宋" w:cs="仿宋"/>
          <w:color w:val="auto"/>
          <w:sz w:val="24"/>
          <w:highlight w:val="none"/>
          <w:lang w:eastAsia="zh-CN"/>
        </w:rPr>
        <w:t>字</w:t>
      </w:r>
      <w:r>
        <w:rPr>
          <w:rFonts w:hint="eastAsia" w:ascii="仿宋" w:hAnsi="仿宋" w:eastAsia="仿宋" w:cs="仿宋"/>
          <w:color w:val="auto"/>
          <w:sz w:val="24"/>
          <w:highlight w:val="none"/>
        </w:rPr>
        <w:t>或盖章：</w:t>
      </w:r>
    </w:p>
    <w:p>
      <w:pPr>
        <w:snapToGrid w:val="0"/>
        <w:spacing w:beforeLines="50" w:after="50"/>
        <w:jc w:val="left"/>
        <w:rPr>
          <w:rFonts w:hint="eastAsia" w:ascii="仿宋" w:hAnsi="仿宋" w:eastAsia="仿宋" w:cs="仿宋"/>
          <w:color w:val="auto"/>
          <w:sz w:val="24"/>
          <w:highlight w:val="none"/>
        </w:rPr>
      </w:pPr>
    </w:p>
    <w:p>
      <w:pPr>
        <w:snapToGrid w:val="0"/>
        <w:spacing w:beforeLines="50" w:after="5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日期： 年 月 日</w:t>
      </w:r>
    </w:p>
    <w:p>
      <w:pPr>
        <w:snapToGrid w:val="0"/>
        <w:spacing w:before="50" w:after="156" w:afterLines="50"/>
        <w:jc w:val="left"/>
        <w:rPr>
          <w:rFonts w:ascii="仿宋" w:hAnsi="仿宋" w:eastAsia="仿宋" w:cs="仿宋"/>
          <w:b/>
          <w:color w:val="auto"/>
          <w:sz w:val="24"/>
          <w:highlight w:val="none"/>
        </w:rPr>
      </w:pPr>
      <w:r>
        <w:rPr>
          <w:rFonts w:hint="eastAsia" w:ascii="仿宋" w:hAnsi="仿宋" w:eastAsia="仿宋" w:cs="仿宋"/>
          <w:b/>
          <w:bCs/>
          <w:color w:val="auto"/>
          <w:sz w:val="32"/>
          <w:szCs w:val="32"/>
          <w:highlight w:val="none"/>
        </w:rPr>
        <w:br w:type="page"/>
      </w:r>
    </w:p>
    <w:p>
      <w:pPr>
        <w:snapToGrid w:val="0"/>
        <w:spacing w:before="156" w:beforeLines="50"/>
        <w:jc w:val="center"/>
        <w:outlineLvl w:val="1"/>
        <w:rPr>
          <w:rFonts w:ascii="仿宋" w:hAnsi="仿宋" w:eastAsia="仿宋" w:cs="仿宋"/>
          <w:b/>
          <w:bCs/>
          <w:color w:val="auto"/>
          <w:spacing w:val="24"/>
          <w:sz w:val="28"/>
          <w:szCs w:val="28"/>
          <w:highlight w:val="none"/>
        </w:rPr>
      </w:pPr>
      <w:r>
        <w:rPr>
          <w:rFonts w:hint="eastAsia" w:ascii="仿宋" w:hAnsi="仿宋" w:eastAsia="仿宋" w:cs="仿宋"/>
          <w:b/>
          <w:bCs/>
          <w:color w:val="auto"/>
          <w:spacing w:val="24"/>
          <w:sz w:val="28"/>
          <w:szCs w:val="28"/>
          <w:highlight w:val="none"/>
        </w:rPr>
        <w:t>法定代表人有效身份证明书</w:t>
      </w:r>
    </w:p>
    <w:p>
      <w:pPr>
        <w:pStyle w:val="7"/>
        <w:spacing w:line="360" w:lineRule="auto"/>
        <w:ind w:firstLine="513" w:firstLineChars="156"/>
        <w:jc w:val="center"/>
        <w:rPr>
          <w:rFonts w:ascii="仿宋" w:hAnsi="仿宋" w:eastAsia="仿宋" w:cs="仿宋"/>
          <w:b/>
          <w:bCs/>
          <w:color w:val="auto"/>
          <w:spacing w:val="24"/>
          <w:sz w:val="28"/>
          <w:szCs w:val="28"/>
          <w:highlight w:val="none"/>
        </w:rPr>
      </w:pPr>
    </w:p>
    <w:p>
      <w:pPr>
        <w:pStyle w:val="7"/>
        <w:spacing w:line="480" w:lineRule="auto"/>
        <w:ind w:firstLine="840" w:firstLineChars="35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（姓名）</w:t>
      </w:r>
      <w:r>
        <w:rPr>
          <w:rFonts w:hint="eastAsia" w:ascii="仿宋" w:hAnsi="仿宋" w:eastAsia="仿宋" w:cs="仿宋"/>
          <w:color w:val="auto"/>
          <w:sz w:val="24"/>
          <w:szCs w:val="24"/>
          <w:highlight w:val="none"/>
        </w:rPr>
        <w:t>是</w:t>
      </w:r>
      <w:r>
        <w:rPr>
          <w:rFonts w:hint="eastAsia" w:ascii="仿宋" w:hAnsi="仿宋" w:eastAsia="仿宋" w:cs="仿宋"/>
          <w:color w:val="auto"/>
          <w:sz w:val="24"/>
          <w:szCs w:val="24"/>
          <w:highlight w:val="none"/>
          <w:u w:val="single"/>
        </w:rPr>
        <w:t>（单位全称）</w:t>
      </w:r>
      <w:r>
        <w:rPr>
          <w:rFonts w:hint="eastAsia" w:ascii="仿宋" w:hAnsi="仿宋" w:eastAsia="仿宋" w:cs="仿宋"/>
          <w:color w:val="auto"/>
          <w:sz w:val="24"/>
          <w:szCs w:val="24"/>
          <w:highlight w:val="none"/>
        </w:rPr>
        <w:t>的法定代表人，身份证号码为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pPr>
        <w:pStyle w:val="7"/>
        <w:spacing w:line="480" w:lineRule="auto"/>
        <w:ind w:firstLine="374" w:firstLineChars="156"/>
        <w:rPr>
          <w:rFonts w:ascii="仿宋" w:hAnsi="仿宋" w:eastAsia="仿宋" w:cs="仿宋"/>
          <w:color w:val="auto"/>
          <w:sz w:val="24"/>
          <w:szCs w:val="24"/>
          <w:highlight w:val="none"/>
        </w:rPr>
      </w:pPr>
    </w:p>
    <w:p>
      <w:pPr>
        <w:pStyle w:val="7"/>
        <w:spacing w:line="480" w:lineRule="auto"/>
        <w:ind w:firstLine="374" w:firstLineChars="156"/>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特此证明</w:t>
      </w:r>
    </w:p>
    <w:p>
      <w:pPr>
        <w:pStyle w:val="7"/>
        <w:spacing w:line="480" w:lineRule="auto"/>
        <w:ind w:firstLine="0"/>
        <w:rPr>
          <w:rFonts w:ascii="仿宋" w:hAnsi="仿宋" w:eastAsia="仿宋" w:cs="仿宋"/>
          <w:color w:val="auto"/>
          <w:sz w:val="24"/>
          <w:szCs w:val="24"/>
          <w:highlight w:val="none"/>
        </w:rPr>
      </w:pPr>
    </w:p>
    <w:p>
      <w:pPr>
        <w:pStyle w:val="7"/>
        <w:spacing w:line="480" w:lineRule="auto"/>
        <w:ind w:firstLine="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供应商：（盖章）                  </w:t>
      </w:r>
    </w:p>
    <w:p>
      <w:pPr>
        <w:pStyle w:val="7"/>
        <w:spacing w:line="480" w:lineRule="auto"/>
        <w:ind w:firstLine="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法定代表人或其授权代理人（签名或盖章）</w:t>
      </w:r>
    </w:p>
    <w:p>
      <w:pPr>
        <w:pStyle w:val="7"/>
        <w:spacing w:line="480" w:lineRule="auto"/>
        <w:ind w:firstLine="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p>
      <w:pPr>
        <w:pStyle w:val="7"/>
        <w:spacing w:line="480" w:lineRule="auto"/>
        <w:ind w:firstLine="0"/>
        <w:rPr>
          <w:rFonts w:ascii="仿宋" w:hAnsi="仿宋" w:eastAsia="仿宋" w:cs="仿宋"/>
          <w:color w:val="auto"/>
          <w:sz w:val="24"/>
          <w:szCs w:val="24"/>
          <w:highlight w:val="none"/>
        </w:rPr>
      </w:pPr>
    </w:p>
    <w:p>
      <w:pPr>
        <w:pStyle w:val="7"/>
        <w:spacing w:line="480" w:lineRule="auto"/>
        <w:ind w:firstLine="0"/>
        <w:rPr>
          <w:rFonts w:ascii="仿宋" w:hAnsi="仿宋" w:eastAsia="仿宋" w:cs="仿宋"/>
          <w:color w:val="auto"/>
          <w:sz w:val="24"/>
          <w:szCs w:val="24"/>
          <w:highlight w:val="none"/>
        </w:rPr>
      </w:pPr>
    </w:p>
    <w:p>
      <w:pPr>
        <w:pStyle w:val="7"/>
        <w:pBdr>
          <w:bottom w:val="single" w:color="auto" w:sz="6" w:space="1"/>
        </w:pBdr>
        <w:spacing w:line="480" w:lineRule="auto"/>
        <w:ind w:firstLine="0"/>
        <w:rPr>
          <w:rFonts w:ascii="仿宋" w:hAnsi="仿宋" w:eastAsia="仿宋" w:cs="仿宋"/>
          <w:color w:val="auto"/>
          <w:sz w:val="24"/>
          <w:szCs w:val="24"/>
          <w:highlight w:val="none"/>
        </w:rPr>
      </w:pPr>
    </w:p>
    <w:p>
      <w:pPr>
        <w:pStyle w:val="7"/>
        <w:spacing w:line="480" w:lineRule="auto"/>
        <w:ind w:firstLine="0"/>
        <w:rPr>
          <w:rFonts w:ascii="仿宋" w:hAnsi="仿宋" w:eastAsia="仿宋" w:cs="仿宋"/>
          <w:color w:val="auto"/>
          <w:sz w:val="24"/>
          <w:szCs w:val="24"/>
          <w:highlight w:val="none"/>
        </w:rPr>
      </w:pPr>
    </w:p>
    <w:p>
      <w:pPr>
        <w:pStyle w:val="7"/>
        <w:spacing w:line="480" w:lineRule="auto"/>
        <w:ind w:firstLine="0"/>
        <w:rPr>
          <w:rFonts w:ascii="仿宋" w:hAnsi="仿宋" w:eastAsia="仿宋" w:cs="仿宋"/>
          <w:color w:val="auto"/>
          <w:sz w:val="24"/>
          <w:szCs w:val="24"/>
          <w:highlight w:val="none"/>
        </w:rPr>
      </w:pPr>
    </w:p>
    <w:p>
      <w:pPr>
        <w:pStyle w:val="7"/>
        <w:spacing w:line="480" w:lineRule="auto"/>
        <w:ind w:firstLine="0"/>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有效身份证明复印件粘贴处</w:t>
      </w:r>
    </w:p>
    <w:p>
      <w:pPr>
        <w:pStyle w:val="7"/>
        <w:spacing w:line="360" w:lineRule="auto"/>
        <w:ind w:firstLine="545" w:firstLineChars="156"/>
        <w:jc w:val="center"/>
        <w:rPr>
          <w:rFonts w:ascii="仿宋" w:hAnsi="仿宋" w:eastAsia="仿宋" w:cs="仿宋"/>
          <w:b/>
          <w:bCs/>
          <w:color w:val="auto"/>
          <w:spacing w:val="24"/>
          <w:sz w:val="30"/>
          <w:highlight w:val="none"/>
        </w:rPr>
      </w:pPr>
    </w:p>
    <w:p>
      <w:pPr>
        <w:pStyle w:val="7"/>
        <w:spacing w:line="360" w:lineRule="auto"/>
        <w:ind w:firstLine="0"/>
        <w:jc w:val="center"/>
        <w:rPr>
          <w:rFonts w:ascii="仿宋" w:hAnsi="仿宋" w:eastAsia="仿宋" w:cs="仿宋"/>
          <w:b/>
          <w:bCs/>
          <w:color w:val="auto"/>
          <w:spacing w:val="24"/>
          <w:sz w:val="30"/>
          <w:highlight w:val="none"/>
        </w:rPr>
      </w:pPr>
    </w:p>
    <w:p>
      <w:pPr>
        <w:pStyle w:val="7"/>
        <w:spacing w:line="360" w:lineRule="auto"/>
        <w:ind w:firstLine="0"/>
        <w:jc w:val="center"/>
        <w:rPr>
          <w:rFonts w:ascii="仿宋" w:hAnsi="仿宋" w:eastAsia="仿宋" w:cs="仿宋"/>
          <w:b/>
          <w:bCs/>
          <w:color w:val="auto"/>
          <w:spacing w:val="24"/>
          <w:sz w:val="30"/>
          <w:highlight w:val="none"/>
        </w:rPr>
      </w:pPr>
    </w:p>
    <w:p>
      <w:pPr>
        <w:pStyle w:val="7"/>
        <w:spacing w:line="360" w:lineRule="auto"/>
        <w:ind w:firstLine="0"/>
        <w:jc w:val="center"/>
        <w:rPr>
          <w:rFonts w:ascii="仿宋" w:hAnsi="仿宋" w:eastAsia="仿宋" w:cs="仿宋"/>
          <w:b/>
          <w:bCs/>
          <w:color w:val="auto"/>
          <w:spacing w:val="24"/>
          <w:sz w:val="30"/>
          <w:highlight w:val="none"/>
        </w:rPr>
      </w:pPr>
    </w:p>
    <w:p>
      <w:pPr>
        <w:pStyle w:val="7"/>
        <w:spacing w:line="360" w:lineRule="auto"/>
        <w:ind w:firstLine="0"/>
        <w:jc w:val="center"/>
        <w:rPr>
          <w:rFonts w:ascii="仿宋" w:hAnsi="仿宋" w:eastAsia="仿宋" w:cs="仿宋"/>
          <w:b/>
          <w:bCs/>
          <w:color w:val="auto"/>
          <w:spacing w:val="24"/>
          <w:sz w:val="30"/>
          <w:highlight w:val="none"/>
        </w:rPr>
      </w:pPr>
    </w:p>
    <w:p>
      <w:pPr>
        <w:pStyle w:val="7"/>
        <w:spacing w:line="360" w:lineRule="auto"/>
        <w:ind w:firstLine="0"/>
        <w:jc w:val="center"/>
        <w:rPr>
          <w:rFonts w:ascii="仿宋" w:hAnsi="仿宋" w:eastAsia="仿宋" w:cs="仿宋"/>
          <w:b/>
          <w:bCs/>
          <w:color w:val="auto"/>
          <w:spacing w:val="24"/>
          <w:sz w:val="28"/>
          <w:szCs w:val="28"/>
          <w:highlight w:val="none"/>
        </w:rPr>
      </w:pPr>
    </w:p>
    <w:p>
      <w:pPr>
        <w:rPr>
          <w:rFonts w:ascii="仿宋" w:hAnsi="仿宋" w:eastAsia="仿宋" w:cs="仿宋"/>
          <w:b/>
          <w:bCs/>
          <w:color w:val="auto"/>
          <w:spacing w:val="24"/>
          <w:sz w:val="28"/>
          <w:szCs w:val="28"/>
          <w:highlight w:val="none"/>
        </w:rPr>
      </w:pPr>
      <w:r>
        <w:rPr>
          <w:rFonts w:hint="eastAsia" w:ascii="仿宋" w:hAnsi="仿宋" w:eastAsia="仿宋" w:cs="仿宋"/>
          <w:b/>
          <w:bCs/>
          <w:color w:val="auto"/>
          <w:spacing w:val="24"/>
          <w:sz w:val="28"/>
          <w:szCs w:val="28"/>
          <w:highlight w:val="none"/>
        </w:rPr>
        <w:br w:type="page"/>
      </w:r>
    </w:p>
    <w:p>
      <w:pPr>
        <w:pStyle w:val="7"/>
        <w:spacing w:line="360" w:lineRule="auto"/>
        <w:ind w:firstLine="0"/>
        <w:jc w:val="center"/>
        <w:outlineLvl w:val="1"/>
        <w:rPr>
          <w:rFonts w:ascii="仿宋" w:hAnsi="仿宋" w:eastAsia="仿宋" w:cs="仿宋"/>
          <w:b/>
          <w:bCs/>
          <w:color w:val="auto"/>
          <w:spacing w:val="24"/>
          <w:sz w:val="28"/>
          <w:szCs w:val="28"/>
          <w:highlight w:val="none"/>
        </w:rPr>
      </w:pPr>
      <w:r>
        <w:rPr>
          <w:rFonts w:hint="eastAsia" w:ascii="仿宋" w:hAnsi="仿宋" w:eastAsia="仿宋" w:cs="仿宋"/>
          <w:b/>
          <w:bCs/>
          <w:color w:val="auto"/>
          <w:spacing w:val="24"/>
          <w:sz w:val="28"/>
          <w:szCs w:val="28"/>
          <w:highlight w:val="none"/>
        </w:rPr>
        <w:t>法定代表人授权委托书</w:t>
      </w:r>
    </w:p>
    <w:p>
      <w:pPr>
        <w:spacing w:line="360" w:lineRule="auto"/>
        <w:ind w:firstLine="600" w:firstLineChars="200"/>
        <w:rPr>
          <w:rFonts w:ascii="仿宋" w:hAnsi="仿宋" w:eastAsia="仿宋" w:cs="仿宋"/>
          <w:color w:val="auto"/>
          <w:sz w:val="30"/>
          <w:highlight w:val="none"/>
        </w:rPr>
      </w:pPr>
    </w:p>
    <w:p>
      <w:pPr>
        <w:spacing w:line="48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本授权委托书声明，我</w:t>
      </w:r>
      <w:r>
        <w:rPr>
          <w:rFonts w:hint="eastAsia" w:ascii="仿宋" w:hAnsi="仿宋" w:eastAsia="仿宋" w:cs="仿宋"/>
          <w:color w:val="auto"/>
          <w:sz w:val="24"/>
          <w:highlight w:val="none"/>
          <w:u w:val="single"/>
        </w:rPr>
        <w:t>（姓名）</w:t>
      </w:r>
      <w:r>
        <w:rPr>
          <w:rFonts w:hint="eastAsia" w:ascii="仿宋" w:hAnsi="仿宋" w:eastAsia="仿宋" w:cs="仿宋"/>
          <w:color w:val="auto"/>
          <w:sz w:val="24"/>
          <w:highlight w:val="none"/>
        </w:rPr>
        <w:t>系</w:t>
      </w:r>
      <w:r>
        <w:rPr>
          <w:rFonts w:hint="eastAsia" w:ascii="仿宋" w:hAnsi="仿宋" w:eastAsia="仿宋" w:cs="仿宋"/>
          <w:color w:val="auto"/>
          <w:sz w:val="24"/>
          <w:highlight w:val="none"/>
          <w:u w:val="single"/>
        </w:rPr>
        <w:t>（供应商名称）</w:t>
      </w:r>
      <w:r>
        <w:rPr>
          <w:rFonts w:hint="eastAsia" w:ascii="仿宋" w:hAnsi="仿宋" w:eastAsia="仿宋" w:cs="仿宋"/>
          <w:color w:val="auto"/>
          <w:sz w:val="24"/>
          <w:highlight w:val="none"/>
        </w:rPr>
        <w:t>的法定代表人，现授权委托</w:t>
      </w:r>
      <w:r>
        <w:rPr>
          <w:rFonts w:hint="eastAsia" w:ascii="仿宋" w:hAnsi="仿宋" w:eastAsia="仿宋" w:cs="仿宋"/>
          <w:color w:val="auto"/>
          <w:sz w:val="24"/>
          <w:highlight w:val="none"/>
          <w:u w:val="single"/>
        </w:rPr>
        <w:t>（姓名）</w:t>
      </w:r>
      <w:r>
        <w:rPr>
          <w:rFonts w:hint="eastAsia" w:ascii="仿宋" w:hAnsi="仿宋" w:eastAsia="仿宋" w:cs="仿宋"/>
          <w:color w:val="auto"/>
          <w:sz w:val="24"/>
          <w:highlight w:val="none"/>
        </w:rPr>
        <w:t>为我单位授权代理人，以本单位的名义参加</w:t>
      </w:r>
      <w:r>
        <w:rPr>
          <w:rFonts w:hint="eastAsia" w:ascii="仿宋" w:hAnsi="仿宋" w:eastAsia="仿宋" w:cs="仿宋"/>
          <w:color w:val="auto"/>
          <w:sz w:val="24"/>
          <w:highlight w:val="none"/>
          <w:u w:val="single"/>
        </w:rPr>
        <w:t>（采购代理机构名称）</w:t>
      </w:r>
      <w:r>
        <w:rPr>
          <w:rFonts w:hint="eastAsia" w:ascii="仿宋" w:hAnsi="仿宋" w:eastAsia="仿宋" w:cs="仿宋"/>
          <w:color w:val="auto"/>
          <w:sz w:val="24"/>
          <w:highlight w:val="none"/>
        </w:rPr>
        <w:t>的</w:t>
      </w:r>
      <w:r>
        <w:rPr>
          <w:rFonts w:hint="eastAsia" w:ascii="仿宋" w:hAnsi="仿宋" w:eastAsia="仿宋" w:cs="仿宋"/>
          <w:color w:val="auto"/>
          <w:sz w:val="24"/>
          <w:highlight w:val="none"/>
          <w:u w:val="single"/>
        </w:rPr>
        <w:t xml:space="preserve">            项目</w:t>
      </w:r>
      <w:r>
        <w:rPr>
          <w:rFonts w:hint="eastAsia" w:ascii="仿宋" w:hAnsi="仿宋" w:eastAsia="仿宋" w:cs="仿宋"/>
          <w:color w:val="auto"/>
          <w:sz w:val="24"/>
          <w:highlight w:val="none"/>
        </w:rPr>
        <w:t>的磋商活动。授权代理人在投标、开标、磋商、合同谈判过程中所签署的一切文件和处理与之有关的一切事务，我均予以承认。</w:t>
      </w:r>
    </w:p>
    <w:p>
      <w:pPr>
        <w:spacing w:line="48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授权代理人无转委托权，特此委托。</w:t>
      </w:r>
    </w:p>
    <w:p>
      <w:pPr>
        <w:spacing w:after="156" w:line="480" w:lineRule="auto"/>
        <w:rPr>
          <w:rFonts w:ascii="仿宋" w:hAnsi="仿宋" w:eastAsia="仿宋" w:cs="仿宋"/>
          <w:b/>
          <w:color w:val="auto"/>
          <w:sz w:val="24"/>
          <w:highlight w:val="none"/>
        </w:rPr>
      </w:pPr>
    </w:p>
    <w:p>
      <w:pPr>
        <w:spacing w:line="480" w:lineRule="auto"/>
        <w:ind w:left="2699"/>
        <w:rPr>
          <w:rFonts w:ascii="仿宋" w:hAnsi="仿宋" w:eastAsia="仿宋" w:cs="仿宋"/>
          <w:color w:val="auto"/>
          <w:sz w:val="24"/>
          <w:highlight w:val="none"/>
          <w:u w:val="single"/>
        </w:rPr>
      </w:pPr>
      <w:r>
        <w:rPr>
          <w:rFonts w:hint="eastAsia" w:ascii="仿宋" w:hAnsi="仿宋" w:eastAsia="仿宋" w:cs="仿宋"/>
          <w:color w:val="auto"/>
          <w:sz w:val="24"/>
          <w:highlight w:val="none"/>
        </w:rPr>
        <w:t>授权代理人：</w:t>
      </w:r>
      <w:r>
        <w:rPr>
          <w:rFonts w:hint="eastAsia" w:ascii="仿宋" w:hAnsi="仿宋" w:eastAsia="仿宋" w:cs="仿宋"/>
          <w:color w:val="auto"/>
          <w:sz w:val="24"/>
          <w:highlight w:val="none"/>
          <w:u w:val="single"/>
        </w:rPr>
        <w:t xml:space="preserve">                      （签字）   </w:t>
      </w:r>
    </w:p>
    <w:p>
      <w:pPr>
        <w:spacing w:line="480" w:lineRule="auto"/>
        <w:ind w:left="2699"/>
        <w:rPr>
          <w:rFonts w:ascii="仿宋" w:hAnsi="仿宋" w:eastAsia="仿宋" w:cs="仿宋"/>
          <w:color w:val="auto"/>
          <w:sz w:val="24"/>
          <w:highlight w:val="none"/>
          <w:u w:val="single"/>
        </w:rPr>
      </w:pPr>
      <w:r>
        <w:rPr>
          <w:rFonts w:hint="eastAsia" w:ascii="仿宋" w:hAnsi="仿宋" w:eastAsia="仿宋" w:cs="仿宋"/>
          <w:color w:val="auto"/>
          <w:sz w:val="24"/>
          <w:highlight w:val="none"/>
        </w:rPr>
        <w:t>身份证号码：</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p>
    <w:p>
      <w:pPr>
        <w:spacing w:line="480" w:lineRule="auto"/>
        <w:ind w:left="2699"/>
        <w:rPr>
          <w:rFonts w:ascii="仿宋" w:hAnsi="仿宋" w:eastAsia="仿宋" w:cs="仿宋"/>
          <w:color w:val="auto"/>
          <w:sz w:val="24"/>
          <w:highlight w:val="none"/>
          <w:u w:val="single"/>
        </w:rPr>
      </w:pPr>
      <w:r>
        <w:rPr>
          <w:rFonts w:hint="eastAsia" w:ascii="仿宋" w:hAnsi="仿宋" w:eastAsia="仿宋" w:cs="仿宋"/>
          <w:color w:val="auto"/>
          <w:sz w:val="24"/>
          <w:highlight w:val="none"/>
        </w:rPr>
        <w:t xml:space="preserve">职务：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p>
    <w:p>
      <w:pPr>
        <w:spacing w:line="480" w:lineRule="auto"/>
        <w:ind w:left="2699"/>
        <w:rPr>
          <w:rFonts w:ascii="仿宋" w:hAnsi="仿宋" w:eastAsia="仿宋" w:cs="仿宋"/>
          <w:color w:val="auto"/>
          <w:sz w:val="24"/>
          <w:highlight w:val="none"/>
        </w:rPr>
      </w:pPr>
      <w:r>
        <w:rPr>
          <w:rFonts w:hint="eastAsia" w:ascii="仿宋" w:hAnsi="仿宋" w:eastAsia="仿宋" w:cs="仿宋"/>
          <w:color w:val="auto"/>
          <w:sz w:val="24"/>
          <w:highlight w:val="none"/>
        </w:rPr>
        <w:t>供应商：</w:t>
      </w:r>
      <w:r>
        <w:rPr>
          <w:rFonts w:hint="eastAsia" w:ascii="仿宋" w:hAnsi="仿宋" w:eastAsia="仿宋" w:cs="仿宋"/>
          <w:color w:val="auto"/>
          <w:sz w:val="24"/>
          <w:highlight w:val="none"/>
          <w:u w:val="single"/>
        </w:rPr>
        <w:t xml:space="preserve">                              （盖章）</w:t>
      </w:r>
    </w:p>
    <w:p>
      <w:pPr>
        <w:spacing w:line="480" w:lineRule="auto"/>
        <w:jc w:val="center"/>
        <w:rPr>
          <w:rFonts w:ascii="仿宋" w:hAnsi="仿宋" w:eastAsia="仿宋" w:cs="仿宋"/>
          <w:color w:val="auto"/>
          <w:sz w:val="24"/>
          <w:highlight w:val="none"/>
          <w:u w:val="single"/>
        </w:rPr>
      </w:pPr>
      <w:r>
        <w:rPr>
          <w:rFonts w:hint="eastAsia" w:ascii="仿宋" w:hAnsi="仿宋" w:eastAsia="仿宋" w:cs="仿宋"/>
          <w:color w:val="auto"/>
          <w:sz w:val="24"/>
          <w:highlight w:val="none"/>
        </w:rPr>
        <w:t xml:space="preserve">          法定代表人：</w:t>
      </w:r>
      <w:r>
        <w:rPr>
          <w:rFonts w:hint="eastAsia" w:ascii="仿宋" w:hAnsi="仿宋" w:eastAsia="仿宋" w:cs="仿宋"/>
          <w:color w:val="auto"/>
          <w:sz w:val="24"/>
          <w:highlight w:val="none"/>
          <w:u w:val="single"/>
        </w:rPr>
        <w:t xml:space="preserve">                 （签名或盖章）</w:t>
      </w:r>
    </w:p>
    <w:p>
      <w:pPr>
        <w:pStyle w:val="7"/>
        <w:spacing w:line="480" w:lineRule="auto"/>
        <w:ind w:firstLine="2774" w:firstLineChars="1156"/>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p>
      <w:pPr>
        <w:pStyle w:val="7"/>
        <w:pBdr>
          <w:bottom w:val="single" w:color="auto" w:sz="6" w:space="1"/>
        </w:pBdr>
        <w:spacing w:line="480" w:lineRule="auto"/>
        <w:ind w:firstLine="2774" w:firstLineChars="1156"/>
        <w:rPr>
          <w:rFonts w:ascii="仿宋" w:hAnsi="仿宋" w:eastAsia="仿宋" w:cs="仿宋"/>
          <w:color w:val="auto"/>
          <w:sz w:val="24"/>
          <w:szCs w:val="24"/>
          <w:highlight w:val="none"/>
        </w:rPr>
      </w:pPr>
    </w:p>
    <w:p>
      <w:pPr>
        <w:pStyle w:val="7"/>
        <w:spacing w:line="480" w:lineRule="auto"/>
        <w:ind w:firstLine="0"/>
        <w:rPr>
          <w:rFonts w:ascii="仿宋" w:hAnsi="仿宋" w:eastAsia="仿宋" w:cs="仿宋"/>
          <w:color w:val="auto"/>
          <w:sz w:val="24"/>
          <w:szCs w:val="24"/>
          <w:highlight w:val="none"/>
        </w:rPr>
      </w:pPr>
    </w:p>
    <w:p>
      <w:pPr>
        <w:pStyle w:val="7"/>
        <w:spacing w:line="480" w:lineRule="auto"/>
        <w:ind w:firstLine="0"/>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授权代理人有效身份证明复印件粘贴处</w:t>
      </w:r>
    </w:p>
    <w:p>
      <w:pPr>
        <w:pStyle w:val="7"/>
        <w:spacing w:line="480" w:lineRule="auto"/>
        <w:ind w:firstLine="0"/>
        <w:rPr>
          <w:rFonts w:ascii="仿宋" w:hAnsi="仿宋" w:eastAsia="仿宋" w:cs="仿宋"/>
          <w:color w:val="auto"/>
          <w:sz w:val="24"/>
          <w:szCs w:val="24"/>
          <w:highlight w:val="none"/>
        </w:rPr>
      </w:pPr>
    </w:p>
    <w:p>
      <w:pPr>
        <w:pStyle w:val="7"/>
        <w:spacing w:line="480" w:lineRule="auto"/>
        <w:ind w:firstLine="0"/>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（后附授权代理人最近1个月的个人社保缴纳证明文件）</w:t>
      </w:r>
    </w:p>
    <w:p>
      <w:pPr>
        <w:snapToGrid w:val="0"/>
        <w:spacing w:before="156" w:beforeLines="50" w:after="50"/>
        <w:jc w:val="center"/>
        <w:rPr>
          <w:rFonts w:ascii="仿宋" w:hAnsi="仿宋" w:eastAsia="仿宋" w:cs="仿宋"/>
          <w:b/>
          <w:color w:val="auto"/>
          <w:szCs w:val="28"/>
          <w:highlight w:val="none"/>
        </w:rPr>
      </w:pPr>
    </w:p>
    <w:p>
      <w:pPr>
        <w:spacing w:line="600" w:lineRule="exact"/>
        <w:jc w:val="center"/>
        <w:rPr>
          <w:rFonts w:ascii="仿宋" w:hAnsi="仿宋" w:eastAsia="仿宋" w:cs="仿宋"/>
          <w:b/>
          <w:bCs/>
          <w:color w:val="auto"/>
          <w:spacing w:val="24"/>
          <w:sz w:val="28"/>
          <w:szCs w:val="28"/>
          <w:highlight w:val="none"/>
        </w:rPr>
      </w:pPr>
    </w:p>
    <w:p>
      <w:pPr>
        <w:rPr>
          <w:rFonts w:ascii="仿宋" w:hAnsi="仿宋" w:eastAsia="仿宋" w:cs="仿宋"/>
          <w:b/>
          <w:bCs/>
          <w:color w:val="auto"/>
          <w:spacing w:val="24"/>
          <w:sz w:val="28"/>
          <w:szCs w:val="28"/>
          <w:highlight w:val="none"/>
        </w:rPr>
      </w:pPr>
      <w:r>
        <w:rPr>
          <w:rFonts w:hint="eastAsia" w:ascii="仿宋" w:hAnsi="仿宋" w:eastAsia="仿宋" w:cs="仿宋"/>
          <w:b/>
          <w:bCs/>
          <w:color w:val="auto"/>
          <w:spacing w:val="24"/>
          <w:sz w:val="28"/>
          <w:szCs w:val="28"/>
          <w:highlight w:val="none"/>
        </w:rPr>
        <w:br w:type="page"/>
      </w:r>
    </w:p>
    <w:p>
      <w:pPr>
        <w:snapToGrid w:val="0"/>
        <w:spacing w:line="560" w:lineRule="exact"/>
        <w:jc w:val="center"/>
        <w:outlineLvl w:val="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承诺书</w:t>
      </w:r>
    </w:p>
    <w:p>
      <w:pPr>
        <w:snapToGrid w:val="0"/>
        <w:spacing w:line="560" w:lineRule="exact"/>
        <w:jc w:val="center"/>
        <w:rPr>
          <w:rFonts w:ascii="仿宋" w:hAnsi="仿宋" w:eastAsia="仿宋" w:cs="仿宋"/>
          <w:b/>
          <w:color w:val="auto"/>
          <w:sz w:val="28"/>
          <w:szCs w:val="28"/>
          <w:highlight w:val="none"/>
        </w:rPr>
      </w:pPr>
    </w:p>
    <w:p>
      <w:pPr>
        <w:tabs>
          <w:tab w:val="left" w:pos="1650"/>
        </w:tabs>
        <w:jc w:val="left"/>
        <w:rPr>
          <w:rFonts w:ascii="仿宋" w:hAnsi="仿宋" w:eastAsia="仿宋" w:cs="仿宋"/>
          <w:color w:val="auto"/>
          <w:sz w:val="24"/>
          <w:highlight w:val="none"/>
        </w:rPr>
      </w:pPr>
      <w:r>
        <w:rPr>
          <w:rFonts w:hint="eastAsia" w:ascii="仿宋" w:hAnsi="仿宋" w:eastAsia="仿宋" w:cs="仿宋"/>
          <w:color w:val="auto"/>
          <w:sz w:val="24"/>
          <w:highlight w:val="none"/>
          <w:u w:val="single"/>
        </w:rPr>
        <w:t>（供应商）</w:t>
      </w:r>
      <w:r>
        <w:rPr>
          <w:rFonts w:hint="eastAsia" w:ascii="仿宋" w:hAnsi="仿宋" w:eastAsia="仿宋" w:cs="仿宋"/>
          <w:color w:val="auto"/>
          <w:sz w:val="24"/>
          <w:highlight w:val="none"/>
        </w:rPr>
        <w:t>现参加</w:t>
      </w:r>
      <w:r>
        <w:rPr>
          <w:rFonts w:hint="eastAsia" w:ascii="仿宋" w:hAnsi="仿宋" w:eastAsia="仿宋" w:cs="仿宋"/>
          <w:color w:val="auto"/>
          <w:sz w:val="24"/>
          <w:highlight w:val="none"/>
          <w:u w:val="single"/>
        </w:rPr>
        <w:t>（项目名称）</w:t>
      </w:r>
      <w:r>
        <w:rPr>
          <w:rFonts w:hint="eastAsia" w:ascii="仿宋" w:hAnsi="仿宋" w:eastAsia="仿宋" w:cs="仿宋"/>
          <w:color w:val="auto"/>
          <w:sz w:val="24"/>
          <w:highlight w:val="none"/>
        </w:rPr>
        <w:t>政府采购活动，郑重承诺如下：</w:t>
      </w:r>
    </w:p>
    <w:p>
      <w:pPr>
        <w:tabs>
          <w:tab w:val="left" w:pos="1650"/>
        </w:tabs>
        <w:jc w:val="left"/>
        <w:rPr>
          <w:rFonts w:ascii="仿宋" w:hAnsi="仿宋" w:eastAsia="仿宋" w:cs="仿宋"/>
          <w:color w:val="auto"/>
          <w:sz w:val="24"/>
          <w:highlight w:val="none"/>
          <w:u w:val="single"/>
        </w:rPr>
      </w:pPr>
    </w:p>
    <w:p>
      <w:pPr>
        <w:tabs>
          <w:tab w:val="left" w:pos="1650"/>
        </w:tabs>
        <w:spacing w:line="6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符合参与政府采购活动的资格条件并且没有税收缴纳、社会保障等方面的失信记录。且在磋商时间截止前未被“信用中国”（www.creditchina.gov.cn）、“中国政府采购网”（www.ccgp.gov.cn）列入失信被执行人、重大税收违法案件当事人名单、政府采购严重违法失信行为记录名单。</w:t>
      </w:r>
    </w:p>
    <w:p>
      <w:pPr>
        <w:pStyle w:val="10"/>
        <w:rPr>
          <w:rFonts w:ascii="仿宋" w:hAnsi="仿宋" w:eastAsia="仿宋" w:cs="仿宋"/>
          <w:b/>
          <w:color w:val="auto"/>
          <w:sz w:val="28"/>
          <w:szCs w:val="28"/>
          <w:highlight w:val="none"/>
        </w:rPr>
      </w:pPr>
    </w:p>
    <w:p>
      <w:pPr>
        <w:rPr>
          <w:rFonts w:ascii="仿宋" w:hAnsi="仿宋" w:eastAsia="仿宋" w:cs="仿宋"/>
          <w:b/>
          <w:color w:val="auto"/>
          <w:sz w:val="28"/>
          <w:szCs w:val="28"/>
          <w:highlight w:val="none"/>
        </w:rPr>
      </w:pPr>
    </w:p>
    <w:p>
      <w:pPr>
        <w:pStyle w:val="10"/>
        <w:rPr>
          <w:rFonts w:ascii="仿宋" w:hAnsi="仿宋" w:eastAsia="仿宋" w:cs="仿宋"/>
          <w:b/>
          <w:color w:val="auto"/>
          <w:sz w:val="28"/>
          <w:szCs w:val="28"/>
          <w:highlight w:val="none"/>
        </w:rPr>
      </w:pPr>
    </w:p>
    <w:p>
      <w:pPr>
        <w:rPr>
          <w:rFonts w:ascii="仿宋" w:hAnsi="仿宋" w:eastAsia="仿宋" w:cs="仿宋"/>
          <w:b/>
          <w:color w:val="auto"/>
          <w:sz w:val="28"/>
          <w:szCs w:val="28"/>
          <w:highlight w:val="none"/>
        </w:rPr>
      </w:pPr>
    </w:p>
    <w:p>
      <w:pPr>
        <w:pStyle w:val="10"/>
        <w:rPr>
          <w:rFonts w:ascii="仿宋" w:hAnsi="仿宋" w:eastAsia="仿宋" w:cs="仿宋"/>
          <w:b/>
          <w:color w:val="auto"/>
          <w:sz w:val="28"/>
          <w:szCs w:val="28"/>
          <w:highlight w:val="none"/>
        </w:rPr>
      </w:pPr>
    </w:p>
    <w:p>
      <w:pPr>
        <w:rPr>
          <w:rFonts w:ascii="仿宋" w:hAnsi="仿宋" w:eastAsia="仿宋" w:cs="仿宋"/>
          <w:b/>
          <w:color w:val="auto"/>
          <w:sz w:val="28"/>
          <w:szCs w:val="28"/>
          <w:highlight w:val="none"/>
        </w:rPr>
      </w:pPr>
    </w:p>
    <w:p>
      <w:pPr>
        <w:pStyle w:val="10"/>
        <w:rPr>
          <w:rFonts w:ascii="仿宋" w:hAnsi="仿宋" w:eastAsia="仿宋" w:cs="仿宋"/>
          <w:b/>
          <w:color w:val="auto"/>
          <w:sz w:val="28"/>
          <w:szCs w:val="28"/>
          <w:highlight w:val="none"/>
        </w:rPr>
      </w:pPr>
    </w:p>
    <w:p>
      <w:pPr>
        <w:pStyle w:val="39"/>
        <w:spacing w:before="0" w:beforeAutospacing="0" w:after="0" w:afterAutospacing="0" w:line="560" w:lineRule="exact"/>
        <w:ind w:firstLine="3240" w:firstLineChars="1350"/>
        <w:rPr>
          <w:rFonts w:ascii="仿宋" w:hAnsi="仿宋" w:eastAsia="仿宋" w:cs="仿宋"/>
          <w:color w:val="auto"/>
          <w:kern w:val="2"/>
          <w:highlight w:val="none"/>
        </w:rPr>
      </w:pPr>
      <w:r>
        <w:rPr>
          <w:rFonts w:hint="eastAsia" w:ascii="仿宋" w:hAnsi="仿宋" w:eastAsia="仿宋" w:cs="仿宋"/>
          <w:color w:val="auto"/>
          <w:kern w:val="2"/>
          <w:highlight w:val="none"/>
        </w:rPr>
        <w:t>承诺单位/个人（盖章/签名）</w:t>
      </w:r>
    </w:p>
    <w:p>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 xml:space="preserve">                               时间：20**年*月*日</w:t>
      </w:r>
    </w:p>
    <w:p>
      <w:pPr>
        <w:spacing w:line="600" w:lineRule="exact"/>
        <w:jc w:val="center"/>
        <w:rPr>
          <w:rFonts w:ascii="仿宋" w:hAnsi="仿宋" w:eastAsia="仿宋" w:cs="仿宋"/>
          <w:b/>
          <w:bCs/>
          <w:color w:val="auto"/>
          <w:spacing w:val="24"/>
          <w:sz w:val="28"/>
          <w:szCs w:val="28"/>
          <w:highlight w:val="none"/>
        </w:rPr>
      </w:pPr>
    </w:p>
    <w:p>
      <w:pPr>
        <w:spacing w:line="600" w:lineRule="exact"/>
        <w:jc w:val="center"/>
        <w:rPr>
          <w:rFonts w:ascii="仿宋" w:hAnsi="仿宋" w:eastAsia="仿宋" w:cs="仿宋"/>
          <w:b/>
          <w:bCs/>
          <w:color w:val="auto"/>
          <w:spacing w:val="24"/>
          <w:sz w:val="28"/>
          <w:szCs w:val="28"/>
          <w:highlight w:val="none"/>
        </w:rPr>
      </w:pPr>
    </w:p>
    <w:p>
      <w:pPr>
        <w:spacing w:line="600" w:lineRule="exact"/>
        <w:jc w:val="center"/>
        <w:rPr>
          <w:rFonts w:ascii="仿宋" w:hAnsi="仿宋" w:eastAsia="仿宋" w:cs="仿宋"/>
          <w:b/>
          <w:bCs/>
          <w:color w:val="auto"/>
          <w:spacing w:val="24"/>
          <w:sz w:val="28"/>
          <w:szCs w:val="28"/>
          <w:highlight w:val="none"/>
        </w:rPr>
      </w:pPr>
    </w:p>
    <w:p>
      <w:pPr>
        <w:spacing w:line="600" w:lineRule="exact"/>
        <w:jc w:val="center"/>
        <w:rPr>
          <w:rFonts w:ascii="仿宋" w:hAnsi="仿宋" w:eastAsia="仿宋" w:cs="仿宋"/>
          <w:b/>
          <w:bCs/>
          <w:color w:val="auto"/>
          <w:spacing w:val="24"/>
          <w:sz w:val="28"/>
          <w:szCs w:val="28"/>
          <w:highlight w:val="none"/>
        </w:rPr>
      </w:pPr>
    </w:p>
    <w:p>
      <w:pPr>
        <w:spacing w:line="600" w:lineRule="exact"/>
        <w:jc w:val="center"/>
        <w:rPr>
          <w:rFonts w:ascii="仿宋" w:hAnsi="仿宋" w:eastAsia="仿宋" w:cs="仿宋"/>
          <w:b/>
          <w:bCs/>
          <w:color w:val="auto"/>
          <w:spacing w:val="24"/>
          <w:sz w:val="28"/>
          <w:szCs w:val="28"/>
          <w:highlight w:val="none"/>
        </w:rPr>
      </w:pPr>
    </w:p>
    <w:p>
      <w:pPr>
        <w:spacing w:line="600" w:lineRule="exact"/>
        <w:jc w:val="center"/>
        <w:rPr>
          <w:rFonts w:ascii="仿宋" w:hAnsi="仿宋" w:eastAsia="仿宋" w:cs="仿宋"/>
          <w:b/>
          <w:bCs/>
          <w:color w:val="auto"/>
          <w:spacing w:val="24"/>
          <w:sz w:val="28"/>
          <w:szCs w:val="28"/>
          <w:highlight w:val="none"/>
        </w:rPr>
      </w:pPr>
    </w:p>
    <w:p>
      <w:pPr>
        <w:spacing w:line="600" w:lineRule="exact"/>
        <w:rPr>
          <w:rFonts w:ascii="仿宋" w:hAnsi="仿宋" w:eastAsia="仿宋" w:cs="仿宋"/>
          <w:b/>
          <w:bCs/>
          <w:color w:val="auto"/>
          <w:spacing w:val="24"/>
          <w:sz w:val="28"/>
          <w:szCs w:val="28"/>
          <w:highlight w:val="none"/>
        </w:rPr>
      </w:pPr>
    </w:p>
    <w:p>
      <w:pPr>
        <w:spacing w:line="600" w:lineRule="exact"/>
        <w:jc w:val="center"/>
        <w:outlineLvl w:val="1"/>
        <w:rPr>
          <w:rFonts w:ascii="仿宋" w:hAnsi="仿宋" w:eastAsia="仿宋" w:cs="仿宋"/>
          <w:b/>
          <w:bCs/>
          <w:color w:val="auto"/>
          <w:spacing w:val="24"/>
          <w:sz w:val="28"/>
          <w:szCs w:val="28"/>
          <w:highlight w:val="none"/>
        </w:rPr>
      </w:pPr>
      <w:r>
        <w:rPr>
          <w:rFonts w:hint="eastAsia" w:ascii="仿宋" w:hAnsi="仿宋" w:eastAsia="仿宋" w:cs="仿宋"/>
          <w:b/>
          <w:bCs/>
          <w:color w:val="auto"/>
          <w:spacing w:val="24"/>
          <w:sz w:val="28"/>
          <w:szCs w:val="28"/>
          <w:highlight w:val="none"/>
        </w:rPr>
        <w:t>信用承诺书</w:t>
      </w:r>
    </w:p>
    <w:p>
      <w:pPr>
        <w:tabs>
          <w:tab w:val="left" w:pos="1650"/>
        </w:tabs>
        <w:spacing w:line="64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u w:val="single"/>
        </w:rPr>
        <w:t>（供应商）</w:t>
      </w:r>
      <w:r>
        <w:rPr>
          <w:rFonts w:hint="eastAsia" w:ascii="仿宋" w:hAnsi="仿宋" w:eastAsia="仿宋" w:cs="仿宋"/>
          <w:color w:val="auto"/>
          <w:sz w:val="24"/>
          <w:highlight w:val="none"/>
        </w:rPr>
        <w:t>现参加</w:t>
      </w:r>
      <w:r>
        <w:rPr>
          <w:rFonts w:hint="eastAsia" w:ascii="仿宋" w:hAnsi="仿宋" w:eastAsia="仿宋" w:cs="仿宋"/>
          <w:color w:val="auto"/>
          <w:sz w:val="24"/>
          <w:highlight w:val="none"/>
          <w:u w:val="single"/>
        </w:rPr>
        <w:t>（采购项目）</w:t>
      </w:r>
      <w:r>
        <w:rPr>
          <w:rFonts w:hint="eastAsia" w:ascii="仿宋" w:hAnsi="仿宋" w:eastAsia="仿宋" w:cs="仿宋"/>
          <w:color w:val="auto"/>
          <w:sz w:val="24"/>
          <w:highlight w:val="none"/>
        </w:rPr>
        <w:t>政府采购活动，郑重承诺如下：</w:t>
      </w:r>
    </w:p>
    <w:p>
      <w:pPr>
        <w:tabs>
          <w:tab w:val="left" w:pos="1650"/>
        </w:tabs>
        <w:spacing w:line="640" w:lineRule="exact"/>
        <w:ind w:firstLine="630"/>
        <w:rPr>
          <w:rFonts w:ascii="仿宋" w:hAnsi="仿宋" w:eastAsia="仿宋" w:cs="仿宋"/>
          <w:color w:val="auto"/>
          <w:sz w:val="24"/>
          <w:highlight w:val="none"/>
        </w:rPr>
      </w:pPr>
      <w:r>
        <w:rPr>
          <w:rFonts w:hint="eastAsia" w:ascii="仿宋" w:hAnsi="仿宋" w:eastAsia="仿宋" w:cs="仿宋"/>
          <w:color w:val="auto"/>
          <w:sz w:val="24"/>
          <w:highlight w:val="none"/>
        </w:rPr>
        <w:t>1、对所提供的资料合法性、真实性、准确性和有效性负责；</w:t>
      </w:r>
    </w:p>
    <w:p>
      <w:pPr>
        <w:tabs>
          <w:tab w:val="left" w:pos="1650"/>
        </w:tabs>
        <w:spacing w:line="640" w:lineRule="exact"/>
        <w:ind w:firstLine="630"/>
        <w:rPr>
          <w:rFonts w:ascii="仿宋" w:hAnsi="仿宋" w:eastAsia="仿宋" w:cs="仿宋"/>
          <w:color w:val="auto"/>
          <w:sz w:val="24"/>
          <w:highlight w:val="none"/>
        </w:rPr>
      </w:pPr>
      <w:r>
        <w:rPr>
          <w:rFonts w:hint="eastAsia" w:ascii="仿宋" w:hAnsi="仿宋" w:eastAsia="仿宋" w:cs="仿宋"/>
          <w:color w:val="auto"/>
          <w:sz w:val="24"/>
          <w:highlight w:val="none"/>
        </w:rPr>
        <w:t>2、严格按照国家法律、法规和规章，依法开展相关经济活动，全面履行应尽的责任和义务；</w:t>
      </w:r>
    </w:p>
    <w:p>
      <w:pPr>
        <w:tabs>
          <w:tab w:val="left" w:pos="1650"/>
        </w:tabs>
        <w:spacing w:line="640" w:lineRule="exact"/>
        <w:ind w:firstLine="630"/>
        <w:rPr>
          <w:rFonts w:ascii="仿宋" w:hAnsi="仿宋" w:eastAsia="仿宋" w:cs="仿宋"/>
          <w:color w:val="auto"/>
          <w:sz w:val="24"/>
          <w:highlight w:val="none"/>
        </w:rPr>
      </w:pPr>
      <w:r>
        <w:rPr>
          <w:rFonts w:hint="eastAsia" w:ascii="仿宋" w:hAnsi="仿宋" w:eastAsia="仿宋" w:cs="仿宋"/>
          <w:color w:val="auto"/>
          <w:sz w:val="24"/>
          <w:highlight w:val="none"/>
        </w:rPr>
        <w:t>3、加强自我约束、自我规范、自我管理，不制假售假、不虚假宣传、不违约毁约、不恶意逃债、不偷税漏税，诚信依法经营；</w:t>
      </w:r>
    </w:p>
    <w:p>
      <w:pPr>
        <w:tabs>
          <w:tab w:val="left" w:pos="1650"/>
        </w:tabs>
        <w:spacing w:line="640" w:lineRule="exact"/>
        <w:ind w:firstLine="630"/>
        <w:rPr>
          <w:rFonts w:ascii="仿宋" w:hAnsi="仿宋" w:eastAsia="仿宋" w:cs="仿宋"/>
          <w:color w:val="auto"/>
          <w:sz w:val="24"/>
          <w:highlight w:val="none"/>
        </w:rPr>
      </w:pPr>
      <w:r>
        <w:rPr>
          <w:rFonts w:hint="eastAsia" w:ascii="仿宋" w:hAnsi="仿宋" w:eastAsia="仿宋" w:cs="仿宋"/>
          <w:color w:val="auto"/>
          <w:sz w:val="24"/>
          <w:highlight w:val="none"/>
        </w:rPr>
        <w:t>4、自愿接受行政主管部门的依法检查、违背承诺约定将自愿承担违约责任，并接受法律法规和相关部门规章制度的惩戒和约束；</w:t>
      </w:r>
    </w:p>
    <w:p>
      <w:pPr>
        <w:tabs>
          <w:tab w:val="left" w:pos="1650"/>
        </w:tabs>
        <w:spacing w:line="640" w:lineRule="exact"/>
        <w:ind w:firstLine="630"/>
        <w:rPr>
          <w:rFonts w:ascii="仿宋" w:hAnsi="仿宋" w:eastAsia="仿宋" w:cs="仿宋"/>
          <w:color w:val="auto"/>
          <w:sz w:val="24"/>
          <w:highlight w:val="none"/>
        </w:rPr>
      </w:pPr>
      <w:r>
        <w:rPr>
          <w:rFonts w:hint="eastAsia" w:ascii="仿宋" w:hAnsi="仿宋" w:eastAsia="仿宋" w:cs="仿宋"/>
          <w:color w:val="auto"/>
          <w:sz w:val="24"/>
          <w:highlight w:val="none"/>
        </w:rPr>
        <w:t>5、按照信用信息管理有关要求，本单位（个人）同意将以上承诺在信用湖州网站公示，若违背以上承诺，依据相关规定记入企业（个人）信用档案；性质严重的，承担相应法律后果和责任，并依法依规列入严重失信名单。</w:t>
      </w:r>
    </w:p>
    <w:p>
      <w:pPr>
        <w:tabs>
          <w:tab w:val="left" w:pos="1650"/>
        </w:tabs>
        <w:spacing w:line="640" w:lineRule="exact"/>
        <w:rPr>
          <w:rFonts w:ascii="仿宋" w:hAnsi="仿宋" w:eastAsia="仿宋" w:cs="仿宋"/>
          <w:color w:val="auto"/>
          <w:sz w:val="24"/>
          <w:highlight w:val="none"/>
          <w:u w:val="single"/>
        </w:rPr>
      </w:pPr>
    </w:p>
    <w:p>
      <w:pPr>
        <w:tabs>
          <w:tab w:val="left" w:pos="1650"/>
        </w:tabs>
        <w:spacing w:line="640" w:lineRule="exact"/>
        <w:rPr>
          <w:rFonts w:ascii="仿宋" w:hAnsi="仿宋" w:eastAsia="仿宋" w:cs="仿宋"/>
          <w:color w:val="auto"/>
          <w:sz w:val="24"/>
          <w:highlight w:val="none"/>
          <w:u w:val="single"/>
        </w:rPr>
      </w:pPr>
    </w:p>
    <w:p>
      <w:pPr>
        <w:pStyle w:val="39"/>
        <w:spacing w:before="0" w:beforeAutospacing="0" w:after="0" w:afterAutospacing="0" w:line="640" w:lineRule="exact"/>
        <w:ind w:firstLine="600" w:firstLineChars="250"/>
        <w:rPr>
          <w:rFonts w:ascii="仿宋" w:hAnsi="仿宋" w:eastAsia="仿宋" w:cs="仿宋"/>
          <w:color w:val="auto"/>
          <w:spacing w:val="-7"/>
          <w:highlight w:val="none"/>
        </w:rPr>
      </w:pPr>
      <w:r>
        <w:rPr>
          <w:rFonts w:hint="eastAsia" w:ascii="仿宋" w:hAnsi="仿宋" w:eastAsia="仿宋" w:cs="仿宋"/>
          <w:color w:val="auto"/>
          <w:kern w:val="2"/>
          <w:highlight w:val="none"/>
        </w:rPr>
        <w:t>统一社会信用代码：</w:t>
      </w:r>
    </w:p>
    <w:p>
      <w:pPr>
        <w:pStyle w:val="39"/>
        <w:spacing w:before="0" w:beforeAutospacing="0" w:after="0" w:afterAutospacing="0" w:line="640" w:lineRule="exact"/>
        <w:rPr>
          <w:rFonts w:ascii="仿宋" w:hAnsi="仿宋" w:eastAsia="仿宋" w:cs="仿宋"/>
          <w:color w:val="auto"/>
          <w:highlight w:val="none"/>
        </w:rPr>
      </w:pPr>
    </w:p>
    <w:p>
      <w:pPr>
        <w:pStyle w:val="39"/>
        <w:spacing w:before="0" w:beforeAutospacing="0" w:after="0" w:afterAutospacing="0" w:line="640" w:lineRule="exact"/>
        <w:rPr>
          <w:rFonts w:ascii="仿宋" w:hAnsi="仿宋" w:eastAsia="仿宋" w:cs="仿宋"/>
          <w:color w:val="auto"/>
          <w:highlight w:val="none"/>
        </w:rPr>
      </w:pPr>
    </w:p>
    <w:p>
      <w:pPr>
        <w:pStyle w:val="39"/>
        <w:spacing w:before="0" w:beforeAutospacing="0" w:after="0" w:afterAutospacing="0" w:line="640" w:lineRule="exact"/>
        <w:ind w:firstLine="3240" w:firstLineChars="1350"/>
        <w:jc w:val="right"/>
        <w:rPr>
          <w:rFonts w:ascii="仿宋" w:hAnsi="仿宋" w:eastAsia="仿宋" w:cs="仿宋"/>
          <w:color w:val="auto"/>
          <w:kern w:val="2"/>
          <w:highlight w:val="none"/>
        </w:rPr>
      </w:pPr>
      <w:r>
        <w:rPr>
          <w:rFonts w:hint="eastAsia" w:ascii="仿宋" w:hAnsi="仿宋" w:eastAsia="仿宋" w:cs="仿宋"/>
          <w:color w:val="auto"/>
          <w:kern w:val="2"/>
          <w:highlight w:val="none"/>
        </w:rPr>
        <w:t>承诺单位/个人：（盖章/签名）</w:t>
      </w:r>
    </w:p>
    <w:p>
      <w:pPr>
        <w:spacing w:line="640" w:lineRule="exact"/>
        <w:jc w:val="right"/>
        <w:rPr>
          <w:rFonts w:ascii="仿宋" w:hAnsi="仿宋" w:eastAsia="仿宋" w:cs="仿宋"/>
          <w:color w:val="auto"/>
          <w:sz w:val="24"/>
          <w:highlight w:val="none"/>
        </w:rPr>
      </w:pPr>
      <w:r>
        <w:rPr>
          <w:rFonts w:hint="eastAsia" w:ascii="仿宋" w:hAnsi="仿宋" w:eastAsia="仿宋" w:cs="仿宋"/>
          <w:color w:val="auto"/>
          <w:sz w:val="24"/>
          <w:highlight w:val="none"/>
        </w:rPr>
        <w:t xml:space="preserve">            时   间：  年  月  日</w:t>
      </w:r>
    </w:p>
    <w:p>
      <w:pPr>
        <w:pStyle w:val="7"/>
        <w:spacing w:line="600" w:lineRule="exact"/>
        <w:ind w:firstLine="0"/>
        <w:jc w:val="center"/>
        <w:rPr>
          <w:rFonts w:ascii="仿宋" w:hAnsi="仿宋" w:eastAsia="仿宋" w:cs="仿宋"/>
          <w:color w:val="auto"/>
          <w:sz w:val="24"/>
          <w:szCs w:val="24"/>
          <w:highlight w:val="none"/>
        </w:rPr>
      </w:pPr>
    </w:p>
    <w:p>
      <w:pPr>
        <w:rPr>
          <w:rFonts w:ascii="仿宋" w:hAnsi="仿宋" w:eastAsia="仿宋" w:cs="仿宋"/>
          <w:b/>
          <w:bCs/>
          <w:color w:val="auto"/>
          <w:spacing w:val="24"/>
          <w:sz w:val="28"/>
          <w:szCs w:val="28"/>
          <w:highlight w:val="none"/>
        </w:rPr>
      </w:pPr>
      <w:r>
        <w:rPr>
          <w:rFonts w:hint="eastAsia" w:ascii="仿宋" w:hAnsi="仿宋" w:eastAsia="仿宋" w:cs="仿宋"/>
          <w:b/>
          <w:bCs/>
          <w:color w:val="auto"/>
          <w:spacing w:val="24"/>
          <w:sz w:val="28"/>
          <w:szCs w:val="28"/>
          <w:highlight w:val="none"/>
        </w:rPr>
        <w:br w:type="page"/>
      </w:r>
    </w:p>
    <w:p>
      <w:pPr>
        <w:spacing w:line="360" w:lineRule="auto"/>
        <w:jc w:val="center"/>
        <w:outlineLvl w:val="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中小企业声明函（工程、 服务）</w:t>
      </w:r>
    </w:p>
    <w:p>
      <w:pPr>
        <w:spacing w:line="560" w:lineRule="exact"/>
        <w:ind w:firstLine="720" w:firstLineChars="300"/>
        <w:rPr>
          <w:rFonts w:ascii="仿宋" w:hAnsi="仿宋" w:eastAsia="仿宋" w:cs="仿宋"/>
          <w:color w:val="auto"/>
          <w:sz w:val="24"/>
          <w:highlight w:val="none"/>
        </w:rPr>
      </w:pPr>
      <w:r>
        <w:rPr>
          <w:rFonts w:hint="eastAsia" w:ascii="仿宋" w:hAnsi="仿宋" w:eastAsia="仿宋" w:cs="仿宋"/>
          <w:color w:val="auto"/>
          <w:sz w:val="24"/>
          <w:highlight w:val="none"/>
        </w:rPr>
        <w:t>本公司（联合体）郑重声明，根据《政府采购促进中小企业发展管理办法》（财</w:t>
      </w:r>
    </w:p>
    <w:p>
      <w:pPr>
        <w:spacing w:line="560" w:lineRule="exact"/>
        <w:rPr>
          <w:rFonts w:ascii="仿宋" w:hAnsi="仿宋" w:eastAsia="仿宋" w:cs="仿宋"/>
          <w:color w:val="auto"/>
          <w:sz w:val="24"/>
          <w:highlight w:val="none"/>
          <w:u w:val="single"/>
        </w:rPr>
      </w:pPr>
      <w:r>
        <w:rPr>
          <w:rFonts w:hint="eastAsia" w:ascii="仿宋" w:hAnsi="仿宋" w:eastAsia="仿宋" w:cs="仿宋"/>
          <w:color w:val="auto"/>
          <w:sz w:val="24"/>
          <w:highlight w:val="none"/>
        </w:rPr>
        <w:t>库﹝2020﹞46 号）的规定，本公司 （联合体）参加</w:t>
      </w:r>
      <w:r>
        <w:rPr>
          <w:rFonts w:hint="eastAsia" w:ascii="仿宋" w:hAnsi="仿宋" w:eastAsia="仿宋" w:cs="仿宋"/>
          <w:color w:val="auto"/>
          <w:sz w:val="24"/>
          <w:highlight w:val="none"/>
          <w:u w:val="single"/>
        </w:rPr>
        <w:t xml:space="preserve"> （ 单位名称 ） </w:t>
      </w:r>
      <w:r>
        <w:rPr>
          <w:rFonts w:hint="eastAsia" w:ascii="仿宋" w:hAnsi="仿宋" w:eastAsia="仿宋" w:cs="仿宋"/>
          <w:color w:val="auto"/>
          <w:sz w:val="24"/>
          <w:highlight w:val="none"/>
        </w:rPr>
        <w:t xml:space="preserve">的 </w:t>
      </w:r>
      <w:r>
        <w:rPr>
          <w:rFonts w:hint="eastAsia" w:ascii="仿宋" w:hAnsi="仿宋" w:eastAsia="仿宋" w:cs="仿宋"/>
          <w:color w:val="auto"/>
          <w:sz w:val="24"/>
          <w:highlight w:val="none"/>
          <w:u w:val="single"/>
        </w:rPr>
        <w:t>（ 项目名称 ）</w:t>
      </w:r>
      <w:r>
        <w:rPr>
          <w:rFonts w:hint="eastAsia" w:ascii="仿宋" w:hAnsi="仿宋" w:eastAsia="仿宋" w:cs="仿宋"/>
          <w:color w:val="auto"/>
          <w:sz w:val="24"/>
          <w:highlight w:val="none"/>
        </w:rPr>
        <w:t xml:space="preserve">采购活动，工程的施工单位全部为符合政策要求的中小企业（或者：服务全部由符合政策要求的中小企业承接）。相关企业（含联合体中的中小企业、签订分包意向协议的中小企业）的具体情况如下： </w:t>
      </w:r>
    </w:p>
    <w:p>
      <w:pPr>
        <w:spacing w:line="560" w:lineRule="exact"/>
        <w:ind w:firstLine="960" w:firstLineChars="400"/>
        <w:rPr>
          <w:rFonts w:ascii="仿宋" w:hAnsi="仿宋" w:eastAsia="仿宋" w:cs="仿宋"/>
          <w:color w:val="auto"/>
          <w:sz w:val="24"/>
          <w:highlight w:val="none"/>
        </w:rPr>
      </w:pPr>
      <w:r>
        <w:rPr>
          <w:rFonts w:hint="eastAsia" w:ascii="仿宋" w:hAnsi="仿宋" w:eastAsia="仿宋" w:cs="仿宋"/>
          <w:color w:val="auto"/>
          <w:sz w:val="24"/>
          <w:highlight w:val="none"/>
        </w:rPr>
        <w:t xml:space="preserve">1. </w:t>
      </w:r>
      <w:r>
        <w:rPr>
          <w:rFonts w:hint="eastAsia" w:ascii="仿宋" w:hAnsi="仿宋" w:eastAsia="仿宋" w:cs="仿宋"/>
          <w:color w:val="auto"/>
          <w:sz w:val="24"/>
          <w:highlight w:val="none"/>
          <w:u w:val="single"/>
        </w:rPr>
        <w:t xml:space="preserve">（ 标的名称 ） </w:t>
      </w:r>
      <w:r>
        <w:rPr>
          <w:rFonts w:hint="eastAsia" w:ascii="仿宋" w:hAnsi="仿宋" w:eastAsia="仿宋" w:cs="仿宋"/>
          <w:color w:val="auto"/>
          <w:sz w:val="24"/>
          <w:highlight w:val="none"/>
        </w:rPr>
        <w:t>，属于</w:t>
      </w:r>
      <w:r>
        <w:rPr>
          <w:rFonts w:hint="eastAsia" w:ascii="仿宋" w:hAnsi="仿宋" w:eastAsia="仿宋" w:cs="仿宋"/>
          <w:color w:val="auto"/>
          <w:sz w:val="24"/>
          <w:highlight w:val="none"/>
          <w:u w:val="single"/>
        </w:rPr>
        <w:t xml:space="preserve"> （ </w:t>
      </w:r>
      <w:r>
        <w:rPr>
          <w:rFonts w:hint="eastAsia" w:ascii="仿宋" w:hAnsi="仿宋" w:eastAsia="仿宋"/>
          <w:color w:val="auto"/>
          <w:sz w:val="24"/>
          <w:highlight w:val="none"/>
          <w:u w:val="single"/>
        </w:rPr>
        <w:t>采购文件中明确的所属行业</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 承建（承接）企业为</w:t>
      </w:r>
      <w:r>
        <w:rPr>
          <w:rFonts w:hint="eastAsia" w:ascii="仿宋" w:hAnsi="仿宋" w:eastAsia="仿宋" w:cs="仿宋"/>
          <w:color w:val="auto"/>
          <w:sz w:val="24"/>
          <w:highlight w:val="none"/>
          <w:u w:val="single"/>
        </w:rPr>
        <w:t xml:space="preserve"> （ 企业名称） </w:t>
      </w:r>
      <w:r>
        <w:rPr>
          <w:rFonts w:hint="eastAsia" w:ascii="仿宋" w:hAnsi="仿宋" w:eastAsia="仿宋" w:cs="仿宋"/>
          <w:color w:val="auto"/>
          <w:sz w:val="24"/>
          <w:highlight w:val="none"/>
        </w:rPr>
        <w:t>，从业人员</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人，营业收入为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万元，资产总额为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万元，属于</w:t>
      </w:r>
      <w:r>
        <w:rPr>
          <w:rFonts w:hint="eastAsia" w:ascii="仿宋" w:hAnsi="仿宋" w:eastAsia="仿宋" w:cs="仿宋"/>
          <w:color w:val="auto"/>
          <w:sz w:val="24"/>
          <w:highlight w:val="none"/>
          <w:u w:val="single"/>
        </w:rPr>
        <w:t xml:space="preserve"> （中型企业 、小型企业 、微型企业 ） </w:t>
      </w:r>
      <w:r>
        <w:rPr>
          <w:rFonts w:hint="eastAsia" w:ascii="仿宋" w:hAnsi="仿宋" w:eastAsia="仿宋" w:cs="仿宋"/>
          <w:color w:val="auto"/>
          <w:sz w:val="24"/>
          <w:highlight w:val="none"/>
        </w:rPr>
        <w:t xml:space="preserve">； </w:t>
      </w:r>
    </w:p>
    <w:p>
      <w:pPr>
        <w:spacing w:line="560" w:lineRule="exact"/>
        <w:ind w:firstLine="960" w:firstLineChars="400"/>
        <w:rPr>
          <w:rFonts w:ascii="仿宋" w:hAnsi="仿宋" w:eastAsia="仿宋" w:cs="仿宋"/>
          <w:color w:val="auto"/>
          <w:sz w:val="24"/>
          <w:highlight w:val="none"/>
        </w:rPr>
      </w:pPr>
      <w:r>
        <w:rPr>
          <w:rFonts w:hint="eastAsia" w:ascii="仿宋" w:hAnsi="仿宋" w:eastAsia="仿宋" w:cs="仿宋"/>
          <w:color w:val="auto"/>
          <w:sz w:val="24"/>
          <w:highlight w:val="none"/>
        </w:rPr>
        <w:t xml:space="preserve">2. </w:t>
      </w:r>
      <w:r>
        <w:rPr>
          <w:rFonts w:hint="eastAsia" w:ascii="仿宋" w:hAnsi="仿宋" w:eastAsia="仿宋" w:cs="仿宋"/>
          <w:color w:val="auto"/>
          <w:sz w:val="24"/>
          <w:highlight w:val="none"/>
          <w:u w:val="single"/>
        </w:rPr>
        <w:t xml:space="preserve">（ 标的名称 ） </w:t>
      </w:r>
      <w:r>
        <w:rPr>
          <w:rFonts w:hint="eastAsia" w:ascii="仿宋" w:hAnsi="仿宋" w:eastAsia="仿宋" w:cs="仿宋"/>
          <w:color w:val="auto"/>
          <w:sz w:val="24"/>
          <w:highlight w:val="none"/>
        </w:rPr>
        <w:t>，属于</w:t>
      </w:r>
      <w:r>
        <w:rPr>
          <w:rFonts w:hint="eastAsia" w:ascii="仿宋" w:hAnsi="仿宋" w:eastAsia="仿宋" w:cs="仿宋"/>
          <w:color w:val="auto"/>
          <w:sz w:val="24"/>
          <w:highlight w:val="none"/>
          <w:u w:val="single"/>
        </w:rPr>
        <w:t xml:space="preserve"> （ </w:t>
      </w:r>
      <w:r>
        <w:rPr>
          <w:rFonts w:hint="eastAsia" w:ascii="仿宋" w:hAnsi="仿宋" w:eastAsia="仿宋"/>
          <w:color w:val="auto"/>
          <w:sz w:val="24"/>
          <w:highlight w:val="none"/>
          <w:u w:val="single"/>
        </w:rPr>
        <w:t>采购文件中明确的所属行业</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 承建（承接）企业为</w:t>
      </w:r>
      <w:r>
        <w:rPr>
          <w:rFonts w:hint="eastAsia" w:ascii="仿宋" w:hAnsi="仿宋" w:eastAsia="仿宋" w:cs="仿宋"/>
          <w:color w:val="auto"/>
          <w:sz w:val="24"/>
          <w:highlight w:val="none"/>
          <w:u w:val="single"/>
        </w:rPr>
        <w:t xml:space="preserve"> （ 企业名称） </w:t>
      </w:r>
      <w:r>
        <w:rPr>
          <w:rFonts w:hint="eastAsia" w:ascii="仿宋" w:hAnsi="仿宋" w:eastAsia="仿宋" w:cs="仿宋"/>
          <w:color w:val="auto"/>
          <w:sz w:val="24"/>
          <w:highlight w:val="none"/>
        </w:rPr>
        <w:t>，从业人员</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人，营业收入为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万元，资产总额为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万元，属于</w:t>
      </w:r>
      <w:r>
        <w:rPr>
          <w:rFonts w:hint="eastAsia" w:ascii="仿宋" w:hAnsi="仿宋" w:eastAsia="仿宋" w:cs="仿宋"/>
          <w:color w:val="auto"/>
          <w:sz w:val="24"/>
          <w:highlight w:val="none"/>
          <w:u w:val="single"/>
        </w:rPr>
        <w:t xml:space="preserve"> （中型企业 、小型企业 、微型企业 ） </w:t>
      </w:r>
      <w:r>
        <w:rPr>
          <w:rFonts w:hint="eastAsia" w:ascii="仿宋" w:hAnsi="仿宋" w:eastAsia="仿宋" w:cs="仿宋"/>
          <w:color w:val="auto"/>
          <w:sz w:val="24"/>
          <w:highlight w:val="none"/>
        </w:rPr>
        <w:t>；</w:t>
      </w:r>
    </w:p>
    <w:p>
      <w:pPr>
        <w:spacing w:line="560" w:lineRule="exact"/>
        <w:ind w:firstLine="960" w:firstLineChars="400"/>
        <w:rPr>
          <w:rFonts w:ascii="仿宋" w:hAnsi="仿宋" w:eastAsia="仿宋" w:cs="仿宋"/>
          <w:color w:val="auto"/>
          <w:sz w:val="24"/>
          <w:highlight w:val="none"/>
        </w:rPr>
      </w:pPr>
      <w:r>
        <w:rPr>
          <w:rFonts w:hint="eastAsia" w:ascii="仿宋" w:hAnsi="仿宋" w:eastAsia="仿宋" w:cs="仿宋"/>
          <w:color w:val="auto"/>
          <w:sz w:val="24"/>
          <w:highlight w:val="none"/>
        </w:rPr>
        <w:t xml:space="preserve"> ……</w:t>
      </w:r>
    </w:p>
    <w:p>
      <w:pPr>
        <w:spacing w:line="560" w:lineRule="exact"/>
        <w:ind w:firstLine="960" w:firstLineChars="400"/>
        <w:rPr>
          <w:rFonts w:ascii="仿宋" w:hAnsi="仿宋" w:eastAsia="仿宋" w:cs="仿宋"/>
          <w:color w:val="auto"/>
          <w:sz w:val="24"/>
          <w:highlight w:val="none"/>
        </w:rPr>
      </w:pPr>
      <w:r>
        <w:rPr>
          <w:rFonts w:hint="eastAsia" w:ascii="仿宋" w:hAnsi="仿宋" w:eastAsia="仿宋" w:cs="仿宋"/>
          <w:color w:val="auto"/>
          <w:sz w:val="24"/>
          <w:highlight w:val="none"/>
        </w:rPr>
        <w:t xml:space="preserve"> 以上企业，不属于大企业的分支机构，不存在控股股东为大企业的情形，也不存在与大企业的负责人为同一人的情形。 本企业对上述声明内容的真实性负责。如有虚假，将依 法承担相应责任。 </w:t>
      </w:r>
    </w:p>
    <w:p>
      <w:pPr>
        <w:tabs>
          <w:tab w:val="left" w:pos="2996"/>
        </w:tabs>
        <w:spacing w:line="600" w:lineRule="exact"/>
        <w:ind w:firstLine="480" w:firstLineChars="200"/>
        <w:rPr>
          <w:rFonts w:ascii="仿宋" w:hAnsi="仿宋" w:eastAsia="仿宋" w:cs="仿宋"/>
          <w:color w:val="auto"/>
          <w:sz w:val="24"/>
          <w:highlight w:val="none"/>
        </w:rPr>
      </w:pPr>
    </w:p>
    <w:p>
      <w:pPr>
        <w:tabs>
          <w:tab w:val="left" w:pos="2996"/>
        </w:tabs>
        <w:spacing w:line="600" w:lineRule="exact"/>
        <w:ind w:firstLine="480" w:firstLineChars="200"/>
        <w:rPr>
          <w:rFonts w:ascii="仿宋" w:hAnsi="仿宋" w:eastAsia="仿宋" w:cs="仿宋"/>
          <w:color w:val="auto"/>
          <w:sz w:val="24"/>
          <w:highlight w:val="none"/>
        </w:rPr>
      </w:pPr>
    </w:p>
    <w:p>
      <w:pPr>
        <w:tabs>
          <w:tab w:val="left" w:pos="2996"/>
        </w:tabs>
        <w:spacing w:line="600" w:lineRule="exact"/>
        <w:ind w:firstLine="480" w:firstLineChars="200"/>
        <w:jc w:val="right"/>
        <w:rPr>
          <w:rFonts w:ascii="仿宋" w:hAnsi="仿宋" w:eastAsia="仿宋" w:cs="仿宋"/>
          <w:color w:val="auto"/>
          <w:sz w:val="24"/>
          <w:highlight w:val="none"/>
        </w:rPr>
      </w:pPr>
      <w:r>
        <w:rPr>
          <w:rFonts w:hint="eastAsia" w:ascii="仿宋" w:hAnsi="仿宋" w:eastAsia="仿宋" w:cs="仿宋"/>
          <w:color w:val="auto"/>
          <w:sz w:val="24"/>
          <w:highlight w:val="none"/>
        </w:rPr>
        <w:t>供应商名称（盖章）：</w:t>
      </w:r>
    </w:p>
    <w:p>
      <w:pPr>
        <w:tabs>
          <w:tab w:val="left" w:pos="2996"/>
        </w:tabs>
        <w:spacing w:line="600" w:lineRule="exact"/>
        <w:ind w:firstLine="480" w:firstLineChars="200"/>
        <w:jc w:val="right"/>
        <w:rPr>
          <w:rFonts w:ascii="仿宋" w:hAnsi="仿宋" w:eastAsia="仿宋" w:cs="仿宋"/>
          <w:color w:val="auto"/>
          <w:sz w:val="24"/>
          <w:highlight w:val="none"/>
        </w:rPr>
      </w:pPr>
      <w:r>
        <w:rPr>
          <w:rFonts w:hint="eastAsia" w:ascii="仿宋" w:hAnsi="仿宋" w:eastAsia="仿宋" w:cs="仿宋"/>
          <w:color w:val="auto"/>
          <w:sz w:val="24"/>
          <w:highlight w:val="none"/>
        </w:rPr>
        <w:t>日　期：</w:t>
      </w:r>
    </w:p>
    <w:p>
      <w:pPr>
        <w:spacing w:line="600" w:lineRule="exact"/>
        <w:rPr>
          <w:rFonts w:ascii="仿宋" w:hAnsi="仿宋" w:eastAsia="仿宋" w:cs="仿宋"/>
          <w:color w:val="auto"/>
          <w:sz w:val="24"/>
          <w:highlight w:val="none"/>
        </w:rPr>
      </w:pPr>
    </w:p>
    <w:p>
      <w:pPr>
        <w:spacing w:line="600" w:lineRule="exact"/>
        <w:rPr>
          <w:rFonts w:ascii="仿宋" w:hAnsi="仿宋" w:eastAsia="仿宋" w:cs="仿宋"/>
          <w:color w:val="auto"/>
          <w:sz w:val="24"/>
          <w:highlight w:val="none"/>
        </w:rPr>
      </w:pPr>
    </w:p>
    <w:p>
      <w:pPr>
        <w:jc w:val="left"/>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p>
      <w:pPr>
        <w:spacing w:line="360" w:lineRule="auto"/>
        <w:jc w:val="center"/>
        <w:outlineLvl w:val="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监狱企业声明函</w:t>
      </w:r>
    </w:p>
    <w:p>
      <w:pPr>
        <w:spacing w:line="60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【非监狱企业的不用提供】</w:t>
      </w:r>
    </w:p>
    <w:p>
      <w:pPr>
        <w:spacing w:line="6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本企业郑重声明，根据《关于政府采购支持监狱企业发展有关问题的通知》(财库[2014]68号）的规定，本企业为监狱企业。</w:t>
      </w:r>
    </w:p>
    <w:p>
      <w:pPr>
        <w:spacing w:line="6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根据上述标准，我企业属于监狱企业的理由为:</w:t>
      </w:r>
    </w:p>
    <w:p>
      <w:pPr>
        <w:spacing w:line="6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本企业为参加(项目名称:) (项目编号:)采购活动提供本企业的产品。</w:t>
      </w:r>
    </w:p>
    <w:p>
      <w:pPr>
        <w:spacing w:line="600" w:lineRule="exact"/>
        <w:ind w:firstLine="360" w:firstLineChars="150"/>
        <w:rPr>
          <w:rFonts w:ascii="仿宋" w:hAnsi="仿宋" w:eastAsia="仿宋" w:cs="仿宋"/>
          <w:color w:val="auto"/>
          <w:sz w:val="24"/>
          <w:highlight w:val="none"/>
        </w:rPr>
      </w:pPr>
      <w:r>
        <w:rPr>
          <w:rFonts w:hint="eastAsia" w:ascii="仿宋" w:hAnsi="仿宋" w:eastAsia="仿宋" w:cs="仿宋"/>
          <w:color w:val="auto"/>
          <w:sz w:val="24"/>
          <w:highlight w:val="none"/>
        </w:rPr>
        <w:t>本企业对上述声明的真实性负责。如有虚假，将依法承担相应责任。</w:t>
      </w:r>
    </w:p>
    <w:p>
      <w:pPr>
        <w:spacing w:line="600" w:lineRule="exact"/>
        <w:rPr>
          <w:rFonts w:ascii="仿宋" w:hAnsi="仿宋" w:eastAsia="仿宋" w:cs="仿宋"/>
          <w:color w:val="auto"/>
          <w:sz w:val="24"/>
          <w:highlight w:val="none"/>
        </w:rPr>
      </w:pPr>
    </w:p>
    <w:p>
      <w:pPr>
        <w:spacing w:line="600" w:lineRule="exact"/>
        <w:ind w:firstLine="360" w:firstLineChars="150"/>
        <w:jc w:val="right"/>
        <w:rPr>
          <w:rFonts w:ascii="仿宋" w:hAnsi="仿宋" w:eastAsia="仿宋" w:cs="仿宋"/>
          <w:color w:val="auto"/>
          <w:sz w:val="24"/>
          <w:highlight w:val="none"/>
        </w:rPr>
      </w:pPr>
      <w:r>
        <w:rPr>
          <w:rFonts w:hint="eastAsia" w:ascii="仿宋" w:hAnsi="仿宋" w:eastAsia="仿宋" w:cs="仿宋"/>
          <w:color w:val="auto"/>
          <w:sz w:val="24"/>
          <w:highlight w:val="none"/>
        </w:rPr>
        <w:t>供应商名称(盖章) :</w:t>
      </w:r>
    </w:p>
    <w:p>
      <w:pPr>
        <w:spacing w:line="600" w:lineRule="exact"/>
        <w:ind w:firstLine="360" w:firstLineChars="150"/>
        <w:jc w:val="right"/>
        <w:rPr>
          <w:rFonts w:ascii="仿宋" w:hAnsi="仿宋" w:eastAsia="仿宋" w:cs="仿宋"/>
          <w:color w:val="auto"/>
          <w:sz w:val="24"/>
          <w:highlight w:val="none"/>
        </w:rPr>
      </w:pPr>
      <w:r>
        <w:rPr>
          <w:rFonts w:hint="eastAsia" w:ascii="仿宋" w:hAnsi="仿宋" w:eastAsia="仿宋" w:cs="仿宋"/>
          <w:color w:val="auto"/>
          <w:sz w:val="24"/>
          <w:highlight w:val="none"/>
        </w:rPr>
        <w:t>日期:  年  月   日</w:t>
      </w:r>
    </w:p>
    <w:p>
      <w:pPr>
        <w:spacing w:line="600" w:lineRule="exact"/>
        <w:ind w:firstLine="360" w:firstLineChars="150"/>
        <w:jc w:val="right"/>
        <w:rPr>
          <w:rFonts w:ascii="仿宋" w:hAnsi="仿宋" w:eastAsia="仿宋" w:cs="仿宋"/>
          <w:color w:val="auto"/>
          <w:sz w:val="24"/>
          <w:highlight w:val="none"/>
        </w:rPr>
      </w:pPr>
    </w:p>
    <w:p>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注：1、根据《关于政府采购支持监狱企业发展有关问题的通知》（财库[2014]68 号）的规定，供应商提供由省级以上监狱管理局、戒毒管理局（含新疆生产建设兵团）出具的属于监狱企业证明文件的，视同为小型和微型企业小微企业名录；</w:t>
      </w:r>
    </w:p>
    <w:p>
      <w:pPr>
        <w:spacing w:line="6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2、监狱企业参加政府采购活动时，应当提供由省级以上监狱管理局、戒毒管理局(含新疆生产建设兵团)出具的属于监狱企业的证明文件；</w:t>
      </w:r>
    </w:p>
    <w:p>
      <w:pPr>
        <w:spacing w:line="6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pPr>
        <w:spacing w:line="540" w:lineRule="exact"/>
        <w:rPr>
          <w:rFonts w:ascii="仿宋" w:hAnsi="仿宋" w:eastAsia="仿宋" w:cs="仿宋"/>
          <w:color w:val="auto"/>
          <w:sz w:val="24"/>
          <w:highlight w:val="none"/>
        </w:rPr>
      </w:pPr>
    </w:p>
    <w:p>
      <w:pPr>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p>
      <w:pPr>
        <w:spacing w:line="360" w:lineRule="auto"/>
        <w:jc w:val="center"/>
        <w:outlineLvl w:val="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残疾人福利性单位声明函</w:t>
      </w:r>
    </w:p>
    <w:p>
      <w:pPr>
        <w:spacing w:line="60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【非残疾人福利性单位不用提供】</w:t>
      </w:r>
    </w:p>
    <w:p>
      <w:pPr>
        <w:spacing w:line="6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本单位郑重声明，根据《财政部民政部中国残疾人联合会关于促进残疾人就业政府采购政策的通知》(财库(2017) 141号)的规定。本单位为符合条件的残疾人福利性单位，且本单位参加(采购人名称)单位的(项目名称)项目采购活动提供本单位制造的货物(由本单位承担工程/提供服务)，或者提供其他残疾人福利性单位制造的货物(不包括使用非残疾人福利性单位注册商标的货物)。</w:t>
      </w:r>
    </w:p>
    <w:p>
      <w:pPr>
        <w:spacing w:line="6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本单位对上述声明的真实性负责，如有虚假，将依法承但相应责任。</w:t>
      </w:r>
    </w:p>
    <w:p>
      <w:pPr>
        <w:spacing w:line="600" w:lineRule="exact"/>
        <w:ind w:firstLine="480" w:firstLineChars="200"/>
        <w:rPr>
          <w:rFonts w:ascii="仿宋" w:hAnsi="仿宋" w:eastAsia="仿宋" w:cs="仿宋"/>
          <w:color w:val="auto"/>
          <w:sz w:val="24"/>
          <w:highlight w:val="none"/>
        </w:rPr>
      </w:pPr>
    </w:p>
    <w:p>
      <w:pPr>
        <w:spacing w:line="600" w:lineRule="exact"/>
        <w:ind w:firstLine="480" w:firstLineChars="200"/>
        <w:rPr>
          <w:rFonts w:ascii="仿宋" w:hAnsi="仿宋" w:eastAsia="仿宋" w:cs="仿宋"/>
          <w:color w:val="auto"/>
          <w:sz w:val="24"/>
          <w:highlight w:val="none"/>
        </w:rPr>
      </w:pPr>
    </w:p>
    <w:p>
      <w:pPr>
        <w:spacing w:line="600" w:lineRule="exact"/>
        <w:ind w:firstLine="480" w:firstLineChars="200"/>
        <w:jc w:val="right"/>
        <w:rPr>
          <w:rFonts w:ascii="仿宋" w:hAnsi="仿宋" w:eastAsia="仿宋" w:cs="仿宋"/>
          <w:color w:val="auto"/>
          <w:sz w:val="24"/>
          <w:highlight w:val="none"/>
        </w:rPr>
      </w:pPr>
      <w:r>
        <w:rPr>
          <w:rFonts w:hint="eastAsia" w:ascii="仿宋" w:hAnsi="仿宋" w:eastAsia="仿宋" w:cs="仿宋"/>
          <w:color w:val="auto"/>
          <w:sz w:val="24"/>
          <w:highlight w:val="none"/>
        </w:rPr>
        <w:t>供应商名称(盖章)：</w:t>
      </w:r>
    </w:p>
    <w:p>
      <w:pPr>
        <w:spacing w:line="600" w:lineRule="exact"/>
        <w:ind w:firstLine="480" w:firstLineChars="200"/>
        <w:jc w:val="right"/>
        <w:rPr>
          <w:rFonts w:ascii="仿宋" w:hAnsi="仿宋" w:eastAsia="仿宋" w:cs="仿宋"/>
          <w:color w:val="auto"/>
          <w:sz w:val="24"/>
          <w:highlight w:val="none"/>
        </w:rPr>
      </w:pPr>
      <w:r>
        <w:rPr>
          <w:rFonts w:hint="eastAsia" w:ascii="仿宋" w:hAnsi="仿宋" w:eastAsia="仿宋" w:cs="仿宋"/>
          <w:color w:val="auto"/>
          <w:sz w:val="24"/>
          <w:highlight w:val="none"/>
        </w:rPr>
        <w:t>日期：  年  月  日</w:t>
      </w:r>
    </w:p>
    <w:p>
      <w:pPr>
        <w:spacing w:line="360" w:lineRule="auto"/>
        <w:rPr>
          <w:rFonts w:ascii="仿宋" w:hAnsi="仿宋" w:eastAsia="仿宋" w:cs="仿宋"/>
          <w:b/>
          <w:color w:val="auto"/>
          <w:szCs w:val="28"/>
          <w:highlight w:val="none"/>
        </w:rPr>
      </w:pPr>
    </w:p>
    <w:p>
      <w:pPr>
        <w:spacing w:line="360" w:lineRule="auto"/>
        <w:rPr>
          <w:rFonts w:ascii="仿宋" w:hAnsi="仿宋" w:eastAsia="仿宋" w:cs="仿宋"/>
          <w:b/>
          <w:color w:val="auto"/>
          <w:szCs w:val="28"/>
          <w:highlight w:val="none"/>
        </w:rPr>
      </w:pPr>
    </w:p>
    <w:p>
      <w:pPr>
        <w:spacing w:line="360" w:lineRule="auto"/>
        <w:rPr>
          <w:rFonts w:ascii="仿宋" w:hAnsi="仿宋" w:eastAsia="仿宋" w:cs="仿宋"/>
          <w:b/>
          <w:color w:val="auto"/>
          <w:szCs w:val="28"/>
          <w:highlight w:val="none"/>
        </w:rPr>
      </w:pPr>
    </w:p>
    <w:p>
      <w:pPr>
        <w:spacing w:line="600" w:lineRule="exact"/>
        <w:rPr>
          <w:rFonts w:ascii="仿宋" w:hAnsi="仿宋" w:eastAsia="仿宋" w:cs="仿宋"/>
          <w:color w:val="auto"/>
          <w:sz w:val="24"/>
          <w:highlight w:val="none"/>
        </w:rPr>
      </w:pPr>
      <w:r>
        <w:rPr>
          <w:rFonts w:hint="eastAsia" w:ascii="仿宋" w:hAnsi="仿宋" w:eastAsia="仿宋" w:cs="仿宋"/>
          <w:color w:val="auto"/>
          <w:sz w:val="24"/>
          <w:highlight w:val="none"/>
        </w:rPr>
        <w:t>注：符合《关于促进残疾人就业政府采购政策的通知》（财库〔2017〕141 号）规定的条件并提供《残疾人福利性单位声明函》的残疾人福利性单位视同小型、微型企业。</w:t>
      </w:r>
    </w:p>
    <w:p>
      <w:pPr>
        <w:pStyle w:val="36"/>
        <w:rPr>
          <w:rFonts w:ascii="仿宋" w:hAnsi="仿宋" w:eastAsia="仿宋" w:cs="仿宋"/>
          <w:color w:val="auto"/>
          <w:highlight w:val="none"/>
        </w:rPr>
      </w:pPr>
    </w:p>
    <w:p>
      <w:pPr>
        <w:rPr>
          <w:rFonts w:ascii="仿宋" w:hAnsi="仿宋" w:eastAsia="仿宋" w:cs="仿宋"/>
          <w:color w:val="auto"/>
          <w:sz w:val="24"/>
          <w:highlight w:val="none"/>
        </w:rPr>
      </w:pPr>
    </w:p>
    <w:p>
      <w:pPr>
        <w:pStyle w:val="36"/>
        <w:rPr>
          <w:rFonts w:ascii="仿宋" w:hAnsi="仿宋" w:eastAsia="仿宋" w:cs="仿宋"/>
          <w:color w:val="auto"/>
          <w:highlight w:val="none"/>
        </w:rPr>
      </w:pPr>
    </w:p>
    <w:p>
      <w:pPr>
        <w:rPr>
          <w:rFonts w:ascii="仿宋" w:hAnsi="仿宋" w:eastAsia="仿宋" w:cs="仿宋"/>
          <w:color w:val="auto"/>
          <w:sz w:val="24"/>
          <w:highlight w:val="none"/>
        </w:rPr>
      </w:pPr>
    </w:p>
    <w:p>
      <w:pPr>
        <w:pStyle w:val="36"/>
        <w:rPr>
          <w:rFonts w:ascii="仿宋" w:hAnsi="仿宋" w:eastAsia="仿宋" w:cs="仿宋"/>
          <w:color w:val="auto"/>
          <w:highlight w:val="none"/>
        </w:rPr>
      </w:pPr>
    </w:p>
    <w:p>
      <w:pPr>
        <w:rPr>
          <w:rFonts w:ascii="仿宋" w:hAnsi="仿宋" w:eastAsia="仿宋" w:cs="仿宋"/>
          <w:color w:val="auto"/>
          <w:sz w:val="24"/>
          <w:highlight w:val="none"/>
        </w:rPr>
      </w:pPr>
    </w:p>
    <w:p>
      <w:pPr>
        <w:pStyle w:val="36"/>
        <w:rPr>
          <w:rFonts w:ascii="仿宋" w:hAnsi="仿宋" w:eastAsia="仿宋" w:cs="仿宋"/>
          <w:color w:val="auto"/>
          <w:highlight w:val="none"/>
        </w:rPr>
      </w:pPr>
    </w:p>
    <w:p>
      <w:pPr>
        <w:rPr>
          <w:rFonts w:ascii="仿宋" w:hAnsi="仿宋" w:eastAsia="仿宋" w:cs="仿宋"/>
          <w:color w:val="auto"/>
          <w:sz w:val="24"/>
          <w:highlight w:val="none"/>
        </w:rPr>
      </w:pPr>
    </w:p>
    <w:p>
      <w:pPr>
        <w:pStyle w:val="36"/>
        <w:rPr>
          <w:rFonts w:ascii="仿宋" w:hAnsi="仿宋" w:eastAsia="仿宋" w:cs="仿宋"/>
          <w:color w:val="auto"/>
          <w:highlight w:val="none"/>
        </w:rPr>
      </w:pPr>
    </w:p>
    <w:p>
      <w:pPr>
        <w:rPr>
          <w:rFonts w:ascii="仿宋" w:hAnsi="仿宋" w:eastAsia="仿宋" w:cs="仿宋"/>
          <w:color w:val="auto"/>
          <w:sz w:val="24"/>
          <w:highlight w:val="none"/>
        </w:rPr>
      </w:pPr>
    </w:p>
    <w:p>
      <w:pPr>
        <w:pStyle w:val="36"/>
        <w:rPr>
          <w:color w:val="auto"/>
          <w:highlight w:val="none"/>
        </w:rPr>
      </w:pPr>
    </w:p>
    <w:p>
      <w:pPr>
        <w:spacing w:line="600" w:lineRule="exact"/>
        <w:jc w:val="center"/>
        <w:rPr>
          <w:rFonts w:ascii="仿宋" w:hAnsi="仿宋" w:eastAsia="仿宋" w:cs="仿宋"/>
          <w:b/>
          <w:bCs/>
          <w:color w:val="auto"/>
          <w:spacing w:val="24"/>
          <w:sz w:val="28"/>
          <w:szCs w:val="28"/>
          <w:highlight w:val="none"/>
        </w:rPr>
      </w:pPr>
    </w:p>
    <w:p>
      <w:pPr>
        <w:snapToGrid w:val="0"/>
        <w:spacing w:before="156" w:beforeLines="50" w:after="50" w:line="400" w:lineRule="exact"/>
        <w:jc w:val="center"/>
        <w:outlineLvl w:val="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响 应 函</w:t>
      </w:r>
    </w:p>
    <w:p>
      <w:pPr>
        <w:snapToGrid w:val="0"/>
        <w:spacing w:line="600" w:lineRule="exact"/>
        <w:rPr>
          <w:rFonts w:ascii="仿宋" w:hAnsi="仿宋" w:eastAsia="仿宋" w:cs="仿宋"/>
          <w:color w:val="auto"/>
          <w:sz w:val="24"/>
          <w:szCs w:val="20"/>
          <w:highlight w:val="none"/>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u w:val="single"/>
        </w:rPr>
        <w:t>（采购人名称）</w:t>
      </w:r>
      <w:r>
        <w:rPr>
          <w:rFonts w:hint="eastAsia" w:ascii="仿宋" w:hAnsi="仿宋" w:eastAsia="仿宋" w:cs="仿宋"/>
          <w:color w:val="auto"/>
          <w:sz w:val="24"/>
          <w:highlight w:val="none"/>
        </w:rPr>
        <w:t>：</w:t>
      </w:r>
    </w:p>
    <w:p>
      <w:pPr>
        <w:snapToGrid w:val="0"/>
        <w:spacing w:line="600" w:lineRule="exact"/>
        <w:ind w:firstLine="600" w:firstLineChars="250"/>
        <w:rPr>
          <w:rFonts w:ascii="仿宋" w:hAnsi="仿宋" w:eastAsia="仿宋" w:cs="仿宋"/>
          <w:color w:val="auto"/>
          <w:sz w:val="24"/>
          <w:szCs w:val="20"/>
          <w:highlight w:val="none"/>
        </w:rPr>
      </w:pPr>
      <w:r>
        <w:rPr>
          <w:rFonts w:hint="eastAsia" w:ascii="仿宋" w:hAnsi="仿宋" w:eastAsia="仿宋" w:cs="仿宋"/>
          <w:color w:val="auto"/>
          <w:sz w:val="24"/>
          <w:highlight w:val="none"/>
        </w:rPr>
        <w:t>根据贵方</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项目的磋商公告</w:t>
      </w:r>
      <w:r>
        <w:rPr>
          <w:rFonts w:hint="eastAsia" w:ascii="仿宋" w:hAnsi="仿宋" w:eastAsia="仿宋" w:cs="仿宋"/>
          <w:color w:val="auto"/>
          <w:sz w:val="24"/>
          <w:highlight w:val="none"/>
          <w:u w:val="single"/>
        </w:rPr>
        <w:t>（项目编号：）</w:t>
      </w:r>
      <w:r>
        <w:rPr>
          <w:rFonts w:hint="eastAsia" w:ascii="仿宋" w:hAnsi="仿宋" w:eastAsia="仿宋" w:cs="仿宋"/>
          <w:color w:val="auto"/>
          <w:sz w:val="24"/>
          <w:highlight w:val="none"/>
        </w:rPr>
        <w:t>，签字代表</w:t>
      </w:r>
      <w:r>
        <w:rPr>
          <w:rFonts w:hint="eastAsia" w:ascii="仿宋" w:hAnsi="仿宋" w:eastAsia="仿宋" w:cs="仿宋"/>
          <w:color w:val="auto"/>
          <w:sz w:val="24"/>
          <w:highlight w:val="none"/>
          <w:u w:val="single"/>
        </w:rPr>
        <w:t>（全名）</w:t>
      </w:r>
      <w:r>
        <w:rPr>
          <w:rFonts w:hint="eastAsia" w:ascii="仿宋" w:hAnsi="仿宋" w:eastAsia="仿宋" w:cs="仿宋"/>
          <w:color w:val="auto"/>
          <w:sz w:val="24"/>
          <w:highlight w:val="none"/>
        </w:rPr>
        <w:t>经正式授权并代表供应商</w:t>
      </w:r>
      <w:r>
        <w:rPr>
          <w:rFonts w:hint="eastAsia" w:ascii="仿宋" w:hAnsi="仿宋" w:eastAsia="仿宋" w:cs="仿宋"/>
          <w:color w:val="auto"/>
          <w:sz w:val="24"/>
          <w:highlight w:val="none"/>
          <w:u w:val="single"/>
        </w:rPr>
        <w:t>（供应商名称）</w:t>
      </w:r>
      <w:r>
        <w:rPr>
          <w:rFonts w:hint="eastAsia" w:ascii="仿宋" w:hAnsi="仿宋" w:eastAsia="仿宋" w:cs="仿宋"/>
          <w:color w:val="auto"/>
          <w:sz w:val="24"/>
          <w:highlight w:val="none"/>
        </w:rPr>
        <w:t>提交《技术、商务、资信及其他文件》和《首次报价文件》。</w:t>
      </w:r>
    </w:p>
    <w:p>
      <w:pPr>
        <w:snapToGrid w:val="0"/>
        <w:spacing w:line="600" w:lineRule="exact"/>
        <w:ind w:firstLine="480" w:firstLineChars="200"/>
        <w:rPr>
          <w:rFonts w:ascii="仿宋" w:hAnsi="仿宋" w:eastAsia="仿宋" w:cs="仿宋"/>
          <w:color w:val="auto"/>
          <w:sz w:val="24"/>
          <w:szCs w:val="20"/>
          <w:highlight w:val="none"/>
        </w:rPr>
      </w:pPr>
      <w:r>
        <w:rPr>
          <w:rFonts w:hint="eastAsia" w:ascii="仿宋" w:hAnsi="仿宋" w:eastAsia="仿宋" w:cs="仿宋"/>
          <w:color w:val="auto"/>
          <w:sz w:val="24"/>
          <w:highlight w:val="none"/>
        </w:rPr>
        <w:t>据此函，签字代表宣布同意如下：</w:t>
      </w:r>
    </w:p>
    <w:p>
      <w:pPr>
        <w:snapToGrid w:val="0"/>
        <w:spacing w:line="600" w:lineRule="exact"/>
        <w:ind w:firstLine="480" w:firstLineChars="200"/>
        <w:rPr>
          <w:rFonts w:ascii="仿宋" w:hAnsi="仿宋" w:eastAsia="仿宋" w:cs="仿宋"/>
          <w:color w:val="auto"/>
          <w:sz w:val="24"/>
          <w:szCs w:val="20"/>
          <w:highlight w:val="none"/>
        </w:rPr>
      </w:pPr>
      <w:r>
        <w:rPr>
          <w:rFonts w:hint="eastAsia" w:ascii="仿宋" w:hAnsi="仿宋" w:eastAsia="仿宋" w:cs="仿宋"/>
          <w:color w:val="auto"/>
          <w:sz w:val="24"/>
          <w:highlight w:val="none"/>
        </w:rPr>
        <w:t>1.供应商已详细审查全部“磋商文件”，包括修改文件（如有的话）以及全部参考资料和有关附件，已经了解我方对于磋商文件、采购过程、采购结果有依法进行询问、质疑、投诉的权利及相关渠道和要求。</w:t>
      </w:r>
    </w:p>
    <w:p>
      <w:pPr>
        <w:snapToGrid w:val="0"/>
        <w:spacing w:line="600" w:lineRule="exact"/>
        <w:ind w:firstLine="480" w:firstLineChars="200"/>
        <w:rPr>
          <w:rFonts w:ascii="仿宋" w:hAnsi="仿宋" w:eastAsia="仿宋" w:cs="仿宋"/>
          <w:color w:val="auto"/>
          <w:sz w:val="24"/>
          <w:szCs w:val="20"/>
          <w:highlight w:val="none"/>
        </w:rPr>
      </w:pPr>
      <w:r>
        <w:rPr>
          <w:rFonts w:hint="eastAsia" w:ascii="仿宋" w:hAnsi="仿宋" w:eastAsia="仿宋" w:cs="仿宋"/>
          <w:color w:val="auto"/>
          <w:sz w:val="24"/>
          <w:highlight w:val="none"/>
        </w:rPr>
        <w:t>2.供应商在磋商之前已经与贵方进行了充分的沟通，完全理解并接受磋商文件的各项规定和要求，对磋商文件的合理性、合法性不再有异议。</w:t>
      </w:r>
    </w:p>
    <w:p>
      <w:pPr>
        <w:snapToGrid w:val="0"/>
        <w:spacing w:line="600" w:lineRule="exact"/>
        <w:ind w:firstLine="480" w:firstLineChars="200"/>
        <w:rPr>
          <w:rFonts w:ascii="仿宋" w:hAnsi="仿宋" w:eastAsia="仿宋" w:cs="仿宋"/>
          <w:color w:val="auto"/>
          <w:sz w:val="24"/>
          <w:szCs w:val="20"/>
          <w:highlight w:val="none"/>
        </w:rPr>
      </w:pPr>
      <w:r>
        <w:rPr>
          <w:rFonts w:hint="eastAsia" w:ascii="仿宋" w:hAnsi="仿宋" w:eastAsia="仿宋" w:cs="仿宋"/>
          <w:color w:val="auto"/>
          <w:sz w:val="24"/>
          <w:highlight w:val="none"/>
        </w:rPr>
        <w:t>3.本磋商有效期自开标日起</w:t>
      </w:r>
      <w:r>
        <w:rPr>
          <w:rFonts w:hint="eastAsia" w:ascii="仿宋" w:hAnsi="仿宋" w:eastAsia="仿宋" w:cs="仿宋"/>
          <w:color w:val="auto"/>
          <w:sz w:val="24"/>
          <w:highlight w:val="none"/>
          <w:u w:val="single"/>
        </w:rPr>
        <w:t>60</w:t>
      </w:r>
      <w:r>
        <w:rPr>
          <w:rFonts w:hint="eastAsia" w:ascii="仿宋" w:hAnsi="仿宋" w:eastAsia="仿宋" w:cs="仿宋"/>
          <w:color w:val="auto"/>
          <w:sz w:val="24"/>
          <w:highlight w:val="none"/>
        </w:rPr>
        <w:t>个日历天。</w:t>
      </w:r>
    </w:p>
    <w:p>
      <w:pPr>
        <w:snapToGrid w:val="0"/>
        <w:spacing w:line="600" w:lineRule="exact"/>
        <w:ind w:firstLine="480" w:firstLineChars="200"/>
        <w:rPr>
          <w:rFonts w:ascii="仿宋" w:hAnsi="仿宋" w:eastAsia="仿宋" w:cs="仿宋"/>
          <w:color w:val="auto"/>
          <w:sz w:val="24"/>
          <w:szCs w:val="20"/>
          <w:highlight w:val="none"/>
        </w:rPr>
      </w:pPr>
      <w:r>
        <w:rPr>
          <w:rFonts w:hint="eastAsia" w:ascii="仿宋" w:hAnsi="仿宋" w:eastAsia="仿宋" w:cs="仿宋"/>
          <w:color w:val="auto"/>
          <w:sz w:val="24"/>
          <w:highlight w:val="none"/>
        </w:rPr>
        <w:t>4.如成交，本响应文件至本项目合同履行完毕止均保持有效，本供应商将按“磋商文件”及政府采购法律、法规的规定履行合同责任和义务。</w:t>
      </w:r>
    </w:p>
    <w:p>
      <w:pPr>
        <w:snapToGrid w:val="0"/>
        <w:spacing w:line="600" w:lineRule="exact"/>
        <w:ind w:firstLine="480" w:firstLineChars="200"/>
        <w:rPr>
          <w:rFonts w:ascii="仿宋" w:hAnsi="仿宋" w:eastAsia="仿宋" w:cs="仿宋"/>
          <w:color w:val="auto"/>
          <w:sz w:val="24"/>
          <w:szCs w:val="20"/>
          <w:highlight w:val="none"/>
        </w:rPr>
      </w:pPr>
      <w:r>
        <w:rPr>
          <w:rFonts w:hint="eastAsia" w:ascii="仿宋" w:hAnsi="仿宋" w:eastAsia="仿宋" w:cs="仿宋"/>
          <w:color w:val="auto"/>
          <w:sz w:val="24"/>
          <w:highlight w:val="none"/>
        </w:rPr>
        <w:t>5.供应商同意按照贵方要求提供与磋商有关的一切数据或资料。</w:t>
      </w:r>
    </w:p>
    <w:p>
      <w:pPr>
        <w:snapToGrid w:val="0"/>
        <w:spacing w:line="6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6.与本磋商有关的一切正式往来信函请寄：</w:t>
      </w:r>
    </w:p>
    <w:p>
      <w:pPr>
        <w:snapToGrid w:val="0"/>
        <w:spacing w:line="600" w:lineRule="exact"/>
        <w:ind w:firstLine="480" w:firstLineChars="200"/>
        <w:rPr>
          <w:rFonts w:ascii="仿宋" w:hAnsi="仿宋" w:eastAsia="仿宋" w:cs="仿宋"/>
          <w:color w:val="auto"/>
          <w:sz w:val="24"/>
          <w:szCs w:val="20"/>
          <w:highlight w:val="none"/>
        </w:rPr>
      </w:pPr>
    </w:p>
    <w:p>
      <w:pPr>
        <w:snapToGrid w:val="0"/>
        <w:spacing w:line="600" w:lineRule="exact"/>
        <w:rPr>
          <w:rFonts w:ascii="仿宋" w:hAnsi="仿宋" w:eastAsia="仿宋" w:cs="仿宋"/>
          <w:color w:val="auto"/>
          <w:sz w:val="24"/>
          <w:szCs w:val="20"/>
          <w:highlight w:val="none"/>
        </w:rPr>
      </w:pPr>
      <w:r>
        <w:rPr>
          <w:rFonts w:hint="eastAsia" w:ascii="仿宋" w:hAnsi="仿宋" w:eastAsia="仿宋" w:cs="仿宋"/>
          <w:color w:val="auto"/>
          <w:sz w:val="24"/>
          <w:highlight w:val="none"/>
        </w:rPr>
        <w:t>地址：                       邮编：                        电话：</w:t>
      </w:r>
    </w:p>
    <w:p>
      <w:pPr>
        <w:snapToGrid w:val="0"/>
        <w:spacing w:line="600" w:lineRule="exact"/>
        <w:rPr>
          <w:rFonts w:ascii="仿宋" w:hAnsi="仿宋" w:eastAsia="仿宋" w:cs="仿宋"/>
          <w:color w:val="auto"/>
          <w:sz w:val="24"/>
          <w:szCs w:val="20"/>
          <w:highlight w:val="none"/>
        </w:rPr>
      </w:pPr>
      <w:r>
        <w:rPr>
          <w:rFonts w:hint="eastAsia" w:ascii="仿宋" w:hAnsi="仿宋" w:eastAsia="仿宋" w:cs="仿宋"/>
          <w:color w:val="auto"/>
          <w:sz w:val="24"/>
          <w:highlight w:val="none"/>
        </w:rPr>
        <w:t>传真：                       供应商代表姓名：              职务：</w:t>
      </w:r>
    </w:p>
    <w:p>
      <w:pPr>
        <w:snapToGrid w:val="0"/>
        <w:spacing w:line="600" w:lineRule="exact"/>
        <w:rPr>
          <w:rFonts w:ascii="仿宋" w:hAnsi="仿宋" w:eastAsia="仿宋" w:cs="仿宋"/>
          <w:color w:val="auto"/>
          <w:sz w:val="24"/>
          <w:highlight w:val="none"/>
          <w:u w:val="single"/>
        </w:rPr>
      </w:pPr>
      <w:r>
        <w:rPr>
          <w:rFonts w:hint="eastAsia" w:ascii="仿宋" w:hAnsi="仿宋" w:eastAsia="仿宋" w:cs="仿宋"/>
          <w:color w:val="auto"/>
          <w:sz w:val="24"/>
          <w:highlight w:val="none"/>
        </w:rPr>
        <w:t>供应商名称(公章):</w:t>
      </w:r>
    </w:p>
    <w:p>
      <w:pPr>
        <w:snapToGrid w:val="0"/>
        <w:spacing w:line="600" w:lineRule="exact"/>
        <w:rPr>
          <w:rFonts w:ascii="仿宋" w:hAnsi="仿宋" w:eastAsia="仿宋" w:cs="仿宋"/>
          <w:color w:val="auto"/>
          <w:sz w:val="24"/>
          <w:szCs w:val="20"/>
          <w:highlight w:val="none"/>
        </w:rPr>
      </w:pPr>
      <w:r>
        <w:rPr>
          <w:rFonts w:hint="eastAsia" w:ascii="仿宋" w:hAnsi="仿宋" w:eastAsia="仿宋" w:cs="仿宋"/>
          <w:color w:val="auto"/>
          <w:sz w:val="24"/>
          <w:highlight w:val="none"/>
        </w:rPr>
        <w:t>开户银行：                   银行帐号：</w:t>
      </w:r>
    </w:p>
    <w:p>
      <w:pPr>
        <w:snapToGrid w:val="0"/>
        <w:spacing w:line="600" w:lineRule="exact"/>
        <w:rPr>
          <w:rFonts w:ascii="仿宋" w:hAnsi="仿宋" w:eastAsia="仿宋" w:cs="仿宋"/>
          <w:color w:val="auto"/>
          <w:sz w:val="30"/>
          <w:szCs w:val="20"/>
          <w:highlight w:val="none"/>
        </w:rPr>
      </w:pPr>
      <w:r>
        <w:rPr>
          <w:rFonts w:hint="eastAsia" w:ascii="仿宋" w:hAnsi="仿宋" w:eastAsia="仿宋" w:cs="仿宋"/>
          <w:color w:val="auto"/>
          <w:sz w:val="24"/>
          <w:highlight w:val="none"/>
        </w:rPr>
        <w:t>授权代理人签字:              日期:年月日</w:t>
      </w:r>
    </w:p>
    <w:p>
      <w:pPr>
        <w:rPr>
          <w:rFonts w:ascii="仿宋" w:hAnsi="仿宋" w:eastAsia="仿宋" w:cs="仿宋"/>
          <w:b/>
          <w:color w:val="auto"/>
          <w:sz w:val="28"/>
          <w:szCs w:val="28"/>
          <w:highlight w:val="none"/>
          <w:lang w:val="zh-CN"/>
        </w:rPr>
      </w:pPr>
      <w:r>
        <w:rPr>
          <w:rFonts w:hint="eastAsia" w:ascii="仿宋" w:hAnsi="仿宋" w:eastAsia="仿宋" w:cs="仿宋"/>
          <w:b/>
          <w:color w:val="auto"/>
          <w:sz w:val="28"/>
          <w:szCs w:val="28"/>
          <w:highlight w:val="none"/>
          <w:lang w:val="zh-CN"/>
        </w:rPr>
        <w:br w:type="page"/>
      </w:r>
    </w:p>
    <w:p>
      <w:pPr>
        <w:snapToGrid w:val="0"/>
        <w:spacing w:before="156" w:beforeLines="50" w:after="50"/>
        <w:jc w:val="center"/>
        <w:outlineLvl w:val="1"/>
        <w:rPr>
          <w:rFonts w:ascii="仿宋" w:hAnsi="仿宋" w:eastAsia="仿宋" w:cs="仿宋"/>
          <w:b/>
          <w:color w:val="auto"/>
          <w:sz w:val="28"/>
          <w:szCs w:val="28"/>
          <w:highlight w:val="none"/>
          <w:lang w:val="zh-CN"/>
        </w:rPr>
      </w:pPr>
      <w:r>
        <w:rPr>
          <w:rFonts w:hint="eastAsia" w:ascii="仿宋" w:hAnsi="仿宋" w:eastAsia="仿宋" w:cs="仿宋"/>
          <w:b/>
          <w:color w:val="auto"/>
          <w:sz w:val="28"/>
          <w:szCs w:val="28"/>
          <w:highlight w:val="none"/>
          <w:lang w:val="zh-CN"/>
        </w:rPr>
        <w:t>磋商报价表（首次报价）</w:t>
      </w:r>
    </w:p>
    <w:p>
      <w:pPr>
        <w:autoSpaceDE w:val="0"/>
        <w:autoSpaceDN w:val="0"/>
        <w:adjustRightInd w:val="0"/>
        <w:spacing w:line="600" w:lineRule="exact"/>
        <w:ind w:firstLine="6720" w:firstLineChars="2800"/>
        <w:rPr>
          <w:rFonts w:ascii="仿宋" w:hAnsi="仿宋" w:eastAsia="仿宋" w:cs="仿宋"/>
          <w:color w:val="auto"/>
          <w:sz w:val="24"/>
          <w:highlight w:val="none"/>
        </w:rPr>
      </w:pPr>
      <w:r>
        <w:rPr>
          <w:rFonts w:hint="eastAsia" w:ascii="仿宋" w:hAnsi="仿宋" w:eastAsia="仿宋" w:cs="仿宋"/>
          <w:color w:val="auto"/>
          <w:sz w:val="24"/>
          <w:highlight w:val="none"/>
          <w:lang w:val="zh-CN"/>
        </w:rPr>
        <w:t>报价单位：</w:t>
      </w:r>
      <w:r>
        <w:rPr>
          <w:rFonts w:hint="eastAsia" w:ascii="仿宋" w:hAnsi="仿宋" w:eastAsia="仿宋" w:cs="仿宋"/>
          <w:color w:val="auto"/>
          <w:sz w:val="24"/>
          <w:highlight w:val="none"/>
        </w:rPr>
        <w:t>元</w:t>
      </w:r>
    </w:p>
    <w:tbl>
      <w:tblPr>
        <w:tblStyle w:val="26"/>
        <w:tblW w:w="9579"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8"/>
        <w:gridCol w:w="8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1368" w:type="dxa"/>
            <w:tcBorders>
              <w:top w:val="single" w:color="auto" w:sz="4" w:space="0"/>
            </w:tcBorders>
            <w:noWrap/>
            <w:vAlign w:val="center"/>
          </w:tcPr>
          <w:p>
            <w:pPr>
              <w:keepNext w:val="0"/>
              <w:keepLines w:val="0"/>
              <w:suppressLineNumbers w:val="0"/>
              <w:spacing w:before="0" w:beforeAutospacing="0" w:after="0" w:afterAutospacing="0" w:line="540" w:lineRule="exact"/>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项目名称</w:t>
            </w:r>
          </w:p>
        </w:tc>
        <w:tc>
          <w:tcPr>
            <w:tcW w:w="8211" w:type="dxa"/>
            <w:tcBorders>
              <w:top w:val="single" w:color="auto" w:sz="4" w:space="0"/>
              <w:bottom w:val="single" w:color="auto" w:sz="4" w:space="0"/>
            </w:tcBorders>
            <w:noWrap/>
            <w:vAlign w:val="center"/>
          </w:tcPr>
          <w:p>
            <w:pPr>
              <w:keepNext w:val="0"/>
              <w:keepLines w:val="0"/>
              <w:suppressLineNumbers w:val="0"/>
              <w:spacing w:before="0" w:beforeAutospacing="0" w:after="0" w:afterAutospacing="0" w:line="540" w:lineRule="exact"/>
              <w:ind w:left="0" w:right="0"/>
              <w:jc w:val="center"/>
              <w:rPr>
                <w:rFonts w:hint="default" w:ascii="仿宋" w:hAnsi="仿宋" w:eastAsia="仿宋" w:cs="仿宋"/>
                <w:color w:val="auto"/>
                <w:sz w:val="24"/>
                <w:highlight w:val="none"/>
                <w:lang w:val="en-US" w:eastAsia="zh-CN"/>
              </w:rPr>
            </w:pPr>
            <w:r>
              <w:rPr>
                <w:rFonts w:hint="eastAsia" w:ascii="仿宋" w:hAnsi="仿宋" w:eastAsia="仿宋" w:cs="宋体"/>
                <w:bCs/>
                <w:color w:val="auto"/>
                <w:sz w:val="24"/>
                <w:highlight w:val="none"/>
                <w:lang w:eastAsia="zh-CN"/>
              </w:rPr>
              <w:t>2024年度湖州人社核心应用软件系统运维保障服务采购项目（</w:t>
            </w:r>
            <w:r>
              <w:rPr>
                <w:rFonts w:hint="eastAsia" w:ascii="仿宋" w:hAnsi="仿宋" w:eastAsia="仿宋" w:cs="宋体"/>
                <w:bCs/>
                <w:color w:val="auto"/>
                <w:sz w:val="24"/>
                <w:highlight w:val="none"/>
                <w:lang w:val="en-US" w:eastAsia="zh-CN"/>
              </w:rPr>
              <w:t>标项二</w:t>
            </w:r>
            <w:r>
              <w:rPr>
                <w:rFonts w:hint="eastAsia" w:ascii="仿宋" w:hAnsi="仿宋" w:eastAsia="仿宋" w:cs="宋体"/>
                <w:bCs/>
                <w:color w:val="auto"/>
                <w:sz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1368" w:type="dxa"/>
            <w:tcBorders>
              <w:top w:val="single" w:color="auto" w:sz="4" w:space="0"/>
            </w:tcBorders>
            <w:noWrap/>
            <w:vAlign w:val="center"/>
          </w:tcPr>
          <w:p>
            <w:pPr>
              <w:keepNext w:val="0"/>
              <w:keepLines w:val="0"/>
              <w:suppressLineNumbers w:val="0"/>
              <w:autoSpaceDE w:val="0"/>
              <w:autoSpaceDN w:val="0"/>
              <w:adjustRightInd w:val="0"/>
              <w:spacing w:before="0" w:beforeAutospacing="0" w:after="0" w:afterAutospacing="0" w:line="600" w:lineRule="exact"/>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lang w:val="zh-CN"/>
              </w:rPr>
              <w:t>项目编号</w:t>
            </w:r>
          </w:p>
        </w:tc>
        <w:tc>
          <w:tcPr>
            <w:tcW w:w="8211" w:type="dxa"/>
            <w:tcBorders>
              <w:top w:val="single" w:color="auto" w:sz="4" w:space="0"/>
              <w:bottom w:val="single" w:color="auto" w:sz="4" w:space="0"/>
            </w:tcBorders>
            <w:noWrap/>
            <w:vAlign w:val="center"/>
          </w:tcPr>
          <w:p>
            <w:pPr>
              <w:keepNext w:val="0"/>
              <w:keepLines w:val="0"/>
              <w:suppressLineNumbers w:val="0"/>
              <w:spacing w:before="0" w:beforeAutospacing="0" w:after="0" w:afterAutospacing="0" w:line="540" w:lineRule="exact"/>
              <w:ind w:left="0" w:right="0"/>
              <w:jc w:val="center"/>
              <w:rPr>
                <w:rFonts w:hint="default" w:ascii="仿宋" w:hAnsi="仿宋" w:eastAsia="仿宋" w:cs="仿宋"/>
                <w:color w:val="auto"/>
                <w:sz w:val="24"/>
                <w:highlight w:val="none"/>
              </w:rPr>
            </w:pPr>
            <w:r>
              <w:rPr>
                <w:rFonts w:hint="eastAsia" w:ascii="仿宋" w:hAnsi="仿宋" w:eastAsia="仿宋" w:cs="宋体"/>
                <w:bCs/>
                <w:color w:val="auto"/>
                <w:sz w:val="24"/>
                <w:highlight w:val="none"/>
              </w:rPr>
              <w:t>XCXHZ-2024-0</w:t>
            </w:r>
            <w:r>
              <w:rPr>
                <w:rFonts w:hint="eastAsia" w:ascii="仿宋" w:hAnsi="仿宋" w:eastAsia="仿宋" w:cs="宋体"/>
                <w:bCs/>
                <w:color w:val="auto"/>
                <w:sz w:val="24"/>
                <w:highlight w:val="none"/>
                <w:lang w:val="en-US" w:eastAsia="zh-CN"/>
              </w:rPr>
              <w:t>31-002</w:t>
            </w:r>
            <w:r>
              <w:rPr>
                <w:rFonts w:hint="eastAsia" w:ascii="仿宋" w:hAnsi="仿宋" w:eastAsia="仿宋" w:cs="宋体"/>
                <w:bCs/>
                <w:color w:val="auto"/>
                <w:sz w:val="24"/>
                <w:highlight w:val="none"/>
              </w:rPr>
              <w:t>（CG）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18" w:hRule="atLeast"/>
        </w:trPr>
        <w:tc>
          <w:tcPr>
            <w:tcW w:w="1368" w:type="dxa"/>
            <w:noWrap/>
            <w:vAlign w:val="center"/>
          </w:tcPr>
          <w:p>
            <w:pPr>
              <w:keepNext w:val="0"/>
              <w:keepLines w:val="0"/>
              <w:suppressLineNumbers w:val="0"/>
              <w:spacing w:before="0" w:beforeAutospacing="0" w:after="0" w:afterAutospacing="0" w:line="540" w:lineRule="exact"/>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磋商报价</w:t>
            </w:r>
          </w:p>
        </w:tc>
        <w:tc>
          <w:tcPr>
            <w:tcW w:w="8211" w:type="dxa"/>
            <w:tcBorders>
              <w:top w:val="single" w:color="auto" w:sz="4" w:space="0"/>
              <w:bottom w:val="single" w:color="auto" w:sz="4" w:space="0"/>
            </w:tcBorders>
            <w:noWrap/>
            <w:vAlign w:val="center"/>
          </w:tcPr>
          <w:p>
            <w:pPr>
              <w:keepNext w:val="0"/>
              <w:keepLines w:val="0"/>
              <w:suppressLineNumbers w:val="0"/>
              <w:spacing w:before="0" w:beforeAutospacing="0" w:after="0" w:afterAutospacing="0" w:line="540" w:lineRule="exact"/>
              <w:ind w:left="0" w:right="0"/>
              <w:jc w:val="left"/>
              <w:rPr>
                <w:rFonts w:hint="default" w:ascii="仿宋" w:hAnsi="仿宋" w:eastAsia="仿宋" w:cs="仿宋"/>
                <w:color w:val="auto"/>
                <w:sz w:val="24"/>
                <w:highlight w:val="none"/>
              </w:rPr>
            </w:pPr>
            <w:r>
              <w:rPr>
                <w:rFonts w:hint="eastAsia" w:ascii="仿宋" w:hAnsi="仿宋" w:eastAsia="仿宋" w:cs="仿宋"/>
                <w:color w:val="auto"/>
                <w:sz w:val="24"/>
                <w:highlight w:val="none"/>
              </w:rPr>
              <w:t>小写：</w:t>
            </w:r>
          </w:p>
          <w:p>
            <w:pPr>
              <w:keepNext w:val="0"/>
              <w:keepLines w:val="0"/>
              <w:suppressLineNumbers w:val="0"/>
              <w:spacing w:before="0" w:beforeAutospacing="0" w:after="0" w:afterAutospacing="0" w:line="540" w:lineRule="exact"/>
              <w:ind w:left="0" w:right="0"/>
              <w:jc w:val="left"/>
              <w:rPr>
                <w:rFonts w:hint="default" w:ascii="仿宋" w:hAnsi="仿宋" w:eastAsia="仿宋" w:cs="仿宋"/>
                <w:bCs/>
                <w:color w:val="auto"/>
                <w:kern w:val="0"/>
                <w:sz w:val="24"/>
                <w:highlight w:val="none"/>
              </w:rPr>
            </w:pPr>
            <w:r>
              <w:rPr>
                <w:rFonts w:hint="eastAsia" w:ascii="仿宋" w:hAnsi="仿宋" w:eastAsia="仿宋" w:cs="仿宋"/>
                <w:color w:val="auto"/>
                <w:sz w:val="24"/>
                <w:highlight w:val="none"/>
              </w:rPr>
              <w:t>大写：</w:t>
            </w:r>
          </w:p>
        </w:tc>
      </w:tr>
    </w:tbl>
    <w:p>
      <w:pPr>
        <w:pStyle w:val="14"/>
        <w:spacing w:before="156" w:after="156" w:line="480" w:lineRule="exact"/>
        <w:ind w:firstLine="480" w:firstLineChars="200"/>
        <w:rPr>
          <w:rFonts w:ascii="仿宋" w:hAnsi="仿宋" w:eastAsia="仿宋" w:cs="仿宋"/>
          <w:bCs/>
          <w:color w:val="auto"/>
          <w:highlight w:val="none"/>
          <w:u w:val="single"/>
        </w:rPr>
      </w:pPr>
      <w:r>
        <w:rPr>
          <w:rFonts w:hint="eastAsia" w:ascii="仿宋" w:hAnsi="仿宋" w:eastAsia="仿宋" w:cs="仿宋"/>
          <w:bCs/>
          <w:color w:val="auto"/>
          <w:highlight w:val="none"/>
        </w:rPr>
        <w:t xml:space="preserve">注：1、报价一经涂改，应在涂改处加盖单位公章或者由法定代表人或授权委托人签字或盖章，否则其磋商作无效标处理。 </w:t>
      </w:r>
    </w:p>
    <w:p>
      <w:pPr>
        <w:pStyle w:val="14"/>
        <w:spacing w:before="156" w:after="156" w:line="480" w:lineRule="exact"/>
        <w:ind w:firstLine="480" w:firstLineChars="200"/>
        <w:rPr>
          <w:rFonts w:ascii="仿宋" w:hAnsi="仿宋" w:eastAsia="仿宋" w:cs="仿宋"/>
          <w:bCs/>
          <w:color w:val="auto"/>
          <w:highlight w:val="none"/>
        </w:rPr>
      </w:pPr>
      <w:r>
        <w:rPr>
          <w:rFonts w:hint="eastAsia" w:ascii="仿宋" w:hAnsi="仿宋" w:eastAsia="仿宋" w:cs="仿宋"/>
          <w:bCs/>
          <w:color w:val="auto"/>
          <w:highlight w:val="none"/>
        </w:rPr>
        <w:t>2、应包含服务所发生的费用及供应商认为完成本磋商文件规定内容所需发生的其它费用，凡未列入的，将被视为均已包含在磋商总报价中。只允许有一个报价，任何有选择的或有条件的报价将不予接受。</w:t>
      </w:r>
    </w:p>
    <w:p>
      <w:pPr>
        <w:pStyle w:val="14"/>
        <w:spacing w:before="156" w:after="156" w:line="480" w:lineRule="exact"/>
        <w:ind w:firstLine="480" w:firstLineChars="200"/>
        <w:rPr>
          <w:rFonts w:ascii="仿宋" w:hAnsi="仿宋" w:eastAsia="仿宋" w:cs="仿宋"/>
          <w:bCs/>
          <w:color w:val="auto"/>
          <w:highlight w:val="none"/>
        </w:rPr>
      </w:pPr>
      <w:r>
        <w:rPr>
          <w:rFonts w:hint="eastAsia" w:ascii="仿宋" w:hAnsi="仿宋" w:eastAsia="仿宋" w:cs="仿宋"/>
          <w:bCs/>
          <w:color w:val="auto"/>
          <w:highlight w:val="none"/>
        </w:rPr>
        <w:t>3、不提供此表格的将视为没有实质性响应磋商文件。</w:t>
      </w:r>
    </w:p>
    <w:p>
      <w:pPr>
        <w:autoSpaceDE w:val="0"/>
        <w:autoSpaceDN w:val="0"/>
        <w:adjustRightInd w:val="0"/>
        <w:spacing w:line="600" w:lineRule="exact"/>
        <w:rPr>
          <w:color w:val="auto"/>
          <w:highlight w:val="none"/>
          <w:lang w:val="zh-CN"/>
        </w:rPr>
      </w:pPr>
      <w:r>
        <w:rPr>
          <w:rFonts w:hint="eastAsia" w:ascii="仿宋" w:hAnsi="仿宋" w:eastAsia="仿宋" w:cs="仿宋"/>
          <w:color w:val="auto"/>
          <w:sz w:val="24"/>
          <w:highlight w:val="none"/>
        </w:rPr>
        <w:t>供应商名称（公章）：</w:t>
      </w:r>
    </w:p>
    <w:p>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法定代表人或其授权代理人签字或盖章：</w:t>
      </w:r>
    </w:p>
    <w:p>
      <w:pPr>
        <w:spacing w:line="360" w:lineRule="auto"/>
        <w:rPr>
          <w:rFonts w:ascii="仿宋" w:hAnsi="仿宋" w:eastAsia="仿宋" w:cs="仿宋"/>
          <w:b/>
          <w:color w:val="auto"/>
          <w:szCs w:val="28"/>
          <w:highlight w:val="none"/>
        </w:rPr>
      </w:pPr>
      <w:r>
        <w:rPr>
          <w:rFonts w:hint="eastAsia" w:ascii="仿宋" w:hAnsi="仿宋" w:eastAsia="仿宋" w:cs="仿宋"/>
          <w:color w:val="auto"/>
          <w:sz w:val="24"/>
          <w:highlight w:val="none"/>
        </w:rPr>
        <w:t>日期：  年   月  日</w:t>
      </w:r>
    </w:p>
    <w:p>
      <w:pPr>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p>
      <w:pPr>
        <w:pStyle w:val="7"/>
        <w:spacing w:line="500" w:lineRule="exact"/>
        <w:jc w:val="center"/>
        <w:outlineLvl w:val="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磋商代理服务费承诺函</w:t>
      </w:r>
    </w:p>
    <w:p>
      <w:pPr>
        <w:pStyle w:val="7"/>
        <w:spacing w:line="500" w:lineRule="exact"/>
        <w:jc w:val="center"/>
        <w:rPr>
          <w:rFonts w:ascii="仿宋" w:hAnsi="仿宋" w:eastAsia="仿宋" w:cs="仿宋"/>
          <w:b/>
          <w:color w:val="auto"/>
          <w:sz w:val="28"/>
          <w:szCs w:val="28"/>
          <w:highlight w:val="none"/>
        </w:rPr>
      </w:pPr>
    </w:p>
    <w:p>
      <w:pPr>
        <w:pStyle w:val="7"/>
        <w:spacing w:line="720" w:lineRule="exact"/>
        <w:ind w:firstLine="0"/>
        <w:jc w:val="left"/>
        <w:rPr>
          <w:rFonts w:ascii="仿宋" w:hAnsi="仿宋" w:eastAsia="仿宋" w:cs="仿宋"/>
          <w:color w:val="auto"/>
          <w:sz w:val="24"/>
          <w:highlight w:val="none"/>
        </w:rPr>
      </w:pPr>
      <w:r>
        <w:rPr>
          <w:rFonts w:hint="eastAsia" w:ascii="仿宋" w:hAnsi="仿宋" w:eastAsia="仿宋" w:cs="仿宋"/>
          <w:color w:val="auto"/>
          <w:sz w:val="24"/>
          <w:highlight w:val="none"/>
        </w:rPr>
        <w:t>浙江新诚信工程咨询有限公司 ：</w:t>
      </w:r>
    </w:p>
    <w:p>
      <w:pPr>
        <w:pStyle w:val="7"/>
        <w:spacing w:line="72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根据磋商文件的规定，一旦我公司成交，我公司同意按磋商文件要求向贵公司交纳成交项目的磋商代理服务费，在收到成交通知书后的当天一次性结清。</w:t>
      </w:r>
    </w:p>
    <w:p>
      <w:pPr>
        <w:pStyle w:val="7"/>
        <w:spacing w:line="720" w:lineRule="exact"/>
        <w:jc w:val="left"/>
        <w:rPr>
          <w:rFonts w:ascii="仿宋" w:hAnsi="仿宋" w:eastAsia="仿宋" w:cs="仿宋"/>
          <w:color w:val="auto"/>
          <w:sz w:val="24"/>
          <w:highlight w:val="none"/>
        </w:rPr>
      </w:pPr>
      <w:r>
        <w:rPr>
          <w:rFonts w:hint="eastAsia" w:ascii="仿宋" w:hAnsi="仿宋" w:eastAsia="仿宋" w:cs="仿宋"/>
          <w:color w:val="auto"/>
          <w:sz w:val="24"/>
          <w:highlight w:val="none"/>
        </w:rPr>
        <w:t>本承诺函自开标之日起至本次采购期满有效。</w:t>
      </w:r>
    </w:p>
    <w:p>
      <w:pPr>
        <w:pStyle w:val="7"/>
        <w:spacing w:line="720" w:lineRule="exact"/>
        <w:jc w:val="left"/>
        <w:rPr>
          <w:rFonts w:ascii="仿宋" w:hAnsi="仿宋" w:eastAsia="仿宋" w:cs="仿宋"/>
          <w:color w:val="auto"/>
          <w:sz w:val="24"/>
          <w:highlight w:val="none"/>
        </w:rPr>
      </w:pPr>
    </w:p>
    <w:p>
      <w:pPr>
        <w:pStyle w:val="7"/>
        <w:spacing w:line="720" w:lineRule="exact"/>
        <w:jc w:val="left"/>
        <w:rPr>
          <w:rFonts w:ascii="仿宋" w:hAnsi="仿宋" w:eastAsia="仿宋" w:cs="仿宋"/>
          <w:color w:val="auto"/>
          <w:sz w:val="24"/>
          <w:highlight w:val="none"/>
        </w:rPr>
      </w:pPr>
    </w:p>
    <w:p>
      <w:pPr>
        <w:pStyle w:val="7"/>
        <w:spacing w:line="720" w:lineRule="exact"/>
        <w:ind w:firstLine="0"/>
        <w:jc w:val="left"/>
        <w:rPr>
          <w:rFonts w:ascii="仿宋" w:hAnsi="仿宋" w:eastAsia="仿宋" w:cs="仿宋"/>
          <w:color w:val="auto"/>
          <w:sz w:val="24"/>
          <w:highlight w:val="none"/>
        </w:rPr>
      </w:pPr>
      <w:r>
        <w:rPr>
          <w:rFonts w:hint="eastAsia" w:ascii="仿宋" w:hAnsi="仿宋" w:eastAsia="仿宋" w:cs="仿宋"/>
          <w:color w:val="auto"/>
          <w:sz w:val="24"/>
          <w:highlight w:val="none"/>
        </w:rPr>
        <w:t>法定代表人或授权代理人签字：</w:t>
      </w:r>
    </w:p>
    <w:p>
      <w:pPr>
        <w:pStyle w:val="7"/>
        <w:spacing w:line="720" w:lineRule="exact"/>
        <w:ind w:firstLine="0"/>
        <w:jc w:val="left"/>
        <w:rPr>
          <w:rFonts w:ascii="仿宋" w:hAnsi="仿宋" w:eastAsia="仿宋" w:cs="仿宋"/>
          <w:color w:val="auto"/>
          <w:sz w:val="24"/>
          <w:highlight w:val="none"/>
        </w:rPr>
      </w:pPr>
      <w:r>
        <w:rPr>
          <w:rFonts w:hint="eastAsia" w:ascii="仿宋" w:hAnsi="仿宋" w:eastAsia="仿宋" w:cs="仿宋"/>
          <w:color w:val="auto"/>
          <w:sz w:val="24"/>
          <w:highlight w:val="none"/>
        </w:rPr>
        <w:t>供应商公章：</w:t>
      </w:r>
    </w:p>
    <w:p>
      <w:pPr>
        <w:pStyle w:val="7"/>
        <w:spacing w:line="720" w:lineRule="exact"/>
        <w:ind w:firstLine="0"/>
        <w:jc w:val="left"/>
        <w:rPr>
          <w:rFonts w:ascii="仿宋" w:hAnsi="仿宋" w:eastAsia="仿宋" w:cs="仿宋"/>
          <w:color w:val="auto"/>
          <w:sz w:val="24"/>
          <w:highlight w:val="none"/>
        </w:rPr>
      </w:pPr>
      <w:r>
        <w:rPr>
          <w:rFonts w:hint="eastAsia" w:ascii="仿宋" w:hAnsi="仿宋" w:eastAsia="仿宋" w:cs="仿宋"/>
          <w:color w:val="auto"/>
          <w:sz w:val="24"/>
          <w:highlight w:val="none"/>
        </w:rPr>
        <w:t>日期：2024年  月  日</w:t>
      </w:r>
    </w:p>
    <w:p>
      <w:pPr>
        <w:pBdr>
          <w:bottom w:val="single" w:color="auto" w:sz="6" w:space="1"/>
        </w:pBdr>
        <w:spacing w:line="540" w:lineRule="exact"/>
        <w:rPr>
          <w:rFonts w:ascii="仿宋" w:hAnsi="仿宋" w:eastAsia="仿宋" w:cs="仿宋"/>
          <w:color w:val="auto"/>
          <w:sz w:val="24"/>
          <w:highlight w:val="none"/>
        </w:rPr>
      </w:pPr>
    </w:p>
    <w:p>
      <w:pPr>
        <w:spacing w:line="540" w:lineRule="exact"/>
        <w:rPr>
          <w:rFonts w:ascii="仿宋" w:hAnsi="仿宋" w:eastAsia="仿宋" w:cs="仿宋"/>
          <w:color w:val="auto"/>
          <w:sz w:val="24"/>
          <w:highlight w:val="none"/>
        </w:rPr>
      </w:pPr>
    </w:p>
    <w:p>
      <w:pPr>
        <w:autoSpaceDE w:val="0"/>
        <w:autoSpaceDN w:val="0"/>
        <w:adjustRightInd w:val="0"/>
        <w:spacing w:line="460" w:lineRule="atLeast"/>
        <w:ind w:firstLine="360"/>
        <w:jc w:val="left"/>
        <w:rPr>
          <w:rFonts w:ascii="仿宋" w:hAnsi="仿宋" w:eastAsia="仿宋" w:cs="仿宋"/>
          <w:b/>
          <w:bCs/>
          <w:color w:val="auto"/>
          <w:kern w:val="0"/>
          <w:sz w:val="24"/>
          <w:highlight w:val="none"/>
          <w:u w:val="single"/>
        </w:rPr>
      </w:pPr>
      <w:r>
        <w:rPr>
          <w:rFonts w:hint="eastAsia" w:ascii="仿宋" w:hAnsi="仿宋" w:eastAsia="仿宋" w:cs="仿宋"/>
          <w:b/>
          <w:bCs/>
          <w:color w:val="auto"/>
          <w:kern w:val="0"/>
          <w:sz w:val="24"/>
          <w:highlight w:val="none"/>
          <w:u w:val="single"/>
          <w:lang w:val="zh-CN"/>
        </w:rPr>
        <w:t>代理费汇款账号：</w:t>
      </w:r>
    </w:p>
    <w:p>
      <w:pPr>
        <w:autoSpaceDE w:val="0"/>
        <w:autoSpaceDN w:val="0"/>
        <w:adjustRightInd w:val="0"/>
        <w:spacing w:line="460" w:lineRule="atLeast"/>
        <w:ind w:firstLine="360"/>
        <w:jc w:val="left"/>
        <w:rPr>
          <w:rFonts w:ascii="仿宋" w:hAnsi="仿宋" w:eastAsia="仿宋" w:cs="仿宋"/>
          <w:b/>
          <w:bCs/>
          <w:color w:val="auto"/>
          <w:kern w:val="0"/>
          <w:sz w:val="24"/>
          <w:highlight w:val="none"/>
          <w:u w:val="single"/>
        </w:rPr>
      </w:pPr>
    </w:p>
    <w:p>
      <w:pPr>
        <w:widowControl/>
        <w:spacing w:line="360" w:lineRule="auto"/>
        <w:ind w:left="750" w:leftChars="300" w:hanging="120" w:hangingChars="50"/>
        <w:rPr>
          <w:rFonts w:ascii="仿宋" w:hAnsi="仿宋" w:eastAsia="仿宋" w:cs="仿宋"/>
          <w:color w:val="auto"/>
          <w:sz w:val="24"/>
          <w:highlight w:val="none"/>
        </w:rPr>
      </w:pPr>
      <w:r>
        <w:rPr>
          <w:rFonts w:hint="eastAsia" w:ascii="仿宋" w:hAnsi="仿宋" w:eastAsia="仿宋" w:cs="仿宋"/>
          <w:color w:val="auto"/>
          <w:sz w:val="24"/>
          <w:highlight w:val="none"/>
        </w:rPr>
        <w:t>账户名称：浙江新诚信工程咨询有限公司湖州分公司</w:t>
      </w:r>
    </w:p>
    <w:p>
      <w:pPr>
        <w:widowControl/>
        <w:spacing w:line="360" w:lineRule="auto"/>
        <w:ind w:left="750" w:leftChars="300" w:hanging="120" w:hangingChars="50"/>
        <w:rPr>
          <w:rFonts w:ascii="仿宋" w:hAnsi="仿宋" w:eastAsia="仿宋" w:cs="仿宋"/>
          <w:color w:val="auto"/>
          <w:sz w:val="24"/>
          <w:highlight w:val="none"/>
        </w:rPr>
      </w:pPr>
      <w:r>
        <w:rPr>
          <w:rFonts w:hint="eastAsia" w:ascii="仿宋" w:hAnsi="仿宋" w:eastAsia="仿宋" w:cs="仿宋"/>
          <w:color w:val="auto"/>
          <w:sz w:val="24"/>
          <w:highlight w:val="none"/>
        </w:rPr>
        <w:t>开户银行：湖州银行股份有限公司南园支行           </w:t>
      </w:r>
    </w:p>
    <w:p>
      <w:pPr>
        <w:widowControl/>
        <w:spacing w:line="360" w:lineRule="auto"/>
        <w:ind w:left="750" w:leftChars="300" w:hanging="120" w:hangingChars="50"/>
        <w:rPr>
          <w:rFonts w:ascii="仿宋" w:hAnsi="仿宋" w:eastAsia="仿宋" w:cs="仿宋"/>
          <w:color w:val="auto"/>
          <w:sz w:val="24"/>
          <w:highlight w:val="none"/>
        </w:rPr>
      </w:pPr>
      <w:r>
        <w:rPr>
          <w:rFonts w:hint="eastAsia" w:ascii="仿宋" w:hAnsi="仿宋" w:eastAsia="仿宋" w:cs="仿宋"/>
          <w:color w:val="auto"/>
          <w:sz w:val="24"/>
          <w:highlight w:val="none"/>
        </w:rPr>
        <w:t>银行账号：800028090000155</w:t>
      </w:r>
    </w:p>
    <w:p>
      <w:pPr>
        <w:widowControl/>
        <w:spacing w:line="360" w:lineRule="auto"/>
        <w:ind w:left="750" w:leftChars="300" w:hanging="120" w:hangingChars="50"/>
        <w:rPr>
          <w:rFonts w:ascii="仿宋" w:hAnsi="仿宋" w:eastAsia="仿宋" w:cs="仿宋"/>
          <w:color w:val="auto"/>
          <w:sz w:val="24"/>
          <w:highlight w:val="none"/>
        </w:rPr>
      </w:pPr>
      <w:r>
        <w:rPr>
          <w:rFonts w:hint="eastAsia" w:ascii="仿宋" w:hAnsi="仿宋" w:eastAsia="仿宋" w:cs="仿宋"/>
          <w:color w:val="auto"/>
          <w:sz w:val="24"/>
          <w:highlight w:val="none"/>
        </w:rPr>
        <w:t>“用途”一栏注明项目编号XCXHZ-2024-0</w:t>
      </w:r>
      <w:r>
        <w:rPr>
          <w:rFonts w:hint="eastAsia" w:ascii="仿宋" w:hAnsi="仿宋" w:eastAsia="仿宋" w:cs="仿宋"/>
          <w:color w:val="auto"/>
          <w:sz w:val="24"/>
          <w:highlight w:val="none"/>
          <w:lang w:val="en-US" w:eastAsia="zh-CN"/>
        </w:rPr>
        <w:t>31-002</w:t>
      </w:r>
      <w:r>
        <w:rPr>
          <w:rFonts w:hint="eastAsia" w:ascii="仿宋" w:hAnsi="仿宋" w:eastAsia="仿宋" w:cs="仿宋"/>
          <w:color w:val="auto"/>
          <w:sz w:val="24"/>
          <w:highlight w:val="none"/>
        </w:rPr>
        <w:t>(CG)</w:t>
      </w:r>
    </w:p>
    <w:p>
      <w:pPr>
        <w:snapToGrid w:val="0"/>
        <w:spacing w:before="156" w:beforeLines="50" w:after="50"/>
        <w:jc w:val="center"/>
        <w:rPr>
          <w:rFonts w:ascii="仿宋" w:hAnsi="仿宋" w:eastAsia="仿宋" w:cs="仿宋"/>
          <w:b/>
          <w:color w:val="auto"/>
          <w:sz w:val="28"/>
          <w:szCs w:val="28"/>
          <w:highlight w:val="none"/>
          <w:lang w:val="zh-CN"/>
        </w:rPr>
      </w:pPr>
    </w:p>
    <w:p>
      <w:pPr>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p>
      <w:pPr>
        <w:pStyle w:val="2"/>
        <w:spacing w:line="460" w:lineRule="exact"/>
        <w:jc w:val="center"/>
        <w:rPr>
          <w:rFonts w:ascii="仿宋" w:hAnsi="仿宋" w:eastAsia="仿宋" w:cs="仿宋"/>
          <w:color w:val="auto"/>
          <w:sz w:val="36"/>
          <w:szCs w:val="36"/>
          <w:highlight w:val="none"/>
        </w:rPr>
      </w:pPr>
      <w:r>
        <w:rPr>
          <w:rFonts w:hint="eastAsia" w:ascii="仿宋" w:hAnsi="仿宋" w:eastAsia="仿宋" w:cs="仿宋"/>
          <w:color w:val="auto"/>
          <w:kern w:val="2"/>
          <w:sz w:val="36"/>
          <w:szCs w:val="36"/>
          <w:highlight w:val="none"/>
        </w:rPr>
        <w:t>第六章 磋商办法及评分标准</w:t>
      </w:r>
    </w:p>
    <w:p>
      <w:pPr>
        <w:spacing w:line="550" w:lineRule="exact"/>
        <w:ind w:firstLine="42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为公正、公平、科学地选择成交供应商，根据《中华人民共和国政府采购法》、《政府采购竞争性磋商采购方式管理暂行办法》等有关法律法规的规定，并结合本项目的实际，制定本办法。</w:t>
      </w:r>
    </w:p>
    <w:p>
      <w:pPr>
        <w:spacing w:line="550" w:lineRule="exact"/>
        <w:ind w:firstLine="472" w:firstLineChars="196"/>
        <w:outlineLvl w:val="1"/>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一、总则：</w:t>
      </w:r>
    </w:p>
    <w:p>
      <w:pPr>
        <w:spacing w:line="550" w:lineRule="exact"/>
        <w:ind w:left="472"/>
        <w:rPr>
          <w:rFonts w:hint="eastAsia" w:ascii="仿宋" w:hAnsi="仿宋" w:eastAsia="仿宋" w:cs="仿宋"/>
          <w:color w:val="auto"/>
          <w:sz w:val="24"/>
          <w:highlight w:val="none"/>
        </w:rPr>
      </w:pPr>
      <w:r>
        <w:rPr>
          <w:rFonts w:hint="eastAsia" w:ascii="仿宋" w:hAnsi="仿宋" w:eastAsia="仿宋" w:cs="仿宋"/>
          <w:color w:val="auto"/>
          <w:sz w:val="24"/>
          <w:highlight w:val="none"/>
        </w:rPr>
        <w:t>（一）磋商小组遵循公开、公平、公正、科学合理、竞争择优的原则；</w:t>
      </w:r>
    </w:p>
    <w:p>
      <w:pPr>
        <w:spacing w:line="55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（二）磋商由磋商小组负责，磋商小组由采购人以及相关专业的专家共</w:t>
      </w:r>
      <w:r>
        <w:rPr>
          <w:rFonts w:hint="eastAsia" w:ascii="仿宋" w:hAnsi="仿宋" w:eastAsia="仿宋" w:cs="仿宋"/>
          <w:color w:val="auto"/>
          <w:sz w:val="24"/>
          <w:highlight w:val="none"/>
          <w:u w:val="single"/>
        </w:rPr>
        <w:t>3</w:t>
      </w:r>
      <w:r>
        <w:rPr>
          <w:rFonts w:hint="eastAsia" w:ascii="仿宋" w:hAnsi="仿宋" w:eastAsia="仿宋" w:cs="仿宋"/>
          <w:color w:val="auto"/>
          <w:sz w:val="24"/>
          <w:highlight w:val="none"/>
        </w:rPr>
        <w:t>人组成。磋商小组由磋商采购人依据有关规定组建，其中技术、经济专家于磋商前在监管人员的监督下从专家库中随机抽取。有关人员对磋商小组成员名单必须严格保密，与磋商有利害关系的人员不得参加磋商会；</w:t>
      </w:r>
    </w:p>
    <w:p>
      <w:pPr>
        <w:spacing w:line="550" w:lineRule="exact"/>
        <w:ind w:firstLine="360" w:firstLineChars="150"/>
        <w:rPr>
          <w:rFonts w:hint="eastAsia" w:ascii="仿宋" w:hAnsi="仿宋" w:eastAsia="仿宋" w:cs="仿宋"/>
          <w:color w:val="auto"/>
          <w:sz w:val="24"/>
          <w:highlight w:val="none"/>
        </w:rPr>
      </w:pPr>
      <w:r>
        <w:rPr>
          <w:rFonts w:hint="eastAsia" w:ascii="仿宋" w:hAnsi="仿宋" w:eastAsia="仿宋" w:cs="仿宋"/>
          <w:color w:val="auto"/>
          <w:sz w:val="24"/>
          <w:highlight w:val="none"/>
        </w:rPr>
        <w:t>（三）磋商小组成员及参加磋商的其他相关人员应严格遵守国家有关保密的法律、法规和规定，并接受有关部门的监督；</w:t>
      </w:r>
    </w:p>
    <w:p>
      <w:pPr>
        <w:spacing w:line="550" w:lineRule="exact"/>
        <w:ind w:firstLine="360" w:firstLineChars="150"/>
        <w:rPr>
          <w:rFonts w:hint="eastAsia" w:ascii="仿宋" w:hAnsi="仿宋" w:eastAsia="仿宋" w:cs="仿宋"/>
          <w:color w:val="auto"/>
          <w:sz w:val="24"/>
          <w:highlight w:val="none"/>
        </w:rPr>
      </w:pPr>
      <w:r>
        <w:rPr>
          <w:rFonts w:hint="eastAsia" w:ascii="仿宋" w:hAnsi="仿宋" w:eastAsia="仿宋" w:cs="仿宋"/>
          <w:color w:val="auto"/>
          <w:sz w:val="24"/>
          <w:highlight w:val="none"/>
        </w:rPr>
        <w:t>（四）磋商小组应按磋商文件规定的程序进行磋商；</w:t>
      </w:r>
    </w:p>
    <w:p>
      <w:pPr>
        <w:spacing w:line="550" w:lineRule="exact"/>
        <w:ind w:firstLine="360" w:firstLineChars="150"/>
        <w:rPr>
          <w:rFonts w:hint="eastAsia" w:ascii="仿宋" w:hAnsi="仿宋" w:eastAsia="仿宋" w:cs="仿宋"/>
          <w:color w:val="auto"/>
          <w:sz w:val="24"/>
          <w:highlight w:val="none"/>
        </w:rPr>
      </w:pPr>
      <w:r>
        <w:rPr>
          <w:rFonts w:hint="eastAsia" w:ascii="仿宋" w:hAnsi="仿宋" w:eastAsia="仿宋" w:cs="仿宋"/>
          <w:color w:val="auto"/>
          <w:sz w:val="24"/>
          <w:highlight w:val="none"/>
        </w:rPr>
        <w:t>（五）通讯工具管理：在磋商期间，磋商小组每个成员的手机都必须关机；</w:t>
      </w:r>
    </w:p>
    <w:p>
      <w:pPr>
        <w:spacing w:line="550" w:lineRule="exact"/>
        <w:ind w:firstLine="360" w:firstLineChars="150"/>
        <w:rPr>
          <w:rFonts w:hint="eastAsia" w:ascii="仿宋" w:hAnsi="仿宋" w:eastAsia="仿宋" w:cs="仿宋"/>
          <w:color w:val="auto"/>
          <w:sz w:val="24"/>
          <w:highlight w:val="none"/>
        </w:rPr>
      </w:pPr>
      <w:r>
        <w:rPr>
          <w:rFonts w:hint="eastAsia" w:ascii="仿宋" w:hAnsi="仿宋" w:eastAsia="仿宋" w:cs="仿宋"/>
          <w:color w:val="auto"/>
          <w:sz w:val="24"/>
          <w:highlight w:val="none"/>
        </w:rPr>
        <w:t>（六）在磋商期间，磋商小组各成员不得随意离开规定的磋商地点，所有资料由采购代理机构工作人员专门保管和发放。磋商小组成员完成磋商时应如数、及时归还，任何与本项目有关的资料不得带离磋商现场；</w:t>
      </w:r>
    </w:p>
    <w:p>
      <w:pPr>
        <w:spacing w:line="550" w:lineRule="exact"/>
        <w:ind w:firstLine="360" w:firstLineChars="15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（七）本次磋商采用综合评分法，总分为100分，其中价格分</w:t>
      </w:r>
      <w:r>
        <w:rPr>
          <w:rFonts w:hint="eastAsia" w:ascii="仿宋" w:hAnsi="仿宋" w:eastAsia="仿宋" w:cs="仿宋"/>
          <w:bCs/>
          <w:color w:val="auto"/>
          <w:sz w:val="24"/>
          <w:highlight w:val="none"/>
          <w:lang w:val="en-US" w:eastAsia="zh-CN"/>
        </w:rPr>
        <w:t>10</w:t>
      </w:r>
      <w:r>
        <w:rPr>
          <w:rFonts w:hint="eastAsia" w:ascii="仿宋" w:hAnsi="仿宋" w:eastAsia="仿宋" w:cs="仿宋"/>
          <w:bCs/>
          <w:color w:val="auto"/>
          <w:sz w:val="24"/>
          <w:highlight w:val="none"/>
        </w:rPr>
        <w:t>分；技术、商务、资信及其他</w:t>
      </w:r>
      <w:r>
        <w:rPr>
          <w:rFonts w:hint="eastAsia" w:ascii="仿宋" w:hAnsi="仿宋" w:eastAsia="仿宋" w:cs="仿宋"/>
          <w:bCs/>
          <w:color w:val="auto"/>
          <w:sz w:val="24"/>
          <w:highlight w:val="none"/>
          <w:lang w:val="en-US" w:eastAsia="zh-CN"/>
        </w:rPr>
        <w:t>9</w:t>
      </w:r>
      <w:r>
        <w:rPr>
          <w:rFonts w:hint="eastAsia" w:ascii="仿宋" w:hAnsi="仿宋" w:eastAsia="仿宋" w:cs="仿宋"/>
          <w:bCs/>
          <w:color w:val="auto"/>
          <w:sz w:val="24"/>
          <w:highlight w:val="none"/>
        </w:rPr>
        <w:t>0分。合格供应商的评标得分为各项目汇总得分，成交候选资格按评标得分由高到低顺序排列，得分相同的，按磋商报价由低到高顺序排列；得分且磋商报价相同的，按技术得分由高到低顺序排列。技术部分得分仍相同的，由采购人采用随机抽取的方式决定。排名第一的供应商为第一成交候选人,其他供应商成交候选资格依此类推。第一成交候选人放弃成交或者因不可抗力提出不能履行合同，采购人可以确定第二成交候选人为成交人，排名第二的成交候选人因前款同样的原因不能签订合同，采购人可以确定排名第三的成交候选人为成交人，采购人也可选择重新采购。评分过程中采用四舍五入法，并保留小数2位。</w:t>
      </w:r>
    </w:p>
    <w:p>
      <w:pPr>
        <w:spacing w:line="550" w:lineRule="exact"/>
        <w:ind w:firstLine="361" w:firstLineChars="15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二、计算方法：（按评分标准）</w:t>
      </w:r>
    </w:p>
    <w:p>
      <w:pPr>
        <w:spacing w:line="360" w:lineRule="auto"/>
        <w:ind w:firstLine="42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一</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价格分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10分</w:t>
      </w:r>
    </w:p>
    <w:p>
      <w:pPr>
        <w:spacing w:line="360" w:lineRule="auto"/>
        <w:ind w:firstLine="420" w:firstLineChars="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1、价格分采用低价优先法计算、即满足</w:t>
      </w:r>
      <w:r>
        <w:rPr>
          <w:rFonts w:hint="eastAsia" w:ascii="仿宋" w:hAnsi="仿宋" w:eastAsia="仿宋" w:cs="仿宋"/>
          <w:color w:val="auto"/>
          <w:sz w:val="24"/>
          <w:szCs w:val="24"/>
          <w:highlight w:val="none"/>
          <w:lang w:val="en-US" w:eastAsia="zh-CN"/>
        </w:rPr>
        <w:t>磋商文件</w:t>
      </w:r>
      <w:r>
        <w:rPr>
          <w:rFonts w:hint="eastAsia" w:ascii="仿宋" w:hAnsi="仿宋" w:eastAsia="仿宋" w:cs="仿宋"/>
          <w:color w:val="auto"/>
          <w:sz w:val="24"/>
          <w:szCs w:val="24"/>
          <w:highlight w:val="none"/>
        </w:rPr>
        <w:t>要求且最后报价最低的供应商的价格为磋商基准价，其价格分为满分、其他供后商的价格分统一按照下列公式计算</w:t>
      </w:r>
      <w:r>
        <w:rPr>
          <w:rFonts w:hint="eastAsia" w:ascii="仿宋" w:hAnsi="仿宋" w:eastAsia="仿宋" w:cs="仿宋"/>
          <w:color w:val="auto"/>
          <w:sz w:val="24"/>
          <w:szCs w:val="24"/>
          <w:highlight w:val="none"/>
          <w:lang w:eastAsia="zh-CN"/>
        </w:rPr>
        <w:t>：</w:t>
      </w:r>
    </w:p>
    <w:p>
      <w:pPr>
        <w:spacing w:line="360" w:lineRule="auto"/>
        <w:ind w:firstLine="42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磋商报价得分=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基准价/磋商报价</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100</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0%</w:t>
      </w:r>
    </w:p>
    <w:p>
      <w:pPr>
        <w:spacing w:line="360" w:lineRule="auto"/>
        <w:ind w:firstLine="42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二</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技术分、商务资信及其他分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90</w:t>
      </w:r>
      <w:r>
        <w:rPr>
          <w:rFonts w:hint="eastAsia" w:ascii="仿宋" w:hAnsi="仿宋" w:eastAsia="仿宋" w:cs="仿宋"/>
          <w:color w:val="auto"/>
          <w:sz w:val="24"/>
          <w:szCs w:val="24"/>
          <w:highlight w:val="none"/>
        </w:rPr>
        <w:t>分</w:t>
      </w:r>
    </w:p>
    <w:p>
      <w:pPr>
        <w:spacing w:line="360" w:lineRule="auto"/>
        <w:ind w:firstLine="42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1、本项目设技术分</w:t>
      </w:r>
      <w:r>
        <w:rPr>
          <w:rFonts w:hint="eastAsia" w:ascii="仿宋" w:hAnsi="仿宋" w:eastAsia="仿宋" w:cs="仿宋"/>
          <w:color w:val="auto"/>
          <w:sz w:val="24"/>
          <w:szCs w:val="24"/>
          <w:highlight w:val="none"/>
          <w:lang w:val="en-US" w:eastAsia="zh-CN"/>
        </w:rPr>
        <w:t>71</w:t>
      </w:r>
      <w:r>
        <w:rPr>
          <w:rFonts w:hint="eastAsia" w:ascii="仿宋" w:hAnsi="仿宋" w:eastAsia="仿宋" w:cs="仿宋"/>
          <w:color w:val="auto"/>
          <w:sz w:val="24"/>
          <w:szCs w:val="24"/>
          <w:highlight w:val="none"/>
        </w:rPr>
        <w:t>分、商务资信及其他分</w:t>
      </w:r>
      <w:r>
        <w:rPr>
          <w:rFonts w:hint="eastAsia" w:ascii="仿宋" w:hAnsi="仿宋" w:eastAsia="仿宋" w:cs="仿宋"/>
          <w:color w:val="auto"/>
          <w:sz w:val="24"/>
          <w:szCs w:val="24"/>
          <w:highlight w:val="none"/>
          <w:lang w:val="en-US" w:eastAsia="zh-CN"/>
        </w:rPr>
        <w:t>19</w:t>
      </w:r>
      <w:r>
        <w:rPr>
          <w:rFonts w:hint="eastAsia" w:ascii="仿宋" w:hAnsi="仿宋" w:eastAsia="仿宋" w:cs="仿宋"/>
          <w:color w:val="auto"/>
          <w:sz w:val="24"/>
          <w:szCs w:val="24"/>
          <w:highlight w:val="none"/>
        </w:rPr>
        <w:t>分</w:t>
      </w:r>
    </w:p>
    <w:p>
      <w:pPr>
        <w:spacing w:line="360" w:lineRule="auto"/>
        <w:ind w:firstLine="420" w:firstLineChars="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2、技术分、商务资信及其他分的计算</w:t>
      </w:r>
      <w:r>
        <w:rPr>
          <w:rFonts w:hint="eastAsia" w:ascii="仿宋" w:hAnsi="仿宋" w:eastAsia="仿宋" w:cs="仿宋"/>
          <w:color w:val="auto"/>
          <w:sz w:val="24"/>
          <w:szCs w:val="24"/>
          <w:highlight w:val="none"/>
          <w:lang w:eastAsia="zh-CN"/>
        </w:rPr>
        <w:t>：</w:t>
      </w:r>
    </w:p>
    <w:p>
      <w:pPr>
        <w:spacing w:line="360" w:lineRule="auto"/>
        <w:ind w:firstLine="420" w:firstLineChars="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技术分、商务资信及其他分按照磋商小组成员的独立评分结果汇总数的算术平均分计算，计算公式为</w:t>
      </w:r>
      <w:r>
        <w:rPr>
          <w:rFonts w:hint="eastAsia" w:ascii="仿宋" w:hAnsi="仿宋" w:eastAsia="仿宋" w:cs="仿宋"/>
          <w:color w:val="auto"/>
          <w:sz w:val="24"/>
          <w:szCs w:val="24"/>
          <w:highlight w:val="none"/>
          <w:lang w:eastAsia="zh-CN"/>
        </w:rPr>
        <w:t>：</w:t>
      </w:r>
    </w:p>
    <w:p>
      <w:pPr>
        <w:spacing w:line="360" w:lineRule="auto"/>
        <w:ind w:firstLine="420" w:firstLineChars="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技术分、商务资信及其他分=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磋商小组所有成员评分合计数</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磋商小组人员数</w:t>
      </w:r>
      <w:r>
        <w:rPr>
          <w:rFonts w:hint="eastAsia" w:ascii="仿宋" w:hAnsi="仿宋" w:eastAsia="仿宋" w:cs="仿宋"/>
          <w:color w:val="auto"/>
          <w:sz w:val="24"/>
          <w:szCs w:val="24"/>
          <w:highlight w:val="none"/>
          <w:lang w:val="en-US" w:eastAsia="zh-CN"/>
        </w:rPr>
        <w:t>）</w:t>
      </w:r>
    </w:p>
    <w:p>
      <w:pPr>
        <w:spacing w:line="550" w:lineRule="exact"/>
        <w:ind w:firstLine="480" w:firstLineChars="200"/>
        <w:jc w:val="left"/>
        <w:rPr>
          <w:rFonts w:hint="eastAsia" w:ascii="仿宋" w:hAnsi="仿宋" w:eastAsia="仿宋" w:cs="仿宋"/>
          <w:bCs/>
          <w:color w:val="auto"/>
          <w:sz w:val="24"/>
          <w:highlight w:val="none"/>
        </w:rPr>
      </w:pPr>
      <w:r>
        <w:rPr>
          <w:rFonts w:hint="eastAsia" w:ascii="仿宋" w:hAnsi="仿宋" w:eastAsia="仿宋" w:cs="仿宋"/>
          <w:color w:val="auto"/>
          <w:sz w:val="24"/>
          <w:szCs w:val="24"/>
          <w:highlight w:val="none"/>
        </w:rPr>
        <w:t>磋商小组在评审时发现供应商</w:t>
      </w:r>
      <w:r>
        <w:rPr>
          <w:rFonts w:hint="eastAsia" w:ascii="仿宋" w:hAnsi="仿宋" w:eastAsia="仿宋" w:cs="仿宋"/>
          <w:color w:val="auto"/>
          <w:sz w:val="24"/>
          <w:szCs w:val="24"/>
          <w:highlight w:val="none"/>
          <w:lang w:eastAsia="zh-CN"/>
        </w:rPr>
        <w:t>的</w:t>
      </w:r>
      <w:r>
        <w:rPr>
          <w:rFonts w:hint="eastAsia" w:ascii="仿宋" w:hAnsi="仿宋" w:eastAsia="仿宋" w:cs="仿宋"/>
          <w:color w:val="auto"/>
          <w:sz w:val="24"/>
          <w:szCs w:val="24"/>
          <w:highlight w:val="none"/>
        </w:rPr>
        <w:t>报价</w:t>
      </w:r>
      <w:r>
        <w:rPr>
          <w:rFonts w:hint="eastAsia" w:ascii="仿宋" w:hAnsi="仿宋" w:eastAsia="仿宋" w:cs="仿宋"/>
          <w:color w:val="auto"/>
          <w:sz w:val="24"/>
          <w:szCs w:val="24"/>
          <w:highlight w:val="none"/>
          <w:lang w:val="en-US" w:eastAsia="zh-CN"/>
        </w:rPr>
        <w:t>明显</w:t>
      </w:r>
      <w:r>
        <w:rPr>
          <w:rFonts w:hint="eastAsia" w:ascii="仿宋" w:hAnsi="仿宋" w:eastAsia="仿宋" w:cs="仿宋"/>
          <w:color w:val="auto"/>
          <w:sz w:val="24"/>
          <w:szCs w:val="24"/>
          <w:highlight w:val="none"/>
        </w:rPr>
        <w:t>低于成本价的，应当要求供应商书面说明并提供相关证明材料。供应商不能当场合理说明原因并提供证明材料的，磋商小组应将该供应商的磋商文件作无效处理，并在评审报告中说明</w:t>
      </w:r>
      <w:r>
        <w:rPr>
          <w:rFonts w:hint="eastAsia" w:ascii="仿宋" w:hAnsi="仿宋" w:eastAsia="仿宋" w:cs="仿宋"/>
          <w:color w:val="auto"/>
          <w:sz w:val="24"/>
          <w:szCs w:val="24"/>
          <w:highlight w:val="none"/>
          <w:lang w:eastAsia="zh-CN"/>
        </w:rPr>
        <w:t>。</w:t>
      </w:r>
    </w:p>
    <w:tbl>
      <w:tblPr>
        <w:tblStyle w:val="26"/>
        <w:tblpPr w:leftFromText="180" w:rightFromText="180" w:vertAnchor="text" w:horzAnchor="page" w:tblpX="1782" w:tblpY="303"/>
        <w:tblOverlap w:val="never"/>
        <w:tblW w:w="4996" w:type="pct"/>
        <w:tblInd w:w="0" w:type="dxa"/>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autofit"/>
        <w:tblCellMar>
          <w:top w:w="0" w:type="dxa"/>
          <w:left w:w="108" w:type="dxa"/>
          <w:bottom w:w="0" w:type="dxa"/>
          <w:right w:w="108" w:type="dxa"/>
        </w:tblCellMar>
      </w:tblPr>
      <w:tblGrid>
        <w:gridCol w:w="616"/>
        <w:gridCol w:w="1447"/>
        <w:gridCol w:w="6791"/>
        <w:gridCol w:w="766"/>
      </w:tblGrid>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890" w:hRule="atLeast"/>
        </w:trPr>
        <w:tc>
          <w:tcPr>
            <w:tcW w:w="320" w:type="pct"/>
            <w:tcBorders>
              <w:tl2br w:val="nil"/>
              <w:tr2bl w:val="nil"/>
            </w:tcBorders>
            <w:vAlign w:val="center"/>
          </w:tcPr>
          <w:p>
            <w:pPr>
              <w:keepNext w:val="0"/>
              <w:keepLines w:val="0"/>
              <w:suppressLineNumbers w:val="0"/>
              <w:spacing w:before="0" w:beforeAutospacing="0" w:after="0" w:afterAutospacing="0" w:line="360" w:lineRule="auto"/>
              <w:ind w:left="0" w:right="0"/>
              <w:jc w:val="center"/>
              <w:rPr>
                <w:rFonts w:hint="default" w:ascii="仿宋" w:hAnsi="仿宋" w:eastAsia="仿宋" w:cs="仿宋"/>
                <w:b/>
                <w:bCs/>
                <w:color w:val="auto"/>
                <w:sz w:val="24"/>
                <w:szCs w:val="22"/>
              </w:rPr>
            </w:pPr>
            <w:r>
              <w:rPr>
                <w:rFonts w:hint="eastAsia" w:ascii="仿宋" w:hAnsi="仿宋" w:eastAsia="仿宋" w:cs="仿宋"/>
                <w:b/>
                <w:bCs/>
                <w:color w:val="auto"/>
                <w:sz w:val="24"/>
                <w:szCs w:val="22"/>
              </w:rPr>
              <w:t>序号</w:t>
            </w:r>
          </w:p>
        </w:tc>
        <w:tc>
          <w:tcPr>
            <w:tcW w:w="752" w:type="pct"/>
            <w:tcBorders>
              <w:tl2br w:val="nil"/>
              <w:tr2bl w:val="nil"/>
            </w:tcBorders>
            <w:vAlign w:val="center"/>
          </w:tcPr>
          <w:p>
            <w:pPr>
              <w:keepNext w:val="0"/>
              <w:keepLines w:val="0"/>
              <w:suppressLineNumbers w:val="0"/>
              <w:spacing w:before="0" w:beforeAutospacing="0" w:after="0" w:afterAutospacing="0" w:line="360" w:lineRule="auto"/>
              <w:ind w:left="0" w:right="0"/>
              <w:jc w:val="center"/>
              <w:rPr>
                <w:rFonts w:hint="default" w:ascii="仿宋" w:hAnsi="仿宋" w:eastAsia="仿宋" w:cs="仿宋"/>
                <w:b/>
                <w:bCs/>
                <w:color w:val="auto"/>
                <w:sz w:val="24"/>
                <w:szCs w:val="22"/>
              </w:rPr>
            </w:pPr>
            <w:r>
              <w:rPr>
                <w:rFonts w:hint="eastAsia" w:ascii="仿宋" w:hAnsi="仿宋" w:eastAsia="仿宋" w:cs="仿宋"/>
                <w:b/>
                <w:bCs/>
                <w:color w:val="auto"/>
                <w:sz w:val="24"/>
                <w:szCs w:val="22"/>
              </w:rPr>
              <w:t>评分</w:t>
            </w:r>
          </w:p>
          <w:p>
            <w:pPr>
              <w:keepNext w:val="0"/>
              <w:keepLines w:val="0"/>
              <w:suppressLineNumbers w:val="0"/>
              <w:spacing w:before="0" w:beforeAutospacing="0" w:after="0" w:afterAutospacing="0" w:line="360" w:lineRule="auto"/>
              <w:ind w:left="0" w:right="0"/>
              <w:jc w:val="center"/>
              <w:rPr>
                <w:rFonts w:hint="default" w:ascii="仿宋" w:hAnsi="仿宋" w:eastAsia="仿宋" w:cs="仿宋"/>
                <w:b/>
                <w:bCs/>
                <w:color w:val="auto"/>
                <w:sz w:val="24"/>
                <w:szCs w:val="22"/>
              </w:rPr>
            </w:pPr>
            <w:r>
              <w:rPr>
                <w:rFonts w:hint="eastAsia" w:ascii="仿宋" w:hAnsi="仿宋" w:eastAsia="仿宋" w:cs="仿宋"/>
                <w:b/>
                <w:bCs/>
                <w:color w:val="auto"/>
                <w:sz w:val="24"/>
                <w:szCs w:val="22"/>
              </w:rPr>
              <w:t>因素</w:t>
            </w:r>
          </w:p>
        </w:tc>
        <w:tc>
          <w:tcPr>
            <w:tcW w:w="3528" w:type="pct"/>
            <w:tcBorders>
              <w:tl2br w:val="nil"/>
              <w:tr2bl w:val="nil"/>
            </w:tcBorders>
            <w:vAlign w:val="center"/>
          </w:tcPr>
          <w:p>
            <w:pPr>
              <w:keepNext w:val="0"/>
              <w:keepLines w:val="0"/>
              <w:suppressLineNumbers w:val="0"/>
              <w:spacing w:before="0" w:beforeAutospacing="0" w:after="0" w:afterAutospacing="0" w:line="360" w:lineRule="auto"/>
              <w:ind w:left="0" w:right="0"/>
              <w:jc w:val="center"/>
              <w:rPr>
                <w:rFonts w:hint="default" w:ascii="仿宋" w:hAnsi="仿宋" w:eastAsia="仿宋" w:cs="仿宋"/>
                <w:b/>
                <w:bCs/>
                <w:color w:val="auto"/>
                <w:sz w:val="24"/>
                <w:szCs w:val="22"/>
              </w:rPr>
            </w:pPr>
            <w:r>
              <w:rPr>
                <w:rFonts w:hint="eastAsia" w:ascii="仿宋" w:hAnsi="仿宋" w:eastAsia="仿宋" w:cs="仿宋"/>
                <w:b/>
                <w:bCs/>
                <w:color w:val="auto"/>
                <w:sz w:val="24"/>
                <w:szCs w:val="22"/>
              </w:rPr>
              <w:t>评分标准</w:t>
            </w:r>
          </w:p>
        </w:tc>
        <w:tc>
          <w:tcPr>
            <w:tcW w:w="398" w:type="pct"/>
            <w:tcBorders>
              <w:tl2br w:val="nil"/>
              <w:tr2bl w:val="nil"/>
            </w:tcBorders>
            <w:vAlign w:val="center"/>
          </w:tcPr>
          <w:p>
            <w:pPr>
              <w:keepNext w:val="0"/>
              <w:keepLines w:val="0"/>
              <w:suppressLineNumbers w:val="0"/>
              <w:spacing w:before="0" w:beforeAutospacing="0" w:after="0" w:afterAutospacing="0" w:line="360" w:lineRule="auto"/>
              <w:ind w:left="0" w:right="0"/>
              <w:jc w:val="center"/>
              <w:rPr>
                <w:rFonts w:hint="default" w:ascii="仿宋" w:hAnsi="仿宋" w:eastAsia="仿宋" w:cs="仿宋"/>
                <w:b/>
                <w:bCs/>
                <w:color w:val="auto"/>
                <w:sz w:val="24"/>
                <w:szCs w:val="22"/>
              </w:rPr>
            </w:pPr>
            <w:r>
              <w:rPr>
                <w:rFonts w:hint="eastAsia" w:ascii="仿宋" w:hAnsi="仿宋" w:eastAsia="仿宋" w:cs="仿宋"/>
                <w:b/>
                <w:bCs/>
                <w:color w:val="auto"/>
                <w:sz w:val="24"/>
                <w:szCs w:val="22"/>
              </w:rPr>
              <w:t>分值</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890" w:hRule="atLeast"/>
        </w:trPr>
        <w:tc>
          <w:tcPr>
            <w:tcW w:w="320" w:type="pct"/>
            <w:tcBorders>
              <w:tl2br w:val="nil"/>
              <w:tr2bl w:val="nil"/>
            </w:tcBorders>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b/>
                <w:bCs/>
                <w:color w:val="auto"/>
                <w:sz w:val="24"/>
                <w:szCs w:val="22"/>
                <w:lang w:val="en-US" w:eastAsia="zh-CN"/>
              </w:rPr>
            </w:pPr>
            <w:r>
              <w:rPr>
                <w:rFonts w:hint="eastAsia" w:ascii="仿宋" w:hAnsi="仿宋" w:eastAsia="仿宋" w:cs="仿宋"/>
                <w:b/>
                <w:bCs/>
                <w:color w:val="auto"/>
                <w:sz w:val="24"/>
                <w:szCs w:val="22"/>
                <w:lang w:val="en-US" w:eastAsia="zh-CN"/>
              </w:rPr>
              <w:t>一</w:t>
            </w:r>
          </w:p>
        </w:tc>
        <w:tc>
          <w:tcPr>
            <w:tcW w:w="4281" w:type="pct"/>
            <w:gridSpan w:val="2"/>
            <w:tcBorders>
              <w:tl2br w:val="nil"/>
              <w:tr2bl w:val="nil"/>
            </w:tcBorders>
            <w:vAlign w:val="center"/>
          </w:tcPr>
          <w:p>
            <w:pPr>
              <w:keepNext w:val="0"/>
              <w:keepLines w:val="0"/>
              <w:suppressLineNumbers w:val="0"/>
              <w:spacing w:before="0" w:beforeAutospacing="0" w:after="0" w:afterAutospacing="0" w:line="360" w:lineRule="auto"/>
              <w:ind w:left="0" w:right="0"/>
              <w:jc w:val="center"/>
              <w:rPr>
                <w:rFonts w:hint="default" w:ascii="仿宋" w:hAnsi="仿宋" w:eastAsia="仿宋" w:cs="仿宋"/>
                <w:b/>
                <w:bCs/>
                <w:color w:val="auto"/>
                <w:sz w:val="24"/>
                <w:szCs w:val="22"/>
                <w:lang w:val="en-US" w:eastAsia="zh-CN"/>
              </w:rPr>
            </w:pPr>
            <w:r>
              <w:rPr>
                <w:rFonts w:hint="eastAsia" w:ascii="仿宋" w:hAnsi="仿宋" w:eastAsia="仿宋" w:cs="仿宋"/>
                <w:b/>
                <w:bCs/>
                <w:color w:val="auto"/>
                <w:sz w:val="24"/>
                <w:szCs w:val="22"/>
                <w:lang w:val="en-US" w:eastAsia="zh-CN"/>
              </w:rPr>
              <w:t>技术分</w:t>
            </w:r>
          </w:p>
        </w:tc>
        <w:tc>
          <w:tcPr>
            <w:tcW w:w="398" w:type="pct"/>
            <w:tcBorders>
              <w:tl2br w:val="nil"/>
              <w:tr2bl w:val="nil"/>
            </w:tcBorders>
            <w:vAlign w:val="center"/>
          </w:tcPr>
          <w:p>
            <w:pPr>
              <w:keepNext w:val="0"/>
              <w:keepLines w:val="0"/>
              <w:suppressLineNumbers w:val="0"/>
              <w:spacing w:before="0" w:beforeAutospacing="0" w:after="0" w:afterAutospacing="0" w:line="360" w:lineRule="auto"/>
              <w:ind w:left="0" w:right="0"/>
              <w:jc w:val="center"/>
              <w:rPr>
                <w:rFonts w:hint="default" w:ascii="仿宋" w:hAnsi="仿宋" w:eastAsia="仿宋" w:cs="仿宋"/>
                <w:b/>
                <w:bCs/>
                <w:color w:val="auto"/>
                <w:sz w:val="24"/>
                <w:szCs w:val="22"/>
                <w:lang w:val="en-US" w:eastAsia="zh-CN"/>
              </w:rPr>
            </w:pPr>
            <w:r>
              <w:rPr>
                <w:rFonts w:hint="eastAsia" w:ascii="仿宋" w:hAnsi="仿宋" w:eastAsia="仿宋" w:cs="仿宋"/>
                <w:b/>
                <w:bCs/>
                <w:color w:val="auto"/>
                <w:sz w:val="24"/>
                <w:szCs w:val="22"/>
                <w:lang w:val="en-US" w:eastAsia="zh-CN"/>
              </w:rPr>
              <w:t>71分</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320" w:type="pct"/>
            <w:vMerge w:val="restart"/>
            <w:tcBorders>
              <w:tl2br w:val="nil"/>
              <w:tr2bl w:val="nil"/>
            </w:tcBorders>
            <w:vAlign w:val="center"/>
          </w:tcPr>
          <w:p>
            <w:pPr>
              <w:keepNext w:val="0"/>
              <w:keepLines w:val="0"/>
              <w:suppressLineNumbers w:val="0"/>
              <w:spacing w:before="0" w:beforeAutospacing="0" w:after="0" w:afterAutospacing="0" w:line="360" w:lineRule="auto"/>
              <w:ind w:left="0" w:right="0"/>
              <w:rPr>
                <w:rFonts w:hint="default" w:ascii="仿宋" w:hAnsi="仿宋" w:eastAsia="仿宋" w:cs="仿宋"/>
                <w:color w:val="auto"/>
                <w:sz w:val="24"/>
                <w:szCs w:val="22"/>
              </w:rPr>
            </w:pPr>
            <w:r>
              <w:rPr>
                <w:rFonts w:hint="eastAsia" w:ascii="仿宋" w:hAnsi="仿宋" w:eastAsia="仿宋" w:cs="仿宋"/>
                <w:color w:val="auto"/>
                <w:sz w:val="24"/>
                <w:szCs w:val="22"/>
              </w:rPr>
              <w:t>1</w:t>
            </w:r>
          </w:p>
        </w:tc>
        <w:tc>
          <w:tcPr>
            <w:tcW w:w="752" w:type="pct"/>
            <w:vMerge w:val="restart"/>
            <w:tcBorders>
              <w:tl2br w:val="nil"/>
              <w:tr2bl w:val="nil"/>
            </w:tcBorders>
            <w:vAlign w:val="center"/>
          </w:tcPr>
          <w:p>
            <w:pPr>
              <w:keepNext w:val="0"/>
              <w:keepLines w:val="0"/>
              <w:suppressLineNumbers w:val="0"/>
              <w:spacing w:before="0" w:beforeAutospacing="0" w:after="0" w:afterAutospacing="0" w:line="360" w:lineRule="auto"/>
              <w:ind w:left="0" w:right="0"/>
              <w:jc w:val="center"/>
              <w:rPr>
                <w:rFonts w:hint="default" w:ascii="仿宋" w:hAnsi="仿宋" w:eastAsia="仿宋" w:cs="仿宋"/>
                <w:color w:val="auto"/>
                <w:sz w:val="24"/>
                <w:szCs w:val="22"/>
              </w:rPr>
            </w:pPr>
            <w:r>
              <w:rPr>
                <w:rFonts w:hint="eastAsia" w:ascii="仿宋" w:hAnsi="仿宋" w:eastAsia="仿宋" w:cs="仿宋"/>
                <w:color w:val="auto"/>
                <w:sz w:val="24"/>
                <w:szCs w:val="22"/>
              </w:rPr>
              <w:t>项目理解情况</w:t>
            </w:r>
          </w:p>
        </w:tc>
        <w:tc>
          <w:tcPr>
            <w:tcW w:w="3528" w:type="pct"/>
            <w:tcBorders>
              <w:tl2br w:val="nil"/>
              <w:tr2bl w:val="nil"/>
            </w:tcBorders>
            <w:vAlign w:val="center"/>
          </w:tcPr>
          <w:p>
            <w:pPr>
              <w:keepNext w:val="0"/>
              <w:keepLines w:val="0"/>
              <w:suppressLineNumbers w:val="0"/>
              <w:spacing w:before="0" w:beforeAutospacing="0" w:after="0" w:afterAutospacing="0" w:line="360" w:lineRule="auto"/>
              <w:ind w:left="0" w:right="0"/>
              <w:jc w:val="left"/>
              <w:rPr>
                <w:rFonts w:hint="default" w:ascii="等线" w:hAnsi="等线"/>
                <w:color w:val="auto"/>
                <w:sz w:val="24"/>
                <w:szCs w:val="22"/>
              </w:rPr>
            </w:pPr>
            <w:r>
              <w:rPr>
                <w:rFonts w:hint="eastAsia" w:ascii="仿宋" w:hAnsi="仿宋" w:eastAsia="仿宋" w:cs="仿宋"/>
                <w:color w:val="auto"/>
                <w:sz w:val="24"/>
                <w:szCs w:val="22"/>
              </w:rPr>
              <w:t>综合评估供应商对湖州市社保综合管理系统的了解程度，包括系统应用架构、技术架构、系统功能、数据库表情况等内容，分析非常全面、理解非常深得6分；方案存在欠缺，或不符合本项目需求的每处扣0.5分，扣完为止。未提供不得分。</w:t>
            </w:r>
          </w:p>
        </w:tc>
        <w:tc>
          <w:tcPr>
            <w:tcW w:w="398" w:type="pct"/>
            <w:vMerge w:val="restart"/>
            <w:tcBorders>
              <w:tl2br w:val="nil"/>
              <w:tr2bl w:val="nil"/>
            </w:tcBorders>
            <w:vAlign w:val="center"/>
          </w:tcPr>
          <w:p>
            <w:pPr>
              <w:keepNext w:val="0"/>
              <w:keepLines w:val="0"/>
              <w:suppressLineNumbers w:val="0"/>
              <w:spacing w:before="0" w:beforeAutospacing="0" w:after="0" w:afterAutospacing="0" w:line="360" w:lineRule="auto"/>
              <w:ind w:left="0" w:right="0"/>
              <w:jc w:val="center"/>
              <w:rPr>
                <w:rFonts w:hint="default" w:ascii="仿宋" w:hAnsi="仿宋" w:eastAsia="仿宋" w:cs="仿宋"/>
                <w:color w:val="auto"/>
                <w:sz w:val="24"/>
                <w:szCs w:val="22"/>
              </w:rPr>
            </w:pPr>
            <w:r>
              <w:rPr>
                <w:rFonts w:hint="eastAsia" w:ascii="仿宋" w:hAnsi="仿宋" w:eastAsia="仿宋" w:cs="仿宋"/>
                <w:color w:val="auto"/>
                <w:sz w:val="24"/>
                <w:szCs w:val="22"/>
              </w:rPr>
              <w:t>18</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320" w:type="pct"/>
            <w:vMerge w:val="continue"/>
            <w:tcBorders>
              <w:tl2br w:val="nil"/>
              <w:tr2bl w:val="nil"/>
            </w:tcBorders>
            <w:vAlign w:val="center"/>
          </w:tcPr>
          <w:p>
            <w:pPr>
              <w:keepNext w:val="0"/>
              <w:keepLines w:val="0"/>
              <w:suppressLineNumbers w:val="0"/>
              <w:spacing w:before="0" w:beforeAutospacing="0" w:after="0" w:afterAutospacing="0" w:line="360" w:lineRule="auto"/>
              <w:ind w:left="0" w:right="0"/>
              <w:rPr>
                <w:rFonts w:hint="default" w:ascii="仿宋" w:hAnsi="仿宋" w:eastAsia="仿宋" w:cs="仿宋"/>
                <w:color w:val="auto"/>
                <w:sz w:val="24"/>
                <w:szCs w:val="22"/>
              </w:rPr>
            </w:pPr>
          </w:p>
        </w:tc>
        <w:tc>
          <w:tcPr>
            <w:tcW w:w="752" w:type="pct"/>
            <w:vMerge w:val="continue"/>
            <w:tcBorders>
              <w:tl2br w:val="nil"/>
              <w:tr2bl w:val="nil"/>
            </w:tcBorders>
            <w:vAlign w:val="center"/>
          </w:tcPr>
          <w:p>
            <w:pPr>
              <w:keepNext w:val="0"/>
              <w:keepLines w:val="0"/>
              <w:suppressLineNumbers w:val="0"/>
              <w:spacing w:before="0" w:beforeAutospacing="0" w:after="0" w:afterAutospacing="0" w:line="360" w:lineRule="auto"/>
              <w:ind w:left="0" w:right="0"/>
              <w:jc w:val="center"/>
              <w:rPr>
                <w:rFonts w:hint="default" w:ascii="仿宋" w:hAnsi="仿宋" w:eastAsia="仿宋" w:cs="仿宋"/>
                <w:color w:val="auto"/>
                <w:sz w:val="24"/>
                <w:szCs w:val="22"/>
              </w:rPr>
            </w:pPr>
          </w:p>
        </w:tc>
        <w:tc>
          <w:tcPr>
            <w:tcW w:w="3528" w:type="pct"/>
            <w:tcBorders>
              <w:tl2br w:val="nil"/>
              <w:tr2bl w:val="nil"/>
            </w:tcBorders>
            <w:vAlign w:val="center"/>
          </w:tcPr>
          <w:p>
            <w:pPr>
              <w:keepNext w:val="0"/>
              <w:keepLines w:val="0"/>
              <w:suppressLineNumbers w:val="0"/>
              <w:spacing w:before="0" w:beforeAutospacing="0" w:after="0" w:afterAutospacing="0" w:line="360" w:lineRule="auto"/>
              <w:ind w:left="0" w:right="0"/>
              <w:jc w:val="left"/>
              <w:rPr>
                <w:rFonts w:hint="default" w:ascii="仿宋" w:hAnsi="仿宋" w:eastAsia="仿宋" w:cs="仿宋"/>
                <w:color w:val="auto"/>
                <w:sz w:val="24"/>
                <w:szCs w:val="22"/>
              </w:rPr>
            </w:pPr>
            <w:r>
              <w:rPr>
                <w:rFonts w:hint="eastAsia" w:ascii="仿宋" w:hAnsi="仿宋" w:eastAsia="仿宋" w:cs="仿宋"/>
                <w:color w:val="auto"/>
                <w:sz w:val="24"/>
                <w:szCs w:val="22"/>
              </w:rPr>
              <w:t>综合评估供应商对承载浙江社保省集中业务的信息系统的了解程度，包括系统的建设情况、部署情况、业务功能情况、数据库情况等，分析非常全面、理解非常深得6分；方案存在欠缺，或不符合本项目需求的每处扣0.5分，扣完为止。未提供不得分。</w:t>
            </w:r>
          </w:p>
        </w:tc>
        <w:tc>
          <w:tcPr>
            <w:tcW w:w="398" w:type="pct"/>
            <w:vMerge w:val="continue"/>
            <w:tcBorders>
              <w:tl2br w:val="nil"/>
              <w:tr2bl w:val="nil"/>
            </w:tcBorders>
            <w:vAlign w:val="center"/>
          </w:tcPr>
          <w:p>
            <w:pPr>
              <w:keepNext w:val="0"/>
              <w:keepLines w:val="0"/>
              <w:suppressLineNumbers w:val="0"/>
              <w:spacing w:before="0" w:beforeAutospacing="0" w:after="0" w:afterAutospacing="0" w:line="360" w:lineRule="auto"/>
              <w:ind w:left="0" w:right="0"/>
              <w:jc w:val="center"/>
              <w:rPr>
                <w:rFonts w:hint="default" w:ascii="仿宋" w:hAnsi="仿宋" w:eastAsia="仿宋" w:cs="仿宋"/>
                <w:color w:val="auto"/>
                <w:sz w:val="24"/>
                <w:szCs w:val="22"/>
              </w:rPr>
            </w:pP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1273" w:hRule="atLeast"/>
        </w:trPr>
        <w:tc>
          <w:tcPr>
            <w:tcW w:w="320" w:type="pct"/>
            <w:vMerge w:val="continue"/>
            <w:tcBorders>
              <w:tl2br w:val="nil"/>
              <w:tr2bl w:val="nil"/>
            </w:tcBorders>
            <w:vAlign w:val="center"/>
          </w:tcPr>
          <w:p>
            <w:pPr>
              <w:keepNext w:val="0"/>
              <w:keepLines w:val="0"/>
              <w:suppressLineNumbers w:val="0"/>
              <w:spacing w:before="0" w:beforeAutospacing="0" w:after="0" w:afterAutospacing="0" w:line="360" w:lineRule="auto"/>
              <w:ind w:left="0" w:right="0"/>
              <w:rPr>
                <w:rFonts w:hint="default" w:ascii="仿宋" w:hAnsi="仿宋" w:eastAsia="仿宋" w:cs="仿宋"/>
                <w:color w:val="auto"/>
                <w:sz w:val="24"/>
                <w:szCs w:val="22"/>
              </w:rPr>
            </w:pPr>
          </w:p>
        </w:tc>
        <w:tc>
          <w:tcPr>
            <w:tcW w:w="752" w:type="pct"/>
            <w:vMerge w:val="continue"/>
            <w:tcBorders>
              <w:tl2br w:val="nil"/>
              <w:tr2bl w:val="nil"/>
            </w:tcBorders>
            <w:vAlign w:val="center"/>
          </w:tcPr>
          <w:p>
            <w:pPr>
              <w:keepNext w:val="0"/>
              <w:keepLines w:val="0"/>
              <w:suppressLineNumbers w:val="0"/>
              <w:spacing w:before="0" w:beforeAutospacing="0" w:after="0" w:afterAutospacing="0" w:line="360" w:lineRule="auto"/>
              <w:ind w:left="0" w:right="0"/>
              <w:jc w:val="center"/>
              <w:rPr>
                <w:rFonts w:hint="default" w:ascii="仿宋" w:hAnsi="仿宋" w:eastAsia="仿宋" w:cs="仿宋"/>
                <w:color w:val="auto"/>
                <w:sz w:val="24"/>
                <w:szCs w:val="22"/>
              </w:rPr>
            </w:pPr>
          </w:p>
        </w:tc>
        <w:tc>
          <w:tcPr>
            <w:tcW w:w="3528" w:type="pct"/>
            <w:tcBorders>
              <w:tl2br w:val="nil"/>
              <w:tr2bl w:val="nil"/>
            </w:tcBorders>
            <w:vAlign w:val="center"/>
          </w:tcPr>
          <w:p>
            <w:pPr>
              <w:keepNext w:val="0"/>
              <w:keepLines w:val="0"/>
              <w:suppressLineNumbers w:val="0"/>
              <w:spacing w:before="0" w:beforeAutospacing="0" w:after="0" w:afterAutospacing="0" w:line="360" w:lineRule="auto"/>
              <w:ind w:left="0" w:right="0"/>
              <w:jc w:val="left"/>
              <w:rPr>
                <w:rFonts w:hint="default" w:ascii="仿宋" w:hAnsi="仿宋" w:eastAsia="仿宋" w:cs="仿宋"/>
                <w:color w:val="auto"/>
                <w:sz w:val="24"/>
                <w:szCs w:val="22"/>
              </w:rPr>
            </w:pPr>
            <w:r>
              <w:rPr>
                <w:rFonts w:hint="eastAsia" w:ascii="仿宋" w:hAnsi="仿宋" w:eastAsia="仿宋" w:cs="仿宋"/>
                <w:color w:val="auto"/>
                <w:sz w:val="24"/>
                <w:szCs w:val="22"/>
              </w:rPr>
              <w:t>综合评估供应商对本次项目的运维思路、原则、框架等方面的阐述内容，评估供应商是否完全响应运维服务内容要求和项目要求，阐述内容完整、具有针对性且完全符合本项目要求的得6分，欠缺、不合理、不响应的每处扣0.5分，扣完为止。</w:t>
            </w:r>
          </w:p>
        </w:tc>
        <w:tc>
          <w:tcPr>
            <w:tcW w:w="398" w:type="pct"/>
            <w:vMerge w:val="continue"/>
            <w:tcBorders>
              <w:tl2br w:val="nil"/>
              <w:tr2bl w:val="nil"/>
            </w:tcBorders>
            <w:vAlign w:val="center"/>
          </w:tcPr>
          <w:p>
            <w:pPr>
              <w:keepNext w:val="0"/>
              <w:keepLines w:val="0"/>
              <w:suppressLineNumbers w:val="0"/>
              <w:spacing w:before="0" w:beforeAutospacing="0" w:after="0" w:afterAutospacing="0" w:line="360" w:lineRule="auto"/>
              <w:ind w:left="0" w:right="0"/>
              <w:jc w:val="center"/>
              <w:rPr>
                <w:rFonts w:hint="default" w:ascii="仿宋" w:hAnsi="仿宋" w:eastAsia="仿宋" w:cs="仿宋"/>
                <w:color w:val="auto"/>
                <w:sz w:val="24"/>
                <w:szCs w:val="22"/>
              </w:rPr>
            </w:pP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988" w:hRule="atLeast"/>
        </w:trPr>
        <w:tc>
          <w:tcPr>
            <w:tcW w:w="320" w:type="pct"/>
            <w:tcBorders>
              <w:tl2br w:val="nil"/>
              <w:tr2bl w:val="nil"/>
            </w:tcBorders>
            <w:vAlign w:val="center"/>
          </w:tcPr>
          <w:p>
            <w:pPr>
              <w:keepNext w:val="0"/>
              <w:keepLines w:val="0"/>
              <w:suppressLineNumbers w:val="0"/>
              <w:spacing w:before="0" w:beforeAutospacing="0" w:after="0" w:afterAutospacing="0" w:line="360" w:lineRule="auto"/>
              <w:ind w:left="0" w:right="0"/>
              <w:rPr>
                <w:rFonts w:hint="default" w:ascii="仿宋" w:hAnsi="仿宋" w:eastAsia="仿宋" w:cs="仿宋"/>
                <w:color w:val="auto"/>
                <w:sz w:val="24"/>
                <w:szCs w:val="22"/>
              </w:rPr>
            </w:pPr>
            <w:r>
              <w:rPr>
                <w:rFonts w:hint="eastAsia" w:ascii="仿宋" w:hAnsi="仿宋" w:eastAsia="仿宋" w:cs="仿宋"/>
                <w:color w:val="auto"/>
                <w:sz w:val="24"/>
                <w:szCs w:val="22"/>
              </w:rPr>
              <w:t>2</w:t>
            </w:r>
          </w:p>
        </w:tc>
        <w:tc>
          <w:tcPr>
            <w:tcW w:w="752" w:type="pct"/>
            <w:tcBorders>
              <w:tl2br w:val="nil"/>
              <w:tr2bl w:val="nil"/>
            </w:tcBorders>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color w:val="auto"/>
                <w:sz w:val="24"/>
                <w:szCs w:val="22"/>
              </w:rPr>
            </w:pPr>
            <w:r>
              <w:rPr>
                <w:rFonts w:hint="eastAsia" w:ascii="仿宋" w:hAnsi="仿宋" w:eastAsia="仿宋" w:cs="仿宋"/>
                <w:color w:val="auto"/>
                <w:sz w:val="24"/>
                <w:szCs w:val="22"/>
              </w:rPr>
              <w:t>项目分析</w:t>
            </w:r>
          </w:p>
          <w:p>
            <w:pPr>
              <w:keepNext w:val="0"/>
              <w:keepLines w:val="0"/>
              <w:suppressLineNumbers w:val="0"/>
              <w:spacing w:before="0" w:beforeAutospacing="0" w:after="0" w:afterAutospacing="0" w:line="360" w:lineRule="auto"/>
              <w:ind w:left="0" w:right="0"/>
              <w:jc w:val="center"/>
              <w:rPr>
                <w:rFonts w:hint="default" w:ascii="仿宋" w:hAnsi="仿宋" w:eastAsia="仿宋" w:cs="仿宋"/>
                <w:color w:val="auto"/>
                <w:sz w:val="24"/>
                <w:szCs w:val="22"/>
              </w:rPr>
            </w:pPr>
            <w:r>
              <w:rPr>
                <w:rFonts w:hint="eastAsia" w:ascii="仿宋" w:hAnsi="仿宋" w:eastAsia="仿宋" w:cs="仿宋"/>
                <w:color w:val="auto"/>
                <w:sz w:val="24"/>
                <w:szCs w:val="22"/>
              </w:rPr>
              <w:t>方案</w:t>
            </w:r>
          </w:p>
        </w:tc>
        <w:tc>
          <w:tcPr>
            <w:tcW w:w="3528" w:type="pct"/>
            <w:tcBorders>
              <w:tl2br w:val="nil"/>
              <w:tr2bl w:val="nil"/>
            </w:tcBorders>
          </w:tcPr>
          <w:p>
            <w:pPr>
              <w:keepNext w:val="0"/>
              <w:keepLines w:val="0"/>
              <w:suppressLineNumbers w:val="0"/>
              <w:spacing w:before="0" w:beforeAutospacing="0" w:after="0" w:afterAutospacing="0" w:line="360" w:lineRule="auto"/>
              <w:ind w:left="0" w:right="0"/>
              <w:jc w:val="left"/>
              <w:rPr>
                <w:rFonts w:hint="default" w:ascii="仿宋" w:hAnsi="仿宋" w:eastAsia="仿宋" w:cs="仿宋"/>
                <w:color w:val="auto"/>
                <w:sz w:val="24"/>
                <w:szCs w:val="22"/>
              </w:rPr>
            </w:pPr>
            <w:r>
              <w:rPr>
                <w:rFonts w:hint="eastAsia" w:ascii="仿宋" w:hAnsi="仿宋" w:eastAsia="仿宋" w:cs="仿宋"/>
                <w:color w:val="auto"/>
                <w:sz w:val="24"/>
                <w:szCs w:val="22"/>
              </w:rPr>
              <w:t>详细阐述本项目相关现状和存在的问题，并针对问题进行重点难点分析，针对性地提出解决方案的得4分。方案欠缺或不合理的每处扣0.5分，扣完为止；无方案措施的不得分。</w:t>
            </w:r>
          </w:p>
        </w:tc>
        <w:tc>
          <w:tcPr>
            <w:tcW w:w="398" w:type="pct"/>
            <w:tcBorders>
              <w:tl2br w:val="nil"/>
              <w:tr2bl w:val="nil"/>
            </w:tcBorders>
            <w:vAlign w:val="center"/>
          </w:tcPr>
          <w:p>
            <w:pPr>
              <w:keepNext w:val="0"/>
              <w:keepLines w:val="0"/>
              <w:suppressLineNumbers w:val="0"/>
              <w:spacing w:before="0" w:beforeAutospacing="0" w:after="0" w:afterAutospacing="0" w:line="360" w:lineRule="auto"/>
              <w:ind w:left="0" w:right="0"/>
              <w:jc w:val="center"/>
              <w:rPr>
                <w:rFonts w:hint="default" w:ascii="仿宋" w:hAnsi="仿宋" w:eastAsia="仿宋" w:cs="仿宋"/>
                <w:color w:val="auto"/>
                <w:sz w:val="24"/>
                <w:szCs w:val="22"/>
              </w:rPr>
            </w:pPr>
            <w:r>
              <w:rPr>
                <w:rFonts w:hint="eastAsia" w:ascii="仿宋" w:hAnsi="仿宋" w:eastAsia="仿宋" w:cs="仿宋"/>
                <w:color w:val="auto"/>
                <w:sz w:val="24"/>
                <w:szCs w:val="22"/>
              </w:rPr>
              <w:t>4</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320" w:type="pct"/>
            <w:vMerge w:val="restart"/>
            <w:tcBorders>
              <w:tl2br w:val="nil"/>
              <w:tr2bl w:val="nil"/>
            </w:tcBorders>
            <w:vAlign w:val="center"/>
          </w:tcPr>
          <w:p>
            <w:pPr>
              <w:keepNext w:val="0"/>
              <w:keepLines w:val="0"/>
              <w:suppressLineNumbers w:val="0"/>
              <w:spacing w:before="0" w:beforeAutospacing="0" w:after="0" w:afterAutospacing="0" w:line="360" w:lineRule="auto"/>
              <w:ind w:left="0" w:right="0"/>
              <w:rPr>
                <w:rFonts w:hint="default" w:ascii="仿宋" w:hAnsi="仿宋" w:eastAsia="仿宋" w:cs="仿宋"/>
                <w:color w:val="auto"/>
                <w:sz w:val="24"/>
                <w:szCs w:val="22"/>
              </w:rPr>
            </w:pPr>
            <w:r>
              <w:rPr>
                <w:rFonts w:hint="eastAsia" w:ascii="仿宋" w:hAnsi="仿宋" w:eastAsia="仿宋" w:cs="仿宋"/>
                <w:color w:val="auto"/>
                <w:sz w:val="24"/>
                <w:szCs w:val="22"/>
              </w:rPr>
              <w:t>3</w:t>
            </w:r>
          </w:p>
        </w:tc>
        <w:tc>
          <w:tcPr>
            <w:tcW w:w="752" w:type="pct"/>
            <w:vMerge w:val="restart"/>
            <w:tcBorders>
              <w:tl2br w:val="nil"/>
              <w:tr2bl w:val="nil"/>
            </w:tcBorders>
            <w:vAlign w:val="center"/>
          </w:tcPr>
          <w:p>
            <w:pPr>
              <w:keepNext w:val="0"/>
              <w:keepLines w:val="0"/>
              <w:suppressLineNumbers w:val="0"/>
              <w:spacing w:before="0" w:beforeAutospacing="0" w:after="0" w:afterAutospacing="0" w:line="360" w:lineRule="auto"/>
              <w:ind w:left="0" w:right="0"/>
              <w:jc w:val="center"/>
              <w:rPr>
                <w:rFonts w:hint="default" w:ascii="仿宋" w:hAnsi="仿宋" w:eastAsia="仿宋" w:cs="仿宋"/>
                <w:color w:val="auto"/>
                <w:sz w:val="24"/>
                <w:szCs w:val="22"/>
              </w:rPr>
            </w:pPr>
            <w:r>
              <w:rPr>
                <w:rFonts w:hint="eastAsia" w:ascii="仿宋" w:hAnsi="仿宋" w:eastAsia="仿宋" w:cs="仿宋"/>
                <w:color w:val="auto"/>
                <w:sz w:val="24"/>
                <w:szCs w:val="22"/>
              </w:rPr>
              <w:t>技术方案</w:t>
            </w:r>
          </w:p>
        </w:tc>
        <w:tc>
          <w:tcPr>
            <w:tcW w:w="3528" w:type="pct"/>
            <w:tcBorders>
              <w:tl2br w:val="nil"/>
              <w:tr2bl w:val="nil"/>
            </w:tcBorders>
            <w:vAlign w:val="center"/>
          </w:tcPr>
          <w:p>
            <w:pPr>
              <w:keepNext w:val="0"/>
              <w:keepLines w:val="0"/>
              <w:suppressLineNumbers w:val="0"/>
              <w:spacing w:before="0" w:beforeAutospacing="0" w:after="0" w:afterAutospacing="0" w:line="360" w:lineRule="auto"/>
              <w:ind w:left="0" w:right="0"/>
              <w:jc w:val="left"/>
              <w:rPr>
                <w:rFonts w:hint="default" w:ascii="仿宋" w:hAnsi="仿宋" w:eastAsia="仿宋" w:cs="仿宋"/>
                <w:color w:val="auto"/>
                <w:sz w:val="24"/>
                <w:szCs w:val="22"/>
              </w:rPr>
            </w:pPr>
            <w:r>
              <w:rPr>
                <w:rFonts w:hint="eastAsia" w:ascii="仿宋" w:hAnsi="仿宋" w:eastAsia="仿宋" w:cs="仿宋"/>
                <w:color w:val="auto"/>
                <w:sz w:val="24"/>
                <w:szCs w:val="22"/>
              </w:rPr>
              <w:t>结合湖州市社保综合管理系统的情况，提供</w:t>
            </w:r>
            <w:r>
              <w:rPr>
                <w:rFonts w:hint="default" w:ascii="仿宋" w:hAnsi="仿宋" w:eastAsia="仿宋" w:cs="仿宋"/>
                <w:color w:val="auto"/>
                <w:sz w:val="24"/>
                <w:szCs w:val="22"/>
              </w:rPr>
              <w:t>运维服务</w:t>
            </w:r>
            <w:r>
              <w:rPr>
                <w:rFonts w:hint="eastAsia" w:ascii="仿宋" w:hAnsi="仿宋" w:eastAsia="仿宋" w:cs="仿宋"/>
                <w:color w:val="auto"/>
                <w:sz w:val="24"/>
                <w:szCs w:val="22"/>
              </w:rPr>
              <w:t>方案，服务内容完全符合项目需求，功能设计合理、且具有完整功能设计原型图的得6分，功能及原型欠缺或不合理的，每处扣0.5分，扣完为止。</w:t>
            </w:r>
          </w:p>
          <w:p>
            <w:pPr>
              <w:keepNext w:val="0"/>
              <w:keepLines w:val="0"/>
              <w:widowControl w:val="0"/>
              <w:suppressLineNumbers w:val="0"/>
              <w:autoSpaceDE w:val="0"/>
              <w:autoSpaceDN w:val="0"/>
              <w:adjustRightInd w:val="0"/>
              <w:spacing w:before="0" w:beforeAutospacing="0" w:after="0" w:afterAutospacing="0"/>
              <w:ind w:left="0" w:right="0"/>
              <w:rPr>
                <w:rFonts w:hint="default" w:ascii="宋体" w:hAnsi="Calibri" w:eastAsia="宋体" w:cs="宋体"/>
                <w:color w:val="auto"/>
                <w:kern w:val="0"/>
                <w:sz w:val="24"/>
                <w:szCs w:val="24"/>
                <w:lang w:val="en-US" w:eastAsia="zh-CN" w:bidi="ar-SA"/>
              </w:rPr>
            </w:pPr>
            <w:r>
              <w:rPr>
                <w:rFonts w:hint="eastAsia" w:ascii="仿宋" w:hAnsi="仿宋" w:eastAsia="仿宋" w:cs="仿宋"/>
                <w:b/>
                <w:bCs/>
                <w:color w:val="auto"/>
                <w:kern w:val="0"/>
                <w:sz w:val="24"/>
                <w:szCs w:val="24"/>
                <w:lang w:val="en-US" w:eastAsia="zh-CN" w:bidi="ar-SA"/>
              </w:rPr>
              <w:t>【注：不提供原型设计，本项不得分】</w:t>
            </w:r>
          </w:p>
        </w:tc>
        <w:tc>
          <w:tcPr>
            <w:tcW w:w="398" w:type="pct"/>
            <w:vMerge w:val="restart"/>
            <w:tcBorders>
              <w:tl2br w:val="nil"/>
              <w:tr2bl w:val="nil"/>
            </w:tcBorders>
            <w:vAlign w:val="center"/>
          </w:tcPr>
          <w:p>
            <w:pPr>
              <w:keepNext w:val="0"/>
              <w:keepLines w:val="0"/>
              <w:suppressLineNumbers w:val="0"/>
              <w:spacing w:before="0" w:beforeAutospacing="0" w:after="0" w:afterAutospacing="0" w:line="360" w:lineRule="auto"/>
              <w:ind w:left="0" w:right="0"/>
              <w:jc w:val="center"/>
              <w:rPr>
                <w:rFonts w:hint="default" w:ascii="仿宋" w:hAnsi="仿宋" w:eastAsia="仿宋" w:cs="仿宋"/>
                <w:color w:val="auto"/>
                <w:sz w:val="24"/>
                <w:szCs w:val="22"/>
              </w:rPr>
            </w:pPr>
            <w:r>
              <w:rPr>
                <w:rFonts w:hint="eastAsia" w:ascii="仿宋" w:hAnsi="仿宋" w:eastAsia="仿宋" w:cs="仿宋"/>
                <w:color w:val="auto"/>
                <w:sz w:val="24"/>
                <w:szCs w:val="22"/>
              </w:rPr>
              <w:t>18</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1024" w:hRule="atLeast"/>
        </w:trPr>
        <w:tc>
          <w:tcPr>
            <w:tcW w:w="320" w:type="pct"/>
            <w:vMerge w:val="continue"/>
            <w:tcBorders>
              <w:tl2br w:val="nil"/>
              <w:tr2bl w:val="nil"/>
            </w:tcBorders>
            <w:vAlign w:val="center"/>
          </w:tcPr>
          <w:p>
            <w:pPr>
              <w:keepNext w:val="0"/>
              <w:keepLines w:val="0"/>
              <w:suppressLineNumbers w:val="0"/>
              <w:spacing w:before="0" w:beforeAutospacing="0" w:after="0" w:afterAutospacing="0" w:line="360" w:lineRule="auto"/>
              <w:ind w:left="0" w:right="0"/>
              <w:rPr>
                <w:rFonts w:hint="default" w:ascii="仿宋" w:hAnsi="仿宋" w:eastAsia="仿宋" w:cs="仿宋"/>
                <w:color w:val="auto"/>
                <w:sz w:val="24"/>
                <w:szCs w:val="22"/>
              </w:rPr>
            </w:pPr>
          </w:p>
        </w:tc>
        <w:tc>
          <w:tcPr>
            <w:tcW w:w="752" w:type="pct"/>
            <w:vMerge w:val="continue"/>
            <w:tcBorders>
              <w:tl2br w:val="nil"/>
              <w:tr2bl w:val="nil"/>
            </w:tcBorders>
            <w:vAlign w:val="center"/>
          </w:tcPr>
          <w:p>
            <w:pPr>
              <w:keepNext w:val="0"/>
              <w:keepLines w:val="0"/>
              <w:suppressLineNumbers w:val="0"/>
              <w:spacing w:before="0" w:beforeAutospacing="0" w:after="0" w:afterAutospacing="0" w:line="360" w:lineRule="auto"/>
              <w:ind w:left="0" w:right="0"/>
              <w:jc w:val="center"/>
              <w:rPr>
                <w:rFonts w:hint="default" w:ascii="仿宋" w:hAnsi="仿宋" w:eastAsia="仿宋" w:cs="仿宋"/>
                <w:color w:val="auto"/>
                <w:sz w:val="24"/>
                <w:szCs w:val="22"/>
              </w:rPr>
            </w:pPr>
          </w:p>
        </w:tc>
        <w:tc>
          <w:tcPr>
            <w:tcW w:w="3528" w:type="pct"/>
            <w:tcBorders>
              <w:tl2br w:val="nil"/>
              <w:tr2bl w:val="nil"/>
            </w:tcBorders>
            <w:vAlign w:val="center"/>
          </w:tcPr>
          <w:p>
            <w:pPr>
              <w:keepNext w:val="0"/>
              <w:keepLines w:val="0"/>
              <w:suppressLineNumbers w:val="0"/>
              <w:spacing w:before="0" w:beforeAutospacing="0" w:after="0" w:afterAutospacing="0" w:line="360" w:lineRule="auto"/>
              <w:ind w:left="0" w:right="0"/>
              <w:jc w:val="left"/>
              <w:rPr>
                <w:rFonts w:hint="default" w:ascii="仿宋" w:hAnsi="仿宋" w:eastAsia="仿宋" w:cs="仿宋"/>
                <w:color w:val="auto"/>
                <w:sz w:val="24"/>
                <w:szCs w:val="22"/>
              </w:rPr>
            </w:pPr>
            <w:r>
              <w:rPr>
                <w:rFonts w:hint="eastAsia" w:ascii="仿宋" w:hAnsi="仿宋" w:eastAsia="仿宋" w:cs="仿宋"/>
                <w:color w:val="auto"/>
                <w:sz w:val="24"/>
                <w:szCs w:val="22"/>
              </w:rPr>
              <w:t>提供全面的湖州市社保综合管理系统运维保障方案，方案符合本项目需求，运维流程规范，保障措施全面的得6分，欠缺或不合理的，每处扣0.5分，扣完为止。</w:t>
            </w:r>
          </w:p>
        </w:tc>
        <w:tc>
          <w:tcPr>
            <w:tcW w:w="398" w:type="pct"/>
            <w:vMerge w:val="continue"/>
            <w:tcBorders>
              <w:tl2br w:val="nil"/>
              <w:tr2bl w:val="nil"/>
            </w:tcBorders>
            <w:vAlign w:val="center"/>
          </w:tcPr>
          <w:p>
            <w:pPr>
              <w:keepNext w:val="0"/>
              <w:keepLines w:val="0"/>
              <w:suppressLineNumbers w:val="0"/>
              <w:spacing w:before="0" w:beforeAutospacing="0" w:after="0" w:afterAutospacing="0" w:line="360" w:lineRule="auto"/>
              <w:ind w:left="0" w:right="0"/>
              <w:jc w:val="center"/>
              <w:rPr>
                <w:rFonts w:hint="default" w:ascii="仿宋" w:hAnsi="仿宋" w:eastAsia="仿宋" w:cs="仿宋"/>
                <w:color w:val="auto"/>
                <w:sz w:val="24"/>
                <w:szCs w:val="22"/>
              </w:rPr>
            </w:pP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975" w:hRule="atLeast"/>
        </w:trPr>
        <w:tc>
          <w:tcPr>
            <w:tcW w:w="320" w:type="pct"/>
            <w:vMerge w:val="continue"/>
            <w:tcBorders>
              <w:tl2br w:val="nil"/>
              <w:tr2bl w:val="nil"/>
            </w:tcBorders>
            <w:vAlign w:val="center"/>
          </w:tcPr>
          <w:p>
            <w:pPr>
              <w:keepNext w:val="0"/>
              <w:keepLines w:val="0"/>
              <w:suppressLineNumbers w:val="0"/>
              <w:spacing w:before="0" w:beforeAutospacing="0" w:after="0" w:afterAutospacing="0" w:line="360" w:lineRule="auto"/>
              <w:ind w:left="0" w:right="0"/>
              <w:rPr>
                <w:rFonts w:hint="default" w:ascii="仿宋" w:hAnsi="仿宋" w:eastAsia="仿宋" w:cs="仿宋"/>
                <w:color w:val="auto"/>
                <w:sz w:val="24"/>
                <w:szCs w:val="22"/>
              </w:rPr>
            </w:pPr>
          </w:p>
        </w:tc>
        <w:tc>
          <w:tcPr>
            <w:tcW w:w="752" w:type="pct"/>
            <w:vMerge w:val="continue"/>
            <w:tcBorders>
              <w:tl2br w:val="nil"/>
              <w:tr2bl w:val="nil"/>
            </w:tcBorders>
            <w:vAlign w:val="center"/>
          </w:tcPr>
          <w:p>
            <w:pPr>
              <w:keepNext w:val="0"/>
              <w:keepLines w:val="0"/>
              <w:suppressLineNumbers w:val="0"/>
              <w:spacing w:before="0" w:beforeAutospacing="0" w:after="0" w:afterAutospacing="0" w:line="360" w:lineRule="auto"/>
              <w:ind w:left="0" w:right="0"/>
              <w:jc w:val="center"/>
              <w:rPr>
                <w:rFonts w:hint="default" w:ascii="仿宋" w:hAnsi="仿宋" w:eastAsia="仿宋" w:cs="仿宋"/>
                <w:color w:val="auto"/>
                <w:sz w:val="24"/>
                <w:szCs w:val="22"/>
              </w:rPr>
            </w:pPr>
          </w:p>
        </w:tc>
        <w:tc>
          <w:tcPr>
            <w:tcW w:w="3528" w:type="pct"/>
            <w:tcBorders>
              <w:tl2br w:val="nil"/>
              <w:tr2bl w:val="nil"/>
            </w:tcBorders>
            <w:vAlign w:val="center"/>
          </w:tcPr>
          <w:p>
            <w:pPr>
              <w:keepNext w:val="0"/>
              <w:keepLines w:val="0"/>
              <w:suppressLineNumbers w:val="0"/>
              <w:spacing w:before="0" w:beforeAutospacing="0" w:after="0" w:afterAutospacing="0" w:line="360" w:lineRule="auto"/>
              <w:ind w:left="0" w:right="0"/>
              <w:jc w:val="left"/>
              <w:rPr>
                <w:rFonts w:hint="default" w:ascii="仿宋" w:hAnsi="仿宋" w:eastAsia="仿宋" w:cs="仿宋"/>
                <w:color w:val="auto"/>
                <w:sz w:val="24"/>
                <w:szCs w:val="22"/>
              </w:rPr>
            </w:pPr>
            <w:r>
              <w:rPr>
                <w:rFonts w:hint="eastAsia" w:ascii="仿宋" w:hAnsi="仿宋" w:eastAsia="仿宋" w:cs="仿宋"/>
                <w:color w:val="auto"/>
                <w:sz w:val="24"/>
                <w:szCs w:val="22"/>
              </w:rPr>
              <w:t>提供与浙江社保省集中业务对接方案，能够流畅、可靠、安全地完成对接任务的得6分，欠缺或不合理的，每处扣0.5分，扣完为止。</w:t>
            </w:r>
          </w:p>
        </w:tc>
        <w:tc>
          <w:tcPr>
            <w:tcW w:w="398" w:type="pct"/>
            <w:vMerge w:val="continue"/>
            <w:tcBorders>
              <w:tl2br w:val="nil"/>
              <w:tr2bl w:val="nil"/>
            </w:tcBorders>
            <w:vAlign w:val="center"/>
          </w:tcPr>
          <w:p>
            <w:pPr>
              <w:keepNext w:val="0"/>
              <w:keepLines w:val="0"/>
              <w:suppressLineNumbers w:val="0"/>
              <w:spacing w:before="0" w:beforeAutospacing="0" w:after="0" w:afterAutospacing="0" w:line="360" w:lineRule="auto"/>
              <w:ind w:left="0" w:right="0"/>
              <w:jc w:val="center"/>
              <w:rPr>
                <w:rFonts w:hint="default" w:ascii="仿宋" w:hAnsi="仿宋" w:eastAsia="仿宋" w:cs="仿宋"/>
                <w:color w:val="auto"/>
                <w:sz w:val="24"/>
                <w:szCs w:val="22"/>
              </w:rPr>
            </w:pP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320" w:type="pct"/>
            <w:tcBorders>
              <w:tl2br w:val="nil"/>
              <w:tr2bl w:val="nil"/>
            </w:tcBorders>
            <w:vAlign w:val="center"/>
          </w:tcPr>
          <w:p>
            <w:pPr>
              <w:keepNext w:val="0"/>
              <w:keepLines w:val="0"/>
              <w:suppressLineNumbers w:val="0"/>
              <w:spacing w:before="0" w:beforeAutospacing="0" w:after="0" w:afterAutospacing="0" w:line="360" w:lineRule="auto"/>
              <w:ind w:left="0" w:right="0"/>
              <w:rPr>
                <w:rFonts w:hint="default" w:ascii="仿宋" w:hAnsi="仿宋" w:eastAsia="仿宋" w:cs="仿宋"/>
                <w:color w:val="auto"/>
                <w:sz w:val="24"/>
                <w:szCs w:val="22"/>
              </w:rPr>
            </w:pPr>
            <w:r>
              <w:rPr>
                <w:rFonts w:hint="eastAsia" w:ascii="仿宋" w:hAnsi="仿宋" w:eastAsia="仿宋" w:cs="仿宋"/>
                <w:color w:val="auto"/>
                <w:sz w:val="24"/>
                <w:szCs w:val="22"/>
              </w:rPr>
              <w:t>4</w:t>
            </w:r>
          </w:p>
        </w:tc>
        <w:tc>
          <w:tcPr>
            <w:tcW w:w="752" w:type="pct"/>
            <w:tcBorders>
              <w:tl2br w:val="nil"/>
              <w:tr2bl w:val="nil"/>
            </w:tcBorders>
            <w:vAlign w:val="center"/>
          </w:tcPr>
          <w:p>
            <w:pPr>
              <w:keepNext w:val="0"/>
              <w:keepLines w:val="0"/>
              <w:suppressLineNumbers w:val="0"/>
              <w:spacing w:before="0" w:beforeAutospacing="0" w:after="0" w:afterAutospacing="0" w:line="360" w:lineRule="auto"/>
              <w:ind w:left="0" w:right="0"/>
              <w:jc w:val="center"/>
              <w:rPr>
                <w:rFonts w:hint="default" w:ascii="仿宋" w:hAnsi="仿宋" w:eastAsia="仿宋" w:cs="仿宋"/>
                <w:color w:val="auto"/>
                <w:sz w:val="24"/>
                <w:szCs w:val="22"/>
              </w:rPr>
            </w:pPr>
            <w:r>
              <w:rPr>
                <w:rFonts w:hint="eastAsia" w:ascii="仿宋" w:hAnsi="仿宋" w:eastAsia="仿宋" w:cs="仿宋"/>
                <w:color w:val="auto"/>
                <w:sz w:val="24"/>
                <w:szCs w:val="22"/>
              </w:rPr>
              <w:t>实施保障方案</w:t>
            </w:r>
          </w:p>
        </w:tc>
        <w:tc>
          <w:tcPr>
            <w:tcW w:w="3528" w:type="pct"/>
            <w:tcBorders>
              <w:tl2br w:val="nil"/>
              <w:tr2bl w:val="nil"/>
            </w:tcBorders>
            <w:vAlign w:val="center"/>
          </w:tcPr>
          <w:p>
            <w:pPr>
              <w:keepNext w:val="0"/>
              <w:keepLines w:val="0"/>
              <w:suppressLineNumbers w:val="0"/>
              <w:spacing w:before="0" w:beforeAutospacing="0" w:after="0" w:afterAutospacing="0" w:line="360" w:lineRule="auto"/>
              <w:ind w:left="0" w:right="0"/>
              <w:jc w:val="left"/>
              <w:rPr>
                <w:rFonts w:hint="default" w:ascii="仿宋" w:hAnsi="仿宋" w:eastAsia="仿宋" w:cs="仿宋"/>
                <w:color w:val="auto"/>
                <w:sz w:val="24"/>
                <w:szCs w:val="22"/>
              </w:rPr>
            </w:pPr>
            <w:r>
              <w:rPr>
                <w:rFonts w:hint="eastAsia" w:ascii="仿宋" w:hAnsi="仿宋" w:eastAsia="仿宋" w:cs="仿宋"/>
                <w:color w:val="auto"/>
                <w:sz w:val="24"/>
                <w:szCs w:val="22"/>
              </w:rPr>
              <w:t>项目实施计划切实可行，能够遵循项目实施原则并根据项目建设实际需要安排项目建设进度和周期计划的，能体现明确的措施和计划安排的，得5分；方案有欠缺或不适用本项目的，每处扣0.5分，扣完为止。</w:t>
            </w:r>
          </w:p>
        </w:tc>
        <w:tc>
          <w:tcPr>
            <w:tcW w:w="398" w:type="pct"/>
            <w:tcBorders>
              <w:tl2br w:val="nil"/>
              <w:tr2bl w:val="nil"/>
            </w:tcBorders>
            <w:vAlign w:val="center"/>
          </w:tcPr>
          <w:p>
            <w:pPr>
              <w:keepNext w:val="0"/>
              <w:keepLines w:val="0"/>
              <w:suppressLineNumbers w:val="0"/>
              <w:spacing w:before="0" w:beforeAutospacing="0" w:after="0" w:afterAutospacing="0" w:line="360" w:lineRule="auto"/>
              <w:ind w:left="0" w:right="0"/>
              <w:jc w:val="center"/>
              <w:rPr>
                <w:rFonts w:hint="default" w:ascii="仿宋" w:hAnsi="仿宋" w:eastAsia="仿宋" w:cs="仿宋"/>
                <w:color w:val="auto"/>
                <w:sz w:val="24"/>
                <w:szCs w:val="22"/>
              </w:rPr>
            </w:pPr>
            <w:r>
              <w:rPr>
                <w:rFonts w:hint="eastAsia" w:ascii="仿宋" w:hAnsi="仿宋" w:eastAsia="仿宋" w:cs="仿宋"/>
                <w:color w:val="auto"/>
                <w:sz w:val="24"/>
                <w:szCs w:val="22"/>
              </w:rPr>
              <w:t>5</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320" w:type="pct"/>
            <w:tcBorders>
              <w:tl2br w:val="nil"/>
              <w:tr2bl w:val="nil"/>
            </w:tcBorders>
            <w:vAlign w:val="center"/>
          </w:tcPr>
          <w:p>
            <w:pPr>
              <w:keepNext w:val="0"/>
              <w:keepLines w:val="0"/>
              <w:suppressLineNumbers w:val="0"/>
              <w:spacing w:before="0" w:beforeAutospacing="0" w:after="0" w:afterAutospacing="0" w:line="360" w:lineRule="auto"/>
              <w:ind w:left="0" w:right="0"/>
              <w:rPr>
                <w:rFonts w:hint="default" w:ascii="仿宋" w:hAnsi="仿宋" w:eastAsia="仿宋" w:cs="仿宋"/>
                <w:color w:val="auto"/>
                <w:sz w:val="24"/>
                <w:szCs w:val="22"/>
              </w:rPr>
            </w:pPr>
            <w:r>
              <w:rPr>
                <w:rFonts w:hint="eastAsia" w:ascii="仿宋" w:hAnsi="仿宋" w:eastAsia="仿宋" w:cs="仿宋"/>
                <w:color w:val="auto"/>
                <w:sz w:val="24"/>
                <w:szCs w:val="22"/>
              </w:rPr>
              <w:t>5</w:t>
            </w:r>
          </w:p>
        </w:tc>
        <w:tc>
          <w:tcPr>
            <w:tcW w:w="752" w:type="pct"/>
            <w:tcBorders>
              <w:tl2br w:val="nil"/>
              <w:tr2bl w:val="nil"/>
            </w:tcBorders>
            <w:vAlign w:val="center"/>
          </w:tcPr>
          <w:p>
            <w:pPr>
              <w:keepNext w:val="0"/>
              <w:keepLines w:val="0"/>
              <w:suppressLineNumbers w:val="0"/>
              <w:spacing w:before="0" w:beforeAutospacing="0" w:after="0" w:afterAutospacing="0" w:line="360" w:lineRule="auto"/>
              <w:ind w:left="0" w:right="0"/>
              <w:jc w:val="center"/>
              <w:rPr>
                <w:rFonts w:hint="default" w:ascii="仿宋" w:hAnsi="仿宋" w:eastAsia="仿宋" w:cs="仿宋"/>
                <w:color w:val="auto"/>
                <w:sz w:val="24"/>
                <w:szCs w:val="22"/>
              </w:rPr>
            </w:pPr>
            <w:r>
              <w:rPr>
                <w:rFonts w:hint="eastAsia" w:ascii="仿宋" w:hAnsi="仿宋" w:eastAsia="仿宋" w:cs="仿宋"/>
                <w:color w:val="auto"/>
                <w:sz w:val="24"/>
                <w:szCs w:val="22"/>
              </w:rPr>
              <w:t>应急方案</w:t>
            </w:r>
          </w:p>
        </w:tc>
        <w:tc>
          <w:tcPr>
            <w:tcW w:w="3528" w:type="pct"/>
            <w:tcBorders>
              <w:tl2br w:val="nil"/>
              <w:tr2bl w:val="nil"/>
            </w:tcBorders>
            <w:vAlign w:val="center"/>
          </w:tcPr>
          <w:p>
            <w:pPr>
              <w:keepNext w:val="0"/>
              <w:keepLines w:val="0"/>
              <w:suppressLineNumbers w:val="0"/>
              <w:spacing w:before="0" w:beforeAutospacing="0" w:after="0" w:afterAutospacing="0" w:line="360" w:lineRule="auto"/>
              <w:ind w:left="0" w:right="0"/>
              <w:jc w:val="left"/>
              <w:rPr>
                <w:rFonts w:hint="default" w:ascii="仿宋" w:hAnsi="仿宋" w:eastAsia="仿宋" w:cs="仿宋"/>
                <w:color w:val="auto"/>
                <w:sz w:val="24"/>
                <w:szCs w:val="22"/>
              </w:rPr>
            </w:pPr>
            <w:r>
              <w:rPr>
                <w:rFonts w:hint="eastAsia" w:ascii="仿宋" w:hAnsi="仿宋" w:eastAsia="仿宋" w:cs="仿宋"/>
                <w:color w:val="auto"/>
                <w:sz w:val="24"/>
                <w:szCs w:val="22"/>
              </w:rPr>
              <w:t>提供应急方案，对用户系统故障的响应、响应时间、处理、突发事件的应急措施等进行详细阐述，提供详细的方案的得5分；方案欠缺或不合理的，每处扣0.5分，扣完为止。</w:t>
            </w:r>
          </w:p>
        </w:tc>
        <w:tc>
          <w:tcPr>
            <w:tcW w:w="398" w:type="pct"/>
            <w:tcBorders>
              <w:tl2br w:val="nil"/>
              <w:tr2bl w:val="nil"/>
            </w:tcBorders>
            <w:vAlign w:val="center"/>
          </w:tcPr>
          <w:p>
            <w:pPr>
              <w:keepNext w:val="0"/>
              <w:keepLines w:val="0"/>
              <w:suppressLineNumbers w:val="0"/>
              <w:spacing w:before="0" w:beforeAutospacing="0" w:after="0" w:afterAutospacing="0" w:line="360" w:lineRule="auto"/>
              <w:ind w:left="0" w:right="0"/>
              <w:jc w:val="center"/>
              <w:rPr>
                <w:rFonts w:hint="default" w:ascii="仿宋" w:hAnsi="仿宋" w:eastAsia="仿宋" w:cs="仿宋"/>
                <w:color w:val="auto"/>
                <w:sz w:val="24"/>
                <w:szCs w:val="22"/>
              </w:rPr>
            </w:pPr>
            <w:r>
              <w:rPr>
                <w:rFonts w:hint="eastAsia" w:ascii="仿宋" w:hAnsi="仿宋" w:eastAsia="仿宋" w:cs="仿宋"/>
                <w:color w:val="auto"/>
                <w:sz w:val="24"/>
                <w:szCs w:val="22"/>
              </w:rPr>
              <w:t>5</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320" w:type="pct"/>
            <w:tcBorders>
              <w:tl2br w:val="nil"/>
              <w:tr2bl w:val="nil"/>
            </w:tcBorders>
            <w:vAlign w:val="center"/>
          </w:tcPr>
          <w:p>
            <w:pPr>
              <w:keepNext w:val="0"/>
              <w:keepLines w:val="0"/>
              <w:suppressLineNumbers w:val="0"/>
              <w:spacing w:before="0" w:beforeAutospacing="0" w:after="0" w:afterAutospacing="0" w:line="360" w:lineRule="auto"/>
              <w:ind w:left="0" w:right="0"/>
              <w:rPr>
                <w:rFonts w:hint="default" w:ascii="仿宋" w:hAnsi="仿宋" w:eastAsia="仿宋" w:cs="仿宋"/>
                <w:color w:val="auto"/>
                <w:sz w:val="24"/>
                <w:szCs w:val="22"/>
              </w:rPr>
            </w:pPr>
            <w:r>
              <w:rPr>
                <w:rFonts w:hint="eastAsia" w:ascii="仿宋" w:hAnsi="仿宋" w:eastAsia="仿宋" w:cs="仿宋"/>
                <w:color w:val="auto"/>
                <w:sz w:val="24"/>
                <w:szCs w:val="22"/>
              </w:rPr>
              <w:t>6</w:t>
            </w:r>
          </w:p>
        </w:tc>
        <w:tc>
          <w:tcPr>
            <w:tcW w:w="752" w:type="pct"/>
            <w:tcBorders>
              <w:tl2br w:val="nil"/>
              <w:tr2bl w:val="nil"/>
            </w:tcBorders>
            <w:vAlign w:val="center"/>
          </w:tcPr>
          <w:p>
            <w:pPr>
              <w:keepNext w:val="0"/>
              <w:keepLines w:val="0"/>
              <w:suppressLineNumbers w:val="0"/>
              <w:spacing w:before="0" w:beforeAutospacing="0" w:after="0" w:afterAutospacing="0" w:line="360" w:lineRule="auto"/>
              <w:ind w:left="0" w:right="0"/>
              <w:jc w:val="center"/>
              <w:rPr>
                <w:rFonts w:hint="default" w:ascii="仿宋" w:hAnsi="仿宋" w:eastAsia="仿宋" w:cs="仿宋"/>
                <w:color w:val="auto"/>
                <w:sz w:val="24"/>
                <w:szCs w:val="22"/>
              </w:rPr>
            </w:pPr>
            <w:r>
              <w:rPr>
                <w:rFonts w:hint="eastAsia" w:ascii="仿宋" w:hAnsi="仿宋" w:eastAsia="仿宋" w:cs="仿宋"/>
                <w:color w:val="auto"/>
                <w:sz w:val="24"/>
                <w:szCs w:val="22"/>
              </w:rPr>
              <w:t>员工培训</w:t>
            </w:r>
          </w:p>
        </w:tc>
        <w:tc>
          <w:tcPr>
            <w:tcW w:w="3528" w:type="pct"/>
            <w:tcBorders>
              <w:tl2br w:val="nil"/>
              <w:tr2bl w:val="nil"/>
            </w:tcBorders>
            <w:vAlign w:val="center"/>
          </w:tcPr>
          <w:p>
            <w:pPr>
              <w:keepNext w:val="0"/>
              <w:keepLines w:val="0"/>
              <w:suppressLineNumbers w:val="0"/>
              <w:spacing w:before="0" w:beforeAutospacing="0" w:after="0" w:afterAutospacing="0" w:line="360" w:lineRule="auto"/>
              <w:ind w:left="0" w:right="0"/>
              <w:jc w:val="left"/>
              <w:rPr>
                <w:rFonts w:hint="default" w:ascii="仿宋" w:hAnsi="仿宋" w:eastAsia="仿宋" w:cs="仿宋"/>
                <w:color w:val="auto"/>
                <w:sz w:val="24"/>
                <w:szCs w:val="22"/>
              </w:rPr>
            </w:pPr>
            <w:r>
              <w:rPr>
                <w:rFonts w:hint="eastAsia" w:ascii="仿宋" w:hAnsi="仿宋" w:eastAsia="仿宋" w:cs="仿宋"/>
                <w:color w:val="auto"/>
                <w:sz w:val="24"/>
                <w:szCs w:val="22"/>
              </w:rPr>
              <w:t>提供专业培训，包括岗前培训和在岗培训，培训方案完善且有针对性，培训内容包含：系统使用、日常维护、系统管理等培训，有详细的年度培训计划和方案的得5分，方案不全面或缺少可行性的扣0.5分，扣完为止。</w:t>
            </w:r>
          </w:p>
        </w:tc>
        <w:tc>
          <w:tcPr>
            <w:tcW w:w="398" w:type="pct"/>
            <w:tcBorders>
              <w:tl2br w:val="nil"/>
              <w:tr2bl w:val="nil"/>
            </w:tcBorders>
            <w:vAlign w:val="center"/>
          </w:tcPr>
          <w:p>
            <w:pPr>
              <w:keepNext w:val="0"/>
              <w:keepLines w:val="0"/>
              <w:suppressLineNumbers w:val="0"/>
              <w:spacing w:before="0" w:beforeAutospacing="0" w:after="0" w:afterAutospacing="0" w:line="360" w:lineRule="auto"/>
              <w:ind w:left="0" w:right="0"/>
              <w:jc w:val="center"/>
              <w:rPr>
                <w:rFonts w:hint="default" w:ascii="仿宋" w:hAnsi="仿宋" w:eastAsia="仿宋" w:cs="仿宋"/>
                <w:color w:val="auto"/>
                <w:sz w:val="24"/>
                <w:szCs w:val="22"/>
              </w:rPr>
            </w:pPr>
            <w:r>
              <w:rPr>
                <w:rFonts w:hint="eastAsia" w:ascii="仿宋" w:hAnsi="仿宋" w:eastAsia="仿宋" w:cs="仿宋"/>
                <w:color w:val="auto"/>
                <w:sz w:val="24"/>
                <w:szCs w:val="22"/>
              </w:rPr>
              <w:t>5</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20" w:type="pct"/>
            <w:tcBorders>
              <w:tl2br w:val="nil"/>
              <w:tr2bl w:val="nil"/>
            </w:tcBorders>
            <w:vAlign w:val="center"/>
          </w:tcPr>
          <w:p>
            <w:pPr>
              <w:keepNext w:val="0"/>
              <w:keepLines w:val="0"/>
              <w:suppressLineNumbers w:val="0"/>
              <w:spacing w:before="0" w:beforeAutospacing="0" w:after="0" w:afterAutospacing="0" w:line="360" w:lineRule="auto"/>
              <w:ind w:left="0" w:right="0"/>
              <w:rPr>
                <w:rFonts w:hint="default" w:ascii="仿宋" w:hAnsi="仿宋" w:eastAsia="仿宋" w:cs="仿宋"/>
                <w:color w:val="auto"/>
                <w:sz w:val="24"/>
                <w:szCs w:val="22"/>
              </w:rPr>
            </w:pPr>
            <w:r>
              <w:rPr>
                <w:rFonts w:hint="eastAsia" w:ascii="仿宋" w:hAnsi="仿宋" w:eastAsia="仿宋" w:cs="仿宋"/>
                <w:color w:val="auto"/>
                <w:sz w:val="24"/>
                <w:szCs w:val="22"/>
              </w:rPr>
              <w:t>7</w:t>
            </w:r>
          </w:p>
        </w:tc>
        <w:tc>
          <w:tcPr>
            <w:tcW w:w="752" w:type="pct"/>
            <w:tcBorders>
              <w:tl2br w:val="nil"/>
              <w:tr2bl w:val="nil"/>
            </w:tcBorders>
            <w:vAlign w:val="center"/>
          </w:tcPr>
          <w:p>
            <w:pPr>
              <w:keepNext w:val="0"/>
              <w:keepLines w:val="0"/>
              <w:suppressLineNumbers w:val="0"/>
              <w:spacing w:before="0" w:beforeAutospacing="0" w:after="0" w:afterAutospacing="0" w:line="360" w:lineRule="auto"/>
              <w:ind w:left="0" w:right="0"/>
              <w:jc w:val="center"/>
              <w:rPr>
                <w:rFonts w:hint="default" w:ascii="仿宋" w:hAnsi="仿宋" w:eastAsia="仿宋" w:cs="仿宋"/>
                <w:color w:val="auto"/>
                <w:sz w:val="24"/>
                <w:szCs w:val="22"/>
              </w:rPr>
            </w:pPr>
            <w:r>
              <w:rPr>
                <w:rFonts w:hint="eastAsia" w:ascii="仿宋" w:hAnsi="仿宋" w:eastAsia="仿宋" w:cs="仿宋"/>
                <w:color w:val="auto"/>
                <w:sz w:val="24"/>
                <w:szCs w:val="22"/>
              </w:rPr>
              <w:t>技术团队方案</w:t>
            </w:r>
          </w:p>
        </w:tc>
        <w:tc>
          <w:tcPr>
            <w:tcW w:w="3528" w:type="pct"/>
            <w:tcBorders>
              <w:tl2br w:val="nil"/>
              <w:tr2bl w:val="nil"/>
            </w:tcBorders>
            <w:vAlign w:val="center"/>
          </w:tcPr>
          <w:p>
            <w:pPr>
              <w:keepNext w:val="0"/>
              <w:keepLines w:val="0"/>
              <w:suppressLineNumbers w:val="0"/>
              <w:spacing w:before="0" w:beforeAutospacing="0" w:after="0" w:afterAutospacing="0" w:line="360" w:lineRule="auto"/>
              <w:ind w:left="0" w:right="0"/>
              <w:jc w:val="left"/>
              <w:rPr>
                <w:rFonts w:hint="default" w:ascii="仿宋" w:hAnsi="仿宋" w:eastAsia="仿宋" w:cs="仿宋"/>
                <w:color w:val="auto"/>
                <w:sz w:val="24"/>
                <w:szCs w:val="22"/>
              </w:rPr>
            </w:pPr>
            <w:r>
              <w:rPr>
                <w:rFonts w:hint="eastAsia" w:ascii="仿宋" w:hAnsi="仿宋" w:eastAsia="仿宋" w:cs="仿宋"/>
                <w:color w:val="auto"/>
                <w:sz w:val="24"/>
                <w:szCs w:val="22"/>
              </w:rPr>
              <w:t>供应商对项目实施的技术力量和人力资源安排投入主要技术人员专业配置齐全、岗位分工完整，能很好的分工协调项目实施事宜得5分，专业配置不齐全，岗位分工不明确每处扣0.5分，扣完为止。</w:t>
            </w:r>
          </w:p>
        </w:tc>
        <w:tc>
          <w:tcPr>
            <w:tcW w:w="398" w:type="pct"/>
            <w:tcBorders>
              <w:tl2br w:val="nil"/>
              <w:tr2bl w:val="nil"/>
            </w:tcBorders>
            <w:vAlign w:val="center"/>
          </w:tcPr>
          <w:p>
            <w:pPr>
              <w:keepNext w:val="0"/>
              <w:keepLines w:val="0"/>
              <w:suppressLineNumbers w:val="0"/>
              <w:spacing w:before="0" w:beforeAutospacing="0" w:after="0" w:afterAutospacing="0" w:line="360" w:lineRule="auto"/>
              <w:ind w:left="0" w:right="0"/>
              <w:jc w:val="center"/>
              <w:rPr>
                <w:rFonts w:hint="default" w:ascii="仿宋" w:hAnsi="仿宋" w:eastAsia="仿宋" w:cs="仿宋"/>
                <w:color w:val="auto"/>
                <w:sz w:val="24"/>
                <w:szCs w:val="22"/>
              </w:rPr>
            </w:pPr>
            <w:r>
              <w:rPr>
                <w:rFonts w:hint="eastAsia" w:ascii="仿宋" w:hAnsi="仿宋" w:eastAsia="仿宋" w:cs="仿宋"/>
                <w:color w:val="auto"/>
                <w:sz w:val="24"/>
                <w:szCs w:val="22"/>
              </w:rPr>
              <w:t>5</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20" w:type="pct"/>
            <w:tcBorders>
              <w:tl2br w:val="nil"/>
              <w:tr2bl w:val="nil"/>
            </w:tcBorders>
            <w:vAlign w:val="center"/>
          </w:tcPr>
          <w:p>
            <w:pPr>
              <w:keepNext w:val="0"/>
              <w:keepLines w:val="0"/>
              <w:suppressLineNumbers w:val="0"/>
              <w:spacing w:before="0" w:beforeAutospacing="0" w:after="0" w:afterAutospacing="0" w:line="360" w:lineRule="auto"/>
              <w:ind w:left="0" w:right="0"/>
              <w:rPr>
                <w:rFonts w:hint="default" w:ascii="仿宋" w:hAnsi="仿宋" w:eastAsia="仿宋" w:cs="仿宋"/>
                <w:color w:val="auto"/>
                <w:sz w:val="24"/>
                <w:szCs w:val="22"/>
              </w:rPr>
            </w:pPr>
            <w:r>
              <w:rPr>
                <w:rFonts w:hint="eastAsia" w:ascii="仿宋" w:hAnsi="仿宋" w:eastAsia="仿宋" w:cs="仿宋"/>
                <w:color w:val="auto"/>
                <w:sz w:val="24"/>
                <w:szCs w:val="22"/>
              </w:rPr>
              <w:t>8</w:t>
            </w:r>
          </w:p>
        </w:tc>
        <w:tc>
          <w:tcPr>
            <w:tcW w:w="752" w:type="pct"/>
            <w:tcBorders>
              <w:tl2br w:val="nil"/>
              <w:tr2bl w:val="nil"/>
            </w:tcBorders>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color w:val="auto"/>
                <w:sz w:val="24"/>
                <w:szCs w:val="22"/>
              </w:rPr>
            </w:pPr>
            <w:r>
              <w:rPr>
                <w:rFonts w:hint="eastAsia" w:ascii="仿宋" w:hAnsi="仿宋" w:eastAsia="仿宋" w:cs="仿宋"/>
                <w:color w:val="auto"/>
                <w:sz w:val="24"/>
                <w:szCs w:val="22"/>
              </w:rPr>
              <w:t>技术团队</w:t>
            </w:r>
          </w:p>
          <w:p>
            <w:pPr>
              <w:keepNext w:val="0"/>
              <w:keepLines w:val="0"/>
              <w:suppressLineNumbers w:val="0"/>
              <w:spacing w:before="0" w:beforeAutospacing="0" w:after="0" w:afterAutospacing="0" w:line="360" w:lineRule="auto"/>
              <w:ind w:left="0" w:right="0"/>
              <w:jc w:val="center"/>
              <w:rPr>
                <w:rFonts w:hint="default" w:ascii="仿宋" w:hAnsi="仿宋" w:eastAsia="仿宋" w:cs="仿宋"/>
                <w:color w:val="auto"/>
                <w:sz w:val="24"/>
                <w:szCs w:val="22"/>
              </w:rPr>
            </w:pPr>
            <w:r>
              <w:rPr>
                <w:rFonts w:hint="eastAsia" w:ascii="仿宋" w:hAnsi="仿宋" w:eastAsia="仿宋" w:cs="仿宋"/>
                <w:color w:val="auto"/>
                <w:sz w:val="24"/>
                <w:szCs w:val="22"/>
              </w:rPr>
              <w:t>配置</w:t>
            </w:r>
          </w:p>
        </w:tc>
        <w:tc>
          <w:tcPr>
            <w:tcW w:w="3528" w:type="pct"/>
            <w:tcBorders>
              <w:tl2br w:val="nil"/>
              <w:tr2bl w:val="nil"/>
            </w:tcBorders>
            <w:vAlign w:val="center"/>
          </w:tcPr>
          <w:p>
            <w:pPr>
              <w:keepNext w:val="0"/>
              <w:keepLines w:val="0"/>
              <w:suppressLineNumbers w:val="0"/>
              <w:spacing w:before="0" w:beforeAutospacing="0" w:after="0" w:afterAutospacing="0" w:line="360" w:lineRule="auto"/>
              <w:ind w:left="0" w:right="0"/>
              <w:jc w:val="left"/>
              <w:rPr>
                <w:rFonts w:hint="default" w:ascii="仿宋" w:hAnsi="仿宋" w:eastAsia="仿宋" w:cs="仿宋"/>
                <w:color w:val="auto"/>
                <w:sz w:val="24"/>
                <w:szCs w:val="22"/>
              </w:rPr>
            </w:pPr>
            <w:r>
              <w:rPr>
                <w:rFonts w:hint="eastAsia" w:ascii="仿宋" w:hAnsi="仿宋" w:eastAsia="仿宋" w:cs="仿宋"/>
                <w:color w:val="auto"/>
                <w:sz w:val="24"/>
                <w:szCs w:val="22"/>
                <w:lang w:val="en-US" w:eastAsia="zh-CN"/>
              </w:rPr>
              <w:t>1、</w:t>
            </w:r>
            <w:r>
              <w:rPr>
                <w:rFonts w:hint="eastAsia" w:ascii="仿宋" w:hAnsi="仿宋" w:eastAsia="仿宋" w:cs="仿宋"/>
                <w:color w:val="auto"/>
                <w:sz w:val="24"/>
                <w:szCs w:val="22"/>
              </w:rPr>
              <w:t>供应商提供的项目经理具有信息系统项目管理师证书和PMP证书的，</w:t>
            </w:r>
            <w:r>
              <w:rPr>
                <w:rFonts w:hint="eastAsia" w:ascii="仿宋" w:hAnsi="仿宋" w:eastAsia="仿宋" w:cs="仿宋"/>
                <w:color w:val="auto"/>
                <w:sz w:val="24"/>
                <w:szCs w:val="22"/>
                <w:lang w:val="en-US" w:eastAsia="zh-CN"/>
              </w:rPr>
              <w:t>每提供1个得1.5分，本项共</w:t>
            </w:r>
            <w:r>
              <w:rPr>
                <w:rFonts w:hint="eastAsia" w:ascii="仿宋" w:hAnsi="仿宋" w:eastAsia="仿宋" w:cs="仿宋"/>
                <w:color w:val="auto"/>
                <w:sz w:val="24"/>
                <w:szCs w:val="22"/>
              </w:rPr>
              <w:t>3分；</w:t>
            </w:r>
          </w:p>
          <w:p>
            <w:pPr>
              <w:keepNext w:val="0"/>
              <w:keepLines w:val="0"/>
              <w:suppressLineNumbers w:val="0"/>
              <w:spacing w:before="0" w:beforeAutospacing="0" w:after="0" w:afterAutospacing="0" w:line="360" w:lineRule="auto"/>
              <w:ind w:left="0" w:right="0"/>
              <w:jc w:val="left"/>
              <w:rPr>
                <w:rFonts w:hint="eastAsia" w:ascii="仿宋" w:hAnsi="仿宋" w:eastAsia="仿宋" w:cs="仿宋"/>
                <w:color w:val="auto"/>
                <w:sz w:val="24"/>
                <w:szCs w:val="22"/>
              </w:rPr>
            </w:pPr>
            <w:r>
              <w:rPr>
                <w:rFonts w:hint="eastAsia" w:ascii="仿宋" w:hAnsi="仿宋" w:eastAsia="仿宋" w:cs="仿宋"/>
                <w:color w:val="auto"/>
                <w:sz w:val="24"/>
                <w:szCs w:val="22"/>
                <w:lang w:val="en-US" w:eastAsia="zh-CN"/>
              </w:rPr>
              <w:t>2、</w:t>
            </w:r>
            <w:r>
              <w:rPr>
                <w:rFonts w:hint="eastAsia" w:ascii="仿宋" w:hAnsi="仿宋" w:eastAsia="仿宋" w:cs="仿宋"/>
                <w:color w:val="auto"/>
                <w:sz w:val="24"/>
                <w:szCs w:val="22"/>
              </w:rPr>
              <w:t>供应商提供的技术负责人具有信息系统项目管理师证书和OCP （Oracle数据库认证专家证书）的</w:t>
            </w:r>
            <w:r>
              <w:rPr>
                <w:rFonts w:hint="eastAsia" w:ascii="仿宋" w:hAnsi="仿宋" w:eastAsia="仿宋" w:cs="仿宋"/>
                <w:color w:val="auto"/>
                <w:sz w:val="24"/>
                <w:szCs w:val="22"/>
                <w:lang w:eastAsia="zh-CN"/>
              </w:rPr>
              <w:t>，</w:t>
            </w:r>
            <w:r>
              <w:rPr>
                <w:rFonts w:hint="eastAsia" w:ascii="仿宋" w:hAnsi="仿宋" w:eastAsia="仿宋" w:cs="仿宋"/>
                <w:color w:val="auto"/>
                <w:sz w:val="24"/>
                <w:szCs w:val="22"/>
                <w:lang w:val="en-US" w:eastAsia="zh-CN"/>
              </w:rPr>
              <w:t>每提供1个得1.5分，本项共</w:t>
            </w:r>
            <w:r>
              <w:rPr>
                <w:rFonts w:hint="eastAsia" w:ascii="仿宋" w:hAnsi="仿宋" w:eastAsia="仿宋" w:cs="仿宋"/>
                <w:color w:val="auto"/>
                <w:sz w:val="24"/>
                <w:szCs w:val="22"/>
              </w:rPr>
              <w:t>3分；</w:t>
            </w:r>
          </w:p>
          <w:p>
            <w:pPr>
              <w:keepNext w:val="0"/>
              <w:keepLines w:val="0"/>
              <w:suppressLineNumbers w:val="0"/>
              <w:spacing w:before="0" w:beforeAutospacing="0" w:after="0" w:afterAutospacing="0" w:line="360" w:lineRule="auto"/>
              <w:ind w:left="0" w:right="0"/>
              <w:jc w:val="left"/>
              <w:rPr>
                <w:rFonts w:hint="default" w:ascii="仿宋" w:hAnsi="仿宋" w:eastAsia="仿宋" w:cs="仿宋"/>
                <w:color w:val="auto"/>
                <w:sz w:val="24"/>
                <w:szCs w:val="22"/>
              </w:rPr>
            </w:pPr>
            <w:r>
              <w:rPr>
                <w:rFonts w:hint="eastAsia" w:ascii="仿宋" w:hAnsi="仿宋" w:eastAsia="仿宋" w:cs="仿宋"/>
                <w:color w:val="auto"/>
                <w:sz w:val="24"/>
                <w:szCs w:val="22"/>
                <w:lang w:val="en-US" w:eastAsia="zh-CN"/>
              </w:rPr>
              <w:t>3、</w:t>
            </w:r>
            <w:r>
              <w:rPr>
                <w:rFonts w:hint="eastAsia" w:ascii="仿宋" w:hAnsi="仿宋" w:eastAsia="仿宋" w:cs="仿宋"/>
                <w:color w:val="auto"/>
                <w:sz w:val="24"/>
                <w:szCs w:val="22"/>
              </w:rPr>
              <w:t>供应商提供的技术团队人员中具有高级程序员证书、中级软件设计师、</w:t>
            </w:r>
            <w:r>
              <w:rPr>
                <w:rFonts w:hint="default" w:ascii="仿宋" w:hAnsi="仿宋" w:eastAsia="仿宋"/>
                <w:color w:val="auto"/>
                <w:sz w:val="24"/>
                <w:szCs w:val="24"/>
              </w:rPr>
              <w:t>软件测试工程师证书、分布式数据库认证专员证书</w:t>
            </w:r>
            <w:r>
              <w:rPr>
                <w:rFonts w:hint="eastAsia" w:ascii="仿宋" w:hAnsi="仿宋" w:eastAsia="仿宋" w:cs="仿宋"/>
                <w:color w:val="auto"/>
                <w:sz w:val="24"/>
                <w:szCs w:val="22"/>
              </w:rPr>
              <w:t>的，每提供一个证书得0.5分，最高得2分。</w:t>
            </w:r>
          </w:p>
          <w:p>
            <w:pPr>
              <w:keepNext w:val="0"/>
              <w:keepLines w:val="0"/>
              <w:suppressLineNumbers w:val="0"/>
              <w:spacing w:before="0" w:beforeAutospacing="0" w:after="0" w:afterAutospacing="0" w:line="360" w:lineRule="auto"/>
              <w:ind w:left="0" w:right="0"/>
              <w:jc w:val="left"/>
              <w:rPr>
                <w:rFonts w:hint="default" w:ascii="仿宋" w:hAnsi="仿宋" w:eastAsia="仿宋" w:cs="仿宋"/>
                <w:color w:val="auto"/>
                <w:sz w:val="24"/>
                <w:szCs w:val="22"/>
              </w:rPr>
            </w:pPr>
            <w:r>
              <w:rPr>
                <w:rFonts w:hint="eastAsia" w:ascii="仿宋" w:hAnsi="仿宋" w:eastAsia="仿宋" w:cs="仿宋"/>
                <w:b/>
                <w:bCs/>
                <w:color w:val="auto"/>
                <w:sz w:val="24"/>
                <w:szCs w:val="22"/>
              </w:rPr>
              <w:t>【注：1、须提供相关证书扫描件并加盖公章；2、须提供</w:t>
            </w:r>
            <w:r>
              <w:rPr>
                <w:rFonts w:hint="eastAsia" w:ascii="仿宋" w:hAnsi="仿宋" w:eastAsia="仿宋" w:cs="仿宋"/>
                <w:b/>
                <w:bCs/>
                <w:color w:val="auto"/>
                <w:sz w:val="24"/>
                <w:szCs w:val="22"/>
                <w:lang w:val="en-US" w:eastAsia="zh-CN"/>
              </w:rPr>
              <w:t>供应商</w:t>
            </w:r>
            <w:r>
              <w:rPr>
                <w:rFonts w:hint="eastAsia" w:ascii="仿宋" w:hAnsi="仿宋" w:eastAsia="仿宋" w:cs="仿宋"/>
                <w:b/>
                <w:bCs/>
                <w:color w:val="auto"/>
                <w:sz w:val="24"/>
                <w:szCs w:val="22"/>
              </w:rPr>
              <w:t>为其缴纳的最近三个月的社保缴纳证明。】</w:t>
            </w:r>
          </w:p>
        </w:tc>
        <w:tc>
          <w:tcPr>
            <w:tcW w:w="398" w:type="pct"/>
            <w:tcBorders>
              <w:tl2br w:val="nil"/>
              <w:tr2bl w:val="nil"/>
            </w:tcBorders>
            <w:vAlign w:val="center"/>
          </w:tcPr>
          <w:p>
            <w:pPr>
              <w:keepNext w:val="0"/>
              <w:keepLines w:val="0"/>
              <w:suppressLineNumbers w:val="0"/>
              <w:spacing w:before="0" w:beforeAutospacing="0" w:after="0" w:afterAutospacing="0" w:line="360" w:lineRule="auto"/>
              <w:ind w:left="0" w:right="0"/>
              <w:jc w:val="center"/>
              <w:rPr>
                <w:rFonts w:hint="default" w:ascii="仿宋" w:hAnsi="仿宋" w:eastAsia="仿宋" w:cs="仿宋"/>
                <w:color w:val="auto"/>
                <w:sz w:val="24"/>
                <w:szCs w:val="22"/>
              </w:rPr>
            </w:pPr>
            <w:r>
              <w:rPr>
                <w:rFonts w:hint="eastAsia" w:ascii="仿宋" w:hAnsi="仿宋" w:eastAsia="仿宋" w:cs="仿宋"/>
                <w:color w:val="auto"/>
                <w:sz w:val="24"/>
                <w:szCs w:val="22"/>
              </w:rPr>
              <w:t>8</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664" w:hRule="atLeast"/>
        </w:trPr>
        <w:tc>
          <w:tcPr>
            <w:tcW w:w="320" w:type="pct"/>
            <w:tcBorders>
              <w:tl2br w:val="nil"/>
              <w:tr2bl w:val="nil"/>
            </w:tcBorders>
            <w:vAlign w:val="center"/>
          </w:tcPr>
          <w:p>
            <w:pPr>
              <w:keepNext w:val="0"/>
              <w:keepLines w:val="0"/>
              <w:suppressLineNumbers w:val="0"/>
              <w:spacing w:before="0" w:beforeAutospacing="0" w:after="0" w:afterAutospacing="0" w:line="360" w:lineRule="auto"/>
              <w:ind w:left="0" w:right="0"/>
              <w:rPr>
                <w:rFonts w:hint="default" w:ascii="仿宋" w:hAnsi="仿宋" w:eastAsia="仿宋" w:cs="仿宋"/>
                <w:color w:val="auto"/>
                <w:sz w:val="24"/>
                <w:szCs w:val="22"/>
              </w:rPr>
            </w:pPr>
            <w:r>
              <w:rPr>
                <w:rFonts w:hint="eastAsia" w:ascii="仿宋" w:hAnsi="仿宋" w:eastAsia="仿宋" w:cs="仿宋"/>
                <w:color w:val="auto"/>
                <w:sz w:val="24"/>
                <w:szCs w:val="22"/>
              </w:rPr>
              <w:t>9</w:t>
            </w:r>
          </w:p>
        </w:tc>
        <w:tc>
          <w:tcPr>
            <w:tcW w:w="752" w:type="pct"/>
            <w:tcBorders>
              <w:tl2br w:val="nil"/>
              <w:tr2bl w:val="nil"/>
            </w:tcBorders>
            <w:vAlign w:val="center"/>
          </w:tcPr>
          <w:p>
            <w:pPr>
              <w:keepNext w:val="0"/>
              <w:keepLines w:val="0"/>
              <w:suppressLineNumbers w:val="0"/>
              <w:spacing w:before="0" w:beforeAutospacing="0" w:after="0" w:afterAutospacing="0" w:line="360" w:lineRule="auto"/>
              <w:ind w:left="0" w:right="0"/>
              <w:jc w:val="center"/>
              <w:rPr>
                <w:rFonts w:hint="default" w:ascii="仿宋" w:hAnsi="仿宋" w:eastAsia="仿宋" w:cs="仿宋"/>
                <w:color w:val="auto"/>
                <w:sz w:val="24"/>
                <w:szCs w:val="22"/>
              </w:rPr>
            </w:pPr>
            <w:r>
              <w:rPr>
                <w:rFonts w:hint="eastAsia" w:ascii="仿宋" w:hAnsi="仿宋" w:eastAsia="仿宋" w:cs="仿宋"/>
                <w:color w:val="auto"/>
                <w:sz w:val="24"/>
                <w:szCs w:val="22"/>
              </w:rPr>
              <w:t>合理化</w:t>
            </w:r>
          </w:p>
          <w:p>
            <w:pPr>
              <w:keepNext w:val="0"/>
              <w:keepLines w:val="0"/>
              <w:suppressLineNumbers w:val="0"/>
              <w:spacing w:before="0" w:beforeAutospacing="0" w:after="0" w:afterAutospacing="0" w:line="360" w:lineRule="auto"/>
              <w:ind w:left="0" w:right="0"/>
              <w:jc w:val="center"/>
              <w:rPr>
                <w:rFonts w:hint="default" w:ascii="仿宋" w:hAnsi="仿宋" w:eastAsia="仿宋" w:cs="仿宋"/>
                <w:color w:val="auto"/>
                <w:sz w:val="24"/>
                <w:szCs w:val="22"/>
              </w:rPr>
            </w:pPr>
            <w:r>
              <w:rPr>
                <w:rFonts w:hint="eastAsia" w:ascii="仿宋" w:hAnsi="仿宋" w:eastAsia="仿宋" w:cs="仿宋"/>
                <w:color w:val="auto"/>
                <w:sz w:val="24"/>
                <w:szCs w:val="22"/>
              </w:rPr>
              <w:t>建议</w:t>
            </w:r>
          </w:p>
        </w:tc>
        <w:tc>
          <w:tcPr>
            <w:tcW w:w="3528" w:type="pct"/>
            <w:tcBorders>
              <w:tl2br w:val="nil"/>
              <w:tr2bl w:val="nil"/>
            </w:tcBorders>
            <w:vAlign w:val="center"/>
          </w:tcPr>
          <w:p>
            <w:pPr>
              <w:keepNext w:val="0"/>
              <w:keepLines w:val="0"/>
              <w:suppressLineNumbers w:val="0"/>
              <w:spacing w:before="0" w:beforeAutospacing="0" w:after="0" w:afterAutospacing="0" w:line="360" w:lineRule="auto"/>
              <w:ind w:left="0" w:right="0"/>
              <w:jc w:val="left"/>
              <w:rPr>
                <w:rFonts w:hint="default" w:ascii="仿宋" w:hAnsi="仿宋" w:eastAsia="仿宋" w:cs="仿宋"/>
                <w:color w:val="auto"/>
                <w:sz w:val="24"/>
                <w:szCs w:val="22"/>
              </w:rPr>
            </w:pPr>
            <w:r>
              <w:rPr>
                <w:rFonts w:hint="eastAsia" w:ascii="仿宋" w:hAnsi="仿宋" w:eastAsia="仿宋" w:cs="仿宋"/>
                <w:color w:val="auto"/>
                <w:sz w:val="24"/>
                <w:szCs w:val="22"/>
              </w:rPr>
              <w:t>对本项目的了解程度，系统是否存在不足之处，针对本项目提出合理化建议，每提出一条合理化建议的得1分，最高得3分。</w:t>
            </w:r>
          </w:p>
        </w:tc>
        <w:tc>
          <w:tcPr>
            <w:tcW w:w="398" w:type="pct"/>
            <w:tcBorders>
              <w:tl2br w:val="nil"/>
              <w:tr2bl w:val="nil"/>
            </w:tcBorders>
            <w:vAlign w:val="center"/>
          </w:tcPr>
          <w:p>
            <w:pPr>
              <w:keepNext w:val="0"/>
              <w:keepLines w:val="0"/>
              <w:suppressLineNumbers w:val="0"/>
              <w:spacing w:before="0" w:beforeAutospacing="0" w:after="0" w:afterAutospacing="0" w:line="360" w:lineRule="auto"/>
              <w:ind w:left="0" w:right="0"/>
              <w:jc w:val="center"/>
              <w:rPr>
                <w:rFonts w:hint="default" w:ascii="仿宋" w:hAnsi="仿宋" w:eastAsia="仿宋" w:cs="仿宋"/>
                <w:color w:val="auto"/>
                <w:sz w:val="24"/>
                <w:szCs w:val="22"/>
              </w:rPr>
            </w:pPr>
            <w:r>
              <w:rPr>
                <w:rFonts w:hint="eastAsia" w:ascii="仿宋" w:hAnsi="仿宋" w:eastAsia="仿宋" w:cs="仿宋"/>
                <w:color w:val="auto"/>
                <w:sz w:val="24"/>
                <w:szCs w:val="22"/>
              </w:rPr>
              <w:t>3</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320" w:type="pct"/>
            <w:tcBorders>
              <w:tl2br w:val="nil"/>
              <w:tr2bl w:val="nil"/>
            </w:tcBorders>
            <w:vAlign w:val="center"/>
          </w:tcPr>
          <w:p>
            <w:pPr>
              <w:keepNext w:val="0"/>
              <w:keepLines w:val="0"/>
              <w:suppressLineNumbers w:val="0"/>
              <w:spacing w:before="0" w:beforeAutospacing="0" w:after="0" w:afterAutospacing="0" w:line="360" w:lineRule="auto"/>
              <w:ind w:left="0" w:right="0"/>
              <w:rPr>
                <w:rFonts w:hint="eastAsia" w:ascii="仿宋" w:hAnsi="仿宋" w:eastAsia="仿宋" w:cs="仿宋"/>
                <w:color w:val="auto"/>
                <w:sz w:val="24"/>
                <w:szCs w:val="22"/>
                <w:lang w:val="en-US" w:eastAsia="zh-CN"/>
              </w:rPr>
            </w:pPr>
            <w:r>
              <w:rPr>
                <w:rFonts w:hint="eastAsia" w:ascii="仿宋" w:hAnsi="仿宋" w:eastAsia="仿宋" w:cs="仿宋"/>
                <w:color w:val="auto"/>
                <w:sz w:val="24"/>
                <w:szCs w:val="22"/>
                <w:lang w:val="en-US" w:eastAsia="zh-CN"/>
              </w:rPr>
              <w:t>二</w:t>
            </w:r>
          </w:p>
        </w:tc>
        <w:tc>
          <w:tcPr>
            <w:tcW w:w="752" w:type="pct"/>
            <w:tcBorders>
              <w:tl2br w:val="nil"/>
              <w:tr2bl w:val="nil"/>
            </w:tcBorders>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color w:val="auto"/>
                <w:sz w:val="24"/>
                <w:szCs w:val="22"/>
              </w:rPr>
            </w:pPr>
          </w:p>
        </w:tc>
        <w:tc>
          <w:tcPr>
            <w:tcW w:w="3528" w:type="pct"/>
            <w:tcBorders>
              <w:tl2br w:val="nil"/>
              <w:tr2bl w:val="nil"/>
            </w:tcBorders>
            <w:vAlign w:val="center"/>
          </w:tcPr>
          <w:p>
            <w:pPr>
              <w:keepNext w:val="0"/>
              <w:keepLines w:val="0"/>
              <w:suppressLineNumbers w:val="0"/>
              <w:spacing w:before="0" w:beforeAutospacing="0" w:after="0" w:afterAutospacing="0" w:line="360" w:lineRule="auto"/>
              <w:ind w:left="0" w:right="0"/>
              <w:jc w:val="center"/>
              <w:rPr>
                <w:rFonts w:hint="default" w:ascii="仿宋" w:hAnsi="仿宋" w:eastAsia="仿宋" w:cs="仿宋"/>
                <w:b/>
                <w:bCs/>
                <w:color w:val="auto"/>
                <w:sz w:val="24"/>
                <w:szCs w:val="22"/>
                <w:lang w:val="en-US" w:eastAsia="zh-CN"/>
              </w:rPr>
            </w:pPr>
            <w:r>
              <w:rPr>
                <w:rFonts w:hint="eastAsia" w:ascii="仿宋" w:hAnsi="仿宋" w:eastAsia="仿宋" w:cs="仿宋"/>
                <w:b/>
                <w:bCs/>
                <w:color w:val="auto"/>
                <w:sz w:val="24"/>
                <w:szCs w:val="22"/>
                <w:lang w:val="en-US" w:eastAsia="zh-CN"/>
              </w:rPr>
              <w:t>商务技术及其他分</w:t>
            </w:r>
          </w:p>
        </w:tc>
        <w:tc>
          <w:tcPr>
            <w:tcW w:w="398" w:type="pct"/>
            <w:tcBorders>
              <w:tl2br w:val="nil"/>
              <w:tr2bl w:val="nil"/>
            </w:tcBorders>
            <w:vAlign w:val="center"/>
          </w:tcPr>
          <w:p>
            <w:pPr>
              <w:keepNext w:val="0"/>
              <w:keepLines w:val="0"/>
              <w:suppressLineNumbers w:val="0"/>
              <w:spacing w:before="0" w:beforeAutospacing="0" w:after="0" w:afterAutospacing="0" w:line="360" w:lineRule="auto"/>
              <w:ind w:left="0" w:right="0"/>
              <w:jc w:val="center"/>
              <w:rPr>
                <w:rFonts w:hint="default" w:ascii="仿宋" w:hAnsi="仿宋" w:eastAsia="仿宋" w:cs="仿宋"/>
                <w:color w:val="auto"/>
                <w:sz w:val="24"/>
                <w:szCs w:val="22"/>
                <w:lang w:val="en-US" w:eastAsia="zh-CN"/>
              </w:rPr>
            </w:pPr>
            <w:r>
              <w:rPr>
                <w:rFonts w:hint="eastAsia" w:ascii="仿宋" w:hAnsi="仿宋" w:eastAsia="仿宋" w:cs="仿宋"/>
                <w:color w:val="auto"/>
                <w:sz w:val="24"/>
                <w:szCs w:val="22"/>
                <w:lang w:val="en-US" w:eastAsia="zh-CN"/>
              </w:rPr>
              <w:t>19分</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320" w:type="pct"/>
            <w:vMerge w:val="restart"/>
            <w:tcBorders>
              <w:tl2br w:val="nil"/>
              <w:tr2bl w:val="nil"/>
            </w:tcBorders>
            <w:vAlign w:val="center"/>
          </w:tcPr>
          <w:p>
            <w:pPr>
              <w:keepNext w:val="0"/>
              <w:keepLines w:val="0"/>
              <w:suppressLineNumbers w:val="0"/>
              <w:spacing w:before="0" w:beforeAutospacing="0" w:after="0" w:afterAutospacing="0" w:line="360" w:lineRule="auto"/>
              <w:ind w:left="0" w:right="0"/>
              <w:rPr>
                <w:rFonts w:hint="default" w:ascii="仿宋" w:hAnsi="仿宋" w:eastAsia="仿宋" w:cs="仿宋"/>
                <w:color w:val="auto"/>
                <w:sz w:val="24"/>
                <w:szCs w:val="22"/>
              </w:rPr>
            </w:pPr>
            <w:r>
              <w:rPr>
                <w:rFonts w:hint="eastAsia" w:ascii="仿宋" w:hAnsi="仿宋" w:eastAsia="仿宋" w:cs="仿宋"/>
                <w:color w:val="auto"/>
                <w:sz w:val="24"/>
                <w:szCs w:val="22"/>
              </w:rPr>
              <w:t>10</w:t>
            </w:r>
          </w:p>
        </w:tc>
        <w:tc>
          <w:tcPr>
            <w:tcW w:w="752" w:type="pct"/>
            <w:vMerge w:val="restart"/>
            <w:tcBorders>
              <w:tl2br w:val="nil"/>
              <w:tr2bl w:val="nil"/>
            </w:tcBorders>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color w:val="auto"/>
                <w:sz w:val="24"/>
                <w:szCs w:val="22"/>
              </w:rPr>
            </w:pPr>
            <w:r>
              <w:rPr>
                <w:rFonts w:hint="eastAsia" w:ascii="仿宋" w:hAnsi="仿宋" w:eastAsia="仿宋" w:cs="仿宋"/>
                <w:color w:val="auto"/>
                <w:sz w:val="24"/>
                <w:szCs w:val="22"/>
              </w:rPr>
              <w:t>服务支撑</w:t>
            </w:r>
          </w:p>
          <w:p>
            <w:pPr>
              <w:keepNext w:val="0"/>
              <w:keepLines w:val="0"/>
              <w:suppressLineNumbers w:val="0"/>
              <w:spacing w:before="0" w:beforeAutospacing="0" w:after="0" w:afterAutospacing="0" w:line="360" w:lineRule="auto"/>
              <w:ind w:left="0" w:right="0"/>
              <w:jc w:val="center"/>
              <w:rPr>
                <w:rFonts w:hint="default" w:ascii="仿宋" w:hAnsi="仿宋" w:eastAsia="仿宋" w:cs="仿宋"/>
                <w:color w:val="auto"/>
                <w:sz w:val="24"/>
                <w:szCs w:val="22"/>
              </w:rPr>
            </w:pPr>
            <w:r>
              <w:rPr>
                <w:rFonts w:hint="eastAsia" w:ascii="仿宋" w:hAnsi="仿宋" w:eastAsia="仿宋" w:cs="仿宋"/>
                <w:color w:val="auto"/>
                <w:sz w:val="24"/>
                <w:szCs w:val="22"/>
              </w:rPr>
              <w:t>能力</w:t>
            </w:r>
          </w:p>
        </w:tc>
        <w:tc>
          <w:tcPr>
            <w:tcW w:w="3528" w:type="pct"/>
            <w:tcBorders>
              <w:tl2br w:val="nil"/>
              <w:tr2bl w:val="nil"/>
            </w:tcBorders>
            <w:vAlign w:val="center"/>
          </w:tcPr>
          <w:p>
            <w:pPr>
              <w:keepNext w:val="0"/>
              <w:keepLines w:val="0"/>
              <w:suppressLineNumbers w:val="0"/>
              <w:spacing w:before="0" w:beforeAutospacing="0" w:after="0" w:afterAutospacing="0" w:line="360" w:lineRule="auto"/>
              <w:ind w:left="0" w:right="0"/>
              <w:jc w:val="left"/>
              <w:rPr>
                <w:rFonts w:hint="default" w:ascii="仿宋" w:hAnsi="仿宋" w:eastAsia="仿宋" w:cs="仿宋"/>
                <w:color w:val="auto"/>
                <w:sz w:val="24"/>
                <w:szCs w:val="22"/>
              </w:rPr>
            </w:pPr>
            <w:r>
              <w:rPr>
                <w:rFonts w:hint="eastAsia" w:ascii="仿宋" w:hAnsi="仿宋" w:eastAsia="仿宋" w:cs="仿宋"/>
                <w:color w:val="auto"/>
                <w:sz w:val="24"/>
                <w:szCs w:val="22"/>
              </w:rPr>
              <w:t>评估供应商运维研发能力，具有自主研发的运维工具或平台，每提供一个软件著作权得2分，最多得4分。</w:t>
            </w:r>
          </w:p>
          <w:p>
            <w:pPr>
              <w:keepNext w:val="0"/>
              <w:keepLines w:val="0"/>
              <w:suppressLineNumbers w:val="0"/>
              <w:spacing w:before="0" w:beforeAutospacing="0" w:after="0" w:afterAutospacing="0" w:line="360" w:lineRule="auto"/>
              <w:ind w:left="0" w:right="0"/>
              <w:jc w:val="left"/>
              <w:rPr>
                <w:rFonts w:hint="default" w:ascii="仿宋" w:hAnsi="仿宋" w:eastAsia="仿宋" w:cs="仿宋"/>
                <w:color w:val="auto"/>
                <w:sz w:val="24"/>
                <w:szCs w:val="22"/>
              </w:rPr>
            </w:pPr>
            <w:r>
              <w:rPr>
                <w:rFonts w:hint="eastAsia" w:ascii="仿宋" w:hAnsi="仿宋" w:eastAsia="仿宋" w:cs="仿宋"/>
                <w:b/>
                <w:bCs/>
                <w:color w:val="auto"/>
                <w:sz w:val="24"/>
                <w:szCs w:val="22"/>
              </w:rPr>
              <w:t>【注：提供相关证书扫描件并加盖公章。】</w:t>
            </w:r>
          </w:p>
        </w:tc>
        <w:tc>
          <w:tcPr>
            <w:tcW w:w="398" w:type="pct"/>
            <w:tcBorders>
              <w:tl2br w:val="nil"/>
              <w:tr2bl w:val="nil"/>
            </w:tcBorders>
            <w:vAlign w:val="center"/>
          </w:tcPr>
          <w:p>
            <w:pPr>
              <w:keepNext w:val="0"/>
              <w:keepLines w:val="0"/>
              <w:suppressLineNumbers w:val="0"/>
              <w:spacing w:before="0" w:beforeAutospacing="0" w:after="0" w:afterAutospacing="0" w:line="360" w:lineRule="auto"/>
              <w:ind w:left="0" w:right="0"/>
              <w:jc w:val="center"/>
              <w:rPr>
                <w:rFonts w:hint="default" w:ascii="仿宋" w:hAnsi="仿宋" w:eastAsia="仿宋" w:cs="仿宋"/>
                <w:color w:val="auto"/>
                <w:sz w:val="24"/>
                <w:szCs w:val="22"/>
              </w:rPr>
            </w:pPr>
            <w:r>
              <w:rPr>
                <w:rFonts w:hint="eastAsia" w:ascii="仿宋" w:hAnsi="仿宋" w:eastAsia="仿宋" w:cs="仿宋"/>
                <w:color w:val="auto"/>
                <w:sz w:val="24"/>
                <w:szCs w:val="22"/>
              </w:rPr>
              <w:t>4</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320" w:type="pct"/>
            <w:vMerge w:val="continue"/>
            <w:tcBorders>
              <w:tl2br w:val="nil"/>
              <w:tr2bl w:val="nil"/>
            </w:tcBorders>
            <w:vAlign w:val="center"/>
          </w:tcPr>
          <w:p>
            <w:pPr>
              <w:keepNext w:val="0"/>
              <w:keepLines w:val="0"/>
              <w:suppressLineNumbers w:val="0"/>
              <w:spacing w:before="0" w:beforeAutospacing="0" w:after="0" w:afterAutospacing="0" w:line="360" w:lineRule="auto"/>
              <w:ind w:left="0" w:right="0"/>
              <w:rPr>
                <w:rFonts w:hint="default" w:ascii="仿宋" w:hAnsi="仿宋" w:eastAsia="仿宋" w:cs="仿宋"/>
                <w:color w:val="auto"/>
                <w:sz w:val="24"/>
                <w:szCs w:val="22"/>
              </w:rPr>
            </w:pPr>
          </w:p>
        </w:tc>
        <w:tc>
          <w:tcPr>
            <w:tcW w:w="752" w:type="pct"/>
            <w:vMerge w:val="continue"/>
            <w:tcBorders>
              <w:tl2br w:val="nil"/>
              <w:tr2bl w:val="nil"/>
            </w:tcBorders>
            <w:vAlign w:val="center"/>
          </w:tcPr>
          <w:p>
            <w:pPr>
              <w:keepNext w:val="0"/>
              <w:keepLines w:val="0"/>
              <w:suppressLineNumbers w:val="0"/>
              <w:spacing w:before="0" w:beforeAutospacing="0" w:after="0" w:afterAutospacing="0" w:line="360" w:lineRule="auto"/>
              <w:ind w:left="0" w:right="0"/>
              <w:jc w:val="center"/>
              <w:rPr>
                <w:rFonts w:hint="default" w:ascii="仿宋" w:hAnsi="仿宋" w:eastAsia="仿宋" w:cs="仿宋"/>
                <w:color w:val="auto"/>
                <w:sz w:val="24"/>
                <w:szCs w:val="22"/>
              </w:rPr>
            </w:pPr>
          </w:p>
        </w:tc>
        <w:tc>
          <w:tcPr>
            <w:tcW w:w="3528" w:type="pct"/>
            <w:tcBorders>
              <w:tl2br w:val="nil"/>
              <w:tr2bl w:val="nil"/>
            </w:tcBorders>
            <w:vAlign w:val="center"/>
          </w:tcPr>
          <w:p>
            <w:pPr>
              <w:keepNext w:val="0"/>
              <w:keepLines w:val="0"/>
              <w:suppressLineNumbers w:val="0"/>
              <w:spacing w:before="0" w:beforeAutospacing="0" w:after="0" w:afterAutospacing="0" w:line="360" w:lineRule="auto"/>
              <w:ind w:left="0" w:right="0"/>
              <w:jc w:val="left"/>
              <w:rPr>
                <w:rFonts w:hint="default" w:ascii="仿宋" w:hAnsi="仿宋" w:eastAsia="仿宋" w:cs="仿宋"/>
                <w:color w:val="auto"/>
                <w:sz w:val="24"/>
                <w:szCs w:val="22"/>
              </w:rPr>
            </w:pPr>
            <w:r>
              <w:rPr>
                <w:rFonts w:hint="eastAsia" w:ascii="仿宋" w:hAnsi="仿宋" w:eastAsia="仿宋" w:cs="仿宋"/>
                <w:color w:val="auto"/>
                <w:sz w:val="24"/>
                <w:szCs w:val="22"/>
              </w:rPr>
              <w:t>综合评估供应商运维服务体系的完善程度，具有完善的400电话服务体系、运维管理工具、运维管理制度的得</w:t>
            </w:r>
            <w:r>
              <w:rPr>
                <w:rFonts w:hint="eastAsia" w:ascii="仿宋" w:hAnsi="仿宋" w:eastAsia="仿宋" w:cs="仿宋"/>
                <w:color w:val="auto"/>
                <w:sz w:val="24"/>
                <w:szCs w:val="22"/>
                <w:lang w:val="en-US" w:eastAsia="zh-CN"/>
              </w:rPr>
              <w:t>5</w:t>
            </w:r>
            <w:r>
              <w:rPr>
                <w:rFonts w:hint="eastAsia" w:ascii="仿宋" w:hAnsi="仿宋" w:eastAsia="仿宋" w:cs="仿宋"/>
                <w:color w:val="auto"/>
                <w:sz w:val="24"/>
                <w:szCs w:val="22"/>
              </w:rPr>
              <w:t>分，内容欠缺或不合理的，每处扣0.5分，扣完为止。</w:t>
            </w:r>
          </w:p>
        </w:tc>
        <w:tc>
          <w:tcPr>
            <w:tcW w:w="398" w:type="pct"/>
            <w:tcBorders>
              <w:tl2br w:val="nil"/>
              <w:tr2bl w:val="nil"/>
            </w:tcBorders>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color w:val="auto"/>
                <w:sz w:val="24"/>
                <w:szCs w:val="22"/>
                <w:lang w:eastAsia="zh-CN"/>
              </w:rPr>
            </w:pPr>
            <w:r>
              <w:rPr>
                <w:rFonts w:hint="eastAsia" w:ascii="仿宋" w:hAnsi="仿宋" w:eastAsia="仿宋" w:cs="仿宋"/>
                <w:color w:val="auto"/>
                <w:sz w:val="24"/>
                <w:szCs w:val="22"/>
                <w:lang w:val="en-US" w:eastAsia="zh-CN"/>
              </w:rPr>
              <w:t>5</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320" w:type="pct"/>
            <w:tcBorders>
              <w:tl2br w:val="nil"/>
              <w:tr2bl w:val="nil"/>
            </w:tcBorders>
            <w:vAlign w:val="center"/>
          </w:tcPr>
          <w:p>
            <w:pPr>
              <w:keepNext w:val="0"/>
              <w:keepLines w:val="0"/>
              <w:suppressLineNumbers w:val="0"/>
              <w:spacing w:before="0" w:beforeAutospacing="0" w:after="0" w:afterAutospacing="0" w:line="360" w:lineRule="auto"/>
              <w:ind w:left="0" w:right="0"/>
              <w:rPr>
                <w:rFonts w:hint="default" w:ascii="仿宋" w:hAnsi="仿宋" w:eastAsia="仿宋" w:cs="仿宋"/>
                <w:color w:val="auto"/>
                <w:sz w:val="24"/>
                <w:szCs w:val="22"/>
              </w:rPr>
            </w:pPr>
            <w:r>
              <w:rPr>
                <w:rFonts w:hint="eastAsia" w:ascii="仿宋" w:hAnsi="仿宋" w:eastAsia="仿宋" w:cs="仿宋"/>
                <w:color w:val="auto"/>
                <w:sz w:val="24"/>
                <w:szCs w:val="22"/>
              </w:rPr>
              <w:t>11</w:t>
            </w:r>
          </w:p>
        </w:tc>
        <w:tc>
          <w:tcPr>
            <w:tcW w:w="752" w:type="pct"/>
            <w:tcBorders>
              <w:tl2br w:val="nil"/>
              <w:tr2bl w:val="nil"/>
            </w:tcBorders>
            <w:vAlign w:val="center"/>
          </w:tcPr>
          <w:p>
            <w:pPr>
              <w:keepNext w:val="0"/>
              <w:keepLines w:val="0"/>
              <w:suppressLineNumbers w:val="0"/>
              <w:spacing w:before="0" w:beforeAutospacing="0" w:after="0" w:afterAutospacing="0" w:line="360" w:lineRule="auto"/>
              <w:ind w:left="0" w:right="0"/>
              <w:jc w:val="center"/>
              <w:rPr>
                <w:rFonts w:hint="default" w:ascii="仿宋" w:hAnsi="仿宋" w:eastAsia="仿宋" w:cs="仿宋"/>
                <w:color w:val="auto"/>
                <w:sz w:val="24"/>
                <w:szCs w:val="22"/>
              </w:rPr>
            </w:pPr>
            <w:r>
              <w:rPr>
                <w:rFonts w:hint="eastAsia" w:ascii="仿宋" w:hAnsi="仿宋" w:eastAsia="仿宋" w:cs="仿宋"/>
                <w:color w:val="auto"/>
                <w:sz w:val="24"/>
                <w:szCs w:val="22"/>
              </w:rPr>
              <w:t>企业实力</w:t>
            </w:r>
          </w:p>
        </w:tc>
        <w:tc>
          <w:tcPr>
            <w:tcW w:w="3528" w:type="pct"/>
            <w:tcBorders>
              <w:tl2br w:val="nil"/>
              <w:tr2bl w:val="nil"/>
            </w:tcBorders>
            <w:vAlign w:val="center"/>
          </w:tcPr>
          <w:p>
            <w:pPr>
              <w:keepNext w:val="0"/>
              <w:keepLines w:val="0"/>
              <w:suppressLineNumbers w:val="0"/>
              <w:spacing w:before="0" w:beforeAutospacing="0" w:after="0" w:afterAutospacing="0" w:line="360" w:lineRule="auto"/>
              <w:ind w:left="0" w:right="0"/>
              <w:jc w:val="left"/>
              <w:rPr>
                <w:rFonts w:hint="default" w:ascii="仿宋" w:hAnsi="仿宋" w:eastAsia="仿宋" w:cs="仿宋"/>
                <w:color w:val="auto"/>
                <w:sz w:val="24"/>
                <w:szCs w:val="22"/>
              </w:rPr>
            </w:pPr>
            <w:r>
              <w:rPr>
                <w:rFonts w:hint="eastAsia" w:ascii="仿宋" w:hAnsi="仿宋" w:eastAsia="仿宋" w:cs="仿宋"/>
                <w:color w:val="auto"/>
                <w:sz w:val="24"/>
                <w:szCs w:val="22"/>
                <w:lang w:val="en-US" w:eastAsia="zh-CN"/>
              </w:rPr>
              <w:t>1、</w:t>
            </w:r>
            <w:r>
              <w:rPr>
                <w:rFonts w:hint="eastAsia" w:ascii="仿宋" w:hAnsi="仿宋" w:eastAsia="仿宋" w:cs="仿宋"/>
                <w:color w:val="auto"/>
                <w:sz w:val="24"/>
                <w:szCs w:val="22"/>
              </w:rPr>
              <w:t>供应商具有信息技术服务运行维护服务能力成熟度ITSS证书四级的得1分，三级的得2分，二级及以上的得3分。</w:t>
            </w:r>
          </w:p>
          <w:p>
            <w:pPr>
              <w:keepNext w:val="0"/>
              <w:keepLines w:val="0"/>
              <w:suppressLineNumbers w:val="0"/>
              <w:spacing w:before="0" w:beforeAutospacing="0" w:after="0" w:afterAutospacing="0" w:line="360" w:lineRule="auto"/>
              <w:ind w:left="0" w:right="0"/>
              <w:jc w:val="left"/>
              <w:rPr>
                <w:rFonts w:hint="default" w:ascii="仿宋" w:hAnsi="仿宋" w:eastAsia="仿宋" w:cs="仿宋"/>
                <w:color w:val="auto"/>
                <w:sz w:val="24"/>
                <w:szCs w:val="22"/>
              </w:rPr>
            </w:pPr>
            <w:r>
              <w:rPr>
                <w:rFonts w:hint="eastAsia" w:ascii="仿宋" w:hAnsi="仿宋" w:eastAsia="仿宋" w:cs="仿宋"/>
                <w:color w:val="auto"/>
                <w:sz w:val="24"/>
                <w:szCs w:val="22"/>
                <w:lang w:val="en-US" w:eastAsia="zh-CN"/>
              </w:rPr>
              <w:t>2、</w:t>
            </w:r>
            <w:r>
              <w:rPr>
                <w:rFonts w:hint="eastAsia" w:ascii="仿宋" w:hAnsi="仿宋" w:eastAsia="仿宋" w:cs="仿宋"/>
                <w:color w:val="auto"/>
                <w:sz w:val="24"/>
                <w:szCs w:val="22"/>
              </w:rPr>
              <w:t>供应商具有</w:t>
            </w:r>
            <w:r>
              <w:rPr>
                <w:rFonts w:hint="default" w:ascii="仿宋" w:hAnsi="仿宋" w:eastAsia="仿宋" w:cs="仿宋"/>
                <w:color w:val="auto"/>
                <w:sz w:val="24"/>
                <w:szCs w:val="22"/>
              </w:rPr>
              <w:t>CCRC信息安全服务资质认证证书（软件安全开发、信息系统安全集成、信息系统安全运维）二级及以上证书的得</w:t>
            </w:r>
            <w:r>
              <w:rPr>
                <w:rFonts w:hint="eastAsia" w:ascii="仿宋" w:hAnsi="仿宋" w:eastAsia="仿宋" w:cs="仿宋"/>
                <w:color w:val="auto"/>
                <w:sz w:val="24"/>
                <w:szCs w:val="22"/>
                <w:lang w:val="en-US" w:eastAsia="zh-CN"/>
              </w:rPr>
              <w:t>3</w:t>
            </w:r>
            <w:r>
              <w:rPr>
                <w:rFonts w:hint="default" w:ascii="仿宋" w:hAnsi="仿宋" w:eastAsia="仿宋" w:cs="仿宋"/>
                <w:color w:val="auto"/>
                <w:sz w:val="24"/>
                <w:szCs w:val="22"/>
              </w:rPr>
              <w:t>分</w:t>
            </w:r>
            <w:r>
              <w:rPr>
                <w:rFonts w:hint="eastAsia" w:ascii="仿宋" w:hAnsi="仿宋" w:eastAsia="仿宋" w:cs="仿宋"/>
                <w:color w:val="auto"/>
                <w:sz w:val="24"/>
                <w:szCs w:val="22"/>
              </w:rPr>
              <w:t>。</w:t>
            </w:r>
          </w:p>
          <w:p>
            <w:pPr>
              <w:keepNext w:val="0"/>
              <w:keepLines w:val="0"/>
              <w:suppressLineNumbers w:val="0"/>
              <w:spacing w:before="0" w:beforeAutospacing="0" w:after="0" w:afterAutospacing="0" w:line="360" w:lineRule="auto"/>
              <w:ind w:left="0" w:right="0"/>
              <w:jc w:val="left"/>
              <w:rPr>
                <w:rFonts w:hint="default" w:ascii="仿宋" w:hAnsi="仿宋" w:eastAsia="仿宋" w:cs="仿宋"/>
                <w:color w:val="auto"/>
                <w:sz w:val="24"/>
                <w:szCs w:val="22"/>
              </w:rPr>
            </w:pPr>
            <w:r>
              <w:rPr>
                <w:rFonts w:hint="eastAsia" w:ascii="仿宋" w:hAnsi="仿宋" w:eastAsia="仿宋" w:cs="仿宋"/>
                <w:color w:val="auto"/>
                <w:sz w:val="24"/>
                <w:szCs w:val="22"/>
                <w:lang w:val="en-US" w:eastAsia="zh-CN"/>
              </w:rPr>
              <w:t>3、</w:t>
            </w:r>
            <w:r>
              <w:rPr>
                <w:rFonts w:hint="eastAsia" w:ascii="仿宋" w:hAnsi="仿宋" w:eastAsia="仿宋" w:cs="仿宋"/>
                <w:color w:val="auto"/>
                <w:sz w:val="24"/>
                <w:szCs w:val="22"/>
              </w:rPr>
              <w:t>供应商具有</w:t>
            </w:r>
            <w:r>
              <w:rPr>
                <w:rFonts w:hint="default" w:ascii="仿宋" w:hAnsi="仿宋" w:eastAsia="仿宋" w:cs="仿宋"/>
                <w:color w:val="auto"/>
                <w:sz w:val="24"/>
                <w:szCs w:val="22"/>
              </w:rPr>
              <w:t>SPCA软件过程及能力成熟度5级认证证书的得3分</w:t>
            </w:r>
            <w:r>
              <w:rPr>
                <w:rFonts w:hint="eastAsia" w:ascii="仿宋" w:hAnsi="仿宋" w:eastAsia="仿宋" w:cs="仿宋"/>
                <w:color w:val="auto"/>
                <w:sz w:val="24"/>
                <w:szCs w:val="22"/>
              </w:rPr>
              <w:t>，4级得2分，3级得1分，其他等级不得分。</w:t>
            </w:r>
          </w:p>
          <w:p>
            <w:pPr>
              <w:keepNext w:val="0"/>
              <w:keepLines w:val="0"/>
              <w:suppressLineNumbers w:val="0"/>
              <w:spacing w:before="0" w:beforeAutospacing="0" w:after="0" w:afterAutospacing="0" w:line="360" w:lineRule="auto"/>
              <w:ind w:left="0" w:right="0"/>
              <w:jc w:val="left"/>
              <w:rPr>
                <w:rFonts w:hint="default" w:ascii="仿宋" w:hAnsi="仿宋" w:eastAsia="仿宋" w:cs="仿宋"/>
                <w:color w:val="auto"/>
                <w:sz w:val="24"/>
                <w:szCs w:val="22"/>
              </w:rPr>
            </w:pPr>
            <w:r>
              <w:rPr>
                <w:rFonts w:hint="eastAsia" w:ascii="仿宋" w:hAnsi="仿宋" w:eastAsia="仿宋" w:cs="仿宋"/>
                <w:b/>
                <w:bCs/>
                <w:color w:val="auto"/>
                <w:sz w:val="24"/>
                <w:szCs w:val="22"/>
              </w:rPr>
              <w:t>【注：提供相关证书扫描件并加盖公章。】</w:t>
            </w:r>
          </w:p>
        </w:tc>
        <w:tc>
          <w:tcPr>
            <w:tcW w:w="398" w:type="pct"/>
            <w:tcBorders>
              <w:tl2br w:val="nil"/>
              <w:tr2bl w:val="nil"/>
            </w:tcBorders>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color w:val="auto"/>
                <w:sz w:val="24"/>
                <w:szCs w:val="22"/>
                <w:lang w:eastAsia="zh-CN"/>
              </w:rPr>
            </w:pPr>
            <w:r>
              <w:rPr>
                <w:rFonts w:hint="eastAsia" w:ascii="仿宋" w:hAnsi="仿宋" w:eastAsia="仿宋" w:cs="仿宋"/>
                <w:color w:val="auto"/>
                <w:sz w:val="24"/>
                <w:szCs w:val="22"/>
                <w:lang w:val="en-US" w:eastAsia="zh-CN"/>
              </w:rPr>
              <w:t>9</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320" w:type="pct"/>
            <w:tcBorders>
              <w:tl2br w:val="nil"/>
              <w:tr2bl w:val="nil"/>
            </w:tcBorders>
            <w:vAlign w:val="center"/>
          </w:tcPr>
          <w:p>
            <w:pPr>
              <w:keepNext w:val="0"/>
              <w:keepLines w:val="0"/>
              <w:suppressLineNumbers w:val="0"/>
              <w:spacing w:before="0" w:beforeAutospacing="0" w:after="0" w:afterAutospacing="0" w:line="360" w:lineRule="auto"/>
              <w:ind w:left="0" w:right="0"/>
              <w:rPr>
                <w:rFonts w:hint="default" w:ascii="仿宋" w:hAnsi="仿宋" w:eastAsia="仿宋" w:cs="仿宋"/>
                <w:color w:val="auto"/>
                <w:sz w:val="24"/>
                <w:szCs w:val="22"/>
              </w:rPr>
            </w:pPr>
            <w:r>
              <w:rPr>
                <w:rFonts w:hint="eastAsia" w:ascii="仿宋" w:hAnsi="仿宋" w:eastAsia="仿宋" w:cs="仿宋"/>
                <w:color w:val="auto"/>
                <w:sz w:val="24"/>
                <w:szCs w:val="22"/>
              </w:rPr>
              <w:t>12</w:t>
            </w:r>
          </w:p>
        </w:tc>
        <w:tc>
          <w:tcPr>
            <w:tcW w:w="752" w:type="pct"/>
            <w:tcBorders>
              <w:tl2br w:val="nil"/>
              <w:tr2bl w:val="nil"/>
            </w:tcBorders>
            <w:vAlign w:val="center"/>
          </w:tcPr>
          <w:p>
            <w:pPr>
              <w:keepNext w:val="0"/>
              <w:keepLines w:val="0"/>
              <w:suppressLineNumbers w:val="0"/>
              <w:spacing w:before="0" w:beforeAutospacing="0" w:after="0" w:afterAutospacing="0" w:line="360" w:lineRule="auto"/>
              <w:ind w:left="0" w:right="0"/>
              <w:jc w:val="center"/>
              <w:rPr>
                <w:rFonts w:hint="default" w:ascii="仿宋" w:hAnsi="仿宋" w:eastAsia="仿宋" w:cs="仿宋"/>
                <w:color w:val="auto"/>
                <w:sz w:val="24"/>
                <w:szCs w:val="22"/>
              </w:rPr>
            </w:pPr>
            <w:r>
              <w:rPr>
                <w:rFonts w:hint="eastAsia" w:ascii="仿宋" w:hAnsi="仿宋" w:eastAsia="仿宋" w:cs="仿宋"/>
                <w:color w:val="auto"/>
                <w:sz w:val="24"/>
                <w:szCs w:val="22"/>
              </w:rPr>
              <w:t>企业业绩</w:t>
            </w:r>
          </w:p>
        </w:tc>
        <w:tc>
          <w:tcPr>
            <w:tcW w:w="3528" w:type="pct"/>
            <w:tcBorders>
              <w:tl2br w:val="nil"/>
              <w:tr2bl w:val="nil"/>
            </w:tcBorders>
            <w:vAlign w:val="center"/>
          </w:tcPr>
          <w:p>
            <w:pPr>
              <w:keepNext w:val="0"/>
              <w:keepLines w:val="0"/>
              <w:suppressLineNumbers w:val="0"/>
              <w:spacing w:before="0" w:beforeAutospacing="0" w:after="0" w:afterAutospacing="0" w:line="360" w:lineRule="auto"/>
              <w:ind w:left="0" w:right="0"/>
              <w:jc w:val="left"/>
              <w:rPr>
                <w:rFonts w:hint="default" w:ascii="仿宋" w:hAnsi="仿宋" w:eastAsia="仿宋" w:cs="仿宋"/>
                <w:color w:val="auto"/>
                <w:sz w:val="24"/>
                <w:szCs w:val="22"/>
              </w:rPr>
            </w:pPr>
            <w:r>
              <w:rPr>
                <w:rFonts w:hint="eastAsia" w:ascii="仿宋" w:hAnsi="仿宋" w:eastAsia="仿宋" w:cs="仿宋"/>
                <w:color w:val="auto"/>
                <w:sz w:val="24"/>
                <w:szCs w:val="22"/>
              </w:rPr>
              <w:t>供应商具有自20</w:t>
            </w:r>
            <w:r>
              <w:rPr>
                <w:rFonts w:hint="eastAsia" w:ascii="仿宋" w:hAnsi="仿宋" w:eastAsia="仿宋" w:cs="仿宋"/>
                <w:color w:val="auto"/>
                <w:sz w:val="24"/>
                <w:szCs w:val="22"/>
                <w:lang w:val="en-US" w:eastAsia="zh-CN"/>
              </w:rPr>
              <w:t>21</w:t>
            </w:r>
            <w:r>
              <w:rPr>
                <w:rFonts w:hint="eastAsia" w:ascii="仿宋" w:hAnsi="仿宋" w:eastAsia="仿宋" w:cs="仿宋"/>
                <w:color w:val="auto"/>
                <w:sz w:val="24"/>
                <w:szCs w:val="22"/>
              </w:rPr>
              <w:t>年1月1日以来，至今的类似业绩案例，每提供一份得0.5分，最高1分。</w:t>
            </w:r>
          </w:p>
          <w:p>
            <w:pPr>
              <w:keepNext w:val="0"/>
              <w:keepLines w:val="0"/>
              <w:suppressLineNumbers w:val="0"/>
              <w:spacing w:before="0" w:beforeAutospacing="0" w:after="0" w:afterAutospacing="0" w:line="360" w:lineRule="auto"/>
              <w:ind w:left="0" w:right="0"/>
              <w:jc w:val="left"/>
              <w:rPr>
                <w:rFonts w:hint="default" w:ascii="仿宋" w:hAnsi="仿宋" w:eastAsia="仿宋" w:cs="仿宋"/>
                <w:color w:val="auto"/>
                <w:sz w:val="24"/>
                <w:szCs w:val="22"/>
              </w:rPr>
            </w:pPr>
            <w:r>
              <w:rPr>
                <w:rFonts w:hint="eastAsia" w:ascii="仿宋" w:hAnsi="仿宋" w:eastAsia="仿宋" w:cs="仿宋"/>
                <w:b/>
                <w:bCs/>
                <w:color w:val="auto"/>
                <w:sz w:val="24"/>
                <w:szCs w:val="22"/>
              </w:rPr>
              <w:t>【注：须提供合同或中标（成交）通知书复印件并加盖公章。】</w:t>
            </w:r>
          </w:p>
        </w:tc>
        <w:tc>
          <w:tcPr>
            <w:tcW w:w="398" w:type="pct"/>
            <w:tcBorders>
              <w:tl2br w:val="nil"/>
              <w:tr2bl w:val="nil"/>
            </w:tcBorders>
            <w:vAlign w:val="center"/>
          </w:tcPr>
          <w:p>
            <w:pPr>
              <w:keepNext w:val="0"/>
              <w:keepLines w:val="0"/>
              <w:suppressLineNumbers w:val="0"/>
              <w:spacing w:before="0" w:beforeAutospacing="0" w:after="0" w:afterAutospacing="0" w:line="360" w:lineRule="auto"/>
              <w:ind w:left="0" w:right="0"/>
              <w:jc w:val="center"/>
              <w:rPr>
                <w:rFonts w:hint="default" w:ascii="仿宋" w:hAnsi="仿宋" w:eastAsia="仿宋" w:cs="仿宋"/>
                <w:color w:val="auto"/>
                <w:sz w:val="24"/>
                <w:szCs w:val="22"/>
              </w:rPr>
            </w:pPr>
            <w:r>
              <w:rPr>
                <w:rFonts w:hint="eastAsia" w:ascii="仿宋" w:hAnsi="仿宋" w:eastAsia="仿宋" w:cs="仿宋"/>
                <w:color w:val="auto"/>
                <w:sz w:val="24"/>
                <w:szCs w:val="22"/>
              </w:rPr>
              <w:t>1</w:t>
            </w:r>
          </w:p>
        </w:tc>
      </w:tr>
    </w:tbl>
    <w:p>
      <w:pPr>
        <w:pStyle w:val="23"/>
        <w:keepNext w:val="0"/>
        <w:keepLines w:val="0"/>
        <w:widowControl w:val="0"/>
        <w:suppressLineNumbers w:val="0"/>
        <w:spacing w:before="0" w:beforeAutospacing="0" w:after="0" w:afterAutospacing="0" w:line="360" w:lineRule="auto"/>
        <w:ind w:left="0" w:right="0"/>
        <w:jc w:val="both"/>
        <w:rPr>
          <w:rFonts w:hint="eastAsia" w:ascii="仿宋" w:hAnsi="仿宋" w:eastAsia="仿宋" w:cs="仿宋"/>
          <w:bCs/>
          <w:color w:val="auto"/>
          <w:kern w:val="2"/>
          <w:sz w:val="24"/>
          <w:szCs w:val="24"/>
          <w:highlight w:val="none"/>
          <w:lang w:val="en-US" w:eastAsia="zh-CN" w:bidi="ar"/>
        </w:rPr>
      </w:pPr>
    </w:p>
    <w:p>
      <w:pPr>
        <w:pStyle w:val="23"/>
        <w:keepNext w:val="0"/>
        <w:keepLines w:val="0"/>
        <w:widowControl w:val="0"/>
        <w:suppressLineNumbers w:val="0"/>
        <w:spacing w:before="0" w:beforeAutospacing="0" w:after="0" w:afterAutospacing="0" w:line="360" w:lineRule="auto"/>
        <w:ind w:left="0" w:right="0"/>
        <w:jc w:val="both"/>
        <w:rPr>
          <w:rFonts w:hint="eastAsia" w:ascii="仿宋" w:hAnsi="仿宋" w:eastAsia="仿宋" w:cs="仿宋"/>
          <w:bCs/>
          <w:color w:val="auto"/>
          <w:kern w:val="2"/>
          <w:sz w:val="24"/>
          <w:szCs w:val="24"/>
          <w:highlight w:val="none"/>
          <w:lang w:val="en-US" w:eastAsia="zh-CN" w:bidi="ar"/>
        </w:rPr>
      </w:pPr>
    </w:p>
    <w:sectPr>
      <w:headerReference r:id="rId7" w:type="default"/>
      <w:footerReference r:id="rId8" w:type="default"/>
      <w:pgSz w:w="11906" w:h="16838"/>
      <w:pgMar w:top="1134" w:right="1247" w:bottom="1032" w:left="1247" w:header="851" w:footer="850"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Verdana">
    <w:panose1 w:val="020B0604030504040204"/>
    <w:charset w:val="00"/>
    <w:family w:val="swiss"/>
    <w:pitch w:val="default"/>
    <w:sig w:usb0="A00006FF" w:usb1="4000205B" w:usb2="00000010" w:usb3="00000000" w:csb0="2000019F" w:csb1="00000000"/>
  </w:font>
  <w:font w:name="Helvetica">
    <w:altName w:val="Arial"/>
    <w:panose1 w:val="020B0604020202020204"/>
    <w:charset w:val="00"/>
    <w:family w:val="swiss"/>
    <w:pitch w:val="default"/>
    <w:sig w:usb0="00000000" w:usb1="00000000" w:usb2="00000000" w:usb3="00000000" w:csb0="2000019F" w:csb1="4F010000"/>
  </w:font>
  <w:font w:name="Cambria">
    <w:panose1 w:val="02040503050406030204"/>
    <w:charset w:val="00"/>
    <w:family w:val="auto"/>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360"/>
      <w:jc w:val="center"/>
      <w:rPr>
        <w:rFonts w:ascii="仿宋" w:hAnsi="仿宋" w:eastAsia="仿宋" w:cs="仿宋"/>
        <w:sz w:val="21"/>
        <w:szCs w:val="21"/>
      </w:rPr>
    </w:pPr>
    <w:r>
      <w:rPr>
        <w:rFonts w:hint="eastAsia" w:ascii="仿宋" w:hAnsi="仿宋" w:eastAsia="仿宋" w:cs="仿宋"/>
        <w:sz w:val="21"/>
        <w:szCs w:val="21"/>
        <w:u w:val="single"/>
        <w:shd w:val="pct10" w:color="auto" w:fill="FFFFFF"/>
      </w:rPr>
      <w:t>浙江新诚信工程咨询有限公司                                0572-2615598</w:t>
    </w:r>
  </w:p>
  <w:p>
    <w:pPr>
      <w:pStyle w:val="17"/>
      <w:jc w:val="center"/>
      <w:rPr>
        <w:rFonts w:ascii="仿宋" w:hAnsi="仿宋" w:eastAsia="仿宋" w:cs="仿宋"/>
        <w:sz w:val="21"/>
        <w:szCs w:val="21"/>
      </w:rPr>
    </w:pPr>
  </w:p>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360"/>
      <w:jc w:val="center"/>
      <w:rPr>
        <w:rFonts w:ascii="仿宋" w:hAnsi="仿宋" w:eastAsia="仿宋" w:cs="仿宋"/>
        <w:sz w:val="21"/>
        <w:szCs w:val="21"/>
      </w:rPr>
    </w:pPr>
    <w:r>
      <w:rPr>
        <w:rFonts w:hint="eastAsia" w:ascii="仿宋" w:hAnsi="仿宋" w:eastAsia="仿宋" w:cs="仿宋"/>
        <w:sz w:val="21"/>
        <w:szCs w:val="21"/>
        <w:u w:val="single"/>
        <w:shd w:val="pct10" w:color="auto" w:fill="FFFFFF"/>
      </w:rPr>
      <w:t>浙江新诚信工程咨询有限公司                                0572-2615598</w:t>
    </w:r>
  </w:p>
  <w:p>
    <w:pPr>
      <w:pStyle w:val="17"/>
      <w:jc w:val="center"/>
      <w:rPr>
        <w:rFonts w:ascii="仿宋" w:hAnsi="仿宋" w:eastAsia="仿宋" w:cs="仿宋"/>
        <w:sz w:val="21"/>
        <w:szCs w:val="21"/>
      </w:rPr>
    </w:pPr>
  </w:p>
  <w:p>
    <w:pPr>
      <w:pStyle w:val="1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7"/>
                    </w:pPr>
                    <w:r>
                      <w:fldChar w:fldCharType="begin"/>
                    </w:r>
                    <w:r>
                      <w:instrText xml:space="preserve"> PAGE  \* MERGEFORMAT </w:instrText>
                    </w:r>
                    <w:r>
                      <w:fldChar w:fldCharType="separate"/>
                    </w:r>
                    <w:r>
                      <w:t>3</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1"/>
      </w:pBdr>
      <w:ind w:left="7770" w:hanging="7770" w:hangingChars="3700"/>
      <w:jc w:val="left"/>
      <w:rPr>
        <w:rFonts w:ascii="仿宋" w:hAnsi="仿宋" w:eastAsia="仿宋" w:cs="仿宋"/>
        <w:sz w:val="21"/>
        <w:szCs w:val="21"/>
      </w:rPr>
    </w:pPr>
    <w:r>
      <w:rPr>
        <w:rFonts w:hint="eastAsia" w:ascii="仿宋" w:hAnsi="仿宋" w:eastAsia="仿宋" w:cs="仿宋"/>
        <w:sz w:val="21"/>
        <w:szCs w:val="21"/>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spacing w:line="660" w:lineRule="exact"/>
      <w:rPr>
        <w:rFonts w:ascii="仿宋" w:hAnsi="仿宋" w:eastAsia="仿宋"/>
        <w:szCs w:val="21"/>
      </w:rPr>
    </w:pPr>
    <w:r>
      <w:rPr>
        <w:rFonts w:hint="eastAsia" w:ascii="仿宋" w:hAnsi="仿宋" w:eastAsia="仿宋"/>
        <w:szCs w:val="21"/>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5734AA"/>
    <w:multiLevelType w:val="multilevel"/>
    <w:tmpl w:val="045734AA"/>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
    <w:nsid w:val="177F1145"/>
    <w:multiLevelType w:val="multilevel"/>
    <w:tmpl w:val="177F1145"/>
    <w:lvl w:ilvl="0" w:tentative="0">
      <w:start w:val="1"/>
      <w:numFmt w:val="japaneseCounting"/>
      <w:lvlText w:val="第%1章"/>
      <w:lvlJc w:val="left"/>
      <w:pPr>
        <w:ind w:left="1320" w:hanging="13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D631940"/>
    <w:multiLevelType w:val="multilevel"/>
    <w:tmpl w:val="1D631940"/>
    <w:lvl w:ilvl="0" w:tentative="0">
      <w:start w:val="1"/>
      <w:numFmt w:val="chineseCountingThousand"/>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3">
    <w:nsid w:val="1E3D431B"/>
    <w:multiLevelType w:val="multilevel"/>
    <w:tmpl w:val="1E3D431B"/>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4">
    <w:nsid w:val="3E39D6FF"/>
    <w:multiLevelType w:val="singleLevel"/>
    <w:tmpl w:val="3E39D6FF"/>
    <w:lvl w:ilvl="0" w:tentative="0">
      <w:start w:val="1"/>
      <w:numFmt w:val="chineseCounting"/>
      <w:suff w:val="space"/>
      <w:lvlText w:val="第%1章"/>
      <w:lvlJc w:val="left"/>
      <w:rPr>
        <w:rFonts w:hint="eastAsia"/>
      </w:rPr>
    </w:lvl>
  </w:abstractNum>
  <w:abstractNum w:abstractNumId="5">
    <w:nsid w:val="4784591E"/>
    <w:multiLevelType w:val="multilevel"/>
    <w:tmpl w:val="4784591E"/>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6">
    <w:nsid w:val="48D14D5B"/>
    <w:multiLevelType w:val="multilevel"/>
    <w:tmpl w:val="48D14D5B"/>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7">
    <w:nsid w:val="4A916785"/>
    <w:multiLevelType w:val="multilevel"/>
    <w:tmpl w:val="4A916785"/>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8">
    <w:nsid w:val="4CA46F2E"/>
    <w:multiLevelType w:val="multilevel"/>
    <w:tmpl w:val="4CA46F2E"/>
    <w:lvl w:ilvl="0" w:tentative="0">
      <w:start w:val="1"/>
      <w:numFmt w:val="decimal"/>
      <w:lvlText w:val="%1."/>
      <w:lvlJc w:val="left"/>
      <w:pPr>
        <w:ind w:left="432" w:hanging="432"/>
      </w:pPr>
      <w:rPr>
        <w:rFonts w:hint="default"/>
      </w:rPr>
    </w:lvl>
    <w:lvl w:ilvl="1" w:tentative="0">
      <w:start w:val="1"/>
      <w:numFmt w:val="decimal"/>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9">
    <w:nsid w:val="56B82435"/>
    <w:multiLevelType w:val="multilevel"/>
    <w:tmpl w:val="56B82435"/>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64F55AD5"/>
    <w:multiLevelType w:val="multilevel"/>
    <w:tmpl w:val="64F55AD5"/>
    <w:lvl w:ilvl="0" w:tentative="0">
      <w:start w:val="1"/>
      <w:numFmt w:val="decimal"/>
      <w:lvlText w:val="（%1）"/>
      <w:lvlJc w:val="left"/>
      <w:pPr>
        <w:ind w:left="840" w:hanging="440"/>
      </w:pPr>
      <w:rPr>
        <w:rFonts w:hint="eastAsia"/>
      </w:rPr>
    </w:lvl>
    <w:lvl w:ilvl="1" w:tentative="0">
      <w:start w:val="1"/>
      <w:numFmt w:val="lowerLetter"/>
      <w:lvlText w:val="%2)"/>
      <w:lvlJc w:val="left"/>
      <w:pPr>
        <w:ind w:left="1280" w:hanging="440"/>
      </w:pPr>
    </w:lvl>
    <w:lvl w:ilvl="2" w:tentative="0">
      <w:start w:val="1"/>
      <w:numFmt w:val="lowerRoman"/>
      <w:lvlText w:val="%3."/>
      <w:lvlJc w:val="right"/>
      <w:pPr>
        <w:ind w:left="1720" w:hanging="440"/>
      </w:pPr>
    </w:lvl>
    <w:lvl w:ilvl="3" w:tentative="0">
      <w:start w:val="1"/>
      <w:numFmt w:val="decimal"/>
      <w:lvlText w:val="%4."/>
      <w:lvlJc w:val="left"/>
      <w:pPr>
        <w:ind w:left="2160" w:hanging="440"/>
      </w:pPr>
    </w:lvl>
    <w:lvl w:ilvl="4" w:tentative="0">
      <w:start w:val="1"/>
      <w:numFmt w:val="lowerLetter"/>
      <w:lvlText w:val="%5)"/>
      <w:lvlJc w:val="left"/>
      <w:pPr>
        <w:ind w:left="2600" w:hanging="440"/>
      </w:pPr>
    </w:lvl>
    <w:lvl w:ilvl="5" w:tentative="0">
      <w:start w:val="1"/>
      <w:numFmt w:val="lowerRoman"/>
      <w:lvlText w:val="%6."/>
      <w:lvlJc w:val="right"/>
      <w:pPr>
        <w:ind w:left="3040" w:hanging="440"/>
      </w:pPr>
    </w:lvl>
    <w:lvl w:ilvl="6" w:tentative="0">
      <w:start w:val="1"/>
      <w:numFmt w:val="decimal"/>
      <w:lvlText w:val="%7."/>
      <w:lvlJc w:val="left"/>
      <w:pPr>
        <w:ind w:left="3480" w:hanging="440"/>
      </w:pPr>
    </w:lvl>
    <w:lvl w:ilvl="7" w:tentative="0">
      <w:start w:val="1"/>
      <w:numFmt w:val="lowerLetter"/>
      <w:lvlText w:val="%8)"/>
      <w:lvlJc w:val="left"/>
      <w:pPr>
        <w:ind w:left="3920" w:hanging="440"/>
      </w:pPr>
    </w:lvl>
    <w:lvl w:ilvl="8" w:tentative="0">
      <w:start w:val="1"/>
      <w:numFmt w:val="lowerRoman"/>
      <w:lvlText w:val="%9."/>
      <w:lvlJc w:val="right"/>
      <w:pPr>
        <w:ind w:left="4360" w:hanging="440"/>
      </w:pPr>
    </w:lvl>
  </w:abstractNum>
  <w:abstractNum w:abstractNumId="11">
    <w:nsid w:val="67CC5764"/>
    <w:multiLevelType w:val="multilevel"/>
    <w:tmpl w:val="67CC5764"/>
    <w:lvl w:ilvl="0" w:tentative="0">
      <w:start w:val="1"/>
      <w:numFmt w:val="decimal"/>
      <w:lvlText w:val="（%1）"/>
      <w:lvlJc w:val="left"/>
      <w:pPr>
        <w:ind w:left="840" w:hanging="440"/>
      </w:pPr>
      <w:rPr>
        <w:rFonts w:hint="eastAsia"/>
      </w:rPr>
    </w:lvl>
    <w:lvl w:ilvl="1" w:tentative="0">
      <w:start w:val="1"/>
      <w:numFmt w:val="lowerLetter"/>
      <w:lvlText w:val="%2)"/>
      <w:lvlJc w:val="left"/>
      <w:pPr>
        <w:ind w:left="1280" w:hanging="440"/>
      </w:pPr>
    </w:lvl>
    <w:lvl w:ilvl="2" w:tentative="0">
      <w:start w:val="1"/>
      <w:numFmt w:val="lowerRoman"/>
      <w:lvlText w:val="%3."/>
      <w:lvlJc w:val="right"/>
      <w:pPr>
        <w:ind w:left="1720" w:hanging="440"/>
      </w:pPr>
    </w:lvl>
    <w:lvl w:ilvl="3" w:tentative="0">
      <w:start w:val="1"/>
      <w:numFmt w:val="decimal"/>
      <w:lvlText w:val="%4."/>
      <w:lvlJc w:val="left"/>
      <w:pPr>
        <w:ind w:left="2160" w:hanging="440"/>
      </w:pPr>
    </w:lvl>
    <w:lvl w:ilvl="4" w:tentative="0">
      <w:start w:val="1"/>
      <w:numFmt w:val="lowerLetter"/>
      <w:lvlText w:val="%5)"/>
      <w:lvlJc w:val="left"/>
      <w:pPr>
        <w:ind w:left="2600" w:hanging="440"/>
      </w:pPr>
    </w:lvl>
    <w:lvl w:ilvl="5" w:tentative="0">
      <w:start w:val="1"/>
      <w:numFmt w:val="lowerRoman"/>
      <w:lvlText w:val="%6."/>
      <w:lvlJc w:val="right"/>
      <w:pPr>
        <w:ind w:left="3040" w:hanging="440"/>
      </w:pPr>
    </w:lvl>
    <w:lvl w:ilvl="6" w:tentative="0">
      <w:start w:val="1"/>
      <w:numFmt w:val="decimal"/>
      <w:lvlText w:val="%7."/>
      <w:lvlJc w:val="left"/>
      <w:pPr>
        <w:ind w:left="3480" w:hanging="440"/>
      </w:pPr>
    </w:lvl>
    <w:lvl w:ilvl="7" w:tentative="0">
      <w:start w:val="1"/>
      <w:numFmt w:val="lowerLetter"/>
      <w:lvlText w:val="%8)"/>
      <w:lvlJc w:val="left"/>
      <w:pPr>
        <w:ind w:left="3920" w:hanging="440"/>
      </w:pPr>
    </w:lvl>
    <w:lvl w:ilvl="8" w:tentative="0">
      <w:start w:val="1"/>
      <w:numFmt w:val="lowerRoman"/>
      <w:lvlText w:val="%9."/>
      <w:lvlJc w:val="right"/>
      <w:pPr>
        <w:ind w:left="4360" w:hanging="440"/>
      </w:pPr>
    </w:lvl>
  </w:abstractNum>
  <w:abstractNum w:abstractNumId="12">
    <w:nsid w:val="7AA555FE"/>
    <w:multiLevelType w:val="multilevel"/>
    <w:tmpl w:val="7AA555FE"/>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8"/>
  </w:num>
  <w:num w:numId="2">
    <w:abstractNumId w:val="4"/>
  </w:num>
  <w:num w:numId="3">
    <w:abstractNumId w:val="1"/>
  </w:num>
  <w:num w:numId="4">
    <w:abstractNumId w:val="2"/>
  </w:num>
  <w:num w:numId="5">
    <w:abstractNumId w:val="12"/>
  </w:num>
  <w:num w:numId="6">
    <w:abstractNumId w:val="11"/>
  </w:num>
  <w:num w:numId="7">
    <w:abstractNumId w:val="5"/>
  </w:num>
  <w:num w:numId="8">
    <w:abstractNumId w:val="6"/>
  </w:num>
  <w:num w:numId="9">
    <w:abstractNumId w:val="7"/>
  </w:num>
  <w:num w:numId="10">
    <w:abstractNumId w:val="3"/>
  </w:num>
  <w:num w:numId="11">
    <w:abstractNumId w:val="10"/>
  </w:num>
  <w:num w:numId="12">
    <w:abstractNumId w:val="0"/>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YwMzdlMDU1MTc1YzQ3NzExMmIxNTAyNDE2NzA4MjgifQ=="/>
    <w:docVar w:name="KSO_WPS_MARK_KEY" w:val="bf0cebdd-ff94-4ef8-b352-e53529499eaf"/>
  </w:docVars>
  <w:rsids>
    <w:rsidRoot w:val="00172A27"/>
    <w:rsid w:val="00097F54"/>
    <w:rsid w:val="00100786"/>
    <w:rsid w:val="00172A27"/>
    <w:rsid w:val="00461156"/>
    <w:rsid w:val="004F5057"/>
    <w:rsid w:val="00743FD4"/>
    <w:rsid w:val="007B5009"/>
    <w:rsid w:val="009A5857"/>
    <w:rsid w:val="00A05674"/>
    <w:rsid w:val="00C72553"/>
    <w:rsid w:val="00CB2852"/>
    <w:rsid w:val="00D35A12"/>
    <w:rsid w:val="00F03612"/>
    <w:rsid w:val="00F470EA"/>
    <w:rsid w:val="01594AA8"/>
    <w:rsid w:val="01C4065D"/>
    <w:rsid w:val="01EE10E5"/>
    <w:rsid w:val="023B4457"/>
    <w:rsid w:val="02436A73"/>
    <w:rsid w:val="027819AA"/>
    <w:rsid w:val="02860A17"/>
    <w:rsid w:val="02973924"/>
    <w:rsid w:val="02A1245A"/>
    <w:rsid w:val="02D8723E"/>
    <w:rsid w:val="031B4DCD"/>
    <w:rsid w:val="03B40A04"/>
    <w:rsid w:val="042B2A2D"/>
    <w:rsid w:val="04385A96"/>
    <w:rsid w:val="04D82D56"/>
    <w:rsid w:val="052D1615"/>
    <w:rsid w:val="05411642"/>
    <w:rsid w:val="05A4454E"/>
    <w:rsid w:val="05C537BE"/>
    <w:rsid w:val="066C606B"/>
    <w:rsid w:val="0671352A"/>
    <w:rsid w:val="06820426"/>
    <w:rsid w:val="06BB3CE5"/>
    <w:rsid w:val="070B26EF"/>
    <w:rsid w:val="072478F4"/>
    <w:rsid w:val="075A73A0"/>
    <w:rsid w:val="0771579B"/>
    <w:rsid w:val="07E15B19"/>
    <w:rsid w:val="08246E93"/>
    <w:rsid w:val="082D0FEC"/>
    <w:rsid w:val="088F5575"/>
    <w:rsid w:val="08C63771"/>
    <w:rsid w:val="08D12032"/>
    <w:rsid w:val="0904563C"/>
    <w:rsid w:val="093A1CD8"/>
    <w:rsid w:val="093F3F82"/>
    <w:rsid w:val="0A9915BA"/>
    <w:rsid w:val="0AB06A35"/>
    <w:rsid w:val="0ACB306F"/>
    <w:rsid w:val="0AD376B8"/>
    <w:rsid w:val="0ADA7B8E"/>
    <w:rsid w:val="0B1008C8"/>
    <w:rsid w:val="0B20482E"/>
    <w:rsid w:val="0B4F7C07"/>
    <w:rsid w:val="0B64718D"/>
    <w:rsid w:val="0B6E767D"/>
    <w:rsid w:val="0B77573F"/>
    <w:rsid w:val="0BC0559A"/>
    <w:rsid w:val="0BC45E54"/>
    <w:rsid w:val="0BEB24AE"/>
    <w:rsid w:val="0C0158DF"/>
    <w:rsid w:val="0C07111F"/>
    <w:rsid w:val="0C2C180D"/>
    <w:rsid w:val="0C3969CD"/>
    <w:rsid w:val="0C6A5B49"/>
    <w:rsid w:val="0CAE59D3"/>
    <w:rsid w:val="0CB95F6E"/>
    <w:rsid w:val="0CE71E24"/>
    <w:rsid w:val="0CFC185B"/>
    <w:rsid w:val="0D3B2BC7"/>
    <w:rsid w:val="0D690623"/>
    <w:rsid w:val="0DA341AF"/>
    <w:rsid w:val="0DD86730"/>
    <w:rsid w:val="0DF3026D"/>
    <w:rsid w:val="0E137E11"/>
    <w:rsid w:val="0E3538B1"/>
    <w:rsid w:val="0E4512A2"/>
    <w:rsid w:val="0E5728E3"/>
    <w:rsid w:val="0E891C66"/>
    <w:rsid w:val="0EA32867"/>
    <w:rsid w:val="0EAB712B"/>
    <w:rsid w:val="0EFB5712"/>
    <w:rsid w:val="0F27485B"/>
    <w:rsid w:val="0F2B4043"/>
    <w:rsid w:val="0F36417B"/>
    <w:rsid w:val="0F3A51FB"/>
    <w:rsid w:val="0FA14F53"/>
    <w:rsid w:val="0FE61A10"/>
    <w:rsid w:val="10130D68"/>
    <w:rsid w:val="10B7486C"/>
    <w:rsid w:val="10D50B55"/>
    <w:rsid w:val="10F5757C"/>
    <w:rsid w:val="111749F9"/>
    <w:rsid w:val="11617E2F"/>
    <w:rsid w:val="11861A0E"/>
    <w:rsid w:val="120B614A"/>
    <w:rsid w:val="123B7D46"/>
    <w:rsid w:val="12A10CC2"/>
    <w:rsid w:val="12A72D69"/>
    <w:rsid w:val="12CD0AA7"/>
    <w:rsid w:val="12F26E2C"/>
    <w:rsid w:val="13164819"/>
    <w:rsid w:val="13242569"/>
    <w:rsid w:val="1335669E"/>
    <w:rsid w:val="1335758E"/>
    <w:rsid w:val="133656E5"/>
    <w:rsid w:val="13944620"/>
    <w:rsid w:val="14135A37"/>
    <w:rsid w:val="14282CBE"/>
    <w:rsid w:val="1430271A"/>
    <w:rsid w:val="147B0A12"/>
    <w:rsid w:val="14993759"/>
    <w:rsid w:val="14EE28E4"/>
    <w:rsid w:val="14F0527E"/>
    <w:rsid w:val="15593193"/>
    <w:rsid w:val="15887DFB"/>
    <w:rsid w:val="15ED5270"/>
    <w:rsid w:val="16443A9D"/>
    <w:rsid w:val="16740EF4"/>
    <w:rsid w:val="16A77330"/>
    <w:rsid w:val="16CB6312"/>
    <w:rsid w:val="170F6114"/>
    <w:rsid w:val="17374EA5"/>
    <w:rsid w:val="1740285C"/>
    <w:rsid w:val="17EB2569"/>
    <w:rsid w:val="17FAC4D3"/>
    <w:rsid w:val="183606C3"/>
    <w:rsid w:val="18801768"/>
    <w:rsid w:val="19317DF2"/>
    <w:rsid w:val="193B23CF"/>
    <w:rsid w:val="19514BD9"/>
    <w:rsid w:val="1990646A"/>
    <w:rsid w:val="19A946F6"/>
    <w:rsid w:val="19E21CEC"/>
    <w:rsid w:val="19E35BF1"/>
    <w:rsid w:val="19F85670"/>
    <w:rsid w:val="19FF426D"/>
    <w:rsid w:val="1A271BF7"/>
    <w:rsid w:val="1AD93112"/>
    <w:rsid w:val="1B276316"/>
    <w:rsid w:val="1B3F77E9"/>
    <w:rsid w:val="1B4F4DFB"/>
    <w:rsid w:val="1BE877C1"/>
    <w:rsid w:val="1C1A0C21"/>
    <w:rsid w:val="1C301073"/>
    <w:rsid w:val="1C512E16"/>
    <w:rsid w:val="1CCE7A03"/>
    <w:rsid w:val="1D5B3D35"/>
    <w:rsid w:val="1DFB7C65"/>
    <w:rsid w:val="1E035D66"/>
    <w:rsid w:val="1E327280"/>
    <w:rsid w:val="1EF6339E"/>
    <w:rsid w:val="1F2418C4"/>
    <w:rsid w:val="1F505D79"/>
    <w:rsid w:val="1F6A6616"/>
    <w:rsid w:val="1F8C6C4C"/>
    <w:rsid w:val="1FC37230"/>
    <w:rsid w:val="1FCF796F"/>
    <w:rsid w:val="1FF534EC"/>
    <w:rsid w:val="20221559"/>
    <w:rsid w:val="20922CB7"/>
    <w:rsid w:val="20A53B59"/>
    <w:rsid w:val="21AB6153"/>
    <w:rsid w:val="223219B2"/>
    <w:rsid w:val="224A2BFB"/>
    <w:rsid w:val="2281728D"/>
    <w:rsid w:val="228A2AFC"/>
    <w:rsid w:val="232D20FA"/>
    <w:rsid w:val="237F7C33"/>
    <w:rsid w:val="23881862"/>
    <w:rsid w:val="23A361CC"/>
    <w:rsid w:val="23D1105D"/>
    <w:rsid w:val="241030E3"/>
    <w:rsid w:val="24935653"/>
    <w:rsid w:val="249A47EB"/>
    <w:rsid w:val="24A21A72"/>
    <w:rsid w:val="24E87D94"/>
    <w:rsid w:val="250E1CE4"/>
    <w:rsid w:val="25302054"/>
    <w:rsid w:val="25414148"/>
    <w:rsid w:val="25A4390E"/>
    <w:rsid w:val="26373CBC"/>
    <w:rsid w:val="268D73AC"/>
    <w:rsid w:val="270333F6"/>
    <w:rsid w:val="2705567A"/>
    <w:rsid w:val="2814527D"/>
    <w:rsid w:val="2830745C"/>
    <w:rsid w:val="28365677"/>
    <w:rsid w:val="288874AD"/>
    <w:rsid w:val="289831A1"/>
    <w:rsid w:val="28D728F5"/>
    <w:rsid w:val="28DE3252"/>
    <w:rsid w:val="291034CC"/>
    <w:rsid w:val="29112458"/>
    <w:rsid w:val="291D4D0A"/>
    <w:rsid w:val="298927F8"/>
    <w:rsid w:val="29B8498C"/>
    <w:rsid w:val="29BE15C6"/>
    <w:rsid w:val="2A233FCE"/>
    <w:rsid w:val="2A384496"/>
    <w:rsid w:val="2A3C6EB3"/>
    <w:rsid w:val="2A492A2D"/>
    <w:rsid w:val="2A787807"/>
    <w:rsid w:val="2A7953A1"/>
    <w:rsid w:val="2AC07052"/>
    <w:rsid w:val="2AD43590"/>
    <w:rsid w:val="2AE9491C"/>
    <w:rsid w:val="2B0214BD"/>
    <w:rsid w:val="2B0B3754"/>
    <w:rsid w:val="2B190124"/>
    <w:rsid w:val="2BD8709E"/>
    <w:rsid w:val="2BEC28A4"/>
    <w:rsid w:val="2BFB2E19"/>
    <w:rsid w:val="2C3F2F17"/>
    <w:rsid w:val="2C475AEE"/>
    <w:rsid w:val="2CAA6070"/>
    <w:rsid w:val="2CBB6D5D"/>
    <w:rsid w:val="2CC444C4"/>
    <w:rsid w:val="2CE832F7"/>
    <w:rsid w:val="2D2C2DED"/>
    <w:rsid w:val="2D6A408E"/>
    <w:rsid w:val="2DEE4968"/>
    <w:rsid w:val="2E09179F"/>
    <w:rsid w:val="2E2020E1"/>
    <w:rsid w:val="2E8A2E93"/>
    <w:rsid w:val="2E9F2E49"/>
    <w:rsid w:val="2EAB2B9C"/>
    <w:rsid w:val="2EE87A66"/>
    <w:rsid w:val="2EF02C89"/>
    <w:rsid w:val="2EF8624D"/>
    <w:rsid w:val="2EFB6551"/>
    <w:rsid w:val="2F0A5E02"/>
    <w:rsid w:val="2F6A7BFA"/>
    <w:rsid w:val="2F9E6908"/>
    <w:rsid w:val="2FA26989"/>
    <w:rsid w:val="2FAA4FA4"/>
    <w:rsid w:val="2FE1106E"/>
    <w:rsid w:val="30180020"/>
    <w:rsid w:val="302E5E9B"/>
    <w:rsid w:val="30497D75"/>
    <w:rsid w:val="304F650E"/>
    <w:rsid w:val="308253DB"/>
    <w:rsid w:val="30C93B1B"/>
    <w:rsid w:val="31063B63"/>
    <w:rsid w:val="31267F1E"/>
    <w:rsid w:val="31300690"/>
    <w:rsid w:val="31482F68"/>
    <w:rsid w:val="31552F9F"/>
    <w:rsid w:val="315E7873"/>
    <w:rsid w:val="319525C0"/>
    <w:rsid w:val="31C335E3"/>
    <w:rsid w:val="31CC6AA5"/>
    <w:rsid w:val="31DB68CD"/>
    <w:rsid w:val="3255145A"/>
    <w:rsid w:val="326205EA"/>
    <w:rsid w:val="32A004DC"/>
    <w:rsid w:val="32D50F5A"/>
    <w:rsid w:val="33013677"/>
    <w:rsid w:val="332E52E9"/>
    <w:rsid w:val="333B3FD9"/>
    <w:rsid w:val="33435798"/>
    <w:rsid w:val="33466BF6"/>
    <w:rsid w:val="338A0FFE"/>
    <w:rsid w:val="33B31EB4"/>
    <w:rsid w:val="33C03E65"/>
    <w:rsid w:val="33C24980"/>
    <w:rsid w:val="33D36AEB"/>
    <w:rsid w:val="33D623CD"/>
    <w:rsid w:val="33F92805"/>
    <w:rsid w:val="340547AC"/>
    <w:rsid w:val="3444432F"/>
    <w:rsid w:val="34A600E1"/>
    <w:rsid w:val="34B85698"/>
    <w:rsid w:val="34F15104"/>
    <w:rsid w:val="35305866"/>
    <w:rsid w:val="360867E3"/>
    <w:rsid w:val="36765044"/>
    <w:rsid w:val="36D35A1E"/>
    <w:rsid w:val="36EE5669"/>
    <w:rsid w:val="370E607B"/>
    <w:rsid w:val="37384A3D"/>
    <w:rsid w:val="37441298"/>
    <w:rsid w:val="37691294"/>
    <w:rsid w:val="37725351"/>
    <w:rsid w:val="378B5DCC"/>
    <w:rsid w:val="381A2417"/>
    <w:rsid w:val="3838732A"/>
    <w:rsid w:val="387664FA"/>
    <w:rsid w:val="38A320EF"/>
    <w:rsid w:val="38B669E3"/>
    <w:rsid w:val="39F64DC7"/>
    <w:rsid w:val="3A0B34EA"/>
    <w:rsid w:val="3A3A3B2A"/>
    <w:rsid w:val="3A4C711F"/>
    <w:rsid w:val="3AD76819"/>
    <w:rsid w:val="3B3910A0"/>
    <w:rsid w:val="3B3C195C"/>
    <w:rsid w:val="3B45726A"/>
    <w:rsid w:val="3B4856EB"/>
    <w:rsid w:val="3B646736"/>
    <w:rsid w:val="3B6F09CF"/>
    <w:rsid w:val="3B8829D4"/>
    <w:rsid w:val="3B915A41"/>
    <w:rsid w:val="3C3209F8"/>
    <w:rsid w:val="3C342695"/>
    <w:rsid w:val="3C62707C"/>
    <w:rsid w:val="3D001434"/>
    <w:rsid w:val="3D0038A0"/>
    <w:rsid w:val="3D053ED7"/>
    <w:rsid w:val="3D5D60A8"/>
    <w:rsid w:val="3DC201B3"/>
    <w:rsid w:val="3DC924E9"/>
    <w:rsid w:val="3DD57961"/>
    <w:rsid w:val="3DFE4168"/>
    <w:rsid w:val="3E1201FF"/>
    <w:rsid w:val="3E78202C"/>
    <w:rsid w:val="3F42139D"/>
    <w:rsid w:val="3F454EB3"/>
    <w:rsid w:val="3F5600D8"/>
    <w:rsid w:val="3F5E1FC9"/>
    <w:rsid w:val="3F664BFC"/>
    <w:rsid w:val="3F861B34"/>
    <w:rsid w:val="3FAB3381"/>
    <w:rsid w:val="3FBB1A3C"/>
    <w:rsid w:val="3FCD5F36"/>
    <w:rsid w:val="3FD37E62"/>
    <w:rsid w:val="3FFF5A44"/>
    <w:rsid w:val="401A3413"/>
    <w:rsid w:val="4113053B"/>
    <w:rsid w:val="413127D1"/>
    <w:rsid w:val="415D4B3C"/>
    <w:rsid w:val="418424EB"/>
    <w:rsid w:val="41B31CF9"/>
    <w:rsid w:val="41F145CF"/>
    <w:rsid w:val="42192802"/>
    <w:rsid w:val="42193DF4"/>
    <w:rsid w:val="421F432B"/>
    <w:rsid w:val="423C5C2A"/>
    <w:rsid w:val="4243251F"/>
    <w:rsid w:val="42A145F4"/>
    <w:rsid w:val="42D9110E"/>
    <w:rsid w:val="42F57927"/>
    <w:rsid w:val="431959A7"/>
    <w:rsid w:val="435E5276"/>
    <w:rsid w:val="43E75F34"/>
    <w:rsid w:val="43FE121A"/>
    <w:rsid w:val="44383774"/>
    <w:rsid w:val="447B39B3"/>
    <w:rsid w:val="44D07F90"/>
    <w:rsid w:val="44E03886"/>
    <w:rsid w:val="44EB3285"/>
    <w:rsid w:val="451070A1"/>
    <w:rsid w:val="45630CC0"/>
    <w:rsid w:val="45C30031"/>
    <w:rsid w:val="45DC5C7F"/>
    <w:rsid w:val="460F771A"/>
    <w:rsid w:val="462417D4"/>
    <w:rsid w:val="464956A3"/>
    <w:rsid w:val="464B3AF8"/>
    <w:rsid w:val="464F25F8"/>
    <w:rsid w:val="46C44412"/>
    <w:rsid w:val="46DC70FD"/>
    <w:rsid w:val="470775A3"/>
    <w:rsid w:val="47356752"/>
    <w:rsid w:val="47CD3790"/>
    <w:rsid w:val="480C5D35"/>
    <w:rsid w:val="48234C0F"/>
    <w:rsid w:val="483D1C62"/>
    <w:rsid w:val="486B1FD7"/>
    <w:rsid w:val="48C816D1"/>
    <w:rsid w:val="49211B63"/>
    <w:rsid w:val="49661035"/>
    <w:rsid w:val="4A025516"/>
    <w:rsid w:val="4A1C197E"/>
    <w:rsid w:val="4A4C71A1"/>
    <w:rsid w:val="4A550FBD"/>
    <w:rsid w:val="4A773957"/>
    <w:rsid w:val="4A8065F0"/>
    <w:rsid w:val="4A9A7C03"/>
    <w:rsid w:val="4AA778D1"/>
    <w:rsid w:val="4AA82F6B"/>
    <w:rsid w:val="4B1D60B4"/>
    <w:rsid w:val="4BB74194"/>
    <w:rsid w:val="4BB900ED"/>
    <w:rsid w:val="4BC56EF7"/>
    <w:rsid w:val="4BCE24FB"/>
    <w:rsid w:val="4BF60E13"/>
    <w:rsid w:val="4C1244F7"/>
    <w:rsid w:val="4C5E3F3B"/>
    <w:rsid w:val="4CA85A8C"/>
    <w:rsid w:val="4CC954DC"/>
    <w:rsid w:val="4CE42200"/>
    <w:rsid w:val="4D060757"/>
    <w:rsid w:val="4D490D09"/>
    <w:rsid w:val="4D963E29"/>
    <w:rsid w:val="4DA370C6"/>
    <w:rsid w:val="4DB73B3A"/>
    <w:rsid w:val="4DC725B8"/>
    <w:rsid w:val="4DE414E3"/>
    <w:rsid w:val="4DF11073"/>
    <w:rsid w:val="4E094FEC"/>
    <w:rsid w:val="4E0B4E03"/>
    <w:rsid w:val="4E1E03F4"/>
    <w:rsid w:val="4E213FB1"/>
    <w:rsid w:val="4E246514"/>
    <w:rsid w:val="4E3C4B0B"/>
    <w:rsid w:val="4E526418"/>
    <w:rsid w:val="4E710F72"/>
    <w:rsid w:val="4F0E0B39"/>
    <w:rsid w:val="4F1373BE"/>
    <w:rsid w:val="4F5C3E56"/>
    <w:rsid w:val="4F6E20F8"/>
    <w:rsid w:val="4FA36F0E"/>
    <w:rsid w:val="50594CB7"/>
    <w:rsid w:val="506E2C10"/>
    <w:rsid w:val="51051586"/>
    <w:rsid w:val="51331AED"/>
    <w:rsid w:val="51C838E3"/>
    <w:rsid w:val="51DE5123"/>
    <w:rsid w:val="51E33D99"/>
    <w:rsid w:val="51EB4B97"/>
    <w:rsid w:val="52103846"/>
    <w:rsid w:val="52360E0C"/>
    <w:rsid w:val="523942DD"/>
    <w:rsid w:val="524D4E26"/>
    <w:rsid w:val="52866565"/>
    <w:rsid w:val="52DF5181"/>
    <w:rsid w:val="52EF3704"/>
    <w:rsid w:val="53090C02"/>
    <w:rsid w:val="530E2063"/>
    <w:rsid w:val="532F71C7"/>
    <w:rsid w:val="539D19BB"/>
    <w:rsid w:val="54077C82"/>
    <w:rsid w:val="543F40F8"/>
    <w:rsid w:val="54A35CBB"/>
    <w:rsid w:val="54AF02B1"/>
    <w:rsid w:val="54D32A41"/>
    <w:rsid w:val="54E30B20"/>
    <w:rsid w:val="54F95460"/>
    <w:rsid w:val="54FB30C3"/>
    <w:rsid w:val="555A5DEC"/>
    <w:rsid w:val="555B3075"/>
    <w:rsid w:val="556B5097"/>
    <w:rsid w:val="55824CF8"/>
    <w:rsid w:val="55F25770"/>
    <w:rsid w:val="568E14BC"/>
    <w:rsid w:val="56BC4005"/>
    <w:rsid w:val="572341B6"/>
    <w:rsid w:val="57247B1F"/>
    <w:rsid w:val="57862D68"/>
    <w:rsid w:val="5799311F"/>
    <w:rsid w:val="57AB0840"/>
    <w:rsid w:val="57F62CC3"/>
    <w:rsid w:val="583E0CB1"/>
    <w:rsid w:val="585322D1"/>
    <w:rsid w:val="586D3F87"/>
    <w:rsid w:val="5871327B"/>
    <w:rsid w:val="58991383"/>
    <w:rsid w:val="58D03A3A"/>
    <w:rsid w:val="58D22B7F"/>
    <w:rsid w:val="58E152D4"/>
    <w:rsid w:val="5929028C"/>
    <w:rsid w:val="5934586C"/>
    <w:rsid w:val="596013A4"/>
    <w:rsid w:val="59AF0A45"/>
    <w:rsid w:val="59CC0D4E"/>
    <w:rsid w:val="59DB2571"/>
    <w:rsid w:val="5A2426D0"/>
    <w:rsid w:val="5A767910"/>
    <w:rsid w:val="5A7D391C"/>
    <w:rsid w:val="5A87548E"/>
    <w:rsid w:val="5AE31B30"/>
    <w:rsid w:val="5B386973"/>
    <w:rsid w:val="5B5B7E08"/>
    <w:rsid w:val="5B694BE9"/>
    <w:rsid w:val="5B887E91"/>
    <w:rsid w:val="5BC86593"/>
    <w:rsid w:val="5C3A5362"/>
    <w:rsid w:val="5C3E6229"/>
    <w:rsid w:val="5C4A4966"/>
    <w:rsid w:val="5C602D32"/>
    <w:rsid w:val="5CD1185B"/>
    <w:rsid w:val="5CD35D3E"/>
    <w:rsid w:val="5D6A05DC"/>
    <w:rsid w:val="5D7F13FC"/>
    <w:rsid w:val="5DA2719A"/>
    <w:rsid w:val="5E1E68F7"/>
    <w:rsid w:val="5E2F1776"/>
    <w:rsid w:val="5E541E21"/>
    <w:rsid w:val="5E5E48BB"/>
    <w:rsid w:val="5E9A2473"/>
    <w:rsid w:val="5F423DF6"/>
    <w:rsid w:val="5F4E49D2"/>
    <w:rsid w:val="5F641286"/>
    <w:rsid w:val="5FEE72CA"/>
    <w:rsid w:val="602010AE"/>
    <w:rsid w:val="60361BA1"/>
    <w:rsid w:val="60786190"/>
    <w:rsid w:val="607D30E2"/>
    <w:rsid w:val="611575D5"/>
    <w:rsid w:val="61273D49"/>
    <w:rsid w:val="613025C6"/>
    <w:rsid w:val="614318D6"/>
    <w:rsid w:val="618A73AA"/>
    <w:rsid w:val="61E27004"/>
    <w:rsid w:val="620B4C69"/>
    <w:rsid w:val="620B4DE2"/>
    <w:rsid w:val="62220A71"/>
    <w:rsid w:val="6229295F"/>
    <w:rsid w:val="628A16C5"/>
    <w:rsid w:val="628A682C"/>
    <w:rsid w:val="62C47861"/>
    <w:rsid w:val="63007459"/>
    <w:rsid w:val="63226E50"/>
    <w:rsid w:val="633A4C72"/>
    <w:rsid w:val="633D6D7A"/>
    <w:rsid w:val="63811457"/>
    <w:rsid w:val="63936E3D"/>
    <w:rsid w:val="63C57B95"/>
    <w:rsid w:val="63CE48B3"/>
    <w:rsid w:val="63D146D3"/>
    <w:rsid w:val="63D70ECA"/>
    <w:rsid w:val="645D3FD0"/>
    <w:rsid w:val="64615B78"/>
    <w:rsid w:val="65235F13"/>
    <w:rsid w:val="653852E6"/>
    <w:rsid w:val="65C81BB4"/>
    <w:rsid w:val="663A016C"/>
    <w:rsid w:val="667E2906"/>
    <w:rsid w:val="668A7943"/>
    <w:rsid w:val="669B2A06"/>
    <w:rsid w:val="66BC3D6A"/>
    <w:rsid w:val="66E52CB4"/>
    <w:rsid w:val="66EF6B73"/>
    <w:rsid w:val="66F652E5"/>
    <w:rsid w:val="671F17EB"/>
    <w:rsid w:val="67211A33"/>
    <w:rsid w:val="673749DB"/>
    <w:rsid w:val="67562CB8"/>
    <w:rsid w:val="67731D8A"/>
    <w:rsid w:val="677A1D46"/>
    <w:rsid w:val="68025E35"/>
    <w:rsid w:val="68141B8B"/>
    <w:rsid w:val="681450EA"/>
    <w:rsid w:val="684A5B95"/>
    <w:rsid w:val="68D75C06"/>
    <w:rsid w:val="694C6837"/>
    <w:rsid w:val="696E786B"/>
    <w:rsid w:val="69AB16BB"/>
    <w:rsid w:val="69BD19C1"/>
    <w:rsid w:val="69C601AD"/>
    <w:rsid w:val="6A1432B1"/>
    <w:rsid w:val="6A70682E"/>
    <w:rsid w:val="6AC63F9C"/>
    <w:rsid w:val="6ACE0985"/>
    <w:rsid w:val="6AD4435E"/>
    <w:rsid w:val="6AF814A5"/>
    <w:rsid w:val="6B5109DA"/>
    <w:rsid w:val="6B6C2B09"/>
    <w:rsid w:val="6B740057"/>
    <w:rsid w:val="6B7A55A4"/>
    <w:rsid w:val="6B994AD4"/>
    <w:rsid w:val="6BA82C30"/>
    <w:rsid w:val="6BD76DDA"/>
    <w:rsid w:val="6BFC1338"/>
    <w:rsid w:val="6BFF1784"/>
    <w:rsid w:val="6C2E4B41"/>
    <w:rsid w:val="6CAE44ED"/>
    <w:rsid w:val="6CC41357"/>
    <w:rsid w:val="6CF13D2F"/>
    <w:rsid w:val="6CF546C4"/>
    <w:rsid w:val="6D0E5786"/>
    <w:rsid w:val="6D3558E2"/>
    <w:rsid w:val="6D99465B"/>
    <w:rsid w:val="6DD5685C"/>
    <w:rsid w:val="6DF2085E"/>
    <w:rsid w:val="6E3379D9"/>
    <w:rsid w:val="6E37145A"/>
    <w:rsid w:val="6E671469"/>
    <w:rsid w:val="6E97376B"/>
    <w:rsid w:val="6ED4637D"/>
    <w:rsid w:val="6EF571EF"/>
    <w:rsid w:val="6F433E0D"/>
    <w:rsid w:val="6F652652"/>
    <w:rsid w:val="6F6C40D6"/>
    <w:rsid w:val="6F775116"/>
    <w:rsid w:val="6F7EA9E9"/>
    <w:rsid w:val="6F873C8C"/>
    <w:rsid w:val="6FE75F47"/>
    <w:rsid w:val="6FF065CD"/>
    <w:rsid w:val="70121EEF"/>
    <w:rsid w:val="702675A5"/>
    <w:rsid w:val="70A96034"/>
    <w:rsid w:val="71781C43"/>
    <w:rsid w:val="718169FE"/>
    <w:rsid w:val="71A1306D"/>
    <w:rsid w:val="71B75B64"/>
    <w:rsid w:val="71C829EA"/>
    <w:rsid w:val="72515C8C"/>
    <w:rsid w:val="728D39C8"/>
    <w:rsid w:val="7295089C"/>
    <w:rsid w:val="72996F38"/>
    <w:rsid w:val="72E24852"/>
    <w:rsid w:val="73666B57"/>
    <w:rsid w:val="739A7603"/>
    <w:rsid w:val="73CD4756"/>
    <w:rsid w:val="74122000"/>
    <w:rsid w:val="742F3CB1"/>
    <w:rsid w:val="74330669"/>
    <w:rsid w:val="746E2ABD"/>
    <w:rsid w:val="74852ECC"/>
    <w:rsid w:val="74A44223"/>
    <w:rsid w:val="74A67F54"/>
    <w:rsid w:val="74EA09B6"/>
    <w:rsid w:val="74F00563"/>
    <w:rsid w:val="74F556AA"/>
    <w:rsid w:val="74FF2F33"/>
    <w:rsid w:val="751002ED"/>
    <w:rsid w:val="75130EA2"/>
    <w:rsid w:val="75F51DD2"/>
    <w:rsid w:val="763151F9"/>
    <w:rsid w:val="765637C0"/>
    <w:rsid w:val="770333D8"/>
    <w:rsid w:val="779D52B1"/>
    <w:rsid w:val="788F055B"/>
    <w:rsid w:val="78E63D42"/>
    <w:rsid w:val="78F572F7"/>
    <w:rsid w:val="79216FB6"/>
    <w:rsid w:val="794C38BE"/>
    <w:rsid w:val="797D6FDD"/>
    <w:rsid w:val="798412AA"/>
    <w:rsid w:val="79C4103C"/>
    <w:rsid w:val="79F341C6"/>
    <w:rsid w:val="7A42133E"/>
    <w:rsid w:val="7A7D5833"/>
    <w:rsid w:val="7B1138F9"/>
    <w:rsid w:val="7B160EDC"/>
    <w:rsid w:val="7B66762B"/>
    <w:rsid w:val="7B9945BC"/>
    <w:rsid w:val="7C4E1AFC"/>
    <w:rsid w:val="7C973EA1"/>
    <w:rsid w:val="7CC01B5A"/>
    <w:rsid w:val="7D1D41F4"/>
    <w:rsid w:val="7D246948"/>
    <w:rsid w:val="7D41467E"/>
    <w:rsid w:val="7D4B095E"/>
    <w:rsid w:val="7D4F9C85"/>
    <w:rsid w:val="7D783EEB"/>
    <w:rsid w:val="7D7F5576"/>
    <w:rsid w:val="7D9B444F"/>
    <w:rsid w:val="7DAA0ADC"/>
    <w:rsid w:val="7DB23A4C"/>
    <w:rsid w:val="7DF726D2"/>
    <w:rsid w:val="7E64769F"/>
    <w:rsid w:val="7E8E7D1F"/>
    <w:rsid w:val="7EA865E1"/>
    <w:rsid w:val="7EC148B6"/>
    <w:rsid w:val="7ECD35DF"/>
    <w:rsid w:val="7F034DD9"/>
    <w:rsid w:val="7F0F3592"/>
    <w:rsid w:val="7F896EDB"/>
    <w:rsid w:val="7F9E6E81"/>
    <w:rsid w:val="7FCB5E84"/>
    <w:rsid w:val="8BD71BDE"/>
    <w:rsid w:val="9ED780EE"/>
    <w:rsid w:val="B1F7AA9D"/>
    <w:rsid w:val="B9E5B44F"/>
    <w:rsid w:val="F779D03F"/>
    <w:rsid w:val="F7F566E7"/>
    <w:rsid w:val="FDDCA07F"/>
    <w:rsid w:val="FF8FBBDD"/>
    <w:rsid w:val="FFCF02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nhideWhenUsed="0" w:uiPriority="9" w:semiHidden="0" w:name="heading 5"/>
    <w:lsdException w:qFormat="1" w:uiPriority="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61"/>
    <w:autoRedefine/>
    <w:qFormat/>
    <w:uiPriority w:val="0"/>
    <w:pPr>
      <w:keepNext/>
      <w:keepLines/>
      <w:spacing w:line="578" w:lineRule="auto"/>
      <w:outlineLvl w:val="0"/>
    </w:pPr>
    <w:rPr>
      <w:b/>
      <w:bCs/>
      <w:kern w:val="44"/>
      <w:sz w:val="44"/>
      <w:szCs w:val="44"/>
    </w:rPr>
  </w:style>
  <w:style w:type="paragraph" w:styleId="3">
    <w:name w:val="heading 2"/>
    <w:basedOn w:val="1"/>
    <w:next w:val="1"/>
    <w:link w:val="66"/>
    <w:autoRedefine/>
    <w:qFormat/>
    <w:uiPriority w:val="0"/>
    <w:pPr>
      <w:keepNext/>
      <w:keepLines/>
      <w:spacing w:line="416" w:lineRule="auto"/>
      <w:outlineLvl w:val="1"/>
    </w:pPr>
    <w:rPr>
      <w:rFonts w:ascii="Arial" w:hAnsi="Arial" w:eastAsia="黑体"/>
      <w:b/>
      <w:bCs/>
      <w:sz w:val="32"/>
      <w:szCs w:val="32"/>
    </w:rPr>
  </w:style>
  <w:style w:type="paragraph" w:styleId="4">
    <w:name w:val="heading 3"/>
    <w:basedOn w:val="1"/>
    <w:next w:val="1"/>
    <w:autoRedefine/>
    <w:qFormat/>
    <w:uiPriority w:val="99"/>
    <w:pPr>
      <w:keepNext/>
      <w:keepLines/>
      <w:numPr>
        <w:ilvl w:val="2"/>
        <w:numId w:val="1"/>
      </w:numPr>
      <w:outlineLvl w:val="2"/>
    </w:pPr>
    <w:rPr>
      <w:rFonts w:ascii="仿宋" w:hAnsi="仿宋"/>
      <w:b/>
      <w:bCs/>
      <w:sz w:val="30"/>
      <w:szCs w:val="32"/>
    </w:rPr>
  </w:style>
  <w:style w:type="paragraph" w:styleId="5">
    <w:name w:val="heading 4"/>
    <w:basedOn w:val="1"/>
    <w:next w:val="1"/>
    <w:autoRedefine/>
    <w:qFormat/>
    <w:uiPriority w:val="9"/>
    <w:pPr>
      <w:keepNext/>
      <w:keepLines/>
      <w:numPr>
        <w:ilvl w:val="3"/>
        <w:numId w:val="1"/>
      </w:numPr>
      <w:outlineLvl w:val="3"/>
    </w:pPr>
    <w:rPr>
      <w:rFonts w:ascii="仿宋" w:hAnsi="仿宋"/>
      <w:sz w:val="28"/>
      <w:szCs w:val="28"/>
    </w:rPr>
  </w:style>
  <w:style w:type="paragraph" w:styleId="6">
    <w:name w:val="heading 5"/>
    <w:basedOn w:val="1"/>
    <w:next w:val="1"/>
    <w:autoRedefine/>
    <w:qFormat/>
    <w:uiPriority w:val="9"/>
    <w:pPr>
      <w:keepNext/>
      <w:keepLines/>
      <w:numPr>
        <w:ilvl w:val="4"/>
        <w:numId w:val="1"/>
      </w:numPr>
      <w:spacing w:before="120" w:after="120" w:line="377" w:lineRule="auto"/>
      <w:outlineLvl w:val="4"/>
    </w:pPr>
    <w:rPr>
      <w:b/>
      <w:bCs/>
      <w:szCs w:val="28"/>
    </w:rPr>
  </w:style>
  <w:style w:type="character" w:default="1" w:styleId="28">
    <w:name w:val="Default Paragraph Font"/>
    <w:autoRedefine/>
    <w:semiHidden/>
    <w:unhideWhenUsed/>
    <w:qFormat/>
    <w:uiPriority w:val="1"/>
  </w:style>
  <w:style w:type="table" w:default="1" w:styleId="26">
    <w:name w:val="Normal Table"/>
    <w:autoRedefin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7">
    <w:name w:val="Normal Indent"/>
    <w:basedOn w:val="1"/>
    <w:next w:val="8"/>
    <w:link w:val="62"/>
    <w:autoRedefine/>
    <w:qFormat/>
    <w:uiPriority w:val="0"/>
    <w:pPr>
      <w:ind w:firstLine="420"/>
    </w:pPr>
    <w:rPr>
      <w:szCs w:val="20"/>
    </w:rPr>
  </w:style>
  <w:style w:type="paragraph" w:styleId="8">
    <w:name w:val="Body Text Indent"/>
    <w:basedOn w:val="1"/>
    <w:next w:val="7"/>
    <w:link w:val="60"/>
    <w:autoRedefine/>
    <w:qFormat/>
    <w:uiPriority w:val="0"/>
    <w:pPr>
      <w:spacing w:line="360" w:lineRule="auto"/>
      <w:ind w:firstLine="600" w:firstLineChars="200"/>
    </w:pPr>
    <w:rPr>
      <w:rFonts w:ascii="仿宋_GB2312" w:hAnsi="宋体" w:eastAsia="仿宋_GB2312"/>
      <w:sz w:val="30"/>
    </w:rPr>
  </w:style>
  <w:style w:type="paragraph" w:styleId="9">
    <w:name w:val="caption"/>
    <w:basedOn w:val="1"/>
    <w:next w:val="1"/>
    <w:autoRedefine/>
    <w:qFormat/>
    <w:uiPriority w:val="0"/>
    <w:rPr>
      <w:rFonts w:ascii="Arial" w:hAnsi="Arial" w:eastAsia="黑体"/>
      <w:sz w:val="20"/>
      <w:szCs w:val="20"/>
    </w:rPr>
  </w:style>
  <w:style w:type="paragraph" w:styleId="10">
    <w:name w:val="toa heading"/>
    <w:basedOn w:val="1"/>
    <w:next w:val="1"/>
    <w:autoRedefine/>
    <w:qFormat/>
    <w:uiPriority w:val="0"/>
    <w:pPr>
      <w:spacing w:before="120"/>
    </w:pPr>
    <w:rPr>
      <w:rFonts w:ascii="Arial" w:hAnsi="Arial"/>
      <w:sz w:val="24"/>
    </w:rPr>
  </w:style>
  <w:style w:type="paragraph" w:styleId="11">
    <w:name w:val="annotation text"/>
    <w:basedOn w:val="1"/>
    <w:autoRedefine/>
    <w:qFormat/>
    <w:uiPriority w:val="0"/>
    <w:pPr>
      <w:jc w:val="left"/>
    </w:pPr>
  </w:style>
  <w:style w:type="paragraph" w:styleId="12">
    <w:name w:val="Body Text"/>
    <w:basedOn w:val="1"/>
    <w:next w:val="1"/>
    <w:link w:val="65"/>
    <w:autoRedefine/>
    <w:qFormat/>
    <w:uiPriority w:val="0"/>
    <w:rPr>
      <w:rFonts w:ascii="宋体" w:hAnsi="宋体"/>
      <w:sz w:val="28"/>
    </w:rPr>
  </w:style>
  <w:style w:type="paragraph" w:styleId="13">
    <w:name w:val="Block Text"/>
    <w:basedOn w:val="1"/>
    <w:autoRedefine/>
    <w:qFormat/>
    <w:uiPriority w:val="99"/>
    <w:pPr>
      <w:adjustRightInd w:val="0"/>
      <w:ind w:left="420" w:right="33"/>
      <w:textAlignment w:val="baseline"/>
    </w:pPr>
    <w:rPr>
      <w:sz w:val="24"/>
    </w:rPr>
  </w:style>
  <w:style w:type="paragraph" w:styleId="14">
    <w:name w:val="Plain Text"/>
    <w:basedOn w:val="1"/>
    <w:autoRedefine/>
    <w:qFormat/>
    <w:uiPriority w:val="0"/>
    <w:pPr>
      <w:spacing w:beforeLines="50" w:afterLines="50" w:line="400" w:lineRule="exact"/>
    </w:pPr>
    <w:rPr>
      <w:rFonts w:ascii="宋体" w:hAnsi="Courier New"/>
      <w:sz w:val="24"/>
    </w:rPr>
  </w:style>
  <w:style w:type="paragraph" w:styleId="15">
    <w:name w:val="Body Text Indent 2"/>
    <w:basedOn w:val="1"/>
    <w:autoRedefine/>
    <w:qFormat/>
    <w:uiPriority w:val="0"/>
    <w:pPr>
      <w:spacing w:after="120" w:line="480" w:lineRule="auto"/>
      <w:ind w:left="420" w:leftChars="200"/>
    </w:pPr>
  </w:style>
  <w:style w:type="paragraph" w:styleId="16">
    <w:name w:val="Balloon Text"/>
    <w:basedOn w:val="1"/>
    <w:link w:val="52"/>
    <w:autoRedefine/>
    <w:qFormat/>
    <w:uiPriority w:val="0"/>
    <w:rPr>
      <w:sz w:val="18"/>
      <w:szCs w:val="18"/>
    </w:rPr>
  </w:style>
  <w:style w:type="paragraph" w:styleId="17">
    <w:name w:val="footer"/>
    <w:basedOn w:val="1"/>
    <w:autoRedefine/>
    <w:qFormat/>
    <w:uiPriority w:val="99"/>
    <w:pPr>
      <w:tabs>
        <w:tab w:val="center" w:pos="4153"/>
        <w:tab w:val="right" w:pos="8306"/>
      </w:tabs>
      <w:snapToGrid w:val="0"/>
      <w:jc w:val="left"/>
    </w:pPr>
    <w:rPr>
      <w:sz w:val="18"/>
      <w:szCs w:val="18"/>
    </w:rPr>
  </w:style>
  <w:style w:type="paragraph" w:styleId="18">
    <w:name w:val="header"/>
    <w:basedOn w:val="1"/>
    <w:autoRedefine/>
    <w:qFormat/>
    <w:uiPriority w:val="99"/>
    <w:pPr>
      <w:pBdr>
        <w:bottom w:val="single" w:color="auto" w:sz="6" w:space="1"/>
      </w:pBdr>
      <w:tabs>
        <w:tab w:val="center" w:pos="4153"/>
        <w:tab w:val="right" w:pos="8306"/>
      </w:tabs>
      <w:adjustRightInd w:val="0"/>
      <w:snapToGrid w:val="0"/>
      <w:spacing w:line="240" w:lineRule="atLeast"/>
      <w:jc w:val="center"/>
      <w:textAlignment w:val="baseline"/>
    </w:pPr>
    <w:rPr>
      <w:rFonts w:ascii="宋体"/>
      <w:kern w:val="0"/>
      <w:sz w:val="18"/>
      <w:szCs w:val="20"/>
    </w:rPr>
  </w:style>
  <w:style w:type="paragraph" w:styleId="19">
    <w:name w:val="toc 1"/>
    <w:next w:val="1"/>
    <w:autoRedefine/>
    <w:qFormat/>
    <w:uiPriority w:val="0"/>
    <w:pPr>
      <w:widowControl w:val="0"/>
      <w:tabs>
        <w:tab w:val="right" w:leader="dot" w:pos="8494"/>
      </w:tabs>
      <w:spacing w:line="360" w:lineRule="auto"/>
      <w:jc w:val="both"/>
    </w:pPr>
    <w:rPr>
      <w:rFonts w:ascii="宋体" w:hAnsi="宋体" w:eastAsia="宋体" w:cs="Times New Roman"/>
      <w:kern w:val="2"/>
      <w:sz w:val="32"/>
      <w:szCs w:val="24"/>
      <w:lang w:val="en-US" w:eastAsia="zh-CN" w:bidi="ar-SA"/>
    </w:rPr>
  </w:style>
  <w:style w:type="paragraph" w:styleId="20">
    <w:name w:val="toc 6"/>
    <w:basedOn w:val="1"/>
    <w:next w:val="1"/>
    <w:autoRedefine/>
    <w:qFormat/>
    <w:uiPriority w:val="0"/>
    <w:pPr>
      <w:ind w:left="1050"/>
      <w:jc w:val="left"/>
    </w:pPr>
    <w:rPr>
      <w:sz w:val="18"/>
      <w:szCs w:val="18"/>
    </w:rPr>
  </w:style>
  <w:style w:type="paragraph" w:styleId="21">
    <w:name w:val="Body Text Indent 3"/>
    <w:basedOn w:val="1"/>
    <w:autoRedefine/>
    <w:qFormat/>
    <w:uiPriority w:val="99"/>
    <w:pPr>
      <w:spacing w:line="500" w:lineRule="atLeast"/>
      <w:ind w:firstLine="720" w:firstLineChars="300"/>
    </w:pPr>
    <w:rPr>
      <w:rFonts w:ascii="Times New Roman" w:hAnsi="Times New Roman"/>
      <w:sz w:val="24"/>
    </w:rPr>
  </w:style>
  <w:style w:type="paragraph" w:styleId="22">
    <w:name w:val="toc 2"/>
    <w:basedOn w:val="1"/>
    <w:next w:val="1"/>
    <w:autoRedefine/>
    <w:qFormat/>
    <w:uiPriority w:val="39"/>
    <w:pPr>
      <w:ind w:left="420" w:leftChars="200"/>
    </w:pPr>
    <w:rPr>
      <w:szCs w:val="20"/>
    </w:rPr>
  </w:style>
  <w:style w:type="paragraph" w:styleId="23">
    <w:name w:val="Normal (Web)"/>
    <w:basedOn w:val="1"/>
    <w:autoRedefine/>
    <w:qFormat/>
    <w:uiPriority w:val="0"/>
    <w:pPr>
      <w:spacing w:beforeAutospacing="1" w:afterAutospacing="1"/>
      <w:jc w:val="left"/>
    </w:pPr>
    <w:rPr>
      <w:rFonts w:asciiTheme="minorHAnsi" w:hAnsiTheme="minorHAnsi" w:eastAsiaTheme="minorEastAsia"/>
      <w:kern w:val="0"/>
      <w:sz w:val="24"/>
    </w:rPr>
  </w:style>
  <w:style w:type="paragraph" w:styleId="24">
    <w:name w:val="Body Text First Indent"/>
    <w:basedOn w:val="12"/>
    <w:next w:val="1"/>
    <w:link w:val="63"/>
    <w:autoRedefine/>
    <w:qFormat/>
    <w:uiPriority w:val="0"/>
    <w:pPr>
      <w:spacing w:line="312" w:lineRule="auto"/>
      <w:ind w:firstLine="420"/>
    </w:pPr>
  </w:style>
  <w:style w:type="paragraph" w:styleId="25">
    <w:name w:val="Body Text First Indent 2"/>
    <w:basedOn w:val="8"/>
    <w:link w:val="59"/>
    <w:autoRedefine/>
    <w:qFormat/>
    <w:uiPriority w:val="99"/>
    <w:pPr>
      <w:tabs>
        <w:tab w:val="left" w:pos="0"/>
        <w:tab w:val="left" w:pos="993"/>
        <w:tab w:val="left" w:pos="1134"/>
      </w:tabs>
      <w:spacing w:after="120" w:line="240" w:lineRule="auto"/>
      <w:ind w:left="420" w:leftChars="200" w:firstLine="420"/>
    </w:pPr>
    <w:rPr>
      <w:sz w:val="21"/>
      <w:szCs w:val="21"/>
    </w:rPr>
  </w:style>
  <w:style w:type="table" w:styleId="27">
    <w:name w:val="Table Grid"/>
    <w:basedOn w:val="26"/>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basedOn w:val="28"/>
    <w:autoRedefine/>
    <w:qFormat/>
    <w:uiPriority w:val="0"/>
    <w:rPr>
      <w:b/>
    </w:rPr>
  </w:style>
  <w:style w:type="character" w:styleId="30">
    <w:name w:val="page number"/>
    <w:autoRedefine/>
    <w:qFormat/>
    <w:uiPriority w:val="0"/>
  </w:style>
  <w:style w:type="character" w:styleId="31">
    <w:name w:val="Hyperlink"/>
    <w:autoRedefine/>
    <w:qFormat/>
    <w:uiPriority w:val="99"/>
    <w:rPr>
      <w:color w:val="1F1F1F"/>
      <w:u w:val="none"/>
    </w:rPr>
  </w:style>
  <w:style w:type="character" w:styleId="32">
    <w:name w:val="annotation reference"/>
    <w:basedOn w:val="28"/>
    <w:autoRedefine/>
    <w:qFormat/>
    <w:uiPriority w:val="0"/>
    <w:rPr>
      <w:sz w:val="21"/>
      <w:szCs w:val="21"/>
    </w:rPr>
  </w:style>
  <w:style w:type="character" w:styleId="33">
    <w:name w:val="HTML Sample"/>
    <w:basedOn w:val="28"/>
    <w:autoRedefine/>
    <w:qFormat/>
    <w:uiPriority w:val="0"/>
    <w:rPr>
      <w:rFonts w:ascii="Courier New" w:hAnsi="Courier New"/>
    </w:rPr>
  </w:style>
  <w:style w:type="paragraph" w:customStyle="1" w:styleId="34">
    <w:name w:val="DAS正文"/>
    <w:basedOn w:val="1"/>
    <w:autoRedefine/>
    <w:qFormat/>
    <w:uiPriority w:val="0"/>
    <w:pPr>
      <w:spacing w:line="360" w:lineRule="auto"/>
      <w:ind w:right="181" w:firstLine="480" w:firstLineChars="200"/>
    </w:pPr>
    <w:rPr>
      <w:rFonts w:ascii="Verdana" w:hAnsi="Verdana" w:cs="Verdana"/>
    </w:rPr>
  </w:style>
  <w:style w:type="paragraph" w:customStyle="1" w:styleId="35">
    <w:name w:val="_Style 1"/>
    <w:autoRedefine/>
    <w:qFormat/>
    <w:uiPriority w:val="0"/>
    <w:rPr>
      <w:rFonts w:ascii="Times New Roman" w:hAnsi="Times New Roman" w:eastAsia="宋体" w:cs="Times New Roman"/>
      <w:kern w:val="2"/>
      <w:sz w:val="28"/>
      <w:szCs w:val="22"/>
      <w:lang w:val="en-US" w:eastAsia="zh-CN" w:bidi="ar-SA"/>
    </w:rPr>
  </w:style>
  <w:style w:type="paragraph" w:customStyle="1" w:styleId="36">
    <w:name w:val="Default"/>
    <w:next w:val="1"/>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7">
    <w:name w:val="表格文字"/>
    <w:basedOn w:val="1"/>
    <w:next w:val="12"/>
    <w:autoRedefine/>
    <w:qFormat/>
    <w:uiPriority w:val="0"/>
    <w:pPr>
      <w:adjustRightInd w:val="0"/>
      <w:spacing w:line="420" w:lineRule="atLeast"/>
      <w:jc w:val="left"/>
      <w:textAlignment w:val="baseline"/>
    </w:pPr>
    <w:rPr>
      <w:kern w:val="0"/>
      <w:szCs w:val="21"/>
    </w:rPr>
  </w:style>
  <w:style w:type="paragraph" w:customStyle="1" w:styleId="38">
    <w:name w:val="章正文"/>
    <w:basedOn w:val="1"/>
    <w:autoRedefine/>
    <w:qFormat/>
    <w:uiPriority w:val="0"/>
    <w:pPr>
      <w:spacing w:before="156" w:beforeLines="50" w:after="120" w:line="300" w:lineRule="auto"/>
      <w:ind w:firstLine="480"/>
    </w:pPr>
    <w:rPr>
      <w:rFonts w:ascii="Helvetica" w:hAnsi="Helvetica"/>
      <w:kern w:val="0"/>
      <w:sz w:val="24"/>
    </w:rPr>
  </w:style>
  <w:style w:type="paragraph" w:customStyle="1" w:styleId="39">
    <w:name w:val="reader-word-layer"/>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40">
    <w:name w:val="BodyText1I2"/>
    <w:basedOn w:val="41"/>
    <w:autoRedefine/>
    <w:qFormat/>
    <w:uiPriority w:val="0"/>
    <w:pPr>
      <w:tabs>
        <w:tab w:val="left" w:pos="720"/>
        <w:tab w:val="left" w:pos="1260"/>
        <w:tab w:val="left" w:pos="2160"/>
        <w:tab w:val="left" w:pos="2880"/>
        <w:tab w:val="left" w:pos="3600"/>
        <w:tab w:val="left" w:pos="4320"/>
        <w:tab w:val="left" w:pos="5040"/>
        <w:tab w:val="left" w:pos="5760"/>
      </w:tabs>
      <w:ind w:firstLine="210"/>
    </w:pPr>
    <w:rPr>
      <w:szCs w:val="24"/>
    </w:rPr>
  </w:style>
  <w:style w:type="paragraph" w:customStyle="1" w:styleId="41">
    <w:name w:val="BodyTextIndent"/>
    <w:basedOn w:val="1"/>
    <w:autoRedefine/>
    <w:qFormat/>
    <w:uiPriority w:val="0"/>
    <w:pPr>
      <w:widowControl/>
      <w:tabs>
        <w:tab w:val="left" w:pos="720"/>
        <w:tab w:val="left" w:pos="1260"/>
        <w:tab w:val="left" w:pos="2160"/>
        <w:tab w:val="left" w:pos="2880"/>
        <w:tab w:val="left" w:pos="3600"/>
        <w:tab w:val="left" w:pos="4320"/>
        <w:tab w:val="left" w:pos="5040"/>
        <w:tab w:val="left" w:pos="5760"/>
      </w:tabs>
      <w:spacing w:line="360" w:lineRule="auto"/>
      <w:ind w:right="25" w:rightChars="12" w:firstLine="720" w:firstLineChars="300"/>
      <w:jc w:val="left"/>
      <w:textAlignment w:val="baseline"/>
    </w:pPr>
    <w:rPr>
      <w:rFonts w:ascii="宋体"/>
      <w:color w:val="000000"/>
      <w:kern w:val="0"/>
      <w:sz w:val="24"/>
      <w:szCs w:val="20"/>
    </w:rPr>
  </w:style>
  <w:style w:type="paragraph" w:customStyle="1" w:styleId="42">
    <w:name w:val="Table Paragraph"/>
    <w:basedOn w:val="1"/>
    <w:autoRedefine/>
    <w:qFormat/>
    <w:uiPriority w:val="1"/>
  </w:style>
  <w:style w:type="paragraph" w:customStyle="1" w:styleId="43">
    <w:name w:val="列出段落1"/>
    <w:basedOn w:val="1"/>
    <w:autoRedefine/>
    <w:qFormat/>
    <w:uiPriority w:val="0"/>
    <w:pPr>
      <w:ind w:firstLine="420" w:firstLineChars="200"/>
    </w:pPr>
  </w:style>
  <w:style w:type="paragraph" w:customStyle="1" w:styleId="44">
    <w:name w:val="正文段"/>
    <w:basedOn w:val="1"/>
    <w:autoRedefine/>
    <w:qFormat/>
    <w:uiPriority w:val="0"/>
    <w:pPr>
      <w:widowControl/>
      <w:snapToGrid w:val="0"/>
      <w:spacing w:afterLines="50"/>
      <w:ind w:firstLine="200" w:firstLineChars="200"/>
    </w:pPr>
    <w:rPr>
      <w:kern w:val="0"/>
      <w:sz w:val="24"/>
      <w:szCs w:val="20"/>
    </w:rPr>
  </w:style>
  <w:style w:type="paragraph" w:customStyle="1" w:styleId="45">
    <w:name w:val="BodyText1I"/>
    <w:basedOn w:val="46"/>
    <w:autoRedefine/>
    <w:qFormat/>
    <w:uiPriority w:val="0"/>
    <w:pPr>
      <w:tabs>
        <w:tab w:val="left" w:pos="3380"/>
      </w:tabs>
      <w:ind w:firstLine="420" w:firstLineChars="100"/>
    </w:pPr>
    <w:rPr>
      <w:rFonts w:ascii="宋体" w:hAnsi="宋体"/>
      <w:sz w:val="28"/>
      <w:szCs w:val="28"/>
    </w:rPr>
  </w:style>
  <w:style w:type="paragraph" w:customStyle="1" w:styleId="46">
    <w:name w:val="BodyText"/>
    <w:basedOn w:val="1"/>
    <w:autoRedefine/>
    <w:qFormat/>
    <w:uiPriority w:val="0"/>
    <w:pPr>
      <w:tabs>
        <w:tab w:val="left" w:pos="3380"/>
      </w:tabs>
      <w:jc w:val="center"/>
      <w:textAlignment w:val="baseline"/>
    </w:pPr>
    <w:rPr>
      <w:rFonts w:ascii="Times New Roman"/>
      <w:b/>
      <w:bCs/>
      <w:spacing w:val="-20"/>
      <w:kern w:val="0"/>
      <w:sz w:val="36"/>
    </w:rPr>
  </w:style>
  <w:style w:type="paragraph" w:customStyle="1" w:styleId="47">
    <w:name w:val="[Normal]"/>
    <w:autoRedefine/>
    <w:qFormat/>
    <w:uiPriority w:val="0"/>
    <w:rPr>
      <w:rFonts w:ascii="宋体" w:hAnsi="宋体" w:eastAsia="宋体" w:cs="Times New Roman"/>
      <w:sz w:val="24"/>
      <w:szCs w:val="22"/>
      <w:lang w:val="zh-CN" w:eastAsia="zh-CN" w:bidi="ar-SA"/>
    </w:rPr>
  </w:style>
  <w:style w:type="character" w:customStyle="1" w:styleId="48">
    <w:name w:val="font41"/>
    <w:basedOn w:val="28"/>
    <w:autoRedefine/>
    <w:qFormat/>
    <w:uiPriority w:val="0"/>
    <w:rPr>
      <w:rFonts w:hint="eastAsia" w:ascii="宋体" w:hAnsi="宋体" w:eastAsia="宋体" w:cs="宋体"/>
      <w:color w:val="000000"/>
      <w:sz w:val="20"/>
      <w:szCs w:val="20"/>
      <w:u w:val="none"/>
    </w:rPr>
  </w:style>
  <w:style w:type="character" w:customStyle="1" w:styleId="49">
    <w:name w:val="NormalCharacter"/>
    <w:autoRedefine/>
    <w:qFormat/>
    <w:uiPriority w:val="0"/>
  </w:style>
  <w:style w:type="paragraph" w:customStyle="1" w:styleId="50">
    <w:name w:val="*正文"/>
    <w:basedOn w:val="1"/>
    <w:next w:val="1"/>
    <w:autoRedefine/>
    <w:qFormat/>
    <w:uiPriority w:val="0"/>
    <w:pPr>
      <w:widowControl/>
      <w:ind w:firstLine="200" w:firstLineChars="200"/>
      <w:jc w:val="left"/>
    </w:pPr>
    <w:rPr>
      <w:rFonts w:ascii="仿宋_GB2312" w:eastAsia="仿宋_GB2312"/>
      <w:szCs w:val="28"/>
    </w:rPr>
  </w:style>
  <w:style w:type="paragraph" w:customStyle="1" w:styleId="51">
    <w:name w:val="sp-正文"/>
    <w:basedOn w:val="1"/>
    <w:autoRedefine/>
    <w:qFormat/>
    <w:uiPriority w:val="9"/>
  </w:style>
  <w:style w:type="character" w:customStyle="1" w:styleId="52">
    <w:name w:val="批注框文本 字符"/>
    <w:basedOn w:val="28"/>
    <w:link w:val="16"/>
    <w:autoRedefine/>
    <w:qFormat/>
    <w:uiPriority w:val="0"/>
    <w:rPr>
      <w:rFonts w:ascii="Calibri" w:hAnsi="Calibri"/>
      <w:kern w:val="2"/>
      <w:sz w:val="18"/>
      <w:szCs w:val="18"/>
    </w:rPr>
  </w:style>
  <w:style w:type="character" w:customStyle="1" w:styleId="53">
    <w:name w:val="font21"/>
    <w:basedOn w:val="28"/>
    <w:autoRedefine/>
    <w:qFormat/>
    <w:uiPriority w:val="0"/>
    <w:rPr>
      <w:rFonts w:hint="eastAsia" w:ascii="仿宋" w:hAnsi="仿宋" w:eastAsia="仿宋" w:cs="仿宋"/>
      <w:color w:val="000000"/>
      <w:sz w:val="24"/>
      <w:szCs w:val="24"/>
      <w:u w:val="single"/>
    </w:rPr>
  </w:style>
  <w:style w:type="character" w:customStyle="1" w:styleId="54">
    <w:name w:val="font11"/>
    <w:basedOn w:val="28"/>
    <w:autoRedefine/>
    <w:qFormat/>
    <w:uiPriority w:val="0"/>
    <w:rPr>
      <w:rFonts w:hint="eastAsia" w:ascii="仿宋" w:hAnsi="仿宋" w:eastAsia="仿宋" w:cs="仿宋"/>
      <w:color w:val="000000"/>
      <w:sz w:val="24"/>
      <w:szCs w:val="24"/>
      <w:u w:val="none"/>
    </w:rPr>
  </w:style>
  <w:style w:type="paragraph" w:customStyle="1" w:styleId="55">
    <w:name w:val="样式 正文文本缩进 + 首行缩进:  2 字符 行距: 1.5 倍行距"/>
    <w:basedOn w:val="8"/>
    <w:autoRedefine/>
    <w:qFormat/>
    <w:uiPriority w:val="0"/>
    <w:pPr>
      <w:spacing w:before="156"/>
      <w:ind w:firstLine="482"/>
    </w:pPr>
    <w:rPr>
      <w:rFonts w:cs="宋体"/>
      <w:b/>
    </w:rPr>
  </w:style>
  <w:style w:type="paragraph" w:customStyle="1" w:styleId="56">
    <w:name w:val="列表段落1"/>
    <w:basedOn w:val="1"/>
    <w:autoRedefine/>
    <w:qFormat/>
    <w:uiPriority w:val="99"/>
    <w:pPr>
      <w:spacing w:line="360" w:lineRule="auto"/>
      <w:ind w:firstLine="420"/>
    </w:pPr>
    <w:rPr>
      <w:rFonts w:eastAsia="仿宋_GB2312" w:asciiTheme="minorHAnsi" w:hAnsiTheme="minorHAnsi"/>
      <w:spacing w:val="6"/>
      <w:szCs w:val="20"/>
    </w:rPr>
  </w:style>
  <w:style w:type="paragraph" w:customStyle="1" w:styleId="57">
    <w:name w:val="Heading3"/>
    <w:basedOn w:val="1"/>
    <w:next w:val="1"/>
    <w:autoRedefine/>
    <w:qFormat/>
    <w:uiPriority w:val="0"/>
    <w:pPr>
      <w:spacing w:before="120" w:after="120" w:line="300" w:lineRule="auto"/>
    </w:pPr>
    <w:rPr>
      <w:sz w:val="24"/>
      <w:szCs w:val="20"/>
    </w:rPr>
  </w:style>
  <w:style w:type="character" w:customStyle="1" w:styleId="58">
    <w:name w:val="font31"/>
    <w:basedOn w:val="28"/>
    <w:autoRedefine/>
    <w:qFormat/>
    <w:uiPriority w:val="0"/>
    <w:rPr>
      <w:rFonts w:hint="eastAsia" w:ascii="宋体" w:hAnsi="宋体" w:eastAsia="宋体" w:cs="宋体"/>
      <w:color w:val="000000"/>
      <w:sz w:val="20"/>
      <w:szCs w:val="20"/>
      <w:u w:val="none"/>
    </w:rPr>
  </w:style>
  <w:style w:type="character" w:customStyle="1" w:styleId="59">
    <w:name w:val="正文首行缩进 2 Char"/>
    <w:basedOn w:val="60"/>
    <w:link w:val="25"/>
    <w:autoRedefine/>
    <w:qFormat/>
    <w:uiPriority w:val="0"/>
    <w:rPr>
      <w:kern w:val="2"/>
      <w:sz w:val="21"/>
      <w:szCs w:val="24"/>
    </w:rPr>
  </w:style>
  <w:style w:type="character" w:customStyle="1" w:styleId="60">
    <w:name w:val="正文文本缩进 Char"/>
    <w:basedOn w:val="28"/>
    <w:link w:val="8"/>
    <w:autoRedefine/>
    <w:qFormat/>
    <w:uiPriority w:val="0"/>
    <w:rPr>
      <w:kern w:val="2"/>
      <w:sz w:val="21"/>
      <w:szCs w:val="24"/>
    </w:rPr>
  </w:style>
  <w:style w:type="character" w:customStyle="1" w:styleId="61">
    <w:name w:val="标题 1 Char"/>
    <w:basedOn w:val="28"/>
    <w:link w:val="2"/>
    <w:autoRedefine/>
    <w:qFormat/>
    <w:uiPriority w:val="0"/>
    <w:rPr>
      <w:b/>
      <w:bCs/>
      <w:kern w:val="44"/>
      <w:sz w:val="44"/>
      <w:szCs w:val="44"/>
    </w:rPr>
  </w:style>
  <w:style w:type="character" w:customStyle="1" w:styleId="62">
    <w:name w:val="正文缩进 Char"/>
    <w:basedOn w:val="28"/>
    <w:link w:val="7"/>
    <w:autoRedefine/>
    <w:qFormat/>
    <w:uiPriority w:val="0"/>
    <w:rPr>
      <w:kern w:val="2"/>
      <w:sz w:val="21"/>
    </w:rPr>
  </w:style>
  <w:style w:type="character" w:customStyle="1" w:styleId="63">
    <w:name w:val="正文首行缩进 Char"/>
    <w:basedOn w:val="64"/>
    <w:link w:val="24"/>
    <w:autoRedefine/>
    <w:qFormat/>
    <w:uiPriority w:val="0"/>
    <w:rPr>
      <w:kern w:val="2"/>
      <w:sz w:val="21"/>
      <w:szCs w:val="24"/>
    </w:rPr>
  </w:style>
  <w:style w:type="character" w:customStyle="1" w:styleId="64">
    <w:name w:val="正文文本 Char"/>
    <w:basedOn w:val="28"/>
    <w:link w:val="12"/>
    <w:autoRedefine/>
    <w:qFormat/>
    <w:uiPriority w:val="0"/>
    <w:rPr>
      <w:kern w:val="2"/>
      <w:sz w:val="21"/>
      <w:szCs w:val="24"/>
    </w:rPr>
  </w:style>
  <w:style w:type="character" w:customStyle="1" w:styleId="65">
    <w:name w:val="正文文本 Char1"/>
    <w:basedOn w:val="28"/>
    <w:link w:val="12"/>
    <w:autoRedefine/>
    <w:qFormat/>
    <w:uiPriority w:val="0"/>
    <w:rPr>
      <w:rFonts w:hint="eastAsia" w:ascii="宋体" w:hAnsi="宋体" w:eastAsia="宋体" w:cs="宋体"/>
      <w:kern w:val="2"/>
      <w:sz w:val="28"/>
      <w:szCs w:val="24"/>
    </w:rPr>
  </w:style>
  <w:style w:type="character" w:customStyle="1" w:styleId="66">
    <w:name w:val="标题 2 Char"/>
    <w:basedOn w:val="28"/>
    <w:link w:val="3"/>
    <w:autoRedefine/>
    <w:qFormat/>
    <w:uiPriority w:val="0"/>
    <w:rPr>
      <w:rFonts w:ascii="Cambria" w:hAnsi="Cambria" w:eastAsia="宋体" w:cs="Times New Roman"/>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56</Pages>
  <Words>28016</Words>
  <Characters>29689</Characters>
  <Lines>196</Lines>
  <Paragraphs>55</Paragraphs>
  <TotalTime>14</TotalTime>
  <ScaleCrop>false</ScaleCrop>
  <LinksUpToDate>false</LinksUpToDate>
  <CharactersWithSpaces>30762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2024-02-28T07:33:00Z</dcterms:created>
  <dc:creator>Administrator.PC-20160716QTOZ</dc:creator>
  <cp:lastModifiedBy>Administrator</cp:lastModifiedBy>
  <cp:lastPrinted>2024-04-25T06:06:00Z</cp:lastPrinted>
  <dcterms:modified xsi:type="dcterms:W3CDTF">2024-05-23T01:25:25Z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14CA8990A07646FFBCDA7007AA474D64_13</vt:lpwstr>
  </property>
  <property fmtid="{D5CDD505-2E9C-101B-9397-08002B2CF9AE}" pid="4" name="KSOSaveFontToCloudKey">
    <vt:lpwstr>240195731_btnclosed</vt:lpwstr>
  </property>
</Properties>
</file>