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both"/>
        <w:rPr>
          <w:rFonts w:ascii="仿宋" w:hAnsi="仿宋" w:eastAsia="仿宋" w:cs="仿宋"/>
          <w:b/>
          <w:color w:val="auto"/>
          <w:kern w:val="0"/>
          <w:sz w:val="48"/>
          <w:szCs w:val="48"/>
          <w:highlight w:val="none"/>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Style w:val="33"/>
          <w:rFonts w:hint="eastAsia" w:ascii="黑体" w:hAnsi="黑体" w:eastAsia="黑体" w:cs="黑体"/>
          <w:color w:val="auto"/>
          <w:kern w:val="0"/>
          <w:sz w:val="36"/>
          <w:szCs w:val="36"/>
          <w:highlight w:val="none"/>
          <w:lang w:eastAsia="zh-CN" w:bidi="ar"/>
        </w:rPr>
      </w:pPr>
      <w:r>
        <w:rPr>
          <w:rStyle w:val="33"/>
          <w:rFonts w:hint="eastAsia" w:ascii="黑体" w:hAnsi="黑体" w:eastAsia="黑体" w:cs="黑体"/>
          <w:color w:val="auto"/>
          <w:kern w:val="0"/>
          <w:sz w:val="36"/>
          <w:szCs w:val="36"/>
          <w:highlight w:val="none"/>
          <w:lang w:eastAsia="zh-CN" w:bidi="ar"/>
        </w:rPr>
        <w:t>湖州市人力资源和社会保障信息中心</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default" w:ascii="黑体" w:hAnsi="黑体" w:eastAsia="黑体" w:cs="黑体"/>
          <w:snapToGrid w:val="0"/>
          <w:color w:val="auto"/>
          <w:sz w:val="36"/>
          <w:szCs w:val="36"/>
          <w:highlight w:val="none"/>
          <w:lang w:val="en-US"/>
        </w:rPr>
      </w:pPr>
      <w:r>
        <w:rPr>
          <w:rStyle w:val="33"/>
          <w:rFonts w:hint="eastAsia" w:ascii="黑体" w:hAnsi="黑体" w:eastAsia="黑体" w:cs="黑体"/>
          <w:color w:val="auto"/>
          <w:kern w:val="0"/>
          <w:sz w:val="36"/>
          <w:szCs w:val="36"/>
          <w:highlight w:val="none"/>
          <w:lang w:eastAsia="zh-CN" w:bidi="ar"/>
        </w:rPr>
        <w:t>2024年度湖州人社核心应用软件系统运维保障服务采购项目</w:t>
      </w:r>
    </w:p>
    <w:p>
      <w:pPr>
        <w:pStyle w:val="13"/>
        <w:jc w:val="center"/>
        <w:rPr>
          <w:rFonts w:hint="eastAsia" w:ascii="仿宋" w:hAnsi="仿宋" w:eastAsia="仿宋" w:cs="仿宋"/>
          <w:b/>
          <w:spacing w:val="-4"/>
          <w:sz w:val="32"/>
          <w:szCs w:val="32"/>
          <w:highlight w:val="none"/>
          <w:lang w:eastAsia="zh-CN"/>
        </w:rPr>
      </w:pPr>
    </w:p>
    <w:p>
      <w:pPr>
        <w:pStyle w:val="13"/>
        <w:jc w:val="center"/>
        <w:rPr>
          <w:rFonts w:hint="eastAsia" w:ascii="仿宋" w:hAnsi="仿宋" w:eastAsia="仿宋" w:cs="仿宋"/>
          <w:b/>
          <w:spacing w:val="-4"/>
          <w:sz w:val="32"/>
          <w:szCs w:val="32"/>
          <w:highlight w:val="none"/>
        </w:rPr>
      </w:pPr>
      <w:r>
        <w:rPr>
          <w:rFonts w:hint="eastAsia" w:ascii="仿宋" w:hAnsi="仿宋" w:eastAsia="仿宋" w:cs="仿宋"/>
          <w:b/>
          <w:spacing w:val="-4"/>
          <w:sz w:val="32"/>
          <w:szCs w:val="32"/>
          <w:highlight w:val="none"/>
          <w:lang w:eastAsia="zh-CN"/>
        </w:rPr>
        <w:t>标项</w:t>
      </w:r>
      <w:r>
        <w:rPr>
          <w:rFonts w:hint="eastAsia" w:ascii="仿宋" w:hAnsi="仿宋" w:eastAsia="仿宋" w:cs="仿宋"/>
          <w:b/>
          <w:spacing w:val="-4"/>
          <w:sz w:val="32"/>
          <w:szCs w:val="32"/>
          <w:highlight w:val="none"/>
          <w:lang w:val="en-US" w:eastAsia="zh-CN"/>
        </w:rPr>
        <w:t>一</w:t>
      </w:r>
      <w:r>
        <w:rPr>
          <w:rFonts w:hint="eastAsia" w:ascii="仿宋" w:hAnsi="仿宋" w:eastAsia="仿宋" w:cs="仿宋"/>
          <w:b/>
          <w:spacing w:val="-4"/>
          <w:sz w:val="32"/>
          <w:szCs w:val="32"/>
          <w:highlight w:val="none"/>
        </w:rPr>
        <w:t>：湖州市“湖州人社”专区、一体化平台和公共就业系统服务保障采购项目</w:t>
      </w:r>
    </w:p>
    <w:p>
      <w:pPr>
        <w:widowControl/>
        <w:spacing w:line="900" w:lineRule="exact"/>
        <w:jc w:val="center"/>
        <w:rPr>
          <w:rFonts w:ascii="仿宋" w:hAnsi="仿宋" w:eastAsia="仿宋" w:cs="仿宋"/>
          <w:b/>
          <w:color w:val="auto"/>
          <w:kern w:val="0"/>
          <w:sz w:val="32"/>
          <w:szCs w:val="32"/>
          <w:highlight w:val="none"/>
        </w:rPr>
      </w:pPr>
      <w:r>
        <w:rPr>
          <w:rFonts w:hint="eastAsia" w:ascii="仿宋" w:hAnsi="仿宋" w:eastAsia="仿宋" w:cs="仿宋"/>
          <w:color w:val="auto"/>
          <w:sz w:val="30"/>
          <w:szCs w:val="30"/>
          <w:highlight w:val="none"/>
        </w:rPr>
        <w:t>（财政审批编号:</w:t>
      </w:r>
      <w:r>
        <w:rPr>
          <w:rFonts w:hint="eastAsia" w:ascii="仿宋" w:hAnsi="仿宋" w:eastAsia="仿宋" w:cs="仿宋"/>
          <w:color w:val="auto"/>
          <w:sz w:val="30"/>
          <w:szCs w:val="30"/>
          <w:highlight w:val="none"/>
          <w:lang w:val="en-US" w:eastAsia="zh-CN"/>
        </w:rPr>
        <w:t>湖</w:t>
      </w:r>
      <w:r>
        <w:rPr>
          <w:rFonts w:hint="eastAsia" w:ascii="仿宋" w:hAnsi="仿宋" w:eastAsia="仿宋" w:cs="仿宋"/>
          <w:color w:val="auto"/>
          <w:sz w:val="30"/>
          <w:szCs w:val="30"/>
          <w:highlight w:val="none"/>
        </w:rPr>
        <w:t>财采确[2024]</w:t>
      </w:r>
      <w:r>
        <w:rPr>
          <w:rFonts w:hint="eastAsia" w:ascii="仿宋" w:hAnsi="仿宋" w:eastAsia="仿宋" w:cs="仿宋"/>
          <w:color w:val="auto"/>
          <w:sz w:val="30"/>
          <w:szCs w:val="30"/>
          <w:highlight w:val="none"/>
          <w:lang w:val="en-US" w:eastAsia="zh-CN"/>
        </w:rPr>
        <w:t>7777</w:t>
      </w:r>
      <w:r>
        <w:rPr>
          <w:rFonts w:hint="eastAsia" w:ascii="仿宋" w:hAnsi="仿宋" w:eastAsia="仿宋" w:cs="仿宋"/>
          <w:color w:val="auto"/>
          <w:sz w:val="30"/>
          <w:szCs w:val="30"/>
          <w:highlight w:val="none"/>
        </w:rPr>
        <w:t>号）</w:t>
      </w:r>
    </w:p>
    <w:p>
      <w:pPr>
        <w:adjustRightInd w:val="0"/>
        <w:snapToGrid w:val="0"/>
        <w:spacing w:line="600" w:lineRule="exact"/>
        <w:rPr>
          <w:rFonts w:ascii="仿宋" w:hAnsi="仿宋" w:eastAsia="仿宋" w:cs="仿宋"/>
          <w:b/>
          <w:snapToGrid w:val="0"/>
          <w:color w:val="auto"/>
          <w:sz w:val="84"/>
          <w:szCs w:val="84"/>
          <w:highlight w:val="none"/>
        </w:rPr>
      </w:pPr>
    </w:p>
    <w:p>
      <w:pPr>
        <w:adjustRightInd w:val="0"/>
        <w:snapToGrid w:val="0"/>
        <w:spacing w:line="600" w:lineRule="exact"/>
        <w:jc w:val="center"/>
        <w:rPr>
          <w:rFonts w:ascii="仿宋" w:hAnsi="仿宋" w:eastAsia="仿宋" w:cs="仿宋"/>
          <w:b/>
          <w:snapToGrid w:val="0"/>
          <w:color w:val="auto"/>
          <w:sz w:val="84"/>
          <w:szCs w:val="84"/>
          <w:highlight w:val="none"/>
        </w:rPr>
      </w:pPr>
    </w:p>
    <w:p>
      <w:pPr>
        <w:pStyle w:val="36"/>
        <w:rPr>
          <w:color w:val="auto"/>
          <w:highlight w:val="none"/>
        </w:rPr>
      </w:pPr>
    </w:p>
    <w:p>
      <w:pPr>
        <w:adjustRightInd w:val="0"/>
        <w:snapToGrid w:val="0"/>
        <w:spacing w:line="800" w:lineRule="atLeast"/>
        <w:jc w:val="center"/>
        <w:rPr>
          <w:rFonts w:ascii="仿宋" w:hAnsi="仿宋" w:eastAsia="仿宋" w:cs="仿宋"/>
          <w:b/>
          <w:snapToGrid w:val="0"/>
          <w:color w:val="auto"/>
          <w:sz w:val="84"/>
          <w:szCs w:val="84"/>
          <w:highlight w:val="none"/>
        </w:rPr>
      </w:pPr>
      <w:r>
        <w:rPr>
          <w:rFonts w:hint="eastAsia" w:ascii="仿宋" w:hAnsi="仿宋" w:eastAsia="仿宋" w:cs="仿宋"/>
          <w:b/>
          <w:snapToGrid w:val="0"/>
          <w:color w:val="auto"/>
          <w:sz w:val="72"/>
          <w:szCs w:val="72"/>
          <w:highlight w:val="none"/>
        </w:rPr>
        <w:t>竞争性磋商文件</w:t>
      </w:r>
    </w:p>
    <w:p>
      <w:pPr>
        <w:adjustRightInd w:val="0"/>
        <w:snapToGrid w:val="0"/>
        <w:spacing w:line="500" w:lineRule="exact"/>
        <w:jc w:val="center"/>
        <w:rPr>
          <w:rFonts w:ascii="仿宋" w:hAnsi="仿宋" w:eastAsia="仿宋" w:cs="仿宋"/>
          <w:bCs/>
          <w:snapToGrid w:val="0"/>
          <w:color w:val="auto"/>
          <w:sz w:val="28"/>
          <w:szCs w:val="28"/>
          <w:highlight w:val="none"/>
        </w:rPr>
      </w:pPr>
      <w:r>
        <w:rPr>
          <w:rFonts w:hint="eastAsia" w:ascii="仿宋" w:hAnsi="仿宋" w:eastAsia="仿宋" w:cs="仿宋"/>
          <w:bCs/>
          <w:snapToGrid w:val="0"/>
          <w:color w:val="auto"/>
          <w:sz w:val="28"/>
          <w:szCs w:val="28"/>
          <w:highlight w:val="none"/>
        </w:rPr>
        <w:t>（全流程电子）</w:t>
      </w:r>
    </w:p>
    <w:p>
      <w:pPr>
        <w:adjustRightInd w:val="0"/>
        <w:snapToGrid w:val="0"/>
        <w:spacing w:line="500" w:lineRule="exact"/>
        <w:rPr>
          <w:rFonts w:ascii="仿宋" w:hAnsi="仿宋" w:eastAsia="仿宋" w:cs="仿宋"/>
          <w:bCs/>
          <w:snapToGrid w:val="0"/>
          <w:color w:val="auto"/>
          <w:sz w:val="32"/>
          <w:highlight w:val="none"/>
        </w:rPr>
      </w:pPr>
    </w:p>
    <w:p>
      <w:pPr>
        <w:adjustRightInd w:val="0"/>
        <w:snapToGrid w:val="0"/>
        <w:spacing w:line="500" w:lineRule="exact"/>
        <w:rPr>
          <w:rFonts w:ascii="仿宋" w:hAnsi="仿宋" w:eastAsia="仿宋" w:cs="仿宋"/>
          <w:bCs/>
          <w:snapToGrid w:val="0"/>
          <w:color w:val="auto"/>
          <w:sz w:val="32"/>
          <w:highlight w:val="none"/>
        </w:rPr>
      </w:pPr>
    </w:p>
    <w:p>
      <w:pPr>
        <w:adjustRightInd w:val="0"/>
        <w:snapToGrid w:val="0"/>
        <w:spacing w:line="500" w:lineRule="exact"/>
        <w:rPr>
          <w:rFonts w:ascii="仿宋" w:hAnsi="仿宋" w:eastAsia="仿宋" w:cs="仿宋"/>
          <w:bCs/>
          <w:snapToGrid w:val="0"/>
          <w:color w:val="auto"/>
          <w:sz w:val="32"/>
          <w:highlight w:val="none"/>
        </w:rPr>
      </w:pPr>
    </w:p>
    <w:p>
      <w:pPr>
        <w:adjustRightInd w:val="0"/>
        <w:snapToGrid w:val="0"/>
        <w:spacing w:line="640" w:lineRule="exact"/>
        <w:ind w:firstLine="281" w:firstLineChars="100"/>
        <w:rPr>
          <w:rFonts w:hint="default" w:ascii="仿宋" w:hAnsi="仿宋" w:eastAsia="仿宋" w:cs="仿宋"/>
          <w:snapToGrid w:val="0"/>
          <w:color w:val="auto"/>
          <w:sz w:val="28"/>
          <w:szCs w:val="28"/>
          <w:highlight w:val="none"/>
          <w:u w:val="single"/>
          <w:lang w:val="en-US" w:eastAsia="zh-CN"/>
        </w:rPr>
      </w:pPr>
      <w:r>
        <w:rPr>
          <w:rFonts w:hint="eastAsia" w:ascii="仿宋" w:hAnsi="仿宋" w:eastAsia="仿宋" w:cs="仿宋"/>
          <w:b/>
          <w:snapToGrid w:val="0"/>
          <w:color w:val="auto"/>
          <w:sz w:val="28"/>
          <w:szCs w:val="28"/>
          <w:highlight w:val="none"/>
        </w:rPr>
        <w:t>项目编号</w:t>
      </w:r>
      <w:r>
        <w:rPr>
          <w:rFonts w:hint="eastAsia" w:ascii="仿宋" w:hAnsi="仿宋" w:eastAsia="仿宋" w:cs="仿宋"/>
          <w:snapToGrid w:val="0"/>
          <w:color w:val="auto"/>
          <w:sz w:val="28"/>
          <w:szCs w:val="28"/>
          <w:highlight w:val="none"/>
        </w:rPr>
        <w:t>：</w:t>
      </w:r>
      <w:r>
        <w:rPr>
          <w:rFonts w:hint="eastAsia" w:ascii="仿宋" w:hAnsi="仿宋" w:eastAsia="仿宋" w:cs="仿宋"/>
          <w:snapToGrid w:val="0"/>
          <w:color w:val="auto"/>
          <w:sz w:val="28"/>
          <w:szCs w:val="28"/>
          <w:highlight w:val="none"/>
          <w:u w:val="single"/>
        </w:rPr>
        <w:t>XCXHZ-2024-0</w:t>
      </w:r>
      <w:r>
        <w:rPr>
          <w:rFonts w:hint="eastAsia" w:ascii="仿宋" w:hAnsi="仿宋" w:eastAsia="仿宋" w:cs="仿宋"/>
          <w:snapToGrid w:val="0"/>
          <w:color w:val="auto"/>
          <w:sz w:val="28"/>
          <w:szCs w:val="28"/>
          <w:highlight w:val="none"/>
          <w:u w:val="single"/>
          <w:lang w:val="en-US" w:eastAsia="zh-CN"/>
        </w:rPr>
        <w:t>31-001</w:t>
      </w:r>
      <w:r>
        <w:rPr>
          <w:rFonts w:hint="eastAsia" w:ascii="仿宋" w:hAnsi="仿宋" w:eastAsia="仿宋" w:cs="仿宋"/>
          <w:snapToGrid w:val="0"/>
          <w:color w:val="auto"/>
          <w:sz w:val="28"/>
          <w:szCs w:val="28"/>
          <w:highlight w:val="none"/>
          <w:u w:val="single"/>
        </w:rPr>
        <w:t xml:space="preserve">（CG）                                 </w:t>
      </w:r>
      <w:r>
        <w:rPr>
          <w:rFonts w:hint="eastAsia" w:ascii="仿宋" w:hAnsi="仿宋" w:eastAsia="仿宋" w:cs="仿宋"/>
          <w:snapToGrid w:val="0"/>
          <w:color w:val="auto"/>
          <w:sz w:val="28"/>
          <w:szCs w:val="28"/>
          <w:highlight w:val="none"/>
          <w:u w:val="single"/>
          <w:lang w:val="en-US" w:eastAsia="zh-CN"/>
        </w:rPr>
        <w:t xml:space="preserve">   </w:t>
      </w:r>
    </w:p>
    <w:p>
      <w:pPr>
        <w:adjustRightInd w:val="0"/>
        <w:snapToGrid w:val="0"/>
        <w:spacing w:line="64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项目名称：</w:t>
      </w:r>
      <w:r>
        <w:rPr>
          <w:rFonts w:hint="eastAsia" w:ascii="仿宋" w:hAnsi="仿宋" w:eastAsia="仿宋" w:cs="仿宋"/>
          <w:b w:val="0"/>
          <w:bCs w:val="0"/>
          <w:snapToGrid w:val="0"/>
          <w:color w:val="auto"/>
          <w:spacing w:val="-20"/>
          <w:kern w:val="2"/>
          <w:sz w:val="28"/>
          <w:szCs w:val="28"/>
          <w:highlight w:val="none"/>
          <w:u w:val="single"/>
          <w:lang w:val="en-US" w:eastAsia="zh-CN" w:bidi="ar-SA"/>
        </w:rPr>
        <w:t xml:space="preserve">2024年度湖州人社核心应用软件系统运维保障服务采购项目（标项一）  </w:t>
      </w:r>
      <w:r>
        <w:rPr>
          <w:rFonts w:hint="eastAsia" w:ascii="仿宋" w:hAnsi="仿宋" w:eastAsia="仿宋" w:cs="仿宋"/>
          <w:snapToGrid w:val="0"/>
          <w:color w:val="auto"/>
          <w:spacing w:val="-20"/>
          <w:sz w:val="28"/>
          <w:szCs w:val="28"/>
          <w:highlight w:val="none"/>
          <w:u w:val="single"/>
        </w:rPr>
        <w:t xml:space="preserve">      </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 xml:space="preserve">        </w:t>
      </w:r>
    </w:p>
    <w:p>
      <w:pPr>
        <w:pStyle w:val="2"/>
        <w:keepNext w:val="0"/>
        <w:keepLines w:val="0"/>
        <w:widowControl/>
        <w:spacing w:line="600" w:lineRule="exact"/>
        <w:ind w:firstLine="281" w:firstLineChars="100"/>
        <w:jc w:val="left"/>
        <w:rPr>
          <w:rFonts w:ascii="仿宋" w:hAnsi="仿宋" w:eastAsia="仿宋" w:cs="仿宋"/>
          <w:b w:val="0"/>
          <w:bCs w:val="0"/>
          <w:snapToGrid w:val="0"/>
          <w:color w:val="auto"/>
          <w:kern w:val="2"/>
          <w:sz w:val="28"/>
          <w:szCs w:val="28"/>
          <w:highlight w:val="none"/>
          <w:u w:val="single"/>
        </w:rPr>
      </w:pPr>
      <w:r>
        <w:rPr>
          <w:rFonts w:hint="eastAsia" w:ascii="仿宋" w:hAnsi="仿宋" w:eastAsia="仿宋" w:cs="仿宋"/>
          <w:snapToGrid w:val="0"/>
          <w:color w:val="auto"/>
          <w:sz w:val="28"/>
          <w:szCs w:val="28"/>
          <w:highlight w:val="none"/>
        </w:rPr>
        <w:t>采购单位：</w:t>
      </w:r>
      <w:r>
        <w:rPr>
          <w:rFonts w:hint="eastAsia" w:ascii="仿宋" w:hAnsi="仿宋" w:eastAsia="仿宋" w:cs="仿宋"/>
          <w:b w:val="0"/>
          <w:bCs w:val="0"/>
          <w:snapToGrid w:val="0"/>
          <w:color w:val="auto"/>
          <w:kern w:val="2"/>
          <w:sz w:val="28"/>
          <w:szCs w:val="28"/>
          <w:highlight w:val="none"/>
          <w:u w:val="single"/>
          <w:lang w:eastAsia="zh-CN"/>
        </w:rPr>
        <w:t>湖州市人力资源和社会保障信息中心</w:t>
      </w:r>
      <w:r>
        <w:rPr>
          <w:rFonts w:hint="eastAsia" w:ascii="仿宋" w:hAnsi="仿宋" w:eastAsia="仿宋" w:cs="仿宋"/>
          <w:color w:val="auto"/>
          <w:spacing w:val="-23"/>
          <w:kern w:val="0"/>
          <w:sz w:val="28"/>
          <w:szCs w:val="28"/>
          <w:highlight w:val="none"/>
          <w:u w:val="single"/>
        </w:rPr>
        <w:t xml:space="preserve">              </w:t>
      </w:r>
      <w:r>
        <w:rPr>
          <w:rFonts w:hint="eastAsia" w:ascii="仿宋" w:hAnsi="仿宋" w:eastAsia="仿宋" w:cs="仿宋"/>
          <w:color w:val="auto"/>
          <w:spacing w:val="-23"/>
          <w:kern w:val="0"/>
          <w:sz w:val="28"/>
          <w:szCs w:val="28"/>
          <w:highlight w:val="none"/>
          <w:u w:val="single"/>
          <w:lang w:val="en-US" w:eastAsia="zh-CN"/>
        </w:rPr>
        <w:t xml:space="preserve">          </w:t>
      </w:r>
      <w:r>
        <w:rPr>
          <w:rFonts w:hint="eastAsia" w:ascii="仿宋" w:hAnsi="仿宋" w:eastAsia="仿宋" w:cs="仿宋"/>
          <w:color w:val="auto"/>
          <w:spacing w:val="-23"/>
          <w:kern w:val="0"/>
          <w:sz w:val="28"/>
          <w:szCs w:val="28"/>
          <w:highlight w:val="none"/>
          <w:u w:val="single"/>
        </w:rPr>
        <w:t xml:space="preserve"> </w:t>
      </w:r>
      <w:r>
        <w:rPr>
          <w:rFonts w:hint="eastAsia" w:ascii="仿宋" w:hAnsi="仿宋" w:eastAsia="仿宋" w:cs="仿宋"/>
          <w:b w:val="0"/>
          <w:bCs w:val="0"/>
          <w:snapToGrid w:val="0"/>
          <w:color w:val="auto"/>
          <w:kern w:val="2"/>
          <w:sz w:val="28"/>
          <w:szCs w:val="28"/>
          <w:highlight w:val="none"/>
          <w:u w:val="single"/>
        </w:rPr>
        <w:t>（盖章）</w:t>
      </w:r>
    </w:p>
    <w:p>
      <w:pPr>
        <w:adjustRightInd w:val="0"/>
        <w:snapToGrid w:val="0"/>
        <w:spacing w:line="640" w:lineRule="exact"/>
        <w:ind w:firstLine="281" w:firstLineChars="100"/>
        <w:rPr>
          <w:rFonts w:ascii="仿宋" w:hAnsi="仿宋" w:eastAsia="仿宋" w:cs="仿宋"/>
          <w:bCs/>
          <w:snapToGrid w:val="0"/>
          <w:color w:val="auto"/>
          <w:sz w:val="28"/>
          <w:szCs w:val="28"/>
          <w:highlight w:val="none"/>
        </w:rPr>
      </w:pPr>
      <w:r>
        <w:rPr>
          <w:rFonts w:hint="eastAsia" w:ascii="仿宋" w:hAnsi="仿宋" w:eastAsia="仿宋" w:cs="仿宋"/>
          <w:b/>
          <w:snapToGrid w:val="0"/>
          <w:color w:val="auto"/>
          <w:sz w:val="28"/>
          <w:szCs w:val="28"/>
          <w:highlight w:val="none"/>
        </w:rPr>
        <w:t>代理机构：</w:t>
      </w:r>
      <w:r>
        <w:rPr>
          <w:rFonts w:hint="eastAsia" w:ascii="仿宋" w:hAnsi="仿宋" w:eastAsia="仿宋" w:cs="仿宋"/>
          <w:snapToGrid w:val="0"/>
          <w:color w:val="auto"/>
          <w:sz w:val="28"/>
          <w:szCs w:val="28"/>
          <w:highlight w:val="none"/>
          <w:u w:val="single"/>
        </w:rPr>
        <w:t>浙江新诚信工程咨询有限公司                       （盖章）</w:t>
      </w:r>
    </w:p>
    <w:p>
      <w:pPr>
        <w:spacing w:line="640" w:lineRule="exact"/>
        <w:jc w:val="center"/>
        <w:rPr>
          <w:rFonts w:ascii="仿宋" w:hAnsi="仿宋" w:eastAsia="仿宋" w:cs="仿宋"/>
          <w:b/>
          <w:snapToGrid w:val="0"/>
          <w:color w:val="auto"/>
          <w:sz w:val="30"/>
          <w:szCs w:val="30"/>
          <w:highlight w:val="none"/>
        </w:rPr>
      </w:pPr>
    </w:p>
    <w:p>
      <w:pPr>
        <w:pStyle w:val="12"/>
        <w:rPr>
          <w:color w:val="auto"/>
          <w:highlight w:val="none"/>
        </w:rPr>
      </w:pPr>
    </w:p>
    <w:p>
      <w:pPr>
        <w:spacing w:line="640" w:lineRule="exact"/>
        <w:jc w:val="center"/>
        <w:rPr>
          <w:rFonts w:ascii="仿宋" w:hAnsi="仿宋" w:eastAsia="仿宋" w:cs="仿宋"/>
          <w:b/>
          <w:color w:val="auto"/>
          <w:sz w:val="30"/>
          <w:szCs w:val="30"/>
          <w:highlight w:val="none"/>
        </w:rPr>
      </w:pPr>
      <w:r>
        <w:rPr>
          <w:rFonts w:hint="eastAsia" w:ascii="仿宋" w:hAnsi="仿宋" w:eastAsia="仿宋" w:cs="仿宋"/>
          <w:b/>
          <w:snapToGrid w:val="0"/>
          <w:color w:val="auto"/>
          <w:sz w:val="30"/>
          <w:szCs w:val="30"/>
          <w:highlight w:val="none"/>
        </w:rPr>
        <w:t>2024年</w:t>
      </w:r>
      <w:r>
        <w:rPr>
          <w:rFonts w:hint="eastAsia" w:ascii="仿宋" w:hAnsi="仿宋" w:eastAsia="仿宋" w:cs="仿宋"/>
          <w:b/>
          <w:snapToGrid w:val="0"/>
          <w:color w:val="auto"/>
          <w:sz w:val="30"/>
          <w:szCs w:val="30"/>
          <w:highlight w:val="none"/>
          <w:lang w:val="en-US" w:eastAsia="zh-CN"/>
        </w:rPr>
        <w:t>5</w:t>
      </w:r>
      <w:r>
        <w:rPr>
          <w:rFonts w:hint="eastAsia" w:ascii="仿宋" w:hAnsi="仿宋" w:eastAsia="仿宋" w:cs="仿宋"/>
          <w:b/>
          <w:snapToGrid w:val="0"/>
          <w:color w:val="auto"/>
          <w:sz w:val="30"/>
          <w:szCs w:val="30"/>
          <w:highlight w:val="none"/>
        </w:rPr>
        <w:t>月</w:t>
      </w:r>
    </w:p>
    <w:p>
      <w:pPr>
        <w:rPr>
          <w:rFonts w:ascii="仿宋" w:hAnsi="仿宋" w:eastAsia="仿宋" w:cs="仿宋"/>
          <w:b/>
          <w:color w:val="auto"/>
          <w:sz w:val="44"/>
          <w:szCs w:val="44"/>
          <w:highlight w:val="none"/>
        </w:rPr>
      </w:pPr>
    </w:p>
    <w:p>
      <w:pPr>
        <w:jc w:val="center"/>
        <w:rPr>
          <w:rFonts w:ascii="仿宋" w:hAnsi="仿宋" w:eastAsia="仿宋" w:cs="仿宋"/>
          <w:b/>
          <w:color w:val="auto"/>
          <w:sz w:val="44"/>
          <w:szCs w:val="44"/>
          <w:highlight w:val="none"/>
        </w:rPr>
        <w:sectPr>
          <w:headerReference r:id="rId3" w:type="default"/>
          <w:footerReference r:id="rId4" w:type="default"/>
          <w:pgSz w:w="11906" w:h="16838"/>
          <w:pgMar w:top="1134" w:right="1134" w:bottom="1134" w:left="1134" w:header="113" w:footer="113" w:gutter="0"/>
          <w:cols w:space="0" w:num="1"/>
          <w:titlePg/>
          <w:docGrid w:linePitch="312" w:charSpace="0"/>
        </w:sectPr>
      </w:pPr>
    </w:p>
    <w:p>
      <w:pPr>
        <w:jc w:val="center"/>
        <w:rPr>
          <w:rFonts w:hint="eastAsia" w:ascii="仿宋" w:hAnsi="仿宋" w:eastAsia="仿宋" w:cs="仿宋"/>
          <w:b/>
          <w:color w:val="auto"/>
          <w:sz w:val="44"/>
          <w:szCs w:val="44"/>
          <w:highlight w:val="none"/>
        </w:rPr>
      </w:pPr>
    </w:p>
    <w:p>
      <w:pPr>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pPr>
        <w:adjustRightInd w:val="0"/>
        <w:snapToGrid w:val="0"/>
        <w:spacing w:line="360" w:lineRule="auto"/>
        <w:rPr>
          <w:rFonts w:ascii="仿宋" w:hAnsi="仿宋" w:eastAsia="仿宋" w:cs="仿宋"/>
          <w:color w:val="auto"/>
          <w:sz w:val="30"/>
          <w:szCs w:val="30"/>
          <w:highlight w:val="none"/>
        </w:rPr>
      </w:pPr>
    </w:p>
    <w:p>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竞争性磋商公告</w:t>
      </w:r>
      <w:r>
        <w:rPr>
          <w:rFonts w:hint="eastAsia" w:ascii="仿宋" w:hAnsi="仿宋" w:eastAsia="仿宋" w:cs="仿宋"/>
          <w:b/>
          <w:bCs/>
          <w:color w:val="auto"/>
          <w:sz w:val="30"/>
          <w:szCs w:val="30"/>
          <w:highlight w:val="none"/>
        </w:rPr>
        <w:t>……………………………………………01</w:t>
      </w:r>
    </w:p>
    <w:p>
      <w:pPr>
        <w:numPr>
          <w:ilvl w:val="0"/>
          <w:numId w:val="2"/>
        </w:numPr>
        <w:adjustRightInd w:val="0"/>
        <w:snapToGrid w:val="0"/>
        <w:spacing w:line="700" w:lineRule="exact"/>
        <w:jc w:val="distribute"/>
        <w:rPr>
          <w:rFonts w:hint="default" w:ascii="仿宋" w:hAnsi="仿宋" w:eastAsia="仿宋" w:cs="仿宋"/>
          <w:b/>
          <w:bCs/>
          <w:color w:val="auto"/>
          <w:sz w:val="30"/>
          <w:szCs w:val="30"/>
          <w:highlight w:val="none"/>
          <w:lang w:val="en-US"/>
        </w:rPr>
      </w:pPr>
      <w:r>
        <w:rPr>
          <w:rFonts w:hint="eastAsia" w:ascii="仿宋" w:hAnsi="仿宋" w:eastAsia="仿宋" w:cs="仿宋"/>
          <w:b/>
          <w:bCs/>
          <w:color w:val="auto"/>
          <w:sz w:val="30"/>
          <w:szCs w:val="30"/>
          <w:highlight w:val="none"/>
        </w:rPr>
        <w:t>项目采购需求………………………………………0</w:t>
      </w:r>
      <w:r>
        <w:rPr>
          <w:rFonts w:hint="eastAsia" w:ascii="仿宋" w:hAnsi="仿宋" w:eastAsia="仿宋" w:cs="仿宋"/>
          <w:b/>
          <w:bCs/>
          <w:color w:val="auto"/>
          <w:sz w:val="30"/>
          <w:szCs w:val="30"/>
          <w:highlight w:val="none"/>
          <w:lang w:val="en-US" w:eastAsia="zh-CN"/>
        </w:rPr>
        <w:t>6</w:t>
      </w:r>
    </w:p>
    <w:p>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第三章 供应商须知…………………………………………………0</w:t>
      </w:r>
      <w:r>
        <w:rPr>
          <w:rFonts w:hint="eastAsia" w:ascii="仿宋" w:hAnsi="仿宋" w:eastAsia="仿宋" w:cs="仿宋"/>
          <w:b/>
          <w:bCs/>
          <w:color w:val="auto"/>
          <w:sz w:val="30"/>
          <w:szCs w:val="30"/>
          <w:highlight w:val="none"/>
          <w:lang w:val="en-US" w:eastAsia="zh-CN"/>
        </w:rPr>
        <w:t>9</w:t>
      </w:r>
    </w:p>
    <w:p>
      <w:pPr>
        <w:adjustRightInd w:val="0"/>
        <w:snapToGrid w:val="0"/>
        <w:spacing w:line="700" w:lineRule="exact"/>
        <w:ind w:firstLine="150" w:firstLineChars="50"/>
        <w:jc w:val="distribute"/>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前附表………………………………………………………0</w:t>
      </w:r>
      <w:r>
        <w:rPr>
          <w:rFonts w:hint="eastAsia" w:ascii="仿宋" w:hAnsi="仿宋" w:eastAsia="仿宋" w:cs="仿宋"/>
          <w:color w:val="auto"/>
          <w:sz w:val="30"/>
          <w:szCs w:val="30"/>
          <w:highlight w:val="none"/>
          <w:lang w:val="en-US" w:eastAsia="zh-CN"/>
        </w:rPr>
        <w:t>9</w:t>
      </w:r>
    </w:p>
    <w:p>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rPr>
        <w:t xml:space="preserve">      一、总则……………………………………………………</w:t>
      </w:r>
      <w:r>
        <w:rPr>
          <w:rFonts w:hint="eastAsia" w:ascii="仿宋" w:hAnsi="仿宋" w:eastAsia="仿宋" w:cs="仿宋"/>
          <w:color w:val="auto"/>
          <w:sz w:val="30"/>
          <w:szCs w:val="30"/>
          <w:highlight w:val="none"/>
          <w:lang w:val="en-US" w:eastAsia="zh-CN"/>
        </w:rPr>
        <w:t>11</w:t>
      </w:r>
    </w:p>
    <w:p>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二、磋商文件的说明………………………………………</w:t>
      </w:r>
      <w:r>
        <w:rPr>
          <w:rFonts w:hint="eastAsia" w:ascii="仿宋" w:hAnsi="仿宋" w:eastAsia="仿宋" w:cs="仿宋"/>
          <w:color w:val="auto"/>
          <w:sz w:val="30"/>
          <w:szCs w:val="30"/>
          <w:highlight w:val="none"/>
          <w:lang w:val="en-US" w:eastAsia="zh-CN"/>
        </w:rPr>
        <w:t>12</w:t>
      </w:r>
    </w:p>
    <w:p>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三、响应文件的提交………………………………………</w:t>
      </w:r>
      <w:r>
        <w:rPr>
          <w:rFonts w:hint="eastAsia" w:ascii="仿宋" w:hAnsi="仿宋" w:eastAsia="仿宋" w:cs="仿宋"/>
          <w:color w:val="auto"/>
          <w:sz w:val="30"/>
          <w:szCs w:val="30"/>
          <w:highlight w:val="none"/>
          <w:lang w:val="en-US" w:eastAsia="zh-CN"/>
        </w:rPr>
        <w:t>18</w:t>
      </w:r>
    </w:p>
    <w:p>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四、磋商规则、程序………………………………………</w:t>
      </w:r>
      <w:r>
        <w:rPr>
          <w:rFonts w:hint="eastAsia" w:ascii="仿宋" w:hAnsi="仿宋" w:eastAsia="仿宋" w:cs="仿宋"/>
          <w:color w:val="auto"/>
          <w:sz w:val="30"/>
          <w:szCs w:val="30"/>
          <w:highlight w:val="none"/>
          <w:lang w:val="en-US" w:eastAsia="zh-CN"/>
        </w:rPr>
        <w:t>20</w:t>
      </w:r>
    </w:p>
    <w:p>
      <w:pPr>
        <w:adjustRightInd w:val="0"/>
        <w:snapToGrid w:val="0"/>
        <w:spacing w:line="700" w:lineRule="exact"/>
        <w:ind w:firstLine="150" w:firstLineChars="50"/>
        <w:jc w:val="distribute"/>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五、授予合同………………………………………………</w:t>
      </w:r>
      <w:r>
        <w:rPr>
          <w:rFonts w:hint="eastAsia" w:ascii="仿宋" w:hAnsi="仿宋" w:eastAsia="仿宋" w:cs="仿宋"/>
          <w:color w:val="auto"/>
          <w:sz w:val="30"/>
          <w:szCs w:val="30"/>
          <w:highlight w:val="none"/>
          <w:lang w:val="en-US" w:eastAsia="zh-CN"/>
        </w:rPr>
        <w:t>24</w:t>
      </w:r>
    </w:p>
    <w:p>
      <w:pPr>
        <w:adjustRightInd w:val="0"/>
        <w:snapToGrid w:val="0"/>
        <w:spacing w:line="700" w:lineRule="exact"/>
        <w:ind w:firstLine="150" w:firstLineChars="50"/>
        <w:jc w:val="distribute"/>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 xml:space="preserve">      六、其他内容………………………………………………</w:t>
      </w:r>
      <w:r>
        <w:rPr>
          <w:rFonts w:hint="eastAsia" w:ascii="仿宋" w:hAnsi="仿宋" w:eastAsia="仿宋" w:cs="仿宋"/>
          <w:color w:val="auto"/>
          <w:sz w:val="30"/>
          <w:szCs w:val="30"/>
          <w:highlight w:val="none"/>
          <w:lang w:val="en-US" w:eastAsia="zh-CN"/>
        </w:rPr>
        <w:t>25</w:t>
      </w:r>
    </w:p>
    <w:p>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第四章 合同主要条款………………………………………………</w:t>
      </w:r>
      <w:r>
        <w:rPr>
          <w:rFonts w:hint="eastAsia" w:ascii="仿宋" w:hAnsi="仿宋" w:eastAsia="仿宋" w:cs="仿宋"/>
          <w:b/>
          <w:bCs/>
          <w:color w:val="auto"/>
          <w:sz w:val="30"/>
          <w:szCs w:val="30"/>
          <w:highlight w:val="none"/>
          <w:lang w:val="en-US" w:eastAsia="zh-CN"/>
        </w:rPr>
        <w:t>26</w:t>
      </w:r>
    </w:p>
    <w:p>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第五章 响应文件格式………………………………………………</w:t>
      </w:r>
      <w:r>
        <w:rPr>
          <w:rFonts w:hint="eastAsia" w:ascii="仿宋" w:hAnsi="仿宋" w:eastAsia="仿宋" w:cs="仿宋"/>
          <w:b/>
          <w:bCs/>
          <w:color w:val="auto"/>
          <w:sz w:val="30"/>
          <w:szCs w:val="30"/>
          <w:highlight w:val="none"/>
          <w:lang w:val="en-US" w:eastAsia="zh-CN"/>
        </w:rPr>
        <w:t>30</w:t>
      </w:r>
    </w:p>
    <w:p>
      <w:pPr>
        <w:adjustRightInd w:val="0"/>
        <w:snapToGrid w:val="0"/>
        <w:spacing w:line="700" w:lineRule="exact"/>
        <w:jc w:val="distribute"/>
        <w:rPr>
          <w:rFonts w:hint="default"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rPr>
        <w:t>第六章 磋商办法及评分标准………………………………………</w:t>
      </w:r>
      <w:r>
        <w:rPr>
          <w:rFonts w:hint="eastAsia" w:ascii="仿宋" w:hAnsi="仿宋" w:eastAsia="仿宋" w:cs="仿宋"/>
          <w:b/>
          <w:color w:val="auto"/>
          <w:sz w:val="30"/>
          <w:szCs w:val="30"/>
          <w:highlight w:val="none"/>
          <w:lang w:val="en-US" w:eastAsia="zh-CN"/>
        </w:rPr>
        <w:t>46</w:t>
      </w:r>
    </w:p>
    <w:p>
      <w:pPr>
        <w:spacing w:line="600" w:lineRule="exact"/>
        <w:rPr>
          <w:rFonts w:ascii="仿宋" w:hAnsi="仿宋" w:eastAsia="仿宋" w:cs="仿宋"/>
          <w:color w:val="auto"/>
          <w:sz w:val="30"/>
          <w:szCs w:val="30"/>
          <w:highlight w:val="none"/>
        </w:rPr>
      </w:pPr>
    </w:p>
    <w:p>
      <w:pPr>
        <w:spacing w:line="600" w:lineRule="exact"/>
        <w:rPr>
          <w:rFonts w:ascii="仿宋" w:hAnsi="仿宋" w:eastAsia="仿宋" w:cs="仿宋"/>
          <w:b/>
          <w:color w:val="auto"/>
          <w:sz w:val="36"/>
          <w:szCs w:val="36"/>
          <w:highlight w:val="none"/>
        </w:rPr>
      </w:pPr>
    </w:p>
    <w:p>
      <w:pPr>
        <w:spacing w:line="600" w:lineRule="exact"/>
        <w:rPr>
          <w:rFonts w:ascii="仿宋" w:hAnsi="仿宋" w:eastAsia="仿宋" w:cs="仿宋"/>
          <w:b/>
          <w:color w:val="auto"/>
          <w:sz w:val="36"/>
          <w:szCs w:val="36"/>
          <w:highlight w:val="none"/>
        </w:rPr>
      </w:pPr>
    </w:p>
    <w:p>
      <w:pPr>
        <w:numPr>
          <w:ilvl w:val="0"/>
          <w:numId w:val="3"/>
        </w:numPr>
        <w:spacing w:line="600" w:lineRule="exact"/>
        <w:jc w:val="center"/>
        <w:outlineLvl w:val="0"/>
        <w:rPr>
          <w:rFonts w:ascii="仿宋" w:hAnsi="仿宋" w:eastAsia="仿宋" w:cs="仿宋"/>
          <w:b/>
          <w:color w:val="auto"/>
          <w:sz w:val="36"/>
          <w:szCs w:val="36"/>
          <w:highlight w:val="none"/>
        </w:rPr>
        <w:sectPr>
          <w:footerReference r:id="rId6" w:type="first"/>
          <w:footerReference r:id="rId5" w:type="default"/>
          <w:pgSz w:w="11906" w:h="16838"/>
          <w:pgMar w:top="1134" w:right="1247" w:bottom="1134" w:left="1247" w:header="113" w:footer="113" w:gutter="0"/>
          <w:cols w:space="720" w:num="1"/>
          <w:titlePg/>
          <w:docGrid w:linePitch="312" w:charSpace="0"/>
        </w:sectPr>
      </w:pPr>
    </w:p>
    <w:p>
      <w:pPr>
        <w:numPr>
          <w:ilvl w:val="0"/>
          <w:numId w:val="3"/>
        </w:numPr>
        <w:spacing w:line="60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竞争性磋商公告</w:t>
      </w:r>
    </w:p>
    <w:p>
      <w:pPr>
        <w:spacing w:line="500" w:lineRule="exact"/>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（本项目为电子磋商项目）</w:t>
      </w:r>
    </w:p>
    <w:p>
      <w:pPr>
        <w:pStyle w:val="25"/>
        <w:rPr>
          <w:color w:val="auto"/>
          <w:highlight w:val="none"/>
        </w:rPr>
      </w:pPr>
    </w:p>
    <w:p>
      <w:pPr>
        <w:adjustRightInd w:val="0"/>
        <w:snapToGrid w:val="0"/>
        <w:spacing w:line="600" w:lineRule="exact"/>
        <w:ind w:firstLine="480" w:firstLineChars="200"/>
        <w:jc w:val="left"/>
        <w:rPr>
          <w:rFonts w:ascii="仿宋" w:hAnsi="仿宋" w:eastAsia="仿宋" w:cs="宋体"/>
          <w:color w:val="auto"/>
          <w:sz w:val="24"/>
          <w:highlight w:val="none"/>
        </w:rPr>
      </w:pPr>
      <w:r>
        <w:rPr>
          <w:rFonts w:hint="eastAsia" w:ascii="仿宋" w:hAnsi="仿宋" w:eastAsia="仿宋" w:cs="宋体"/>
          <w:color w:val="auto"/>
          <w:kern w:val="0"/>
          <w:sz w:val="24"/>
          <w:highlight w:val="none"/>
        </w:rPr>
        <w:t>根据《中华人民共和国政府采购法》、《政府采购竞争性磋商采购方式管理暂行办法》及相关法律、法规等规定，经</w:t>
      </w:r>
      <w:r>
        <w:rPr>
          <w:rFonts w:hint="eastAsia" w:ascii="仿宋" w:hAnsi="仿宋" w:eastAsia="仿宋"/>
          <w:color w:val="auto"/>
          <w:sz w:val="24"/>
          <w:highlight w:val="none"/>
        </w:rPr>
        <w:t>财政局(财政审批编号：</w:t>
      </w:r>
      <w:r>
        <w:rPr>
          <w:rFonts w:hint="eastAsia" w:ascii="仿宋" w:hAnsi="仿宋" w:eastAsia="仿宋"/>
          <w:color w:val="auto"/>
          <w:sz w:val="24"/>
          <w:highlight w:val="none"/>
          <w:u w:val="single"/>
          <w:lang w:val="en-US" w:eastAsia="zh-CN"/>
        </w:rPr>
        <w:t>湖</w:t>
      </w:r>
      <w:r>
        <w:rPr>
          <w:rFonts w:hint="eastAsia" w:ascii="仿宋" w:hAnsi="仿宋" w:eastAsia="仿宋"/>
          <w:color w:val="auto"/>
          <w:sz w:val="24"/>
          <w:highlight w:val="none"/>
          <w:u w:val="single"/>
        </w:rPr>
        <w:t>财采确[2024]</w:t>
      </w:r>
      <w:r>
        <w:rPr>
          <w:rFonts w:hint="eastAsia" w:ascii="仿宋" w:hAnsi="仿宋" w:eastAsia="仿宋"/>
          <w:color w:val="auto"/>
          <w:sz w:val="24"/>
          <w:highlight w:val="none"/>
          <w:u w:val="single"/>
          <w:lang w:val="en-US" w:eastAsia="zh-CN"/>
        </w:rPr>
        <w:t>7777</w:t>
      </w:r>
      <w:r>
        <w:rPr>
          <w:rFonts w:hint="eastAsia" w:ascii="仿宋" w:hAnsi="仿宋" w:eastAsia="仿宋"/>
          <w:color w:val="auto"/>
          <w:sz w:val="24"/>
          <w:highlight w:val="none"/>
          <w:u w:val="single"/>
        </w:rPr>
        <w:t>号)</w:t>
      </w:r>
      <w:r>
        <w:rPr>
          <w:rFonts w:hint="eastAsia" w:ascii="仿宋" w:hAnsi="仿宋" w:eastAsia="仿宋" w:cs="宋体"/>
          <w:color w:val="auto"/>
          <w:kern w:val="0"/>
          <w:sz w:val="24"/>
          <w:highlight w:val="none"/>
        </w:rPr>
        <w:t>批准，</w:t>
      </w:r>
      <w:r>
        <w:rPr>
          <w:rFonts w:hint="eastAsia" w:ascii="仿宋" w:hAnsi="仿宋" w:eastAsia="仿宋" w:cs="宋体"/>
          <w:b/>
          <w:color w:val="auto"/>
          <w:kern w:val="0"/>
          <w:sz w:val="24"/>
          <w:highlight w:val="none"/>
          <w:u w:val="single"/>
        </w:rPr>
        <w:t>浙江新诚信工程咨询有限公司</w:t>
      </w:r>
      <w:r>
        <w:rPr>
          <w:rFonts w:hint="eastAsia" w:ascii="仿宋" w:hAnsi="仿宋" w:eastAsia="仿宋" w:cs="宋体"/>
          <w:color w:val="auto"/>
          <w:kern w:val="0"/>
          <w:sz w:val="24"/>
          <w:highlight w:val="none"/>
        </w:rPr>
        <w:t>受</w:t>
      </w:r>
      <w:r>
        <w:rPr>
          <w:rFonts w:hint="eastAsia" w:ascii="仿宋" w:hAnsi="仿宋" w:eastAsia="仿宋" w:cs="宋体"/>
          <w:b/>
          <w:color w:val="auto"/>
          <w:sz w:val="24"/>
          <w:highlight w:val="none"/>
          <w:u w:val="single"/>
          <w:lang w:eastAsia="zh-CN"/>
        </w:rPr>
        <w:t>湖州市人力资源和社会保障信息中心</w:t>
      </w:r>
      <w:r>
        <w:rPr>
          <w:rFonts w:hint="eastAsia" w:ascii="仿宋" w:hAnsi="仿宋" w:eastAsia="仿宋" w:cs="宋体"/>
          <w:color w:val="auto"/>
          <w:kern w:val="0"/>
          <w:sz w:val="24"/>
          <w:highlight w:val="none"/>
        </w:rPr>
        <w:t>的委托，就</w:t>
      </w:r>
      <w:r>
        <w:rPr>
          <w:rFonts w:hint="eastAsia" w:ascii="仿宋" w:hAnsi="仿宋" w:eastAsia="仿宋" w:cs="宋体"/>
          <w:b/>
          <w:color w:val="auto"/>
          <w:sz w:val="24"/>
          <w:highlight w:val="none"/>
          <w:u w:val="single"/>
          <w:lang w:eastAsia="zh-CN"/>
        </w:rPr>
        <w:t>2024年度湖州人社核心应用软件系统运维保障服务采购项目</w:t>
      </w:r>
      <w:r>
        <w:rPr>
          <w:rFonts w:hint="eastAsia" w:ascii="仿宋" w:hAnsi="仿宋" w:eastAsia="仿宋" w:cs="宋体"/>
          <w:color w:val="auto"/>
          <w:kern w:val="0"/>
          <w:sz w:val="24"/>
          <w:highlight w:val="none"/>
        </w:rPr>
        <w:t>进行竞争性磋商，欢迎国内合格的供应商前来参加磋商。</w:t>
      </w:r>
    </w:p>
    <w:p>
      <w:pPr>
        <w:widowControl/>
        <w:tabs>
          <w:tab w:val="left" w:pos="8689"/>
        </w:tabs>
        <w:spacing w:line="500" w:lineRule="exact"/>
        <w:ind w:right="60" w:firstLine="482" w:firstLineChars="20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一、磋商项目编号</w:t>
      </w:r>
      <w:r>
        <w:rPr>
          <w:rFonts w:hint="eastAsia" w:ascii="仿宋" w:hAnsi="仿宋" w:eastAsia="仿宋" w:cs="仿宋"/>
          <w:color w:val="auto"/>
          <w:kern w:val="0"/>
          <w:sz w:val="24"/>
          <w:highlight w:val="none"/>
        </w:rPr>
        <w:t>：XCXHZ-2024-0</w:t>
      </w:r>
      <w:r>
        <w:rPr>
          <w:rFonts w:hint="eastAsia" w:ascii="仿宋" w:hAnsi="仿宋" w:eastAsia="仿宋" w:cs="仿宋"/>
          <w:color w:val="auto"/>
          <w:kern w:val="0"/>
          <w:sz w:val="24"/>
          <w:highlight w:val="none"/>
          <w:lang w:val="en-US" w:eastAsia="zh-CN"/>
        </w:rPr>
        <w:t>31-001</w:t>
      </w:r>
      <w:r>
        <w:rPr>
          <w:rFonts w:hint="eastAsia" w:ascii="仿宋" w:hAnsi="仿宋" w:eastAsia="仿宋" w:cs="仿宋"/>
          <w:color w:val="auto"/>
          <w:kern w:val="0"/>
          <w:sz w:val="24"/>
          <w:highlight w:val="none"/>
        </w:rPr>
        <w:t>（CG）</w:t>
      </w:r>
      <w:r>
        <w:rPr>
          <w:rFonts w:hint="eastAsia" w:ascii="仿宋" w:hAnsi="仿宋" w:eastAsia="仿宋" w:cs="仿宋"/>
          <w:color w:val="auto"/>
          <w:kern w:val="0"/>
          <w:sz w:val="24"/>
          <w:highlight w:val="none"/>
        </w:rPr>
        <w:tab/>
      </w:r>
    </w:p>
    <w:p>
      <w:pPr>
        <w:snapToGrid w:val="0"/>
        <w:spacing w:line="500" w:lineRule="exact"/>
        <w:ind w:firstLine="472" w:firstLineChars="196"/>
        <w:outlineLvl w:val="1"/>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二、磋商项目概况（内容、用途、数量、简要技术要求等）</w:t>
      </w:r>
      <w:r>
        <w:rPr>
          <w:rFonts w:hint="eastAsia" w:ascii="仿宋" w:hAnsi="仿宋" w:eastAsia="仿宋" w:cs="仿宋"/>
          <w:color w:val="auto"/>
          <w:kern w:val="0"/>
          <w:sz w:val="24"/>
          <w:highlight w:val="none"/>
        </w:rPr>
        <w:t>：</w:t>
      </w:r>
      <w:bookmarkStart w:id="0" w:name="B09_招标内容"/>
      <w:bookmarkEnd w:id="0"/>
    </w:p>
    <w:tbl>
      <w:tblPr>
        <w:tblStyle w:val="26"/>
        <w:tblW w:w="8203" w:type="dxa"/>
        <w:jc w:val="center"/>
        <w:tblLayout w:type="fixed"/>
        <w:tblCellMar>
          <w:top w:w="0" w:type="dxa"/>
          <w:left w:w="10" w:type="dxa"/>
          <w:bottom w:w="0" w:type="dxa"/>
          <w:right w:w="10" w:type="dxa"/>
        </w:tblCellMar>
      </w:tblPr>
      <w:tblGrid>
        <w:gridCol w:w="794"/>
        <w:gridCol w:w="3382"/>
        <w:gridCol w:w="873"/>
        <w:gridCol w:w="1404"/>
        <w:gridCol w:w="1750"/>
      </w:tblGrid>
      <w:tr>
        <w:tblPrEx>
          <w:tblCellMar>
            <w:top w:w="0" w:type="dxa"/>
            <w:left w:w="10" w:type="dxa"/>
            <w:bottom w:w="0" w:type="dxa"/>
            <w:right w:w="10" w:type="dxa"/>
          </w:tblCellMar>
        </w:tblPrEx>
        <w:trPr>
          <w:trHeight w:val="262" w:hRule="atLeast"/>
          <w:jc w:val="center"/>
        </w:trPr>
        <w:tc>
          <w:tcPr>
            <w:tcW w:w="794" w:type="dxa"/>
            <w:tcBorders>
              <w:top w:val="single" w:color="auto" w:sz="6" w:space="0"/>
              <w:left w:val="single" w:color="auto" w:sz="6" w:space="0"/>
              <w:bottom w:val="single" w:color="auto" w:sz="6" w:space="0"/>
              <w:right w:val="single" w:color="auto" w:sz="6" w:space="0"/>
            </w:tcBorders>
            <w:noWrap/>
            <w:vAlign w:val="center"/>
          </w:tcPr>
          <w:p>
            <w:pPr>
              <w:keepNext w:val="0"/>
              <w:keepLines w:val="0"/>
              <w:widowControl/>
              <w:suppressLineNumbers w:val="0"/>
              <w:spacing w:before="0" w:beforeAutospacing="0" w:after="0" w:afterAutospacing="0" w:line="500" w:lineRule="exact"/>
              <w:ind w:left="60" w:right="60"/>
              <w:jc w:val="center"/>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lang w:val="en-US" w:eastAsia="zh-CN"/>
              </w:rPr>
              <w:t>标项</w:t>
            </w:r>
          </w:p>
        </w:tc>
        <w:tc>
          <w:tcPr>
            <w:tcW w:w="3382" w:type="dxa"/>
            <w:tcBorders>
              <w:top w:val="single" w:color="auto" w:sz="6" w:space="0"/>
              <w:left w:val="single" w:color="auto" w:sz="4" w:space="0"/>
              <w:bottom w:val="single" w:color="auto" w:sz="6" w:space="0"/>
              <w:right w:val="single" w:color="auto" w:sz="4" w:space="0"/>
            </w:tcBorders>
            <w:noWrap/>
            <w:vAlign w:val="center"/>
          </w:tcPr>
          <w:p>
            <w:pPr>
              <w:keepNext w:val="0"/>
              <w:keepLines w:val="0"/>
              <w:widowControl/>
              <w:suppressLineNumbers w:val="0"/>
              <w:spacing w:before="0" w:beforeAutospacing="0" w:after="0" w:afterAutospacing="0" w:line="500" w:lineRule="exact"/>
              <w:ind w:left="60" w:leftChars="0" w:right="60" w:rightChars="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采购内容</w:t>
            </w:r>
          </w:p>
        </w:tc>
        <w:tc>
          <w:tcPr>
            <w:tcW w:w="873" w:type="dxa"/>
            <w:tcBorders>
              <w:top w:val="single" w:color="auto" w:sz="6" w:space="0"/>
              <w:left w:val="single" w:color="auto" w:sz="4" w:space="0"/>
              <w:bottom w:val="single" w:color="auto" w:sz="6" w:space="0"/>
              <w:right w:val="single" w:color="auto" w:sz="4" w:space="0"/>
            </w:tcBorders>
            <w:noWrap/>
            <w:vAlign w:val="center"/>
          </w:tcPr>
          <w:p>
            <w:pPr>
              <w:keepNext w:val="0"/>
              <w:keepLines w:val="0"/>
              <w:widowControl/>
              <w:suppressLineNumbers w:val="0"/>
              <w:spacing w:before="0" w:beforeAutospacing="0" w:after="0" w:afterAutospacing="0" w:line="500" w:lineRule="exact"/>
              <w:ind w:left="60" w:leftChars="0" w:right="60" w:rightChars="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数量</w:t>
            </w:r>
          </w:p>
        </w:tc>
        <w:tc>
          <w:tcPr>
            <w:tcW w:w="1404" w:type="dxa"/>
            <w:tcBorders>
              <w:top w:val="single" w:color="auto" w:sz="6" w:space="0"/>
              <w:left w:val="single" w:color="auto" w:sz="4" w:space="0"/>
              <w:bottom w:val="single" w:color="auto" w:sz="4" w:space="0"/>
              <w:right w:val="single" w:color="auto" w:sz="6" w:space="0"/>
            </w:tcBorders>
            <w:noWrap/>
            <w:vAlign w:val="center"/>
          </w:tcPr>
          <w:p>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预算金额</w:t>
            </w:r>
          </w:p>
          <w:p>
            <w:pPr>
              <w:keepNext w:val="0"/>
              <w:keepLines w:val="0"/>
              <w:widowControl/>
              <w:suppressLineNumbers w:val="0"/>
              <w:spacing w:before="0" w:beforeAutospacing="0" w:after="0" w:afterAutospacing="0" w:line="500" w:lineRule="exact"/>
              <w:ind w:left="60" w:leftChars="0" w:right="60" w:rightChars="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（万元）</w:t>
            </w:r>
          </w:p>
        </w:tc>
        <w:tc>
          <w:tcPr>
            <w:tcW w:w="1750" w:type="dxa"/>
            <w:tcBorders>
              <w:top w:val="single" w:color="auto" w:sz="6" w:space="0"/>
              <w:left w:val="single" w:color="auto" w:sz="4" w:space="0"/>
              <w:bottom w:val="single" w:color="auto" w:sz="4" w:space="0"/>
              <w:right w:val="single" w:color="auto" w:sz="6" w:space="0"/>
            </w:tcBorders>
            <w:noWrap/>
            <w:vAlign w:val="center"/>
          </w:tcPr>
          <w:p>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技术要求</w:t>
            </w:r>
          </w:p>
        </w:tc>
      </w:tr>
      <w:tr>
        <w:tblPrEx>
          <w:tblCellMar>
            <w:top w:w="0" w:type="dxa"/>
            <w:left w:w="10" w:type="dxa"/>
            <w:bottom w:w="0" w:type="dxa"/>
            <w:right w:w="10" w:type="dxa"/>
          </w:tblCellMar>
        </w:tblPrEx>
        <w:trPr>
          <w:trHeight w:val="837" w:hRule="atLeast"/>
          <w:jc w:val="center"/>
        </w:trPr>
        <w:tc>
          <w:tcPr>
            <w:tcW w:w="794" w:type="dxa"/>
            <w:tcBorders>
              <w:top w:val="single" w:color="auto" w:sz="6" w:space="0"/>
              <w:left w:val="single" w:color="auto" w:sz="6" w:space="0"/>
              <w:bottom w:val="single" w:color="auto" w:sz="6" w:space="0"/>
              <w:right w:val="single" w:color="auto" w:sz="6" w:space="0"/>
            </w:tcBorders>
            <w:noWrap/>
            <w:vAlign w:val="center"/>
          </w:tcPr>
          <w:p>
            <w:pPr>
              <w:keepNext w:val="0"/>
              <w:keepLines w:val="0"/>
              <w:suppressLineNumbers w:val="0"/>
              <w:spacing w:before="0" w:beforeAutospacing="0" w:after="0" w:afterAutospacing="0" w:line="500" w:lineRule="exact"/>
              <w:ind w:left="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一</w:t>
            </w:r>
          </w:p>
        </w:tc>
        <w:tc>
          <w:tcPr>
            <w:tcW w:w="3382" w:type="dxa"/>
            <w:tcBorders>
              <w:top w:val="single" w:color="auto" w:sz="6" w:space="0"/>
              <w:left w:val="single" w:color="auto" w:sz="6" w:space="0"/>
              <w:bottom w:val="single" w:color="auto" w:sz="6" w:space="0"/>
              <w:right w:val="single" w:color="auto" w:sz="6" w:space="0"/>
            </w:tcBorders>
            <w:noWrap/>
            <w:vAlign w:val="center"/>
          </w:tcPr>
          <w:p>
            <w:pPr>
              <w:keepNext w:val="0"/>
              <w:keepLines w:val="0"/>
              <w:suppressLineNumbers w:val="0"/>
              <w:spacing w:before="0" w:beforeAutospacing="0" w:after="0" w:afterAutospacing="0" w:line="500" w:lineRule="exact"/>
              <w:ind w:left="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 xml:space="preserve">“湖州人社”专区、一体化平台和公共就业系统服务保障 </w:t>
            </w:r>
          </w:p>
        </w:tc>
        <w:tc>
          <w:tcPr>
            <w:tcW w:w="873" w:type="dxa"/>
            <w:tcBorders>
              <w:top w:val="single" w:color="auto" w:sz="6" w:space="0"/>
              <w:left w:val="single" w:color="auto" w:sz="6" w:space="0"/>
              <w:bottom w:val="single" w:color="auto" w:sz="6" w:space="0"/>
              <w:right w:val="single" w:color="auto" w:sz="4" w:space="0"/>
            </w:tcBorders>
            <w:noWrap/>
            <w:vAlign w:val="center"/>
          </w:tcPr>
          <w:p>
            <w:pPr>
              <w:keepNext w:val="0"/>
              <w:keepLines w:val="0"/>
              <w:widowControl/>
              <w:suppressLineNumbers w:val="0"/>
              <w:spacing w:before="0" w:beforeAutospacing="0" w:after="0" w:afterAutospacing="0" w:line="500" w:lineRule="exact"/>
              <w:ind w:left="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1项</w:t>
            </w:r>
          </w:p>
        </w:tc>
        <w:tc>
          <w:tcPr>
            <w:tcW w:w="140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00" w:lineRule="exact"/>
              <w:ind w:left="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110</w:t>
            </w:r>
          </w:p>
        </w:tc>
        <w:tc>
          <w:tcPr>
            <w:tcW w:w="1750"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00" w:lineRule="exact"/>
              <w:ind w:left="0" w:right="6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详见</w:t>
            </w:r>
            <w:r>
              <w:rPr>
                <w:rFonts w:hint="eastAsia" w:ascii="仿宋" w:hAnsi="仿宋" w:eastAsia="仿宋" w:cs="仿宋"/>
                <w:color w:val="auto"/>
                <w:kern w:val="0"/>
                <w:sz w:val="24"/>
                <w:highlight w:val="none"/>
                <w:lang w:val="en-US" w:eastAsia="zh-CN"/>
              </w:rPr>
              <w:t>第二章招标需求</w:t>
            </w:r>
          </w:p>
        </w:tc>
      </w:tr>
    </w:tbl>
    <w:p>
      <w:pPr>
        <w:widowControl/>
        <w:spacing w:line="500" w:lineRule="exact"/>
        <w:ind w:left="44" w:leftChars="21" w:right="60"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三、供应商资格要求</w:t>
      </w:r>
      <w:r>
        <w:rPr>
          <w:rFonts w:hint="eastAsia" w:ascii="仿宋" w:hAnsi="仿宋" w:eastAsia="仿宋" w:cs="仿宋"/>
          <w:color w:val="auto"/>
          <w:kern w:val="0"/>
          <w:sz w:val="24"/>
          <w:highlight w:val="none"/>
        </w:rPr>
        <w:t>：</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符合《中华人民共和国政府采购法》第二十二条规定且未被“信用中国”（www.creditchina.gov.cn）、“中国政府采购网”（www.ccgp.gov.cn）等列入失信被执行人、重大税收违法案件当事人名单、政府采购严重违法失信行为记录名单。</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2、本项目专门面向中小企业采购, 供应商需符合《政府采购促进中小企业发展管理办法》（财库【2020】46号）和提供本采购文件规定的《中小企业声明函》(监狱企业参加投标提供《监狱企业声明函》及其相关的证明材料、残疾人福利性单位参加投标提供《残疾人福利性单位声明函》，视为小型、微型企业，享受小微企业政策扶持)。</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3、本项目不接受联合体磋商。</w:t>
      </w:r>
    </w:p>
    <w:p>
      <w:pPr>
        <w:spacing w:line="500" w:lineRule="exact"/>
        <w:ind w:firstLine="482" w:firstLineChars="200"/>
        <w:outlineLvl w:val="1"/>
        <w:rPr>
          <w:rFonts w:ascii="仿宋" w:hAnsi="仿宋" w:eastAsia="仿宋" w:cs="仿宋"/>
          <w:color w:val="auto"/>
          <w:sz w:val="24"/>
          <w:highlight w:val="none"/>
        </w:rPr>
      </w:pPr>
      <w:r>
        <w:rPr>
          <w:rFonts w:hint="eastAsia" w:ascii="仿宋" w:hAnsi="仿宋" w:eastAsia="仿宋" w:cs="仿宋"/>
          <w:b/>
          <w:color w:val="auto"/>
          <w:kern w:val="0"/>
          <w:sz w:val="24"/>
          <w:highlight w:val="none"/>
        </w:rPr>
        <w:t>四、报名及获取磋商文件时间:</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1、报名及获取磋商文件时间：2024年</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23</w:t>
      </w:r>
      <w:r>
        <w:rPr>
          <w:rFonts w:hint="eastAsia" w:ascii="仿宋" w:hAnsi="仿宋" w:eastAsia="仿宋" w:cs="仿宋"/>
          <w:color w:val="auto"/>
          <w:kern w:val="0"/>
          <w:sz w:val="24"/>
          <w:highlight w:val="none"/>
        </w:rPr>
        <w:t>日至磋商截止时间止(潜在供应商报名及获取磋商文件前应当在政采云电子交易平台上注册账号并登录，截止时间后不再接受潜在供应商报名及获取磋商文件)。</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本次磋商文件实行网上获取，不接受供应商现场报名，供应商须登录浙江政府采购网（https://zfcg.czt.zj.gov.cn/）进入政采云系统“项目采购”模块“获取采购文件”菜单，进行网上获取磋商文件（“政采云”注册账号、密码登录系统后获取磋商文件）。</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3、免费注册网址：浙江政府采购网（供应商注册页面：https://middle.zcygov.cn/settle-front/#/registry“政采云”，咨询电话：95763。）已经注册成功的供应商无需重复注册。</w:t>
      </w:r>
    </w:p>
    <w:p>
      <w:pPr>
        <w:snapToGrid w:val="0"/>
        <w:spacing w:line="500" w:lineRule="exact"/>
        <w:ind w:firstLine="472" w:firstLineChars="196"/>
        <w:outlineLvl w:val="1"/>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五、响应文件的递交及相关事宜：</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1、响应文件递交的截止时间（磋商截止时间，下同）：2024年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0（北京时间）。</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2、响应文件的递交方式：</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2.1电子响应文件：按政采云平台项目采购-电子交易操作指南及本磋商文件要求制作、加密并递交。供应商应于2024年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0（北京时间）前将制作、加密的电子版响应文件上传到政采云系统中（未准时上传的视为放弃磋商资格，作未提交响应文件处理）；</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w:t>
      </w:r>
      <w:r>
        <w:rPr>
          <w:rFonts w:hint="eastAsia" w:ascii="仿宋" w:hAnsi="仿宋" w:eastAsia="仿宋" w:cs="仿宋"/>
          <w:color w:val="auto"/>
          <w:sz w:val="24"/>
          <w:highlight w:val="none"/>
        </w:rPr>
        <w:t>湖州市太湖路1155号14层1402室</w:t>
      </w:r>
      <w:r>
        <w:rPr>
          <w:rFonts w:hint="eastAsia" w:ascii="仿宋" w:hAnsi="仿宋" w:eastAsia="仿宋" w:cs="仿宋"/>
          <w:color w:val="auto"/>
          <w:kern w:val="0"/>
          <w:sz w:val="24"/>
          <w:highlight w:val="none"/>
        </w:rPr>
        <w:t>]，联系电话：18768247439。邮寄截止时间：供应商应于2024年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日17:00时前准时送达，逾期不予受理。截止磋商时间前，采购人由二名人员（一名接收人、一名监督人员）统一负责接收并送至专门的监控室，与报名资料一并归档。供应商须留足响应文件邮寄时间,确保数据电子备份响应文件（U盘）于规定的时间前送达指定地点，未按时送达的，均按未提供处理。</w:t>
      </w:r>
    </w:p>
    <w:p>
      <w:pPr>
        <w:snapToGrid w:val="0"/>
        <w:spacing w:line="500" w:lineRule="exact"/>
        <w:ind w:firstLine="482" w:firstLineChars="200"/>
        <w:jc w:val="left"/>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注：</w:t>
      </w:r>
      <w:r>
        <w:rPr>
          <w:rFonts w:hint="eastAsia" w:ascii="仿宋" w:hAnsi="仿宋" w:eastAsia="仿宋" w:cs="仿宋"/>
          <w:b/>
          <w:color w:val="auto"/>
          <w:kern w:val="0"/>
          <w:sz w:val="24"/>
          <w:highlight w:val="none"/>
          <w:u w:val="single"/>
        </w:rPr>
        <w:t>1）供应商应权衡利弊考虑是否提供数据电子备份响应文件（U盘），采购人及采购代理机构不做强制性要求，若因下一条款（第3条）原因须启用数据电子备份响应文件（U盘）时，而供应商未提供的，视为放弃磋商资格，作无效标处理；2）供应商应对提供的数据电子备份响应文件（U盘）进行加密处理，若需要启用数据电子备份响应文件（U盘）时，再由供应商告知采购人及采购代理机构加密信息进行解密；3）若供应商未提供数据电子备份响应文件（U盘），磋商公告及磋商文件中关于数据电子备份响应文件（U盘）的要求及内容不再适用</w:t>
      </w:r>
      <w:r>
        <w:rPr>
          <w:rFonts w:hint="eastAsia" w:ascii="仿宋" w:hAnsi="仿宋" w:eastAsia="仿宋" w:cs="仿宋"/>
          <w:b/>
          <w:color w:val="auto"/>
          <w:kern w:val="0"/>
          <w:sz w:val="24"/>
          <w:highlight w:val="none"/>
        </w:rPr>
        <w:t>。</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CA锁解密时间为开标当日磋商截止时间后30分钟内，各供应商须具备符合要求的CA加密后的电子响应文件、有效的CA锁进行解密，磋商截止时间止未完成上传的电子响应文件作未提交电子响应文件处理；未按磋商文件要求密封、包装的数据电子备份响应文件（U盘）将拒绝接收；整个磋商过程中若因供应商问题造成电子响应文件无法正常解密的，均认定为未提交电子响应文件；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供应商须在线获取CA数字证书（完成CA数字证书办理预计一周左右，建议各供应商自行把握时间，申领流程请自行前往“浙江政府采购网-下载专区-电子交易客户端-CA驱动和申领流程”进行查阅)，并登陆“浙江政府采购网”（https://zfcg.czt.zj.gov.cn/），进入“下载专区”下载“电子交易客户端”，制作响应文件。</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5、供应商须将制作、加密后的电子版响应文件于磋商截止时间前上传到政采云系统中，超过磋商截止时间上传的，均按无效标处理。</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6、供应商通过政采云平台电子投标工具制作响应文件，电子投标工具请供应商自行前往浙江省政府采购网下载并安装，供应商电子交易操作指南详见网址：</w:t>
      </w:r>
      <w:r>
        <w:rPr>
          <w:color w:val="auto"/>
          <w:highlight w:val="none"/>
        </w:rPr>
        <w:fldChar w:fldCharType="begin"/>
      </w:r>
      <w:r>
        <w:rPr>
          <w:color w:val="auto"/>
          <w:highlight w:val="none"/>
        </w:rPr>
        <w:instrText xml:space="preserve"> HYPERLINK "https://help.zcygov.cn/web/site_2/2018/12-28/2573.html" </w:instrText>
      </w:r>
      <w:r>
        <w:rPr>
          <w:color w:val="auto"/>
          <w:highlight w:val="none"/>
        </w:rPr>
        <w:fldChar w:fldCharType="separate"/>
      </w:r>
      <w:r>
        <w:rPr>
          <w:rStyle w:val="31"/>
          <w:rFonts w:hint="eastAsia" w:ascii="仿宋" w:hAnsi="仿宋" w:eastAsia="仿宋" w:cs="仿宋"/>
          <w:color w:val="auto"/>
          <w:kern w:val="0"/>
          <w:sz w:val="24"/>
          <w:highlight w:val="none"/>
        </w:rPr>
        <w:t>https://zfcg.czt.zj.gov.cn/</w:t>
      </w:r>
      <w:r>
        <w:rPr>
          <w:rStyle w:val="31"/>
          <w:rFonts w:hint="eastAsia" w:ascii="仿宋" w:hAnsi="仿宋" w:eastAsia="仿宋" w:cs="仿宋"/>
          <w:color w:val="auto"/>
          <w:kern w:val="0"/>
          <w:sz w:val="24"/>
          <w:highlight w:val="none"/>
        </w:rPr>
        <w:fldChar w:fldCharType="end"/>
      </w:r>
      <w:r>
        <w:rPr>
          <w:rFonts w:hint="eastAsia" w:ascii="仿宋" w:hAnsi="仿宋" w:eastAsia="仿宋" w:cs="仿宋"/>
          <w:color w:val="auto"/>
          <w:kern w:val="0"/>
          <w:sz w:val="24"/>
          <w:highlight w:val="none"/>
        </w:rPr>
        <w:t>。</w:t>
      </w:r>
    </w:p>
    <w:p>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7、本项目采取“不见面”形式进行磋商活动,法定代表人或其授权代理人无须到场，在线响应即可（通过指定的电子邮箱、传真等）。</w:t>
      </w:r>
    </w:p>
    <w:p>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六、响应文件提交地点：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w:t>
      </w:r>
    </w:p>
    <w:p>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七、磋商时间：</w:t>
      </w:r>
      <w:r>
        <w:rPr>
          <w:rFonts w:hint="eastAsia" w:ascii="仿宋" w:hAnsi="仿宋" w:eastAsia="仿宋" w:cs="仿宋"/>
          <w:color w:val="auto"/>
          <w:kern w:val="0"/>
          <w:sz w:val="24"/>
          <w:highlight w:val="none"/>
        </w:rPr>
        <w:t>2024年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p>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八、磋商地点：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）。未按时上传电子响应文件的视为放弃磋商资格，作未提交响应文件处理。</w:t>
      </w:r>
    </w:p>
    <w:p>
      <w:pPr>
        <w:snapToGrid w:val="0"/>
        <w:spacing w:line="500" w:lineRule="exact"/>
        <w:ind w:firstLine="482" w:firstLineChars="200"/>
        <w:outlineLvl w:val="1"/>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九、其他事项：</w:t>
      </w:r>
    </w:p>
    <w:p>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本项目为电子磋商项目，实行网上磋商，应按照本磋商文件及政采云平台的要求编制、加密并要求供应商通过政采云系统在线响应，磋商截止时间前须完成电子响应文件的上传，同时供应商须使用制作在线磋商响应文件时所用的CA锁，供应商在使用系统进行磋商的过程中遇到涉及平台使用的任何问题，可致电政采云平台技术支持热线咨询，联系方式：95763。其中数据电子备份响应文件（U盘）在磋商截止时间前以密封、包装的形式提供。</w:t>
      </w:r>
    </w:p>
    <w:p>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2、潜在供应商已依法获取其可质疑的磋商文件的，可以对该文件提出质疑。未按照规定方式依法获取磋商文件的，不得对磋商文件提起质疑投诉。</w:t>
      </w:r>
    </w:p>
    <w:p>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供应商对磋商文件有异议的，供应商须在法定质疑期内一次性提出针对同一采购程序环节的质疑。供应商未按规定要求提出的，则视同认可磋商文件，但法律法规及规范性文件有明确规定的除外。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4、答疑内容是磋商文件的组成部分，将在网上发布补充（答疑、澄清）文件，潜在供应商应自行关注网站公告，采购人不再一一通知，供应商因自身贻误行为导致磋商失效的，责任自负。</w:t>
      </w:r>
    </w:p>
    <w:p>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5、参与政府采购项目的注册供应商，需登录浙江政府采购云平台（http://www.zcygov.cn）进行网上报名，尚未注册的供应商应当先在浙江政府采购云平台上申请注册，注册终审通过后再进行网上报名。</w:t>
      </w:r>
    </w:p>
    <w:p>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为有效破解当前中小微企业面临的“融资难、融资贵”困局，充分发挥好政府采购扶持小微企业发展的政策功能，本项目成交供应商可凭成交通知书等材料至“绿贷通平台”网页（www.lvdt.huzldt.com）或“政采贷”平台网页（ww</w:t>
      </w:r>
      <w:r>
        <w:rPr>
          <w:rFonts w:hint="eastAsia" w:ascii="仿宋" w:hAnsi="仿宋" w:eastAsia="仿宋" w:cs="仿宋"/>
          <w:color w:val="auto"/>
          <w:sz w:val="24"/>
          <w:highlight w:val="none"/>
          <w:lang w:eastAsia="zh-CN"/>
        </w:rPr>
        <w:t>2</w:t>
      </w:r>
      <w:r>
        <w:rPr>
          <w:rFonts w:hint="eastAsia" w:ascii="仿宋" w:hAnsi="仿宋" w:eastAsia="仿宋" w:cs="仿宋"/>
          <w:color w:val="auto"/>
          <w:sz w:val="24"/>
          <w:highlight w:val="none"/>
        </w:rPr>
        <w:t>w.zcygov.cn）申请相关融资产品。具体操作方式可在“绿贷通”或“政采贷”平台网站查询，也可向“绿贷通”或“政采贷”平台电话咨询（“绿贷通”联系电话：0572-2392590、“政采贷”联系电话：0572-2151055、18698580797）。</w:t>
      </w:r>
    </w:p>
    <w:p>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7、本</w:t>
      </w:r>
      <w:r>
        <w:rPr>
          <w:rFonts w:hint="eastAsia" w:ascii="仿宋" w:hAnsi="仿宋" w:eastAsia="仿宋" w:cs="仿宋"/>
          <w:color w:val="auto"/>
          <w:sz w:val="24"/>
          <w:highlight w:val="none"/>
          <w:lang w:val="en-US" w:eastAsia="zh-CN"/>
        </w:rPr>
        <w:t>标项</w:t>
      </w:r>
      <w:r>
        <w:rPr>
          <w:rFonts w:hint="eastAsia" w:ascii="仿宋" w:hAnsi="仿宋" w:eastAsia="仿宋" w:cs="仿宋"/>
          <w:color w:val="auto"/>
          <w:sz w:val="24"/>
          <w:highlight w:val="none"/>
        </w:rPr>
        <w:t>是否专门面向中小企业采购：是。</w:t>
      </w:r>
    </w:p>
    <w:p>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8、本次磋商有关信息刊登在：</w:t>
      </w:r>
    </w:p>
    <w:p>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8.1浙江政府采购网：https://zfcg.czt.zj.gov.cn/</w:t>
      </w:r>
    </w:p>
    <w:p>
      <w:pPr>
        <w:snapToGrid w:val="0"/>
        <w:spacing w:line="480" w:lineRule="exact"/>
        <w:ind w:firstLine="480" w:firstLineChars="200"/>
        <w:jc w:val="left"/>
        <w:rPr>
          <w:rFonts w:ascii="仿宋" w:hAnsi="仿宋" w:eastAsia="仿宋" w:cs="仿宋"/>
          <w:b/>
          <w:color w:val="auto"/>
          <w:sz w:val="24"/>
          <w:highlight w:val="none"/>
        </w:rPr>
      </w:pPr>
      <w:r>
        <w:rPr>
          <w:rFonts w:hint="eastAsia" w:ascii="仿宋" w:hAnsi="仿宋" w:eastAsia="仿宋" w:cs="仿宋"/>
          <w:color w:val="auto"/>
          <w:sz w:val="24"/>
          <w:highlight w:val="none"/>
        </w:rPr>
        <w:t>8.2湖州市公共资源交易信息网：http://ggzyjy.huzhou.gov.cn/</w:t>
      </w:r>
    </w:p>
    <w:p>
      <w:pPr>
        <w:snapToGrid w:val="0"/>
        <w:spacing w:line="480" w:lineRule="exact"/>
        <w:ind w:firstLine="482" w:firstLineChars="200"/>
        <w:outlineLvl w:val="1"/>
        <w:rPr>
          <w:rFonts w:ascii="仿宋" w:hAnsi="仿宋" w:eastAsia="仿宋" w:cs="仿宋"/>
          <w:b/>
          <w:color w:val="auto"/>
          <w:sz w:val="24"/>
          <w:highlight w:val="none"/>
        </w:rPr>
      </w:pPr>
      <w:r>
        <w:rPr>
          <w:rFonts w:hint="eastAsia" w:ascii="仿宋" w:hAnsi="仿宋" w:eastAsia="仿宋" w:cs="仿宋"/>
          <w:b/>
          <w:color w:val="auto"/>
          <w:sz w:val="24"/>
          <w:highlight w:val="none"/>
        </w:rPr>
        <w:t>十、业务咨询：</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1、采购代理机构名称：浙江新诚信工程咨询有限公司</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联系人：郭婷            联系电话：18768247439 </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质疑函接收人：赵丽娅      联系电话：0572-2051833</w:t>
      </w:r>
    </w:p>
    <w:p>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地址：湖州市太湖路1155号中新商务大厦14层1402室</w:t>
      </w:r>
    </w:p>
    <w:p>
      <w:pPr>
        <w:snapToGrid w:val="0"/>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2、采购人名称：</w:t>
      </w:r>
      <w:r>
        <w:rPr>
          <w:rFonts w:hint="eastAsia" w:ascii="仿宋" w:hAnsi="仿宋" w:eastAsia="仿宋" w:cs="仿宋"/>
          <w:color w:val="auto"/>
          <w:sz w:val="24"/>
          <w:highlight w:val="none"/>
          <w:lang w:eastAsia="zh-CN"/>
        </w:rPr>
        <w:t>湖州市人力资源和社会保障信息中心</w:t>
      </w:r>
    </w:p>
    <w:p>
      <w:pPr>
        <w:snapToGrid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联系人：范玫       联系电话：0572-2219920</w:t>
      </w:r>
    </w:p>
    <w:p>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3、政府采购行政监管及投诉受理部门：湖州市财政局政府采购监管处</w:t>
      </w:r>
    </w:p>
    <w:p>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联系人：程先生         联系电话：0572-2150216</w:t>
      </w:r>
    </w:p>
    <w:p>
      <w:pPr>
        <w:snapToGrid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地址：湖州市龙王山路518号</w:t>
      </w:r>
    </w:p>
    <w:p>
      <w:pPr>
        <w:pStyle w:val="2"/>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p>
    <w:p>
      <w:pPr>
        <w:pStyle w:val="2"/>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p>
    <w:p>
      <w:pPr>
        <w:pStyle w:val="2"/>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p>
    <w:p>
      <w:pPr>
        <w:pStyle w:val="2"/>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p>
    <w:p>
      <w:pPr>
        <w:pStyle w:val="2"/>
        <w:rPr>
          <w:rFonts w:hint="eastAsia"/>
        </w:rPr>
      </w:pPr>
    </w:p>
    <w:p>
      <w:pPr>
        <w:pStyle w:val="2"/>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p>
    <w:p>
      <w:pPr>
        <w:pStyle w:val="2"/>
        <w:rPr>
          <w:rFonts w:hint="eastAsia" w:ascii="仿宋" w:hAnsi="仿宋" w:eastAsia="仿宋" w:cs="仿宋"/>
          <w:color w:val="auto"/>
          <w:sz w:val="24"/>
          <w:highlight w:val="none"/>
        </w:rPr>
      </w:pPr>
    </w:p>
    <w:p/>
    <w:p>
      <w:pPr>
        <w:snapToGrid w:val="0"/>
        <w:spacing w:line="560" w:lineRule="exact"/>
        <w:ind w:left="238" w:right="480"/>
        <w:jc w:val="right"/>
        <w:rPr>
          <w:rFonts w:ascii="仿宋" w:hAnsi="仿宋" w:eastAsia="仿宋" w:cs="仿宋"/>
          <w:bCs/>
          <w:color w:val="auto"/>
          <w:sz w:val="24"/>
          <w:highlight w:val="none"/>
        </w:rPr>
      </w:pPr>
    </w:p>
    <w:p>
      <w:pPr>
        <w:numPr>
          <w:ilvl w:val="0"/>
          <w:numId w:val="0"/>
        </w:numPr>
        <w:spacing w:line="600" w:lineRule="exact"/>
        <w:ind w:leftChars="0"/>
        <w:jc w:val="both"/>
        <w:outlineLvl w:val="0"/>
        <w:rPr>
          <w:rFonts w:hint="eastAsia" w:ascii="仿宋" w:hAnsi="仿宋" w:eastAsia="仿宋" w:cs="仿宋"/>
          <w:b/>
          <w:color w:val="auto"/>
          <w:sz w:val="36"/>
          <w:szCs w:val="36"/>
          <w:highlight w:val="none"/>
        </w:rPr>
      </w:pPr>
      <w:bookmarkStart w:id="1" w:name="_Toc452995894"/>
    </w:p>
    <w:p>
      <w:pPr>
        <w:numPr>
          <w:ilvl w:val="0"/>
          <w:numId w:val="3"/>
        </w:numPr>
        <w:spacing w:line="600" w:lineRule="exact"/>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项目采购需求</w:t>
      </w:r>
      <w:bookmarkEnd w:id="1"/>
      <w:bookmarkStart w:id="2" w:name="_Toc424544810"/>
      <w:bookmarkStart w:id="3" w:name="_Toc489518973"/>
      <w:bookmarkStart w:id="4" w:name="_Toc424544531"/>
      <w:bookmarkStart w:id="5" w:name="_Toc452995895"/>
    </w:p>
    <w:bookmarkEnd w:id="2"/>
    <w:bookmarkEnd w:id="3"/>
    <w:bookmarkEnd w:id="4"/>
    <w:p>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一、主要内容</w:t>
      </w:r>
    </w:p>
    <w:p>
      <w:pPr>
        <w:numPr>
          <w:ilvl w:val="0"/>
          <w:numId w:val="0"/>
        </w:numPr>
        <w:spacing w:line="600" w:lineRule="exact"/>
        <w:outlineLvl w:val="0"/>
        <w:rPr>
          <w:rFonts w:hint="eastAsia" w:ascii="仿宋" w:hAnsi="仿宋" w:eastAsia="仿宋" w:cs="仿宋"/>
          <w:b/>
          <w:sz w:val="24"/>
          <w:highlight w:val="none"/>
          <w:lang w:eastAsia="zh-CN"/>
        </w:rPr>
      </w:pPr>
      <w:r>
        <w:rPr>
          <w:rFonts w:hint="eastAsia" w:ascii="仿宋" w:hAnsi="仿宋" w:eastAsia="仿宋" w:cs="仿宋"/>
          <w:b/>
          <w:sz w:val="24"/>
          <w:highlight w:val="none"/>
          <w:lang w:eastAsia="zh-CN"/>
        </w:rPr>
        <w:t>（</w:t>
      </w:r>
      <w:r>
        <w:rPr>
          <w:rFonts w:hint="eastAsia" w:ascii="仿宋" w:hAnsi="仿宋" w:eastAsia="仿宋" w:cs="仿宋"/>
          <w:b/>
          <w:sz w:val="24"/>
          <w:highlight w:val="none"/>
          <w:lang w:val="en-US" w:eastAsia="zh-CN"/>
        </w:rPr>
        <w:t>一</w:t>
      </w:r>
      <w:r>
        <w:rPr>
          <w:rFonts w:hint="eastAsia" w:ascii="仿宋" w:hAnsi="仿宋" w:eastAsia="仿宋" w:cs="仿宋"/>
          <w:b/>
          <w:sz w:val="24"/>
          <w:highlight w:val="none"/>
          <w:lang w:eastAsia="zh-CN"/>
        </w:rPr>
        <w:t>）市级人社“一体化”运维保障</w:t>
      </w:r>
    </w:p>
    <w:p>
      <w:pPr>
        <w:widowControl w:val="0"/>
        <w:spacing w:after="120" w:line="360" w:lineRule="auto"/>
        <w:ind w:firstLine="0" w:firstLineChars="0"/>
        <w:jc w:val="both"/>
        <w:rPr>
          <w:rFonts w:hint="eastAsia" w:ascii="仿宋" w:hAnsi="仿宋" w:eastAsia="仿宋" w:cs="仿宋"/>
          <w:kern w:val="2"/>
          <w:sz w:val="24"/>
          <w:szCs w:val="22"/>
          <w:lang w:val="en-US" w:eastAsia="zh-CN" w:bidi="ar-SA"/>
        </w:rPr>
      </w:pPr>
      <w:r>
        <w:rPr>
          <w:rFonts w:hint="eastAsia" w:ascii="仿宋" w:hAnsi="仿宋" w:eastAsia="仿宋" w:cs="仿宋"/>
          <w:b/>
          <w:bCs/>
          <w:kern w:val="2"/>
          <w:sz w:val="24"/>
          <w:szCs w:val="24"/>
          <w:highlight w:val="none"/>
          <w:lang w:val="en-US" w:eastAsia="zh-CN" w:bidi="ar-SA"/>
        </w:rPr>
        <w:t>1、一体化平台日常运维保障服务。</w:t>
      </w:r>
      <w:r>
        <w:rPr>
          <w:rFonts w:hint="eastAsia" w:ascii="仿宋" w:hAnsi="仿宋" w:eastAsia="仿宋" w:cs="仿宋"/>
          <w:kern w:val="2"/>
          <w:sz w:val="24"/>
          <w:szCs w:val="22"/>
          <w:lang w:val="en-US" w:eastAsia="zh-CN" w:bidi="ar-SA"/>
        </w:rPr>
        <w:t>市级人社一体化平台主要实现社会保险、就业创业、人才服务等本地人社各类事项的经办管理和流程控制服务，按需做好现有各类一体化系统中事项管理（</w:t>
      </w:r>
      <w:r>
        <w:rPr>
          <w:rFonts w:hint="eastAsia" w:ascii="仿宋" w:hAnsi="仿宋" w:eastAsia="仿宋" w:cs="仿宋"/>
          <w:kern w:val="2"/>
          <w:sz w:val="24"/>
          <w:szCs w:val="24"/>
          <w:highlight w:val="none"/>
          <w:lang w:val="en-US" w:eastAsia="zh-CN" w:bidi="ar-SA"/>
        </w:rPr>
        <w:t>对现有一体化平台的事项信息、材料信息、事项目录、速配人员权限、速配岗位权限、授权删除权限管理等模块的日常维护</w:t>
      </w:r>
      <w:r>
        <w:rPr>
          <w:rFonts w:hint="eastAsia" w:ascii="仿宋" w:hAnsi="仿宋" w:eastAsia="仿宋" w:cs="仿宋"/>
          <w:kern w:val="2"/>
          <w:sz w:val="24"/>
          <w:szCs w:val="22"/>
          <w:lang w:val="en-US" w:eastAsia="zh-CN" w:bidi="ar-SA"/>
        </w:rPr>
        <w:t>）、流程管理（</w:t>
      </w:r>
      <w:r>
        <w:rPr>
          <w:rFonts w:hint="eastAsia" w:ascii="仿宋" w:hAnsi="仿宋" w:eastAsia="仿宋" w:cs="仿宋"/>
          <w:kern w:val="2"/>
          <w:sz w:val="24"/>
          <w:szCs w:val="24"/>
          <w:highlight w:val="none"/>
          <w:lang w:val="en-US" w:eastAsia="zh-CN" w:bidi="ar-SA"/>
        </w:rPr>
        <w:t>主要根据用户需求，对现有一体化平台的事项按需进行流程设计并定义流程及方案定义维护工作</w:t>
      </w:r>
      <w:r>
        <w:rPr>
          <w:rFonts w:hint="eastAsia" w:ascii="仿宋" w:hAnsi="仿宋" w:eastAsia="仿宋" w:cs="仿宋"/>
          <w:kern w:val="2"/>
          <w:sz w:val="24"/>
          <w:szCs w:val="22"/>
          <w:lang w:val="en-US" w:eastAsia="zh-CN" w:bidi="ar-SA"/>
        </w:rPr>
        <w:t>）、文书管理（</w:t>
      </w:r>
      <w:r>
        <w:rPr>
          <w:rFonts w:hint="eastAsia" w:ascii="仿宋" w:hAnsi="仿宋" w:eastAsia="仿宋" w:cs="仿宋"/>
          <w:kern w:val="2"/>
          <w:sz w:val="24"/>
          <w:szCs w:val="24"/>
          <w:lang w:val="en-US" w:eastAsia="zh-CN" w:bidi="ar-SA"/>
        </w:rPr>
        <w:t>对现有文书模板进行管理维护</w:t>
      </w:r>
      <w:r>
        <w:rPr>
          <w:rFonts w:hint="eastAsia" w:ascii="仿宋" w:hAnsi="仿宋" w:eastAsia="仿宋" w:cs="仿宋"/>
          <w:kern w:val="2"/>
          <w:sz w:val="24"/>
          <w:szCs w:val="22"/>
          <w:lang w:val="en-US" w:eastAsia="zh-CN" w:bidi="ar-SA"/>
        </w:rPr>
        <w:t>）、安全管理（</w:t>
      </w:r>
      <w:r>
        <w:rPr>
          <w:rFonts w:hint="eastAsia" w:ascii="仿宋" w:hAnsi="仿宋" w:eastAsia="仿宋" w:cs="仿宋"/>
          <w:kern w:val="2"/>
          <w:sz w:val="24"/>
          <w:szCs w:val="24"/>
          <w:lang w:val="en-US" w:eastAsia="zh-CN" w:bidi="ar-SA"/>
        </w:rPr>
        <w:t>对现有一体化平台中的安全秘钥、接口列表、操作员操作记录、岗位人员配置记录模块进行维护管理</w:t>
      </w:r>
      <w:r>
        <w:rPr>
          <w:rFonts w:hint="eastAsia" w:ascii="仿宋" w:hAnsi="仿宋" w:eastAsia="仿宋" w:cs="仿宋"/>
          <w:kern w:val="2"/>
          <w:sz w:val="24"/>
          <w:szCs w:val="22"/>
          <w:lang w:val="en-US" w:eastAsia="zh-CN" w:bidi="ar-SA"/>
        </w:rPr>
        <w:t>）、系统基础资源管理（</w:t>
      </w:r>
      <w:r>
        <w:rPr>
          <w:rFonts w:hint="eastAsia" w:ascii="仿宋" w:hAnsi="仿宋" w:eastAsia="仿宋" w:cs="仿宋"/>
          <w:kern w:val="2"/>
          <w:sz w:val="24"/>
          <w:szCs w:val="24"/>
          <w:lang w:val="en-US" w:eastAsia="zh-CN" w:bidi="ar-SA"/>
        </w:rPr>
        <w:t>对现有一体化平台中配置的基础信息调用资源进行维护管理</w:t>
      </w:r>
      <w:r>
        <w:rPr>
          <w:rFonts w:hint="eastAsia" w:ascii="仿宋" w:hAnsi="仿宋" w:eastAsia="仿宋" w:cs="仿宋"/>
          <w:kern w:val="2"/>
          <w:sz w:val="24"/>
          <w:szCs w:val="22"/>
          <w:lang w:val="en-US" w:eastAsia="zh-CN" w:bidi="ar-SA"/>
        </w:rPr>
        <w:t>）等。做好相关硬件设备、数据库、中间件等平台运行资源的日常巡检、监测和维护工作，及时处置网络故障、系统宕机等各类问题，保障一体化平台稳定安全运行。着力保障我市人社各类公共服务事项高效稳定运行，协助确保完成人社政务服务各项年度考核任务。</w:t>
      </w:r>
    </w:p>
    <w:p>
      <w:pPr>
        <w:widowControl w:val="0"/>
        <w:numPr>
          <w:ilvl w:val="0"/>
          <w:numId w:val="0"/>
        </w:numPr>
        <w:spacing w:after="120" w:line="360" w:lineRule="auto"/>
        <w:ind w:left="0" w:firstLine="0" w:firstLineChars="0"/>
        <w:jc w:val="both"/>
        <w:rPr>
          <w:rFonts w:hint="eastAsia" w:ascii="仿宋" w:hAnsi="仿宋" w:eastAsia="仿宋" w:cs="仿宋"/>
          <w:kern w:val="2"/>
          <w:sz w:val="24"/>
          <w:szCs w:val="22"/>
          <w:lang w:val="en-US" w:eastAsia="zh-CN" w:bidi="ar-SA"/>
        </w:rPr>
      </w:pPr>
      <w:r>
        <w:rPr>
          <w:rFonts w:hint="eastAsia" w:ascii="仿宋" w:hAnsi="仿宋" w:eastAsia="仿宋" w:cs="仿宋"/>
          <w:b/>
          <w:bCs/>
          <w:kern w:val="2"/>
          <w:sz w:val="24"/>
          <w:szCs w:val="24"/>
          <w:highlight w:val="none"/>
          <w:lang w:val="en-US" w:eastAsia="zh-CN" w:bidi="ar-SA"/>
        </w:rPr>
        <w:t>2、浙里办“湖州人社”专区日常运维保障。</w:t>
      </w:r>
      <w:r>
        <w:rPr>
          <w:rFonts w:hint="eastAsia" w:ascii="仿宋" w:hAnsi="仿宋" w:eastAsia="仿宋" w:cs="仿宋"/>
          <w:kern w:val="2"/>
          <w:sz w:val="24"/>
          <w:szCs w:val="22"/>
          <w:lang w:val="en-US" w:eastAsia="zh-CN" w:bidi="ar-SA"/>
        </w:rPr>
        <w:t>为打造好用实用管用的人社掌上端服务平台，重点做好浙里办“湖州人社”专区的本地热点服务 、页面改版更新、子栏目访问联通监测等常规运维服务工作，提升群众使用满意度。</w:t>
      </w:r>
    </w:p>
    <w:p>
      <w:pPr>
        <w:widowControl w:val="0"/>
        <w:numPr>
          <w:ilvl w:val="0"/>
          <w:numId w:val="0"/>
        </w:numPr>
        <w:spacing w:after="120" w:line="360" w:lineRule="auto"/>
        <w:ind w:firstLine="0" w:firstLineChars="0"/>
        <w:jc w:val="both"/>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3、人社一体化平台与各类渠道、社保、就业等核心业务系统的对接运维保障服务；</w:t>
      </w:r>
    </w:p>
    <w:p>
      <w:pPr>
        <w:widowControl w:val="0"/>
        <w:spacing w:after="120" w:line="360" w:lineRule="auto"/>
        <w:ind w:firstLine="482" w:firstLineChars="200"/>
        <w:jc w:val="both"/>
        <w:rPr>
          <w:rFonts w:hint="eastAsia" w:ascii="仿宋" w:hAnsi="仿宋" w:eastAsia="仿宋" w:cs="仿宋"/>
          <w:kern w:val="2"/>
          <w:sz w:val="24"/>
          <w:szCs w:val="22"/>
          <w:lang w:val="en-US" w:eastAsia="zh-CN" w:bidi="ar-SA"/>
        </w:rPr>
      </w:pPr>
      <w:r>
        <w:rPr>
          <w:rFonts w:hint="eastAsia" w:ascii="仿宋" w:hAnsi="仿宋" w:eastAsia="仿宋" w:cs="仿宋"/>
          <w:b/>
          <w:bCs/>
          <w:kern w:val="2"/>
          <w:sz w:val="24"/>
          <w:szCs w:val="24"/>
          <w:highlight w:val="none"/>
          <w:lang w:val="en-US" w:eastAsia="zh-CN" w:bidi="ar-SA"/>
        </w:rPr>
        <w:t>跨部门数据共享查询应用。</w:t>
      </w:r>
      <w:r>
        <w:rPr>
          <w:rFonts w:hint="eastAsia" w:ascii="仿宋" w:hAnsi="仿宋" w:eastAsia="仿宋" w:cs="仿宋"/>
          <w:kern w:val="2"/>
          <w:sz w:val="24"/>
          <w:szCs w:val="22"/>
          <w:lang w:val="en-US" w:eastAsia="zh-CN" w:bidi="ar-SA"/>
        </w:rPr>
        <w:t xml:space="preserve"> 按照省数据回流规范进行相应的程序完善。依托一体化平台，针对人才和就业上的补贴类事项，根据业务管理需要持续迭代跨部门数据共享查询分析应用。</w:t>
      </w:r>
    </w:p>
    <w:p>
      <w:pPr>
        <w:widowControl w:val="0"/>
        <w:spacing w:after="120" w:line="360" w:lineRule="auto"/>
        <w:ind w:firstLine="482" w:firstLineChars="200"/>
        <w:jc w:val="both"/>
        <w:rPr>
          <w:rFonts w:hint="eastAsia" w:ascii="仿宋" w:hAnsi="仿宋" w:eastAsia="仿宋" w:cs="仿宋"/>
          <w:kern w:val="2"/>
          <w:sz w:val="24"/>
          <w:szCs w:val="22"/>
          <w:lang w:val="en-US" w:eastAsia="zh-CN" w:bidi="ar-SA"/>
        </w:rPr>
      </w:pPr>
      <w:r>
        <w:rPr>
          <w:rFonts w:hint="eastAsia" w:ascii="仿宋" w:hAnsi="仿宋" w:eastAsia="仿宋" w:cs="仿宋"/>
          <w:b/>
          <w:bCs/>
          <w:kern w:val="2"/>
          <w:sz w:val="24"/>
          <w:szCs w:val="24"/>
          <w:highlight w:val="none"/>
          <w:lang w:val="en-US" w:eastAsia="zh-CN" w:bidi="ar-SA"/>
        </w:rPr>
        <w:t>政务服务2.0对接保障服务</w:t>
      </w:r>
      <w:r>
        <w:rPr>
          <w:rFonts w:hint="eastAsia" w:ascii="仿宋" w:hAnsi="仿宋" w:eastAsia="仿宋" w:cs="仿宋"/>
          <w:kern w:val="2"/>
          <w:sz w:val="24"/>
          <w:szCs w:val="22"/>
          <w:lang w:val="en-US" w:eastAsia="zh-CN" w:bidi="ar-SA"/>
        </w:rPr>
        <w:t>。通过市级人社一体化平台，针对省市两级部门下发的政务2.0未归集办件、异常办件及超期办件，进行问题的跟踪排查，并给予及时处理，提高人社政务服务质量。</w:t>
      </w:r>
    </w:p>
    <w:p>
      <w:pPr>
        <w:widowControl w:val="0"/>
        <w:numPr>
          <w:ilvl w:val="0"/>
          <w:numId w:val="0"/>
        </w:numPr>
        <w:spacing w:after="120" w:line="360" w:lineRule="auto"/>
        <w:ind w:left="0" w:firstLine="0" w:firstLineChars="0"/>
        <w:jc w:val="both"/>
        <w:rPr>
          <w:rFonts w:hint="eastAsia" w:ascii="仿宋" w:hAnsi="仿宋" w:eastAsia="仿宋" w:cs="仿宋"/>
          <w:kern w:val="2"/>
          <w:sz w:val="24"/>
          <w:szCs w:val="22"/>
          <w:lang w:val="en-US" w:eastAsia="zh-CN" w:bidi="ar-SA"/>
        </w:rPr>
      </w:pPr>
      <w:r>
        <w:rPr>
          <w:rFonts w:hint="eastAsia" w:ascii="仿宋" w:hAnsi="仿宋" w:eastAsia="仿宋" w:cs="仿宋"/>
          <w:b/>
          <w:bCs/>
          <w:kern w:val="2"/>
          <w:sz w:val="24"/>
          <w:szCs w:val="24"/>
          <w:highlight w:val="none"/>
          <w:lang w:val="en-US" w:eastAsia="zh-CN" w:bidi="ar-SA"/>
        </w:rPr>
        <w:t>4、“学习中心”应用维护保障。</w:t>
      </w:r>
      <w:r>
        <w:rPr>
          <w:rFonts w:hint="eastAsia" w:ascii="仿宋" w:hAnsi="仿宋" w:eastAsia="仿宋" w:cs="仿宋"/>
          <w:kern w:val="2"/>
          <w:sz w:val="24"/>
          <w:szCs w:val="22"/>
          <w:lang w:val="en-US" w:eastAsia="zh-CN" w:bidi="ar-SA"/>
        </w:rPr>
        <w:t xml:space="preserve"> 保障并迭代“学习中心”中人社政策解读、业务知识问答、在线答题等功能 ，保障对整个学习过程进行研判分析和综合考评。</w:t>
      </w:r>
    </w:p>
    <w:p>
      <w:pPr>
        <w:widowControl w:val="0"/>
        <w:numPr>
          <w:ilvl w:val="0"/>
          <w:numId w:val="0"/>
        </w:numPr>
        <w:spacing w:after="120" w:line="360" w:lineRule="auto"/>
        <w:ind w:left="0" w:firstLine="0" w:firstLineChars="0"/>
        <w:jc w:val="both"/>
        <w:rPr>
          <w:rFonts w:hint="eastAsia" w:ascii="仿宋" w:hAnsi="仿宋" w:eastAsia="仿宋" w:cs="仿宋"/>
          <w:kern w:val="2"/>
          <w:sz w:val="24"/>
          <w:szCs w:val="22"/>
          <w:lang w:val="en-US" w:eastAsia="zh-CN" w:bidi="ar-SA"/>
        </w:rPr>
      </w:pPr>
      <w:r>
        <w:rPr>
          <w:rFonts w:hint="eastAsia" w:ascii="仿宋" w:hAnsi="仿宋" w:eastAsia="仿宋" w:cs="仿宋"/>
          <w:b/>
          <w:bCs/>
          <w:kern w:val="2"/>
          <w:sz w:val="24"/>
          <w:szCs w:val="24"/>
          <w:highlight w:val="none"/>
          <w:lang w:val="en-US" w:eastAsia="zh-CN" w:bidi="ar-SA"/>
        </w:rPr>
        <w:t>5、湖州市人事工资系统的运维保障服务</w:t>
      </w:r>
      <w:r>
        <w:rPr>
          <w:rFonts w:hint="eastAsia" w:ascii="仿宋" w:hAnsi="仿宋" w:eastAsia="仿宋" w:cs="仿宋"/>
          <w:kern w:val="2"/>
          <w:sz w:val="24"/>
          <w:szCs w:val="22"/>
          <w:lang w:val="en-US" w:eastAsia="zh-CN" w:bidi="ar-SA"/>
        </w:rPr>
        <w:t>。做好现有湖州市人事工资系统应用中的统发工资模块的同时，需做好工资统发系统应用服务器及数据库资源的日常巡检、监测和维护工作，及时处置网络故障、系统宕机等各类问题，保障平台稳定安全运行。</w:t>
      </w:r>
    </w:p>
    <w:p>
      <w:pPr>
        <w:numPr>
          <w:ilvl w:val="0"/>
          <w:numId w:val="0"/>
        </w:numPr>
        <w:spacing w:line="600" w:lineRule="exact"/>
        <w:outlineLvl w:val="0"/>
        <w:rPr>
          <w:rFonts w:hint="eastAsia" w:ascii="仿宋" w:hAnsi="仿宋" w:eastAsia="仿宋" w:cs="仿宋"/>
          <w:b/>
          <w:sz w:val="24"/>
          <w:highlight w:val="none"/>
        </w:rPr>
      </w:pPr>
      <w:r>
        <w:rPr>
          <w:rFonts w:hint="eastAsia" w:ascii="仿宋" w:hAnsi="仿宋" w:eastAsia="仿宋" w:cs="仿宋"/>
          <w:b/>
          <w:sz w:val="24"/>
          <w:highlight w:val="none"/>
          <w:lang w:eastAsia="zh-CN"/>
        </w:rPr>
        <w:t>（</w:t>
      </w:r>
      <w:r>
        <w:rPr>
          <w:rFonts w:hint="eastAsia" w:ascii="仿宋" w:hAnsi="仿宋" w:eastAsia="仿宋" w:cs="仿宋"/>
          <w:b/>
          <w:sz w:val="24"/>
          <w:highlight w:val="none"/>
          <w:lang w:val="en-US" w:eastAsia="zh-CN"/>
        </w:rPr>
        <w:t>二</w:t>
      </w:r>
      <w:r>
        <w:rPr>
          <w:rFonts w:hint="eastAsia" w:ascii="仿宋" w:hAnsi="仿宋" w:eastAsia="仿宋" w:cs="仿宋"/>
          <w:b/>
          <w:sz w:val="24"/>
          <w:highlight w:val="none"/>
          <w:lang w:eastAsia="zh-CN"/>
        </w:rPr>
        <w:t>）</w:t>
      </w:r>
      <w:r>
        <w:rPr>
          <w:rFonts w:hint="eastAsia" w:ascii="仿宋" w:hAnsi="仿宋" w:eastAsia="仿宋" w:cs="仿宋"/>
          <w:b/>
          <w:sz w:val="24"/>
          <w:highlight w:val="none"/>
        </w:rPr>
        <w:t>省市就业信息系统运维保障</w:t>
      </w:r>
    </w:p>
    <w:p>
      <w:pPr>
        <w:spacing w:line="600" w:lineRule="exact"/>
        <w:rPr>
          <w:rFonts w:hint="eastAsia" w:ascii="仿宋" w:hAnsi="仿宋" w:eastAsia="仿宋" w:cs="仿宋"/>
          <w:b/>
          <w:bCs/>
          <w:sz w:val="24"/>
          <w:highlight w:val="none"/>
        </w:rPr>
      </w:pPr>
      <w:r>
        <w:rPr>
          <w:rFonts w:hint="eastAsia" w:ascii="仿宋" w:hAnsi="仿宋" w:eastAsia="仿宋" w:cs="仿宋"/>
          <w:b/>
          <w:bCs/>
          <w:sz w:val="24"/>
          <w:highlight w:val="none"/>
          <w:lang w:val="en-US" w:eastAsia="zh-CN"/>
        </w:rPr>
        <w:t>1、</w:t>
      </w:r>
      <w:r>
        <w:rPr>
          <w:rFonts w:hint="eastAsia" w:ascii="仿宋" w:hAnsi="仿宋" w:eastAsia="仿宋" w:cs="仿宋"/>
          <w:b/>
          <w:bCs/>
          <w:sz w:val="24"/>
          <w:highlight w:val="none"/>
        </w:rPr>
        <w:t>市集中就业系统运维保障。</w:t>
      </w:r>
      <w:r>
        <w:rPr>
          <w:rFonts w:hint="eastAsia" w:ascii="仿宋" w:hAnsi="仿宋" w:eastAsia="仿宋" w:cs="仿宋"/>
          <w:sz w:val="24"/>
          <w:highlight w:val="none"/>
        </w:rPr>
        <w:t>要求按照市集中建设模式，项目人员驻场开展日常维护。着力做好现有各类业务服务功能的优化完善和迭代升级，按照业务应用需要，及时组织操作培训，做好数据筛选、统计分析、需求管理等各项运维服务；跟踪并处理原就业迁移数据，保障业务数据正确完整和系统正常运行。</w:t>
      </w:r>
    </w:p>
    <w:p>
      <w:pPr>
        <w:spacing w:line="600" w:lineRule="exact"/>
        <w:rPr>
          <w:rFonts w:hint="eastAsia" w:ascii="仿宋" w:hAnsi="仿宋" w:eastAsia="仿宋" w:cs="仿宋"/>
          <w:sz w:val="24"/>
          <w:highlight w:val="none"/>
        </w:rPr>
      </w:pPr>
      <w:r>
        <w:rPr>
          <w:rFonts w:hint="eastAsia" w:ascii="仿宋" w:hAnsi="仿宋" w:eastAsia="仿宋" w:cs="仿宋"/>
          <w:b/>
          <w:bCs/>
          <w:sz w:val="24"/>
          <w:highlight w:val="none"/>
          <w:lang w:val="en-US" w:eastAsia="zh-CN"/>
        </w:rPr>
        <w:t>2、</w:t>
      </w:r>
      <w:r>
        <w:rPr>
          <w:rFonts w:hint="eastAsia" w:ascii="仿宋" w:hAnsi="仿宋" w:eastAsia="仿宋" w:cs="仿宋"/>
          <w:b/>
          <w:bCs/>
          <w:sz w:val="24"/>
          <w:highlight w:val="none"/>
        </w:rPr>
        <w:t>省集中就业系统服务对接。</w:t>
      </w:r>
      <w:r>
        <w:rPr>
          <w:rFonts w:hint="eastAsia" w:ascii="仿宋" w:hAnsi="仿宋" w:eastAsia="仿宋" w:cs="仿宋"/>
          <w:sz w:val="24"/>
          <w:highlight w:val="none"/>
        </w:rPr>
        <w:t>配合省项目组，做好就业省统事项的本地信息化支撑；协助业务部门，分析研判省系统运行中遇到的各类系统故障和业务问题，排查问题根源，力争快速解决，保证省集中就业系统的平稳运行和业务的顺利经办。</w:t>
      </w:r>
    </w:p>
    <w:p>
      <w:pPr>
        <w:pStyle w:val="19"/>
        <w:spacing w:line="600" w:lineRule="exact"/>
        <w:rPr>
          <w:rFonts w:hint="eastAsia" w:ascii="仿宋" w:hAnsi="仿宋" w:eastAsia="仿宋" w:cs="仿宋"/>
          <w:sz w:val="24"/>
          <w:highlight w:val="none"/>
        </w:rPr>
      </w:pPr>
      <w:r>
        <w:rPr>
          <w:rFonts w:hint="eastAsia" w:ascii="仿宋" w:hAnsi="仿宋" w:eastAsia="仿宋" w:cs="仿宋"/>
          <w:b/>
          <w:bCs/>
          <w:sz w:val="24"/>
          <w:highlight w:val="none"/>
          <w:lang w:val="en-US" w:eastAsia="zh-CN"/>
        </w:rPr>
        <w:t>3、</w:t>
      </w:r>
      <w:r>
        <w:rPr>
          <w:rFonts w:hint="eastAsia" w:ascii="仿宋" w:hAnsi="仿宋" w:eastAsia="仿宋" w:cs="仿宋"/>
          <w:b/>
          <w:bCs/>
          <w:sz w:val="24"/>
          <w:highlight w:val="none"/>
        </w:rPr>
        <w:t>人才补贴事项迭代及运维保障。</w:t>
      </w:r>
      <w:r>
        <w:rPr>
          <w:rFonts w:hint="eastAsia" w:ascii="仿宋" w:hAnsi="仿宋" w:eastAsia="仿宋" w:cs="仿宋"/>
          <w:bCs/>
          <w:sz w:val="24"/>
          <w:highlight w:val="none"/>
          <w:lang w:val="en-US" w:eastAsia="zh-CN"/>
        </w:rPr>
        <w:t>保障</w:t>
      </w:r>
      <w:r>
        <w:rPr>
          <w:rFonts w:hint="eastAsia" w:ascii="仿宋" w:hAnsi="仿宋" w:eastAsia="仿宋" w:cs="仿宋"/>
          <w:bCs/>
          <w:sz w:val="24"/>
          <w:highlight w:val="none"/>
        </w:rPr>
        <w:t>高校毕业生（技能人才）安家补贴申领、大学生租房（生活）补贴申领等人才补贴事项的</w:t>
      </w:r>
      <w:r>
        <w:rPr>
          <w:rFonts w:hint="eastAsia" w:ascii="仿宋" w:hAnsi="仿宋" w:eastAsia="仿宋" w:cs="仿宋"/>
          <w:bCs/>
          <w:sz w:val="24"/>
          <w:highlight w:val="none"/>
          <w:lang w:val="en-US" w:eastAsia="zh-CN"/>
        </w:rPr>
        <w:t>稳定运行，</w:t>
      </w:r>
      <w:r>
        <w:rPr>
          <w:rFonts w:hint="eastAsia" w:ascii="仿宋" w:hAnsi="仿宋" w:eastAsia="仿宋" w:cs="仿宋"/>
          <w:bCs/>
          <w:sz w:val="24"/>
          <w:highlight w:val="none"/>
        </w:rPr>
        <w:t>同时迭代</w:t>
      </w:r>
      <w:r>
        <w:rPr>
          <w:rFonts w:hint="eastAsia" w:ascii="仿宋" w:hAnsi="仿宋" w:eastAsia="仿宋" w:cs="仿宋"/>
          <w:bCs/>
          <w:sz w:val="24"/>
          <w:highlight w:val="none"/>
          <w:lang w:val="en-US" w:eastAsia="zh-CN"/>
        </w:rPr>
        <w:t>购房补贴、人才补贴、应聘补贴等相关业务功能及</w:t>
      </w:r>
      <w:r>
        <w:rPr>
          <w:rFonts w:hint="eastAsia" w:ascii="仿宋" w:hAnsi="仿宋" w:eastAsia="仿宋" w:cs="仿宋"/>
          <w:bCs/>
          <w:sz w:val="24"/>
          <w:highlight w:val="none"/>
        </w:rPr>
        <w:t>财务在线拨付和统计分析等功能，实现业务全流程管控，杜绝基金违规发放</w:t>
      </w:r>
      <w:r>
        <w:rPr>
          <w:rFonts w:hint="eastAsia" w:ascii="仿宋" w:hAnsi="仿宋" w:eastAsia="仿宋" w:cs="仿宋"/>
          <w:sz w:val="24"/>
          <w:highlight w:val="none"/>
        </w:rPr>
        <w:t>。</w:t>
      </w:r>
    </w:p>
    <w:p>
      <w:pPr>
        <w:spacing w:line="360" w:lineRule="auto"/>
        <w:rPr>
          <w:rFonts w:hint="eastAsia" w:ascii="仿宋" w:hAnsi="仿宋" w:eastAsia="仿宋" w:cs="仿宋"/>
          <w:sz w:val="24"/>
          <w:highlight w:val="none"/>
        </w:rPr>
      </w:pPr>
    </w:p>
    <w:p>
      <w:pPr>
        <w:spacing w:line="360" w:lineRule="auto"/>
        <w:rPr>
          <w:rFonts w:hint="eastAsia" w:ascii="仿宋" w:hAnsi="仿宋" w:eastAsia="仿宋" w:cs="仿宋"/>
          <w:b/>
          <w:sz w:val="24"/>
          <w:highlight w:val="none"/>
          <w:lang w:val="en-US" w:eastAsia="zh-CN"/>
        </w:rPr>
      </w:pPr>
      <w:r>
        <w:rPr>
          <w:rFonts w:hint="eastAsia" w:ascii="仿宋" w:hAnsi="仿宋" w:eastAsia="仿宋" w:cs="仿宋"/>
          <w:b/>
          <w:sz w:val="24"/>
          <w:highlight w:val="none"/>
          <w:lang w:val="en-US" w:eastAsia="zh-CN"/>
        </w:rPr>
        <w:t>二、项目要求：</w:t>
      </w:r>
    </w:p>
    <w:p>
      <w:pPr>
        <w:spacing w:line="360" w:lineRule="auto"/>
        <w:rPr>
          <w:rFonts w:hint="eastAsia" w:ascii="仿宋" w:hAnsi="仿宋" w:eastAsia="仿宋" w:cs="仿宋"/>
          <w:sz w:val="24"/>
          <w:highlight w:val="none"/>
        </w:rPr>
      </w:pPr>
      <w:r>
        <w:rPr>
          <w:rFonts w:hint="eastAsia" w:ascii="仿宋" w:hAnsi="仿宋" w:eastAsia="仿宋" w:cs="仿宋"/>
          <w:sz w:val="24"/>
          <w:lang w:val="en-US" w:eastAsia="zh-CN"/>
        </w:rPr>
        <w:t>1、</w:t>
      </w:r>
      <w:r>
        <w:rPr>
          <w:rFonts w:hint="eastAsia" w:ascii="仿宋" w:hAnsi="仿宋" w:eastAsia="仿宋" w:cs="仿宋"/>
          <w:b/>
          <w:sz w:val="24"/>
          <w:highlight w:val="none"/>
        </w:rPr>
        <w:t>市级人社“一体化”运维保障</w:t>
      </w:r>
      <w:r>
        <w:rPr>
          <w:rFonts w:hint="eastAsia" w:ascii="仿宋" w:hAnsi="仿宋" w:eastAsia="仿宋" w:cs="仿宋"/>
          <w:sz w:val="24"/>
          <w:highlight w:val="none"/>
        </w:rPr>
        <w:t>、要求</w:t>
      </w:r>
      <w:r>
        <w:rPr>
          <w:rFonts w:hint="eastAsia" w:ascii="仿宋" w:hAnsi="仿宋" w:eastAsia="仿宋" w:cs="仿宋"/>
          <w:sz w:val="24"/>
          <w:highlight w:val="none"/>
          <w:lang w:val="en-US"/>
        </w:rPr>
        <w:t>2</w:t>
      </w:r>
      <w:r>
        <w:rPr>
          <w:rFonts w:hint="eastAsia" w:ascii="仿宋" w:hAnsi="仿宋" w:eastAsia="仿宋" w:cs="仿宋"/>
          <w:sz w:val="24"/>
          <w:highlight w:val="none"/>
        </w:rPr>
        <w:t>名专职运维工程师驻场保障服务。</w:t>
      </w:r>
    </w:p>
    <w:p>
      <w:pPr>
        <w:spacing w:line="360" w:lineRule="auto"/>
        <w:rPr>
          <w:rFonts w:hint="eastAsia" w:ascii="仿宋" w:hAnsi="仿宋" w:eastAsia="仿宋" w:cs="仿宋"/>
          <w:sz w:val="24"/>
          <w:highlight w:val="none"/>
        </w:rPr>
      </w:pPr>
      <w:r>
        <w:rPr>
          <w:rFonts w:hint="eastAsia" w:ascii="仿宋" w:hAnsi="仿宋" w:eastAsia="仿宋" w:cs="仿宋"/>
          <w:b/>
          <w:sz w:val="24"/>
          <w:highlight w:val="none"/>
          <w:lang w:val="en-US" w:eastAsia="zh-CN"/>
        </w:rPr>
        <w:t>2、</w:t>
      </w:r>
      <w:r>
        <w:rPr>
          <w:rFonts w:hint="eastAsia" w:ascii="仿宋" w:hAnsi="仿宋" w:eastAsia="仿宋" w:cs="仿宋"/>
          <w:b/>
          <w:sz w:val="24"/>
          <w:highlight w:val="none"/>
        </w:rPr>
        <w:t>省市就业信息系统运维保障</w:t>
      </w:r>
      <w:r>
        <w:rPr>
          <w:rFonts w:hint="eastAsia" w:ascii="仿宋" w:hAnsi="仿宋" w:eastAsia="仿宋" w:cs="仿宋"/>
          <w:b/>
          <w:sz w:val="24"/>
          <w:highlight w:val="none"/>
          <w:lang w:eastAsia="zh-CN"/>
        </w:rPr>
        <w:t>、</w:t>
      </w:r>
      <w:r>
        <w:rPr>
          <w:rFonts w:hint="eastAsia" w:ascii="仿宋" w:hAnsi="仿宋" w:eastAsia="仿宋" w:cs="仿宋"/>
          <w:sz w:val="24"/>
          <w:highlight w:val="none"/>
        </w:rPr>
        <w:t>要求</w:t>
      </w:r>
      <w:r>
        <w:rPr>
          <w:rFonts w:hint="eastAsia" w:ascii="仿宋" w:hAnsi="仿宋" w:eastAsia="仿宋" w:cs="仿宋"/>
          <w:sz w:val="24"/>
          <w:highlight w:val="none"/>
          <w:lang w:val="en-US"/>
        </w:rPr>
        <w:t>2</w:t>
      </w:r>
      <w:r>
        <w:rPr>
          <w:rFonts w:hint="eastAsia" w:ascii="仿宋" w:hAnsi="仿宋" w:eastAsia="仿宋" w:cs="仿宋"/>
          <w:sz w:val="24"/>
          <w:highlight w:val="none"/>
        </w:rPr>
        <w:t>名专职运维工程师驻场保障服务。</w:t>
      </w:r>
    </w:p>
    <w:p>
      <w:pPr>
        <w:spacing w:line="360" w:lineRule="auto"/>
        <w:rPr>
          <w:rFonts w:hint="eastAsia" w:ascii="仿宋" w:hAnsi="仿宋" w:eastAsia="仿宋" w:cs="仿宋"/>
          <w:b/>
          <w:sz w:val="24"/>
          <w:highlight w:val="none"/>
        </w:rPr>
      </w:pPr>
      <w:r>
        <w:rPr>
          <w:rFonts w:hint="eastAsia" w:ascii="仿宋" w:hAnsi="仿宋" w:eastAsia="仿宋" w:cs="仿宋"/>
          <w:b/>
          <w:sz w:val="24"/>
          <w:highlight w:val="none"/>
          <w:lang w:val="en-US" w:eastAsia="zh-CN"/>
        </w:rPr>
        <w:t>3、</w:t>
      </w:r>
      <w:r>
        <w:rPr>
          <w:rFonts w:hint="eastAsia" w:ascii="仿宋" w:hAnsi="仿宋" w:eastAsia="仿宋" w:cs="仿宋"/>
          <w:b/>
          <w:sz w:val="24"/>
          <w:highlight w:val="none"/>
        </w:rPr>
        <w:t>安全保密</w:t>
      </w:r>
    </w:p>
    <w:p>
      <w:pPr>
        <w:widowControl/>
        <w:tabs>
          <w:tab w:val="left" w:pos="8100"/>
        </w:tabs>
        <w:spacing w:before="156" w:beforeAutospacing="1" w:after="156" w:afterAutospacing="1" w:line="420" w:lineRule="exact"/>
        <w:ind w:firstLine="480" w:firstLineChars="200"/>
        <w:jc w:val="left"/>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成交人须加强数据安全保密工作，运维保障人员需签订数据安全保密协议，确因成交人原因造成招标人数据泄露、丢失等损失的，依法追求成交人责任。</w:t>
      </w:r>
    </w:p>
    <w:p>
      <w:pPr>
        <w:spacing w:line="520" w:lineRule="exact"/>
        <w:rPr>
          <w:rFonts w:hint="eastAsia" w:ascii="仿宋" w:hAnsi="仿宋" w:eastAsia="仿宋" w:cs="仿宋"/>
          <w:b/>
          <w:sz w:val="24"/>
          <w:highlight w:val="none"/>
        </w:rPr>
      </w:pPr>
      <w:r>
        <w:rPr>
          <w:rFonts w:hint="eastAsia" w:ascii="仿宋" w:hAnsi="仿宋" w:eastAsia="仿宋" w:cs="仿宋"/>
          <w:b/>
          <w:sz w:val="24"/>
          <w:highlight w:val="none"/>
          <w:lang w:val="en-US" w:eastAsia="zh-CN"/>
        </w:rPr>
        <w:t>4、</w:t>
      </w:r>
      <w:r>
        <w:rPr>
          <w:rFonts w:hint="eastAsia" w:ascii="仿宋" w:hAnsi="仿宋" w:eastAsia="仿宋" w:cs="仿宋"/>
          <w:b/>
          <w:sz w:val="24"/>
          <w:highlight w:val="none"/>
        </w:rPr>
        <w:t>技术保障</w:t>
      </w:r>
    </w:p>
    <w:p>
      <w:pPr>
        <w:widowControl/>
        <w:tabs>
          <w:tab w:val="left" w:pos="8100"/>
        </w:tabs>
        <w:spacing w:before="156" w:beforeAutospacing="1" w:after="156" w:afterAutospacing="1" w:line="420" w:lineRule="exact"/>
        <w:ind w:firstLine="480" w:firstLineChars="200"/>
        <w:jc w:val="left"/>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运维维护期内，需提供 7*24 小时热线电话或电子邮件服务，对招标人提出的系统问题、发现的程序错误等，在最短的时间内予以响应，1小时内做出明确安排并做出故障诊断报告。若驻场人员不能有效解决问题的，具有解决故障能力的工程师应在4小时内到达现场提供支持。</w:t>
      </w:r>
    </w:p>
    <w:p>
      <w:pPr>
        <w:spacing w:line="520" w:lineRule="exact"/>
        <w:rPr>
          <w:rFonts w:hint="eastAsia" w:ascii="仿宋" w:hAnsi="仿宋" w:eastAsia="仿宋" w:cs="仿宋"/>
          <w:b/>
          <w:sz w:val="24"/>
          <w:highlight w:val="none"/>
        </w:rPr>
      </w:pPr>
      <w:r>
        <w:rPr>
          <w:rFonts w:hint="eastAsia" w:ascii="仿宋" w:hAnsi="仿宋" w:eastAsia="仿宋" w:cs="仿宋"/>
          <w:b/>
          <w:sz w:val="24"/>
          <w:highlight w:val="none"/>
          <w:lang w:val="en-US" w:eastAsia="zh-CN"/>
        </w:rPr>
        <w:t>5、</w:t>
      </w:r>
      <w:r>
        <w:rPr>
          <w:rFonts w:hint="eastAsia" w:ascii="仿宋" w:hAnsi="仿宋" w:eastAsia="仿宋" w:cs="仿宋"/>
          <w:b/>
          <w:sz w:val="24"/>
          <w:highlight w:val="none"/>
        </w:rPr>
        <w:t>技术培训</w:t>
      </w:r>
    </w:p>
    <w:p>
      <w:pPr>
        <w:widowControl/>
        <w:tabs>
          <w:tab w:val="left" w:pos="8100"/>
        </w:tabs>
        <w:spacing w:before="156" w:beforeAutospacing="1" w:after="156" w:afterAutospacing="1" w:line="420" w:lineRule="exact"/>
        <w:ind w:firstLine="480" w:firstLineChars="200"/>
        <w:jc w:val="left"/>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成交人需负责对招标人的技术人员进行培训。供应商须在响应文件中提供详细的培训计划，包括培训内容、培训时间、培训费用等。技术培训费用应包含在投标总价。</w:t>
      </w:r>
    </w:p>
    <w:p>
      <w:pPr>
        <w:spacing w:line="520" w:lineRule="exact"/>
        <w:rPr>
          <w:rFonts w:ascii="仿宋" w:hAnsi="仿宋" w:eastAsia="仿宋" w:cs="仿宋"/>
          <w:b/>
          <w:sz w:val="24"/>
          <w:highlight w:val="none"/>
        </w:rPr>
      </w:pPr>
      <w:r>
        <w:rPr>
          <w:rFonts w:hint="eastAsia" w:ascii="仿宋" w:hAnsi="仿宋" w:eastAsia="仿宋" w:cs="仿宋"/>
          <w:b/>
          <w:sz w:val="24"/>
          <w:highlight w:val="none"/>
          <w:lang w:val="en-US" w:eastAsia="zh-CN"/>
        </w:rPr>
        <w:t>6、</w:t>
      </w:r>
      <w:r>
        <w:rPr>
          <w:rFonts w:hint="eastAsia" w:ascii="仿宋" w:hAnsi="仿宋" w:eastAsia="仿宋" w:cs="仿宋"/>
          <w:b/>
          <w:sz w:val="24"/>
          <w:highlight w:val="none"/>
        </w:rPr>
        <w:t>数据归集</w:t>
      </w:r>
    </w:p>
    <w:p>
      <w:pPr>
        <w:widowControl/>
        <w:tabs>
          <w:tab w:val="left" w:pos="8100"/>
        </w:tabs>
        <w:spacing w:before="156" w:beforeAutospacing="1" w:after="156" w:afterAutospacing="1" w:line="420" w:lineRule="exact"/>
        <w:ind w:firstLine="480" w:firstLineChars="200"/>
        <w:jc w:val="left"/>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本标段实施省市数据同步和归集过程中，确需第三方提供技术支持服务的，经招标人协调确认后，由成交人做好实施对接工作。</w:t>
      </w:r>
    </w:p>
    <w:p>
      <w:pPr>
        <w:spacing w:line="520" w:lineRule="exact"/>
        <w:rPr>
          <w:rFonts w:ascii="仿宋" w:hAnsi="仿宋" w:eastAsia="仿宋" w:cs="仿宋"/>
          <w:b/>
          <w:sz w:val="24"/>
          <w:highlight w:val="none"/>
        </w:rPr>
      </w:pPr>
      <w:r>
        <w:rPr>
          <w:rFonts w:hint="eastAsia" w:ascii="仿宋" w:hAnsi="仿宋" w:eastAsia="仿宋" w:cs="仿宋"/>
          <w:b/>
          <w:sz w:val="24"/>
          <w:highlight w:val="none"/>
          <w:lang w:val="en-US" w:eastAsia="zh-CN"/>
        </w:rPr>
        <w:t>7、</w:t>
      </w:r>
      <w:r>
        <w:rPr>
          <w:rFonts w:hint="eastAsia" w:ascii="仿宋" w:hAnsi="仿宋" w:eastAsia="仿宋" w:cs="仿宋"/>
          <w:b/>
          <w:sz w:val="24"/>
          <w:highlight w:val="none"/>
        </w:rPr>
        <w:t>项目验收</w:t>
      </w:r>
    </w:p>
    <w:p>
      <w:pPr>
        <w:pStyle w:val="19"/>
        <w:ind w:firstLine="480"/>
        <w:rPr>
          <w:rFonts w:hint="eastAsia" w:ascii="仿宋" w:hAnsi="仿宋" w:eastAsia="仿宋" w:cs="仿宋"/>
          <w:sz w:val="24"/>
          <w:highlight w:val="none"/>
        </w:rPr>
      </w:pPr>
      <w:r>
        <w:rPr>
          <w:rFonts w:hint="eastAsia" w:ascii="仿宋" w:hAnsi="仿宋" w:eastAsia="仿宋" w:cs="仿宋"/>
          <w:bCs/>
          <w:kern w:val="2"/>
          <w:sz w:val="24"/>
          <w:szCs w:val="24"/>
          <w:highlight w:val="none"/>
          <w:lang w:val="en-US" w:eastAsia="zh-CN" w:bidi="ar-SA"/>
        </w:rPr>
        <w:t>本</w:t>
      </w:r>
      <w:r>
        <w:rPr>
          <w:rFonts w:hint="eastAsia" w:ascii="仿宋" w:hAnsi="仿宋" w:eastAsia="仿宋" w:cs="仿宋"/>
          <w:sz w:val="24"/>
          <w:highlight w:val="none"/>
        </w:rPr>
        <w:t>项目服务期满，由采购人组织专家进行验收，有关费用由成交人承担。</w:t>
      </w:r>
    </w:p>
    <w:p>
      <w:pPr>
        <w:spacing w:line="360" w:lineRule="auto"/>
        <w:ind w:firstLine="480"/>
        <w:rPr>
          <w:rFonts w:eastAsia="宋体" w:cs="Times New Roman"/>
          <w:sz w:val="24"/>
        </w:rPr>
      </w:pPr>
    </w:p>
    <w:p>
      <w:pPr>
        <w:spacing w:line="360" w:lineRule="auto"/>
        <w:rPr>
          <w:rFonts w:hint="eastAsia" w:ascii="黑体" w:hAnsi="黑体" w:eastAsia="黑体" w:cs="黑体"/>
          <w:b/>
          <w:sz w:val="24"/>
          <w:highlight w:val="none"/>
          <w:lang w:val="en-US" w:eastAsia="zh-CN"/>
        </w:rPr>
      </w:pPr>
      <w:r>
        <w:rPr>
          <w:rFonts w:hint="eastAsia" w:ascii="黑体" w:hAnsi="黑体" w:eastAsia="黑体" w:cs="黑体"/>
          <w:b/>
          <w:sz w:val="24"/>
          <w:highlight w:val="none"/>
          <w:lang w:val="en-US" w:eastAsia="zh-CN"/>
        </w:rPr>
        <w:t>三、商务要求</w:t>
      </w:r>
    </w:p>
    <w:p>
      <w:pPr>
        <w:spacing w:line="360" w:lineRule="auto"/>
        <w:rPr>
          <w:rFonts w:hint="default" w:eastAsia="宋体" w:cs="Times New Roman"/>
          <w:sz w:val="24"/>
          <w:lang w:val="en-US" w:eastAsia="zh-CN"/>
        </w:rPr>
      </w:pPr>
    </w:p>
    <w:tbl>
      <w:tblPr>
        <w:tblStyle w:val="26"/>
        <w:tblW w:w="9151"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7141"/>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2010" w:type="dxa"/>
            <w:tcBorders>
              <w:tl2br w:val="nil"/>
              <w:tr2bl w:val="nil"/>
            </w:tcBorders>
            <w:noWrap w:val="0"/>
            <w:vAlign w:val="center"/>
          </w:tcPr>
          <w:p>
            <w:pPr>
              <w:keepNext w:val="0"/>
              <w:keepLines w:val="0"/>
              <w:suppressLineNumbers w:val="0"/>
              <w:tabs>
                <w:tab w:val="left" w:pos="0"/>
              </w:tabs>
              <w:spacing w:before="0" w:beforeAutospacing="0" w:after="0" w:afterAutospacing="0" w:line="360" w:lineRule="auto"/>
              <w:ind w:left="0" w:right="0"/>
              <w:jc w:val="center"/>
              <w:rPr>
                <w:rFonts w:hint="default" w:ascii="仿宋" w:hAnsi="仿宋" w:eastAsia="仿宋" w:cs="仿宋"/>
                <w:b/>
                <w:bCs/>
                <w:sz w:val="24"/>
                <w:highlight w:val="none"/>
              </w:rPr>
            </w:pPr>
            <w:r>
              <w:rPr>
                <w:rFonts w:hint="eastAsia" w:ascii="仿宋" w:hAnsi="仿宋" w:eastAsia="仿宋" w:cs="仿宋"/>
                <w:b/>
                <w:bCs/>
                <w:sz w:val="24"/>
                <w:highlight w:val="none"/>
              </w:rPr>
              <w:t>服务期</w:t>
            </w:r>
          </w:p>
        </w:tc>
        <w:tc>
          <w:tcPr>
            <w:tcW w:w="7141" w:type="dxa"/>
            <w:tcBorders>
              <w:tl2br w:val="nil"/>
              <w:tr2bl w:val="nil"/>
            </w:tcBorders>
            <w:noWrap w:val="0"/>
            <w:vAlign w:val="center"/>
          </w:tcPr>
          <w:p>
            <w:pPr>
              <w:keepNext w:val="0"/>
              <w:keepLines w:val="0"/>
              <w:suppressLineNumbers w:val="0"/>
              <w:tabs>
                <w:tab w:val="left" w:pos="0"/>
              </w:tabs>
              <w:spacing w:before="0" w:beforeAutospacing="0" w:after="0" w:afterAutospacing="0" w:line="360" w:lineRule="auto"/>
              <w:ind w:left="0" w:right="0"/>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一年</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2010" w:type="dxa"/>
            <w:tcBorders>
              <w:tl2br w:val="nil"/>
              <w:tr2bl w:val="nil"/>
            </w:tcBorders>
            <w:noWrap w:val="0"/>
            <w:vAlign w:val="center"/>
          </w:tcPr>
          <w:p>
            <w:pPr>
              <w:keepNext w:val="0"/>
              <w:keepLines w:val="0"/>
              <w:suppressLineNumbers w:val="0"/>
              <w:tabs>
                <w:tab w:val="left" w:pos="0"/>
              </w:tabs>
              <w:spacing w:before="0" w:beforeAutospacing="0" w:after="0" w:afterAutospacing="0" w:line="360" w:lineRule="auto"/>
              <w:ind w:left="0" w:right="0"/>
              <w:jc w:val="center"/>
              <w:rPr>
                <w:rFonts w:hint="default" w:ascii="仿宋" w:hAnsi="仿宋" w:eastAsia="仿宋" w:cs="仿宋"/>
                <w:b/>
                <w:bCs/>
                <w:sz w:val="24"/>
                <w:highlight w:val="none"/>
              </w:rPr>
            </w:pPr>
            <w:r>
              <w:rPr>
                <w:rFonts w:hint="eastAsia" w:ascii="仿宋" w:hAnsi="仿宋" w:eastAsia="仿宋" w:cs="仿宋"/>
                <w:b/>
                <w:bCs/>
                <w:sz w:val="24"/>
                <w:highlight w:val="none"/>
              </w:rPr>
              <w:t>服务地点</w:t>
            </w:r>
          </w:p>
        </w:tc>
        <w:tc>
          <w:tcPr>
            <w:tcW w:w="7141" w:type="dxa"/>
            <w:tcBorders>
              <w:tl2br w:val="nil"/>
              <w:tr2bl w:val="nil"/>
            </w:tcBorders>
            <w:noWrap w:val="0"/>
            <w:vAlign w:val="center"/>
          </w:tcPr>
          <w:p>
            <w:pPr>
              <w:keepNext w:val="0"/>
              <w:keepLines w:val="0"/>
              <w:suppressLineNumbers w:val="0"/>
              <w:tabs>
                <w:tab w:val="left" w:pos="0"/>
                <w:tab w:val="left" w:pos="360"/>
              </w:tabs>
              <w:spacing w:before="0" w:beforeAutospacing="0" w:after="0" w:afterAutospacing="0" w:line="360" w:lineRule="auto"/>
              <w:ind w:left="0" w:right="0"/>
              <w:rPr>
                <w:rFonts w:hint="default" w:ascii="仿宋" w:hAnsi="仿宋" w:eastAsia="仿宋" w:cs="仿宋"/>
                <w:sz w:val="24"/>
                <w:highlight w:val="none"/>
              </w:rPr>
            </w:pPr>
            <w:r>
              <w:rPr>
                <w:rFonts w:hint="eastAsia" w:ascii="仿宋" w:hAnsi="仿宋" w:eastAsia="仿宋" w:cs="仿宋"/>
                <w:sz w:val="24"/>
                <w:highlight w:val="none"/>
              </w:rPr>
              <w:t>由采购人指定</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2010" w:type="dxa"/>
            <w:tcBorders>
              <w:tl2br w:val="nil"/>
              <w:tr2bl w:val="nil"/>
            </w:tcBorders>
            <w:noWrap w:val="0"/>
            <w:vAlign w:val="center"/>
          </w:tcPr>
          <w:p>
            <w:pPr>
              <w:keepNext w:val="0"/>
              <w:keepLines w:val="0"/>
              <w:suppressLineNumbers w:val="0"/>
              <w:tabs>
                <w:tab w:val="left" w:pos="0"/>
              </w:tabs>
              <w:spacing w:before="0" w:beforeAutospacing="0" w:after="0" w:afterAutospacing="0" w:line="360" w:lineRule="auto"/>
              <w:ind w:left="0" w:right="0"/>
              <w:jc w:val="center"/>
              <w:rPr>
                <w:rFonts w:hint="default" w:ascii="仿宋" w:hAnsi="仿宋" w:eastAsia="仿宋" w:cs="仿宋"/>
                <w:b/>
                <w:bCs/>
                <w:sz w:val="24"/>
                <w:highlight w:val="none"/>
              </w:rPr>
            </w:pPr>
            <w:r>
              <w:rPr>
                <w:rFonts w:hint="eastAsia" w:ascii="仿宋" w:hAnsi="仿宋" w:eastAsia="仿宋" w:cs="仿宋"/>
                <w:b/>
                <w:bCs/>
                <w:sz w:val="24"/>
                <w:highlight w:val="none"/>
              </w:rPr>
              <w:t>付款方式</w:t>
            </w:r>
          </w:p>
        </w:tc>
        <w:tc>
          <w:tcPr>
            <w:tcW w:w="714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400" w:lineRule="exact"/>
              <w:ind w:left="0" w:right="0"/>
              <w:jc w:val="both"/>
              <w:textAlignment w:val="auto"/>
              <w:rPr>
                <w:rFonts w:hint="eastAsia" w:ascii="仿宋" w:hAnsi="仿宋" w:eastAsia="仿宋" w:cs="仿宋"/>
                <w:bCs/>
                <w:color w:val="auto"/>
                <w:sz w:val="24"/>
                <w:szCs w:val="24"/>
                <w:highlight w:val="none"/>
                <w:lang w:val="en-US"/>
              </w:rPr>
            </w:pPr>
            <w:r>
              <w:rPr>
                <w:rFonts w:hint="eastAsia" w:ascii="仿宋" w:hAnsi="仿宋" w:eastAsia="仿宋" w:cs="仿宋"/>
                <w:b/>
                <w:bCs/>
                <w:color w:val="auto"/>
                <w:kern w:val="0"/>
                <w:sz w:val="24"/>
                <w:szCs w:val="24"/>
                <w:highlight w:val="none"/>
                <w:lang w:val="en-US" w:eastAsia="zh-CN" w:bidi="ar"/>
              </w:rPr>
              <w:t xml:space="preserve">根据《保障中小企业款项支付条例》、省财政厅《关于进一步发挥政府采购政策功能全力推动经济稳进提质的通知》（浙财采监【2022】3号）要求，制定如下付款方式： </w:t>
            </w:r>
          </w:p>
          <w:p>
            <w:pPr>
              <w:keepNext w:val="0"/>
              <w:keepLines w:val="0"/>
              <w:suppressLineNumbers w:val="0"/>
              <w:tabs>
                <w:tab w:val="left" w:pos="0"/>
              </w:tabs>
              <w:spacing w:before="0" w:beforeAutospacing="0" w:after="0" w:afterAutospacing="0" w:line="360" w:lineRule="auto"/>
              <w:ind w:left="0" w:right="0"/>
              <w:rPr>
                <w:rFonts w:hint="default" w:ascii="仿宋" w:hAnsi="仿宋" w:eastAsia="仿宋" w:cs="仿宋"/>
                <w:bCs/>
                <w:sz w:val="24"/>
                <w:highlight w:val="none"/>
              </w:rPr>
            </w:pPr>
            <w:r>
              <w:rPr>
                <w:rFonts w:hint="eastAsia" w:ascii="仿宋" w:hAnsi="仿宋" w:eastAsia="仿宋" w:cs="仿宋"/>
                <w:bCs/>
                <w:sz w:val="24"/>
                <w:highlight w:val="none"/>
              </w:rPr>
              <w:t>1、合同生效及具备实施条件后7个工作日支付合同款项的50%</w:t>
            </w:r>
            <w:r>
              <w:rPr>
                <w:rFonts w:hint="eastAsia" w:ascii="仿宋" w:hAnsi="仿宋" w:eastAsia="仿宋" w:cs="仿宋"/>
                <w:bCs/>
                <w:sz w:val="24"/>
                <w:highlight w:val="none"/>
                <w:lang w:eastAsia="zh-CN"/>
              </w:rPr>
              <w:t>，</w:t>
            </w:r>
            <w:r>
              <w:rPr>
                <w:rFonts w:hint="eastAsia" w:ascii="仿宋" w:hAnsi="仿宋" w:eastAsia="仿宋" w:cs="仿宋"/>
                <w:bCs/>
                <w:sz w:val="24"/>
                <w:highlight w:val="none"/>
                <w:lang w:val="en-US" w:eastAsia="zh-CN"/>
              </w:rPr>
              <w:t>作为预付款</w:t>
            </w:r>
            <w:r>
              <w:rPr>
                <w:rFonts w:hint="eastAsia" w:ascii="仿宋" w:hAnsi="仿宋" w:eastAsia="仿宋" w:cs="仿宋"/>
                <w:bCs/>
                <w:sz w:val="24"/>
                <w:highlight w:val="none"/>
              </w:rPr>
              <w:t>；运维期结束后经验收合格，支付至合同款项的100%。</w:t>
            </w:r>
          </w:p>
          <w:p>
            <w:pPr>
              <w:keepNext w:val="0"/>
              <w:keepLines w:val="0"/>
              <w:suppressLineNumbers w:val="0"/>
              <w:tabs>
                <w:tab w:val="left" w:pos="0"/>
              </w:tabs>
              <w:spacing w:before="0" w:beforeAutospacing="0" w:after="0" w:afterAutospacing="0" w:line="360" w:lineRule="auto"/>
              <w:ind w:left="0" w:right="0"/>
              <w:rPr>
                <w:rFonts w:hint="default" w:ascii="仿宋" w:hAnsi="仿宋" w:eastAsia="仿宋" w:cs="仿宋"/>
                <w:bCs/>
                <w:sz w:val="24"/>
                <w:highlight w:val="none"/>
              </w:rPr>
            </w:pPr>
            <w:r>
              <w:rPr>
                <w:rFonts w:hint="eastAsia" w:ascii="仿宋" w:hAnsi="仿宋" w:eastAsia="仿宋" w:cs="仿宋"/>
                <w:bCs/>
                <w:sz w:val="24"/>
                <w:highlight w:val="none"/>
              </w:rPr>
              <w:t>2、中标人在结算合同价款时须提供合法税务发票。</w:t>
            </w:r>
          </w:p>
        </w:tc>
      </w:tr>
    </w:tbl>
    <w:p>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p>
    <w:p>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p>
    <w:p>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p>
    <w:p>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p>
    <w:p>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p>
    <w:p>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p>
    <w:p>
      <w:pPr>
        <w:widowControl/>
        <w:spacing w:line="440" w:lineRule="exact"/>
        <w:ind w:right="60"/>
        <w:jc w:val="both"/>
        <w:outlineLvl w:val="0"/>
        <w:rPr>
          <w:rFonts w:hint="eastAsia" w:ascii="仿宋" w:hAnsi="仿宋" w:eastAsia="仿宋" w:cs="仿宋"/>
          <w:b/>
          <w:bCs/>
          <w:color w:val="auto"/>
          <w:kern w:val="44"/>
          <w:sz w:val="36"/>
          <w:szCs w:val="36"/>
          <w:highlight w:val="none"/>
          <w:lang w:val="en-US" w:eastAsia="zh-CN" w:bidi="ar-SA"/>
        </w:rPr>
      </w:pPr>
    </w:p>
    <w:p>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p>
    <w:p>
      <w:pPr>
        <w:widowControl/>
        <w:spacing w:line="440" w:lineRule="exact"/>
        <w:ind w:right="60"/>
        <w:jc w:val="center"/>
        <w:outlineLvl w:val="0"/>
        <w:rPr>
          <w:rFonts w:hint="eastAsia" w:ascii="仿宋" w:hAnsi="仿宋" w:eastAsia="仿宋" w:cs="仿宋"/>
          <w:b/>
          <w:bCs/>
          <w:color w:val="auto"/>
          <w:kern w:val="44"/>
          <w:sz w:val="36"/>
          <w:szCs w:val="36"/>
          <w:highlight w:val="none"/>
          <w:lang w:val="en-US" w:eastAsia="zh-CN" w:bidi="ar-SA"/>
        </w:rPr>
      </w:pPr>
      <w:bookmarkStart w:id="15" w:name="_GoBack"/>
      <w:bookmarkEnd w:id="15"/>
      <w:r>
        <w:rPr>
          <w:rFonts w:hint="eastAsia" w:ascii="仿宋" w:hAnsi="仿宋" w:eastAsia="仿宋" w:cs="仿宋"/>
          <w:b/>
          <w:bCs/>
          <w:color w:val="auto"/>
          <w:kern w:val="44"/>
          <w:sz w:val="36"/>
          <w:szCs w:val="36"/>
          <w:highlight w:val="none"/>
          <w:lang w:val="en-US" w:eastAsia="zh-CN" w:bidi="ar-SA"/>
        </w:rPr>
        <w:t>第三章  供应商须知</w:t>
      </w:r>
    </w:p>
    <w:p>
      <w:pPr>
        <w:pStyle w:val="3"/>
        <w:spacing w:line="440" w:lineRule="exac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前 附 表</w:t>
      </w:r>
      <w:bookmarkEnd w:id="5"/>
    </w:p>
    <w:tbl>
      <w:tblPr>
        <w:tblStyle w:val="26"/>
        <w:tblW w:w="995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736"/>
        <w:gridCol w:w="751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项  目</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内容与要求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ind w:left="0" w:right="0"/>
              <w:rPr>
                <w:rFonts w:hint="default" w:ascii="仿宋" w:hAnsi="仿宋" w:eastAsia="仿宋" w:cs="仿宋"/>
                <w:bCs/>
                <w:color w:val="auto"/>
                <w:spacing w:val="-4"/>
                <w:sz w:val="24"/>
                <w:highlight w:val="none"/>
                <w:lang w:val="en-US" w:eastAsia="zh-CN"/>
              </w:rPr>
            </w:pPr>
            <w:r>
              <w:rPr>
                <w:rFonts w:hint="eastAsia" w:ascii="仿宋" w:hAnsi="仿宋" w:eastAsia="仿宋" w:cs="宋体"/>
                <w:bCs/>
                <w:color w:val="auto"/>
                <w:sz w:val="24"/>
                <w:highlight w:val="none"/>
                <w:lang w:eastAsia="zh-CN"/>
              </w:rPr>
              <w:t>2024年度湖州人社核心应用软件系统运维保障服务采购项目（</w:t>
            </w:r>
            <w:r>
              <w:rPr>
                <w:rFonts w:hint="eastAsia" w:ascii="仿宋" w:hAnsi="仿宋" w:eastAsia="仿宋" w:cs="宋体"/>
                <w:bCs/>
                <w:color w:val="auto"/>
                <w:sz w:val="24"/>
                <w:highlight w:val="none"/>
                <w:lang w:val="en-US" w:eastAsia="zh-CN"/>
              </w:rPr>
              <w:t>标项一</w:t>
            </w:r>
            <w:r>
              <w:rPr>
                <w:rFonts w:hint="eastAsia" w:ascii="仿宋" w:hAnsi="仿宋" w:eastAsia="仿宋"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2</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编号</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磋商文件编号：XCXHZ-2024-0</w:t>
            </w:r>
            <w:r>
              <w:rPr>
                <w:rFonts w:hint="eastAsia" w:ascii="仿宋" w:hAnsi="仿宋" w:eastAsia="仿宋" w:cs="仿宋"/>
                <w:bCs/>
                <w:color w:val="auto"/>
                <w:spacing w:val="-4"/>
                <w:sz w:val="24"/>
                <w:highlight w:val="none"/>
                <w:lang w:val="en-US" w:eastAsia="zh-CN"/>
              </w:rPr>
              <w:t>31-001</w:t>
            </w:r>
            <w:r>
              <w:rPr>
                <w:rFonts w:hint="eastAsia" w:ascii="仿宋" w:hAnsi="仿宋" w:eastAsia="仿宋" w:cs="仿宋"/>
                <w:bCs/>
                <w:color w:val="auto"/>
                <w:spacing w:val="-4"/>
                <w:sz w:val="24"/>
                <w:highlight w:val="none"/>
              </w:rPr>
              <w:t>（CG）</w:t>
            </w:r>
          </w:p>
          <w:p>
            <w:pPr>
              <w:keepNext w:val="0"/>
              <w:keepLines w:val="0"/>
              <w:suppressLineNumbers w:val="0"/>
              <w:spacing w:before="0" w:beforeAutospacing="0" w:after="0" w:afterAutospacing="0" w:line="530" w:lineRule="exact"/>
              <w:ind w:left="0" w:right="0"/>
              <w:rPr>
                <w:rFonts w:hint="default"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财政审批编号：</w:t>
            </w:r>
            <w:r>
              <w:rPr>
                <w:rFonts w:hint="eastAsia" w:ascii="仿宋" w:hAnsi="仿宋" w:eastAsia="仿宋" w:cs="仿宋"/>
                <w:bCs/>
                <w:color w:val="auto"/>
                <w:spacing w:val="-4"/>
                <w:sz w:val="24"/>
                <w:highlight w:val="none"/>
                <w:lang w:val="en-US" w:eastAsia="zh-CN"/>
              </w:rPr>
              <w:t>湖</w:t>
            </w:r>
            <w:r>
              <w:rPr>
                <w:rFonts w:hint="eastAsia" w:ascii="仿宋" w:hAnsi="仿宋" w:eastAsia="仿宋" w:cs="仿宋"/>
                <w:bCs/>
                <w:color w:val="auto"/>
                <w:spacing w:val="-4"/>
                <w:sz w:val="24"/>
                <w:highlight w:val="none"/>
              </w:rPr>
              <w:t>财采确[2024]</w:t>
            </w:r>
            <w:r>
              <w:rPr>
                <w:rFonts w:hint="eastAsia" w:ascii="仿宋" w:hAnsi="仿宋" w:eastAsia="仿宋" w:cs="仿宋"/>
                <w:bCs/>
                <w:color w:val="auto"/>
                <w:spacing w:val="-4"/>
                <w:sz w:val="24"/>
                <w:highlight w:val="none"/>
                <w:lang w:val="en-US" w:eastAsia="zh-CN"/>
              </w:rPr>
              <w:t>7777</w:t>
            </w:r>
            <w:r>
              <w:rPr>
                <w:rFonts w:hint="eastAsia" w:ascii="仿宋" w:hAnsi="仿宋" w:eastAsia="仿宋" w:cs="仿宋"/>
                <w:bCs/>
                <w:color w:val="auto"/>
                <w:spacing w:val="-4"/>
                <w:sz w:val="24"/>
                <w:highlight w:val="none"/>
              </w:rPr>
              <w:t>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3</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磋商内容</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湖州市“湖州人社”专区、一体化平台和公共就业系统服务保障采购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4</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项目实施地点</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bCs/>
                <w:color w:val="auto"/>
                <w:spacing w:val="-4"/>
                <w:sz w:val="24"/>
                <w:highlight w:val="none"/>
              </w:rPr>
            </w:pPr>
            <w:r>
              <w:rPr>
                <w:rFonts w:hint="eastAsia" w:ascii="仿宋" w:hAnsi="仿宋" w:eastAsia="仿宋" w:cs="仿宋"/>
                <w:color w:val="auto"/>
                <w:sz w:val="24"/>
                <w:highlight w:val="none"/>
              </w:rPr>
              <w:t>根据采购人指定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5</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答疑时间</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供应商如认为</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w:t>
            </w:r>
            <w:r>
              <w:rPr>
                <w:rFonts w:hint="eastAsia" w:ascii="仿宋" w:hAnsi="仿宋" w:eastAsia="仿宋" w:cs="仿宋"/>
                <w:color w:val="auto"/>
                <w:sz w:val="24"/>
                <w:highlight w:val="none"/>
                <w:lang w:val="en-US" w:eastAsia="zh-CN"/>
              </w:rPr>
              <w:t>采购</w:t>
            </w:r>
            <w:r>
              <w:rPr>
                <w:rFonts w:hint="eastAsia" w:ascii="仿宋" w:hAnsi="仿宋" w:eastAsia="仿宋" w:cs="仿宋"/>
                <w:color w:val="auto"/>
                <w:sz w:val="24"/>
                <w:highlight w:val="none"/>
              </w:rPr>
              <w:t>文件的组成部分，并将在网上发布补充（答疑、澄清）文件，潜在供应商应自行关注网站公告，采购人不再一一通知，供应商因自身贻误行为导致投标失效的，责任自负。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6</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响应文件要求</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numPr>
                <w:ilvl w:val="0"/>
                <w:numId w:val="4"/>
              </w:numPr>
              <w:suppressLineNumbers w:val="0"/>
              <w:spacing w:before="0" w:beforeAutospacing="0" w:after="0" w:afterAutospacing="0" w:line="530" w:lineRule="exact"/>
              <w:ind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响应文件的制作：本项目实行电子磋商。</w:t>
            </w:r>
          </w:p>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 xml:space="preserve">2、供应商应按要求提供电子响应文件及数据电子备份响应文件（U盘），具体内容如下： </w:t>
            </w:r>
          </w:p>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2.1电子响应文件：按政采云平台项目采购-电子交易操作指南及本磋商文件要求制作、加密并递交，超过上传时间的视为放弃磋商资格，作无效标处理；</w:t>
            </w:r>
          </w:p>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2.2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7</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color w:val="auto"/>
                <w:sz w:val="24"/>
                <w:highlight w:val="none"/>
              </w:rPr>
              <w:t>响应截止时间</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kern w:val="0"/>
                <w:sz w:val="24"/>
                <w:highlight w:val="none"/>
              </w:rPr>
              <w:t>2024年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8</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w:t>
            </w:r>
            <w:r>
              <w:rPr>
                <w:rFonts w:hint="eastAsia" w:ascii="仿宋" w:hAnsi="仿宋" w:eastAsia="仿宋" w:cs="仿宋"/>
                <w:bCs/>
                <w:color w:val="auto"/>
                <w:sz w:val="24"/>
                <w:highlight w:val="none"/>
              </w:rPr>
              <w:t>提交</w:t>
            </w:r>
            <w:r>
              <w:rPr>
                <w:rFonts w:hint="eastAsia" w:ascii="仿宋" w:hAnsi="仿宋" w:eastAsia="仿宋" w:cs="仿宋"/>
                <w:color w:val="auto"/>
                <w:sz w:val="24"/>
                <w:highlight w:val="none"/>
              </w:rPr>
              <w:t>地点</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磋商时间：</w:t>
            </w:r>
            <w:r>
              <w:rPr>
                <w:rFonts w:hint="eastAsia" w:ascii="仿宋" w:hAnsi="仿宋" w:eastAsia="仿宋" w:cs="仿宋"/>
                <w:color w:val="auto"/>
                <w:kern w:val="0"/>
                <w:sz w:val="24"/>
                <w:highlight w:val="none"/>
              </w:rPr>
              <w:t>2024年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p>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磋商地点：湖州市公共资源交易中心开标室（湖州市仁皇山片区金盖山路66号2号楼二楼），具体详见二楼休息区电子显示屏。</w:t>
            </w:r>
          </w:p>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湖州市太湖路1155号14层1402室]，联系电话：18768247439。邮寄截止时间：供应商应于2024年</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日17:00时前准时送达，逾期不予受理。未按时送达的，均按未提供处理。</w:t>
            </w:r>
          </w:p>
          <w:p>
            <w:pPr>
              <w:keepNext w:val="0"/>
              <w:keepLines w:val="0"/>
              <w:suppressLineNumbers w:val="0"/>
              <w:spacing w:before="0" w:beforeAutospacing="0" w:after="0" w:afterAutospacing="0" w:line="530" w:lineRule="exact"/>
              <w:ind w:left="0" w:right="0"/>
              <w:rPr>
                <w:rFonts w:hint="default" w:ascii="仿宋" w:hAnsi="仿宋" w:eastAsia="仿宋" w:cs="仿宋"/>
                <w:b/>
                <w:color w:val="auto"/>
                <w:sz w:val="24"/>
                <w:highlight w:val="none"/>
              </w:rPr>
            </w:pPr>
            <w:r>
              <w:rPr>
                <w:rFonts w:hint="eastAsia" w:ascii="仿宋" w:hAnsi="仿宋" w:eastAsia="仿宋" w:cs="仿宋"/>
                <w:b/>
                <w:color w:val="auto"/>
                <w:sz w:val="24"/>
                <w:highlight w:val="none"/>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pPr>
              <w:keepNext w:val="0"/>
              <w:keepLines w:val="0"/>
              <w:suppressLineNumbers w:val="0"/>
              <w:spacing w:before="0" w:beforeAutospacing="0" w:after="0" w:afterAutospacing="0" w:line="530" w:lineRule="exact"/>
              <w:ind w:left="0" w:right="0"/>
              <w:rPr>
                <w:rFonts w:hint="default" w:ascii="仿宋" w:hAnsi="仿宋" w:eastAsia="仿宋" w:cs="仿宋"/>
                <w:b/>
                <w:color w:val="auto"/>
                <w:sz w:val="24"/>
                <w:highlight w:val="none"/>
              </w:rPr>
            </w:pPr>
            <w:r>
              <w:rPr>
                <w:rFonts w:hint="eastAsia" w:ascii="仿宋" w:hAnsi="仿宋" w:eastAsia="仿宋" w:cs="仿宋"/>
                <w:b/>
                <w:color w:val="auto"/>
                <w:sz w:val="24"/>
                <w:highlight w:val="none"/>
              </w:rPr>
              <w:t>4、供应商仅提供其中一种形式的备份响应文件。造成项目开评标活动</w:t>
            </w:r>
          </w:p>
          <w:p>
            <w:pPr>
              <w:keepNext w:val="0"/>
              <w:keepLines w:val="0"/>
              <w:suppressLineNumbers w:val="0"/>
              <w:spacing w:before="0" w:beforeAutospacing="0" w:after="0" w:afterAutospacing="0" w:line="530" w:lineRule="exact"/>
              <w:ind w:left="0" w:right="0"/>
              <w:rPr>
                <w:rFonts w:hint="default" w:ascii="仿宋" w:hAnsi="仿宋" w:eastAsia="仿宋" w:cs="仿宋"/>
                <w:b/>
                <w:color w:val="auto"/>
                <w:sz w:val="24"/>
                <w:highlight w:val="none"/>
              </w:rPr>
            </w:pPr>
            <w:r>
              <w:rPr>
                <w:rFonts w:hint="eastAsia" w:ascii="仿宋" w:hAnsi="仿宋" w:eastAsia="仿宋" w:cs="仿宋"/>
                <w:b/>
                <w:color w:val="auto"/>
                <w:sz w:val="24"/>
                <w:highlight w:val="none"/>
              </w:rPr>
              <w:t>无法进行下去的，相关风险由供应商自行承担。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9</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磋商时间</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kern w:val="0"/>
                <w:sz w:val="24"/>
                <w:highlight w:val="none"/>
              </w:rPr>
              <w:t>2024年</w:t>
            </w: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0</w:t>
            </w:r>
            <w:r>
              <w:rPr>
                <w:rFonts w:hint="eastAsia" w:ascii="仿宋" w:hAnsi="仿宋" w:eastAsia="仿宋" w:cs="仿宋"/>
                <w:color w:val="auto"/>
                <w:kern w:val="0"/>
                <w:sz w:val="24"/>
                <w:highlight w:val="none"/>
              </w:rPr>
              <w:t>0</w:t>
            </w:r>
            <w:r>
              <w:rPr>
                <w:rFonts w:hint="eastAsia" w:ascii="仿宋" w:hAnsi="仿宋" w:eastAsia="仿宋" w:cs="仿宋"/>
                <w:color w:val="auto"/>
                <w:sz w:val="24"/>
                <w:highlight w:val="none"/>
              </w:rPr>
              <w:t>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1"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10</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color w:val="auto"/>
                <w:sz w:val="24"/>
                <w:highlight w:val="none"/>
              </w:rPr>
              <w:t>磋商地点</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湖州市公共资源交易中心开标室（湖州市仁皇山片区金盖山路66号2号楼二楼，届时详见二楼休息区电子显示屏），未按时上传电子响应文件的将拒绝接收，作无效标处理。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11</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firstLine="240" w:firstLineChars="100"/>
              <w:jc w:val="left"/>
              <w:rPr>
                <w:rFonts w:hint="default" w:ascii="仿宋" w:hAnsi="仿宋" w:eastAsia="仿宋" w:cs="仿宋"/>
                <w:color w:val="auto"/>
                <w:sz w:val="24"/>
                <w:highlight w:val="none"/>
              </w:rPr>
            </w:pPr>
            <w:r>
              <w:rPr>
                <w:rFonts w:hint="eastAsia" w:ascii="仿宋" w:hAnsi="仿宋" w:eastAsia="仿宋" w:cs="仿宋"/>
                <w:color w:val="auto"/>
                <w:sz w:val="24"/>
                <w:highlight w:val="none"/>
              </w:rPr>
              <w:t>履约保证金</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仿宋" w:hAnsi="仿宋" w:eastAsia="仿宋" w:cs="仿宋"/>
                <w:color w:val="auto"/>
                <w:sz w:val="24"/>
                <w:highlight w:val="none"/>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12</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color w:val="auto"/>
                <w:sz w:val="24"/>
                <w:highlight w:val="none"/>
              </w:rPr>
              <w:t>磋商</w:t>
            </w:r>
            <w:r>
              <w:rPr>
                <w:rFonts w:hint="eastAsia" w:ascii="仿宋" w:hAnsi="仿宋" w:eastAsia="仿宋" w:cs="仿宋"/>
                <w:bCs/>
                <w:color w:val="auto"/>
                <w:sz w:val="24"/>
                <w:highlight w:val="none"/>
              </w:rPr>
              <w:t>有效期</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60天（日历天）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13</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磋商办法及评分标准</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详见磋商文件第六章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14</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采购人</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湖州市人力资源和社会保障信息中心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15</w:t>
            </w:r>
          </w:p>
        </w:tc>
        <w:tc>
          <w:tcPr>
            <w:tcW w:w="1736"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jc w:val="center"/>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其他</w:t>
            </w:r>
          </w:p>
        </w:tc>
        <w:tc>
          <w:tcPr>
            <w:tcW w:w="751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pacing w:before="0" w:beforeAutospacing="0" w:after="0" w:afterAutospacing="0" w:line="530" w:lineRule="exact"/>
              <w:ind w:left="0" w:right="0"/>
              <w:rPr>
                <w:rFonts w:hint="default" w:ascii="仿宋" w:hAnsi="仿宋" w:eastAsia="仿宋" w:cs="仿宋"/>
                <w:bCs/>
                <w:color w:val="auto"/>
                <w:sz w:val="24"/>
                <w:highlight w:val="none"/>
              </w:rPr>
            </w:pPr>
            <w:r>
              <w:rPr>
                <w:rFonts w:hint="eastAsia" w:ascii="仿宋" w:hAnsi="仿宋" w:eastAsia="仿宋" w:cs="仿宋"/>
                <w:bCs/>
                <w:color w:val="auto"/>
                <w:sz w:val="24"/>
                <w:highlight w:val="none"/>
              </w:rPr>
              <w:t>在确定成交供应商后，签订合同前，成交供应商须提供二份完整的纸质响应文件</w:t>
            </w:r>
            <w:r>
              <w:rPr>
                <w:rFonts w:hint="eastAsia" w:ascii="仿宋" w:hAnsi="仿宋" w:eastAsia="仿宋" w:cs="仿宋"/>
                <w:b/>
                <w:bCs/>
                <w:color w:val="auto"/>
                <w:sz w:val="24"/>
                <w:highlight w:val="none"/>
              </w:rPr>
              <w:t>（包括最后报价文件）</w:t>
            </w:r>
            <w:r>
              <w:rPr>
                <w:rFonts w:hint="eastAsia" w:ascii="仿宋" w:hAnsi="仿宋" w:eastAsia="仿宋" w:cs="仿宋"/>
                <w:bCs/>
                <w:color w:val="auto"/>
                <w:sz w:val="24"/>
                <w:highlight w:val="none"/>
              </w:rPr>
              <w:t>给采购人，纸质响应文件须与电子响应文件格式及内容一致。</w:t>
            </w:r>
          </w:p>
        </w:tc>
      </w:tr>
    </w:tbl>
    <w:p>
      <w:pPr>
        <w:pStyle w:val="3"/>
        <w:spacing w:line="560" w:lineRule="exact"/>
        <w:jc w:val="center"/>
        <w:rPr>
          <w:rFonts w:ascii="仿宋" w:hAnsi="仿宋" w:eastAsia="仿宋" w:cs="仿宋"/>
          <w:color w:val="auto"/>
          <w:sz w:val="28"/>
          <w:szCs w:val="28"/>
          <w:highlight w:val="none"/>
        </w:rPr>
      </w:pPr>
      <w:bookmarkStart w:id="6" w:name="_Toc113441587"/>
      <w:bookmarkStart w:id="7" w:name="_Toc452995896"/>
      <w:r>
        <w:rPr>
          <w:rFonts w:hint="eastAsia" w:ascii="仿宋" w:hAnsi="仿宋" w:eastAsia="仿宋" w:cs="仿宋"/>
          <w:color w:val="auto"/>
          <w:sz w:val="28"/>
          <w:szCs w:val="28"/>
          <w:highlight w:val="none"/>
        </w:rPr>
        <w:t>一、</w:t>
      </w:r>
      <w:bookmarkEnd w:id="6"/>
      <w:r>
        <w:rPr>
          <w:rFonts w:hint="eastAsia" w:ascii="仿宋" w:hAnsi="仿宋" w:eastAsia="仿宋" w:cs="仿宋"/>
          <w:color w:val="auto"/>
          <w:sz w:val="28"/>
          <w:szCs w:val="28"/>
          <w:highlight w:val="none"/>
        </w:rPr>
        <w:t>总  则</w:t>
      </w:r>
      <w:bookmarkEnd w:id="7"/>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1．概况</w:t>
      </w:r>
    </w:p>
    <w:p>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1.1项目名称：</w:t>
      </w:r>
      <w:r>
        <w:rPr>
          <w:rFonts w:hint="eastAsia" w:ascii="仿宋" w:hAnsi="仿宋" w:eastAsia="仿宋" w:cs="宋体"/>
          <w:bCs/>
          <w:color w:val="auto"/>
          <w:sz w:val="24"/>
          <w:highlight w:val="none"/>
          <w:lang w:eastAsia="zh-CN"/>
        </w:rPr>
        <w:t>2024年度湖州人社核心应用软件系统运维保障服务采购项目（</w:t>
      </w:r>
      <w:r>
        <w:rPr>
          <w:rFonts w:hint="eastAsia" w:ascii="仿宋" w:hAnsi="仿宋" w:eastAsia="仿宋" w:cs="宋体"/>
          <w:bCs/>
          <w:color w:val="auto"/>
          <w:sz w:val="24"/>
          <w:highlight w:val="none"/>
          <w:lang w:val="en-US" w:eastAsia="zh-CN"/>
        </w:rPr>
        <w:t>标项一</w:t>
      </w:r>
      <w:r>
        <w:rPr>
          <w:rFonts w:hint="eastAsia" w:ascii="仿宋" w:hAnsi="仿宋" w:eastAsia="仿宋" w:cs="宋体"/>
          <w:bCs/>
          <w:color w:val="auto"/>
          <w:sz w:val="24"/>
          <w:highlight w:val="none"/>
          <w:lang w:eastAsia="zh-CN"/>
        </w:rPr>
        <w:t>）</w:t>
      </w:r>
      <w:r>
        <w:rPr>
          <w:rFonts w:hint="eastAsia" w:ascii="仿宋" w:hAnsi="仿宋" w:eastAsia="仿宋" w:cs="宋体"/>
          <w:bCs/>
          <w:color w:val="auto"/>
          <w:sz w:val="24"/>
          <w:highlight w:val="none"/>
        </w:rPr>
        <w:t>；</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1.2采购人：</w:t>
      </w:r>
      <w:r>
        <w:rPr>
          <w:rFonts w:hint="eastAsia" w:ascii="仿宋" w:hAnsi="仿宋" w:eastAsia="仿宋" w:cs="仿宋"/>
          <w:bCs/>
          <w:color w:val="auto"/>
          <w:sz w:val="24"/>
          <w:highlight w:val="none"/>
          <w:lang w:eastAsia="zh-CN"/>
        </w:rPr>
        <w:t>湖州市人力资源和社会保障信息中心</w:t>
      </w:r>
      <w:r>
        <w:rPr>
          <w:rFonts w:hint="eastAsia" w:ascii="仿宋" w:hAnsi="仿宋" w:eastAsia="仿宋" w:cs="仿宋"/>
          <w:color w:val="auto"/>
          <w:sz w:val="24"/>
          <w:highlight w:val="none"/>
        </w:rPr>
        <w:t>；</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1.3监管部门: 湖州市财政局政府采购监管处；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1.4项目资金来源：已得到政府有关部门的批准，其资金来源已落实；</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1.5采购方式:竞争性磋商；</w:t>
      </w:r>
    </w:p>
    <w:p>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color w:val="auto"/>
          <w:sz w:val="24"/>
          <w:highlight w:val="none"/>
        </w:rPr>
        <w:t>1.6采购项目服务地点：</w:t>
      </w:r>
      <w:r>
        <w:rPr>
          <w:rFonts w:hint="eastAsia" w:ascii="仿宋" w:hAnsi="仿宋" w:eastAsia="仿宋" w:cs="仿宋"/>
          <w:bCs/>
          <w:color w:val="auto"/>
          <w:sz w:val="24"/>
          <w:highlight w:val="none"/>
        </w:rPr>
        <w:t>根据采购人指令</w:t>
      </w:r>
      <w:r>
        <w:rPr>
          <w:rFonts w:hint="eastAsia" w:ascii="仿宋" w:hAnsi="仿宋" w:eastAsia="仿宋" w:cs="仿宋"/>
          <w:color w:val="auto"/>
          <w:sz w:val="24"/>
          <w:highlight w:val="none"/>
        </w:rPr>
        <w:t>；</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1.7</w:t>
      </w:r>
      <w:r>
        <w:rPr>
          <w:rFonts w:hint="eastAsia" w:ascii="仿宋" w:hAnsi="仿宋" w:eastAsia="仿宋" w:cs="仿宋"/>
          <w:color w:val="auto"/>
          <w:sz w:val="24"/>
          <w:highlight w:val="none"/>
        </w:rPr>
        <w:t>采购代理机构：浙江新诚信工程咨询有限公司；</w:t>
      </w:r>
    </w:p>
    <w:p>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1.8本磋商文件适用于</w:t>
      </w:r>
      <w:r>
        <w:rPr>
          <w:rFonts w:hint="eastAsia" w:ascii="仿宋" w:hAnsi="仿宋" w:eastAsia="仿宋" w:cs="仿宋"/>
          <w:bCs/>
          <w:color w:val="auto"/>
          <w:sz w:val="24"/>
          <w:highlight w:val="none"/>
        </w:rPr>
        <w:t>本</w:t>
      </w:r>
      <w:r>
        <w:rPr>
          <w:rFonts w:hint="eastAsia" w:ascii="仿宋" w:hAnsi="仿宋" w:eastAsia="仿宋" w:cs="仿宋"/>
          <w:color w:val="auto"/>
          <w:sz w:val="24"/>
          <w:highlight w:val="none"/>
        </w:rPr>
        <w:t>项目的磋商、成交、验收、合同履约、付款等（如法律、法规或省级以上规范性文件另有规定的，从其规定）。</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2．供应商的资格条件</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符合《中华人民共和国政府采购法》第二十二条规定且未被“信用中国”（www.creditchina.gov.cn）、“中国政府采购网”（www.ccgp.gov.cn）等列入失信被执行人、重大税收违法案件当事人名单、政府采购严重违法失信行为记录名单。</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olor w:val="auto"/>
          <w:sz w:val="24"/>
          <w:highlight w:val="none"/>
        </w:rPr>
        <w:t>2.2</w:t>
      </w:r>
      <w:r>
        <w:rPr>
          <w:rFonts w:hint="eastAsia" w:ascii="仿宋" w:hAnsi="仿宋" w:eastAsia="仿宋" w:cs="仿宋"/>
          <w:color w:val="auto"/>
          <w:sz w:val="24"/>
          <w:highlight w:val="none"/>
        </w:rPr>
        <w:t>本项目专门面向中小企业采购, 供应商需符合《政府采购促进中小企业发展管理办法》（财库【2020】46号）和提供本采购文件规定的《中小企业声明函》(监狱企业参加投标提供《监狱企业声明函》及其相关的证明材料、残疾人福利性单位参加投标提供《残疾人福利性单位声明函》，视为小型、微型企业，享受小微企业政策扶持)。</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2.3本项目不接受联合体磋商。</w:t>
      </w:r>
    </w:p>
    <w:p>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3．磋商费用</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3.1无论磋商采购结果如何，供应商均应自行承担所有与参加本次磋商采购有关的全部费用。</w:t>
      </w:r>
      <w:r>
        <w:rPr>
          <w:rFonts w:hint="eastAsia" w:ascii="仿宋" w:hAnsi="仿宋" w:eastAsia="仿宋" w:cs="仿宋"/>
          <w:color w:val="auto"/>
          <w:sz w:val="24"/>
          <w:highlight w:val="none"/>
        </w:rPr>
        <w:t>不论磋商结果如何，采购代理机构对上述费用不负任何责任；</w:t>
      </w:r>
    </w:p>
    <w:p>
      <w:pPr>
        <w:spacing w:line="560" w:lineRule="exact"/>
        <w:ind w:firstLine="480" w:firstLineChars="200"/>
        <w:rPr>
          <w:rFonts w:ascii="仿宋" w:hAnsi="仿宋" w:eastAsia="仿宋" w:cs="仿宋"/>
          <w:b/>
          <w:color w:val="auto"/>
          <w:sz w:val="44"/>
          <w:szCs w:val="44"/>
          <w:highlight w:val="none"/>
        </w:rPr>
      </w:pPr>
      <w:r>
        <w:rPr>
          <w:rFonts w:hint="eastAsia" w:ascii="仿宋" w:hAnsi="仿宋" w:eastAsia="仿宋" w:cs="仿宋"/>
          <w:bCs/>
          <w:color w:val="auto"/>
          <w:sz w:val="24"/>
          <w:highlight w:val="none"/>
        </w:rPr>
        <w:t>3.2本项目磋商代理费按人民币</w:t>
      </w:r>
      <w:r>
        <w:rPr>
          <w:rFonts w:hint="eastAsia" w:ascii="仿宋" w:hAnsi="仿宋" w:eastAsia="仿宋" w:cs="仿宋"/>
          <w:bCs/>
          <w:color w:val="auto"/>
          <w:sz w:val="24"/>
          <w:highlight w:val="none"/>
          <w:u w:val="single"/>
          <w:lang w:val="en-US" w:eastAsia="zh-CN"/>
        </w:rPr>
        <w:t>15800</w:t>
      </w:r>
      <w:r>
        <w:rPr>
          <w:rFonts w:hint="eastAsia" w:ascii="仿宋" w:hAnsi="仿宋" w:eastAsia="仿宋" w:cs="仿宋"/>
          <w:bCs/>
          <w:color w:val="auto"/>
          <w:sz w:val="24"/>
          <w:highlight w:val="none"/>
          <w:u w:val="single"/>
        </w:rPr>
        <w:t>元</w:t>
      </w:r>
      <w:r>
        <w:rPr>
          <w:rFonts w:hint="eastAsia" w:ascii="仿宋" w:hAnsi="仿宋" w:eastAsia="仿宋" w:cs="仿宋"/>
          <w:bCs/>
          <w:color w:val="auto"/>
          <w:sz w:val="24"/>
          <w:highlight w:val="none"/>
        </w:rPr>
        <w:t>计取，由成交供应商在领取成交通知书前一次性支付给采购代理机构，该费用请综合考虑在响应报价中。</w:t>
      </w:r>
    </w:p>
    <w:p>
      <w:pPr>
        <w:pStyle w:val="3"/>
        <w:spacing w:line="560" w:lineRule="exact"/>
        <w:jc w:val="center"/>
        <w:rPr>
          <w:rFonts w:ascii="仿宋" w:hAnsi="仿宋" w:eastAsia="仿宋" w:cs="仿宋"/>
          <w:color w:val="auto"/>
          <w:kern w:val="44"/>
          <w:sz w:val="28"/>
          <w:szCs w:val="28"/>
          <w:highlight w:val="none"/>
        </w:rPr>
      </w:pPr>
      <w:bookmarkStart w:id="8" w:name="_Toc452995897"/>
      <w:r>
        <w:rPr>
          <w:rFonts w:hint="eastAsia" w:ascii="仿宋" w:hAnsi="仿宋" w:eastAsia="仿宋" w:cs="仿宋"/>
          <w:color w:val="auto"/>
          <w:kern w:val="44"/>
          <w:sz w:val="28"/>
          <w:szCs w:val="28"/>
          <w:highlight w:val="none"/>
        </w:rPr>
        <w:t>二、磋商文件的说明</w:t>
      </w:r>
      <w:bookmarkEnd w:id="8"/>
    </w:p>
    <w:p>
      <w:pPr>
        <w:spacing w:line="560" w:lineRule="exact"/>
        <w:rPr>
          <w:rFonts w:ascii="仿宋" w:hAnsi="仿宋" w:eastAsia="仿宋" w:cs="仿宋"/>
          <w:color w:val="auto"/>
          <w:kern w:val="44"/>
          <w:sz w:val="24"/>
          <w:highlight w:val="none"/>
        </w:rPr>
      </w:pPr>
      <w:bookmarkStart w:id="9" w:name="_Toc113441589"/>
      <w:r>
        <w:rPr>
          <w:rFonts w:hint="eastAsia" w:ascii="仿宋" w:hAnsi="仿宋" w:eastAsia="仿宋" w:cs="仿宋"/>
          <w:color w:val="auto"/>
          <w:kern w:val="44"/>
          <w:sz w:val="24"/>
          <w:highlight w:val="none"/>
        </w:rPr>
        <w:t>4．磋商文件</w:t>
      </w:r>
      <w:bookmarkEnd w:id="9"/>
      <w:r>
        <w:rPr>
          <w:rFonts w:hint="eastAsia" w:ascii="仿宋" w:hAnsi="仿宋" w:eastAsia="仿宋" w:cs="仿宋"/>
          <w:color w:val="auto"/>
          <w:kern w:val="44"/>
          <w:sz w:val="24"/>
          <w:highlight w:val="none"/>
        </w:rPr>
        <w:t>的组成</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4.1</w:t>
      </w:r>
      <w:r>
        <w:rPr>
          <w:rFonts w:hint="eastAsia" w:ascii="仿宋" w:hAnsi="仿宋" w:eastAsia="仿宋" w:cs="仿宋"/>
          <w:bCs/>
          <w:color w:val="auto"/>
          <w:sz w:val="24"/>
          <w:highlight w:val="none"/>
        </w:rPr>
        <w:t>磋商文件为本次采购人发出的竞争性磋商文件；响应文件为参加磋商的供应商提交的磋商响应文件。</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4.2磋商文件包括以下内容：</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4.2.1第一章  竞争性磋商公告</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4.2.2第二章  磋商项目采购需求</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4.2.3第三章  供应商须知</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4.2.4第四章  合同主要条款</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4.2.5第五章  响应文件格式</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4.2.6第六章  磋商办法及评分标准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4.3 采购代理机构在磋商截止时间前，以书面形式发出的对磋商文件的澄清或修改内容，均为磋商文件的组成部分，对采购人和供应商起约束作用；</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4.4供应商获取磋商文件后，应仔细检查磋商文件的所有内容，如有残缺等问题，均应在获得磋商文件后在1个工作日内向采购代理机构书面提出，否则，由此引起的损失由供应商自己承担。供应商同时应认真审阅竞争性磋商文件中所有的事项、格式、条款和规范要求（包括补充内容）等所有内容，若供应商的响应文件没有按磋商文件要求提交全部资料，或响应文件没有对磋商文件做出实质性响应，其风险由供应商自行承担，并根据有关条款规定，该响应文件有可能被拒绝。</w:t>
      </w:r>
    </w:p>
    <w:p>
      <w:pPr>
        <w:spacing w:line="560" w:lineRule="exact"/>
        <w:rPr>
          <w:rFonts w:ascii="仿宋" w:hAnsi="仿宋" w:eastAsia="仿宋" w:cs="仿宋"/>
          <w:color w:val="auto"/>
          <w:sz w:val="24"/>
          <w:highlight w:val="none"/>
        </w:rPr>
      </w:pPr>
      <w:r>
        <w:rPr>
          <w:rFonts w:hint="eastAsia" w:ascii="仿宋" w:hAnsi="仿宋" w:eastAsia="仿宋" w:cs="仿宋"/>
          <w:bCs/>
          <w:color w:val="auto"/>
          <w:sz w:val="24"/>
          <w:highlight w:val="none"/>
        </w:rPr>
        <w:t>5.</w:t>
      </w:r>
      <w:r>
        <w:rPr>
          <w:rFonts w:hint="eastAsia" w:ascii="仿宋" w:hAnsi="仿宋" w:eastAsia="仿宋" w:cs="仿宋"/>
          <w:color w:val="auto"/>
          <w:sz w:val="24"/>
          <w:highlight w:val="none"/>
        </w:rPr>
        <w:t>磋商文件的答疑</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5.1供应商如认为磋商文件表述不清晰、存在歧视性或者其他违法内容的，应当在2024年</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日17：00分前以书面（含传真）形式向采购代理机构一次性提出，采购人将在规定的时间内统一进行澄清和修改，并书面（含传真）通知所有认购磋商文件的供应商。供应商未按规定要求提出的，则视同认可磋商文件，但法律法规及规范性文件有明确规定的除外；</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5.2答疑内容是磋商文件的组成部分，并将在网上发布补充（答疑、澄清）文件，潜在供应商应自行关注网站公告，采购人不再一一通知，供应商因自身贻误行为导致磋商失效的，责任自负。</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6.磋商文件的澄清、修改</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6.1</w:t>
      </w:r>
      <w:r>
        <w:rPr>
          <w:rFonts w:hint="eastAsia" w:ascii="仿宋" w:hAnsi="仿宋" w:eastAsia="仿宋" w:cs="仿宋"/>
          <w:bCs/>
          <w:color w:val="auto"/>
          <w:sz w:val="24"/>
          <w:highlight w:val="none"/>
        </w:rPr>
        <w:t>在磋商截止时间前，采购人及采购代理机构无论出于自己的考虑，还是出于对供应商提问的澄清，均可对磋商文件用补充文件的方式进行修改</w:t>
      </w:r>
      <w:r>
        <w:rPr>
          <w:rFonts w:hint="eastAsia" w:ascii="仿宋" w:hAnsi="仿宋" w:eastAsia="仿宋" w:cs="仿宋"/>
          <w:color w:val="auto"/>
          <w:sz w:val="24"/>
          <w:highlight w:val="none"/>
        </w:rPr>
        <w:t>；</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6.2</w:t>
      </w:r>
      <w:r>
        <w:rPr>
          <w:rFonts w:hint="eastAsia" w:ascii="仿宋" w:hAnsi="仿宋" w:eastAsia="仿宋" w:cs="仿宋"/>
          <w:bCs/>
          <w:color w:val="auto"/>
          <w:sz w:val="24"/>
          <w:highlight w:val="none"/>
        </w:rPr>
        <w:t>对磋商文件的修改，将以书面、或传真的形式通知已购买同一磋商文件的每一供应商。补充文件将作为磋商文件的组成部分，对所有供应商有约束力。供应商在收到该补充文件后，应以书面方式予以确认</w:t>
      </w:r>
      <w:r>
        <w:rPr>
          <w:rFonts w:hint="eastAsia" w:ascii="仿宋" w:hAnsi="仿宋" w:eastAsia="仿宋" w:cs="仿宋"/>
          <w:color w:val="auto"/>
          <w:sz w:val="24"/>
          <w:highlight w:val="none"/>
        </w:rPr>
        <w:t>。</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7.供应商应当按照磋商文件的要求编制响应文件。响应文件应对磋商文件提出的要求和条件作出实质性响应（如对服务期限、售后服务、合同主要条款及其它要求等内容作出满足或者优于磋商文件要求和条件的承诺）。</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8.响应文件的签署</w:t>
      </w:r>
    </w:p>
    <w:p>
      <w:pPr>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8.1响应文件的形式与效力：</w:t>
      </w:r>
    </w:p>
    <w:p>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（一）响应文件分为电子响应文件及数据电子备份响应文件（U盘），具体内容如下：</w:t>
      </w:r>
    </w:p>
    <w:p>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（1）电子响应文件：按政采云平台项目采购-电子交易操作指南及本磋商文件要求制作、加密并递交，供应商电子交易操作指南详见网址：https://zfcg.czt.zj.gov.cn/）。</w:t>
      </w:r>
    </w:p>
    <w:p>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p>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（二）响应文件的效力：</w:t>
      </w:r>
    </w:p>
    <w:p>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的启用：按先后顺位分别为电子响应文件、数据电子备份响应文件（U盘）。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8.2响应文件的组成（如无格式、格式自拟）</w:t>
      </w:r>
    </w:p>
    <w:p>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响应文件（包括电子响应文件及数据电子备份响应文件（U盘））由</w:t>
      </w:r>
      <w:bookmarkStart w:id="10" w:name="_Hlk69030389"/>
      <w:r>
        <w:rPr>
          <w:rFonts w:hint="eastAsia" w:ascii="仿宋" w:hAnsi="仿宋" w:eastAsia="仿宋" w:cs="仿宋"/>
          <w:color w:val="auto"/>
          <w:sz w:val="24"/>
          <w:highlight w:val="none"/>
        </w:rPr>
        <w:t>《技术、商务、资信及其他文件》</w:t>
      </w:r>
      <w:bookmarkEnd w:id="10"/>
      <w:r>
        <w:rPr>
          <w:rFonts w:hint="eastAsia" w:ascii="仿宋" w:hAnsi="仿宋" w:eastAsia="仿宋" w:cs="仿宋"/>
          <w:color w:val="auto"/>
          <w:sz w:val="24"/>
          <w:highlight w:val="none"/>
        </w:rPr>
        <w:t>和《首次报价文件》两部分组成，其中电子响应文件中所须加盖公章部分均采用CA签章。</w:t>
      </w:r>
    </w:p>
    <w:p>
      <w:pPr>
        <w:tabs>
          <w:tab w:val="left" w:pos="3870"/>
          <w:tab w:val="left" w:pos="4085"/>
        </w:tabs>
        <w:snapToGrid w:val="0"/>
        <w:spacing w:line="560" w:lineRule="exact"/>
        <w:jc w:val="left"/>
        <w:rPr>
          <w:rFonts w:ascii="仿宋" w:hAnsi="仿宋" w:eastAsia="仿宋" w:cs="仿宋"/>
          <w:b/>
          <w:bCs/>
          <w:color w:val="auto"/>
          <w:sz w:val="24"/>
          <w:highlight w:val="none"/>
        </w:rPr>
      </w:pPr>
      <w:bookmarkStart w:id="11" w:name="_Hlk69030881"/>
      <w:r>
        <w:rPr>
          <w:rFonts w:hint="eastAsia" w:ascii="仿宋" w:hAnsi="仿宋" w:eastAsia="仿宋" w:cs="仿宋"/>
          <w:b/>
          <w:bCs/>
          <w:color w:val="auto"/>
          <w:sz w:val="24"/>
          <w:highlight w:val="none"/>
        </w:rPr>
        <w:t>（一）《技术、商务、资信及其他文件</w:t>
      </w:r>
      <w:bookmarkEnd w:id="11"/>
      <w:r>
        <w:rPr>
          <w:rFonts w:hint="eastAsia" w:ascii="仿宋" w:hAnsi="仿宋" w:eastAsia="仿宋" w:cs="仿宋"/>
          <w:b/>
          <w:bCs/>
          <w:color w:val="auto"/>
          <w:sz w:val="24"/>
          <w:highlight w:val="none"/>
        </w:rPr>
        <w:t>》</w:t>
      </w:r>
    </w:p>
    <w:p>
      <w:pPr>
        <w:tabs>
          <w:tab w:val="left" w:pos="3870"/>
          <w:tab w:val="left" w:pos="4085"/>
        </w:tabs>
        <w:snapToGrid w:val="0"/>
        <w:spacing w:line="560" w:lineRule="exact"/>
        <w:jc w:val="left"/>
        <w:rPr>
          <w:rFonts w:ascii="仿宋" w:hAnsi="仿宋" w:eastAsia="仿宋" w:cs="仿宋"/>
          <w:b/>
          <w:color w:val="auto"/>
          <w:sz w:val="24"/>
          <w:highlight w:val="none"/>
        </w:rPr>
      </w:pPr>
      <w:r>
        <w:rPr>
          <w:rFonts w:hint="eastAsia" w:ascii="仿宋" w:hAnsi="仿宋" w:eastAsia="仿宋" w:cs="仿宋"/>
          <w:b/>
          <w:color w:val="auto"/>
          <w:sz w:val="24"/>
          <w:highlight w:val="none"/>
        </w:rPr>
        <w:t>（1）供应商自评分索引表</w:t>
      </w:r>
      <w:r>
        <w:rPr>
          <w:rFonts w:hint="eastAsia" w:ascii="仿宋" w:hAnsi="仿宋" w:eastAsia="仿宋" w:cs="仿宋"/>
          <w:color w:val="auto"/>
          <w:sz w:val="24"/>
          <w:highlight w:val="none"/>
        </w:rPr>
        <w:t>（格式见第五章）；</w:t>
      </w:r>
    </w:p>
    <w:p>
      <w:pPr>
        <w:tabs>
          <w:tab w:val="left" w:pos="3870"/>
          <w:tab w:val="left" w:pos="4085"/>
        </w:tabs>
        <w:snapToGrid w:val="0"/>
        <w:spacing w:line="56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（2）技术部分：</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①运维方案</w:t>
      </w:r>
      <w:r>
        <w:rPr>
          <w:rFonts w:hint="eastAsia" w:ascii="仿宋" w:hAnsi="仿宋" w:eastAsia="仿宋" w:cs="仿宋"/>
          <w:color w:val="auto"/>
          <w:sz w:val="24"/>
          <w:highlight w:val="none"/>
          <w:lang w:eastAsia="zh-CN"/>
        </w:rPr>
        <w:t>；</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②重难点分析</w:t>
      </w:r>
      <w:r>
        <w:rPr>
          <w:rFonts w:hint="eastAsia" w:ascii="仿宋" w:hAnsi="仿宋" w:eastAsia="仿宋" w:cs="仿宋"/>
          <w:color w:val="auto"/>
          <w:sz w:val="24"/>
          <w:highlight w:val="none"/>
          <w:lang w:eastAsia="zh-CN"/>
        </w:rPr>
        <w:t>；</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③</w:t>
      </w:r>
      <w:r>
        <w:rPr>
          <w:rFonts w:hint="eastAsia" w:ascii="仿宋" w:hAnsi="仿宋" w:eastAsia="仿宋" w:cs="仿宋"/>
          <w:color w:val="auto"/>
          <w:sz w:val="24"/>
          <w:highlight w:val="none"/>
        </w:rPr>
        <w:t>质量控制方案</w:t>
      </w:r>
      <w:r>
        <w:rPr>
          <w:rFonts w:hint="eastAsia" w:ascii="仿宋" w:hAnsi="仿宋" w:eastAsia="仿宋" w:cs="仿宋"/>
          <w:color w:val="auto"/>
          <w:sz w:val="24"/>
          <w:highlight w:val="none"/>
          <w:lang w:eastAsia="zh-CN"/>
        </w:rPr>
        <w:t>；</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④应急解决方案</w:t>
      </w:r>
      <w:r>
        <w:rPr>
          <w:rFonts w:hint="eastAsia" w:ascii="仿宋" w:hAnsi="仿宋" w:eastAsia="仿宋" w:cs="仿宋"/>
          <w:color w:val="auto"/>
          <w:sz w:val="24"/>
          <w:highlight w:val="none"/>
          <w:lang w:eastAsia="zh-CN"/>
        </w:rPr>
        <w:t>；</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⑤系统性能调整及保障方案</w:t>
      </w:r>
      <w:r>
        <w:rPr>
          <w:rFonts w:hint="eastAsia" w:ascii="仿宋" w:hAnsi="仿宋" w:eastAsia="仿宋" w:cs="仿宋"/>
          <w:color w:val="auto"/>
          <w:sz w:val="24"/>
          <w:highlight w:val="none"/>
          <w:lang w:eastAsia="zh-CN"/>
        </w:rPr>
        <w:t>；</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⑥与采购人的配合方案；</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⑦建设性意见；</w:t>
      </w:r>
    </w:p>
    <w:p>
      <w:pPr>
        <w:tabs>
          <w:tab w:val="left" w:pos="3870"/>
          <w:tab w:val="left" w:pos="4085"/>
        </w:tabs>
        <w:snapToGrid w:val="0"/>
        <w:spacing w:line="560" w:lineRule="exact"/>
        <w:ind w:firstLine="480" w:firstLineChars="20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⑧人员配置</w:t>
      </w:r>
      <w:r>
        <w:rPr>
          <w:rFonts w:hint="eastAsia" w:ascii="仿宋" w:hAnsi="仿宋" w:eastAsia="仿宋" w:cs="仿宋"/>
          <w:color w:val="auto"/>
          <w:sz w:val="24"/>
          <w:highlight w:val="none"/>
        </w:rPr>
        <w:t>（格式见第五章）</w:t>
      </w:r>
      <w:r>
        <w:rPr>
          <w:rFonts w:hint="eastAsia" w:ascii="仿宋" w:hAnsi="仿宋" w:eastAsia="仿宋" w:cs="仿宋"/>
          <w:color w:val="auto"/>
          <w:sz w:val="24"/>
          <w:highlight w:val="none"/>
          <w:lang w:val="en-US" w:eastAsia="zh-CN"/>
        </w:rPr>
        <w:t>。</w:t>
      </w:r>
    </w:p>
    <w:p>
      <w:pPr>
        <w:tabs>
          <w:tab w:val="left" w:pos="3870"/>
          <w:tab w:val="left" w:pos="4085"/>
        </w:tabs>
        <w:snapToGrid w:val="0"/>
        <w:spacing w:line="560" w:lineRule="exact"/>
        <w:jc w:val="left"/>
        <w:rPr>
          <w:rFonts w:ascii="仿宋" w:hAnsi="仿宋" w:eastAsia="仿宋" w:cs="仿宋"/>
          <w:color w:val="auto"/>
          <w:sz w:val="24"/>
          <w:highlight w:val="none"/>
        </w:rPr>
      </w:pPr>
      <w:r>
        <w:rPr>
          <w:rFonts w:hint="eastAsia" w:ascii="仿宋" w:hAnsi="仿宋" w:eastAsia="仿宋" w:cs="仿宋"/>
          <w:b/>
          <w:color w:val="auto"/>
          <w:sz w:val="24"/>
          <w:highlight w:val="none"/>
        </w:rPr>
        <w:t>（3）商务部分：</w:t>
      </w:r>
    </w:p>
    <w:p>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①商务响应表（格式见第五章）；</w:t>
      </w:r>
    </w:p>
    <w:p>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②</w:t>
      </w:r>
      <w:r>
        <w:rPr>
          <w:rFonts w:hint="eastAsia" w:ascii="仿宋" w:hAnsi="仿宋" w:eastAsia="仿宋" w:cs="仿宋"/>
          <w:color w:val="auto"/>
          <w:sz w:val="24"/>
          <w:highlight w:val="none"/>
          <w:lang w:val="en-US" w:eastAsia="zh-CN"/>
        </w:rPr>
        <w:t>企业业绩</w:t>
      </w:r>
      <w:r>
        <w:rPr>
          <w:rFonts w:hint="eastAsia" w:ascii="仿宋" w:hAnsi="仿宋" w:eastAsia="仿宋" w:cs="仿宋"/>
          <w:color w:val="auto"/>
          <w:sz w:val="24"/>
          <w:highlight w:val="none"/>
        </w:rPr>
        <w:t>（格式见第五章）；</w:t>
      </w:r>
    </w:p>
    <w:p>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③</w:t>
      </w:r>
      <w:r>
        <w:rPr>
          <w:rFonts w:hint="eastAsia" w:ascii="仿宋" w:hAnsi="仿宋" w:eastAsia="仿宋" w:cs="仿宋"/>
          <w:color w:val="auto"/>
          <w:sz w:val="24"/>
          <w:highlight w:val="none"/>
          <w:lang w:val="en-US" w:eastAsia="zh-CN"/>
        </w:rPr>
        <w:t>售后服务方案</w:t>
      </w:r>
      <w:r>
        <w:rPr>
          <w:rFonts w:hint="eastAsia" w:ascii="仿宋" w:hAnsi="仿宋" w:eastAsia="仿宋" w:cs="仿宋"/>
          <w:color w:val="auto"/>
          <w:sz w:val="24"/>
          <w:highlight w:val="none"/>
        </w:rPr>
        <w:t>；</w:t>
      </w:r>
    </w:p>
    <w:p>
      <w:pPr>
        <w:tabs>
          <w:tab w:val="left" w:pos="3870"/>
          <w:tab w:val="left" w:pos="4085"/>
        </w:tabs>
        <w:snapToGrid w:val="0"/>
        <w:spacing w:line="560" w:lineRule="exact"/>
        <w:ind w:firstLine="480" w:firstLineChars="20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④企业实力。</w:t>
      </w:r>
    </w:p>
    <w:p>
      <w:pPr>
        <w:spacing w:line="560" w:lineRule="exact"/>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（4）资信及其他部分：</w:t>
      </w:r>
    </w:p>
    <w:p>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①有效的营业执照、税务登记证、组织机构代码证或“三证合一”的营业执照或“五证合一”的营业执照</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pPr>
        <w:snapToGrid w:val="0"/>
        <w:spacing w:line="56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rPr>
        <w:t>②法定代表人有效身份证明书及身份证（法定代表人参加磋商提供）或法定代表人授权书及授权委托人身份证、授权委托人最近1个月个人社保缴纳证明文件（法定代表人授权委托人参加磋商提供）</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pPr>
        <w:snapToGrid w:val="0"/>
        <w:spacing w:line="560" w:lineRule="exact"/>
        <w:ind w:left="488" w:leftChars="228" w:hanging="9" w:hangingChars="4"/>
        <w:jc w:val="left"/>
        <w:rPr>
          <w:rFonts w:ascii="仿宋" w:hAnsi="仿宋" w:eastAsia="仿宋" w:cs="仿宋"/>
          <w:color w:val="auto"/>
          <w:sz w:val="24"/>
          <w:highlight w:val="none"/>
        </w:rPr>
      </w:pPr>
      <w:r>
        <w:rPr>
          <w:rFonts w:hint="eastAsia" w:ascii="仿宋" w:hAnsi="仿宋" w:eastAsia="仿宋" w:cs="仿宋"/>
          <w:color w:val="auto"/>
          <w:sz w:val="24"/>
          <w:highlight w:val="none"/>
        </w:rPr>
        <w:t>③承诺书（格式见第五章，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④信用承诺书（格式见第五章，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pPr>
        <w:snapToGrid w:val="0"/>
        <w:spacing w:line="560" w:lineRule="exact"/>
        <w:ind w:left="488" w:leftChars="228" w:hanging="9" w:hangingChars="4"/>
        <w:jc w:val="left"/>
        <w:rPr>
          <w:rFonts w:ascii="仿宋" w:hAnsi="仿宋" w:eastAsia="仿宋" w:cs="仿宋"/>
          <w:bCs/>
          <w:color w:val="auto"/>
          <w:sz w:val="24"/>
          <w:highlight w:val="none"/>
        </w:rPr>
      </w:pPr>
      <w:r>
        <w:rPr>
          <w:rFonts w:hint="eastAsia" w:ascii="仿宋" w:hAnsi="仿宋" w:eastAsia="仿宋" w:cs="仿宋"/>
          <w:color w:val="auto"/>
          <w:sz w:val="24"/>
          <w:highlight w:val="none"/>
        </w:rPr>
        <w:t>⑤中小企业声明函（本项目</w:t>
      </w:r>
      <w:r>
        <w:rPr>
          <w:rFonts w:hint="eastAsia" w:ascii="仿宋" w:hAnsi="仿宋" w:eastAsia="仿宋" w:cs="仿宋"/>
          <w:color w:val="auto"/>
          <w:sz w:val="24"/>
          <w:highlight w:val="none"/>
          <w:lang w:val="en-US" w:eastAsia="zh-CN"/>
        </w:rPr>
        <w:t>所属行业：</w:t>
      </w:r>
      <w:r>
        <w:rPr>
          <w:rFonts w:hint="eastAsia" w:ascii="仿宋" w:hAnsi="仿宋" w:eastAsia="仿宋" w:cs="仿宋"/>
          <w:color w:val="auto"/>
          <w:sz w:val="24"/>
          <w:highlight w:val="none"/>
        </w:rPr>
        <w:t>软件和信息技术服务业，</w:t>
      </w:r>
      <w:r>
        <w:rPr>
          <w:rFonts w:hint="eastAsia" w:ascii="仿宋" w:hAnsi="仿宋" w:eastAsia="仿宋" w:cs="仿宋"/>
          <w:bCs/>
          <w:color w:val="auto"/>
          <w:sz w:val="24"/>
          <w:highlight w:val="none"/>
        </w:rPr>
        <w:t>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pPr>
        <w:snapToGrid w:val="0"/>
        <w:spacing w:line="560" w:lineRule="exact"/>
        <w:ind w:left="488" w:leftChars="228" w:hanging="9" w:hangingChars="4"/>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⑥监狱企业声明函（如有，格式见第五章）；</w:t>
      </w:r>
    </w:p>
    <w:p>
      <w:pPr>
        <w:snapToGrid w:val="0"/>
        <w:spacing w:line="560" w:lineRule="exact"/>
        <w:ind w:firstLine="470" w:firstLineChars="196"/>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⑦残疾人福利性单位声明函（如有，</w:t>
      </w:r>
      <w:r>
        <w:rPr>
          <w:rFonts w:hint="eastAsia" w:ascii="仿宋" w:hAnsi="仿宋" w:eastAsia="仿宋" w:cs="仿宋"/>
          <w:bCs/>
          <w:color w:val="auto"/>
          <w:sz w:val="24"/>
          <w:highlight w:val="none"/>
        </w:rPr>
        <w:t>格式见第五章</w:t>
      </w:r>
      <w:r>
        <w:rPr>
          <w:rFonts w:hint="eastAsia" w:ascii="仿宋" w:hAnsi="仿宋" w:eastAsia="仿宋" w:cs="仿宋"/>
          <w:color w:val="auto"/>
          <w:sz w:val="24"/>
          <w:highlight w:val="none"/>
        </w:rPr>
        <w:t>）。</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（5）其他磋商文件要求提供的或供应商认为需要说明的技术、商务、资信及其他文件内容。</w:t>
      </w:r>
    </w:p>
    <w:p>
      <w:pPr>
        <w:spacing w:line="560" w:lineRule="exact"/>
        <w:rPr>
          <w:rFonts w:ascii="仿宋" w:hAnsi="仿宋" w:eastAsia="仿宋" w:cs="仿宋"/>
          <w:b/>
          <w:bCs/>
          <w:color w:val="auto"/>
          <w:sz w:val="24"/>
          <w:highlight w:val="none"/>
        </w:rPr>
      </w:pPr>
      <w:r>
        <w:rPr>
          <w:rFonts w:hint="eastAsia" w:ascii="仿宋" w:hAnsi="仿宋" w:eastAsia="仿宋" w:cs="仿宋"/>
          <w:b/>
          <w:bCs/>
          <w:color w:val="auto"/>
          <w:sz w:val="24"/>
          <w:highlight w:val="none"/>
        </w:rPr>
        <w:t>（二）《首次报价文件》：</w:t>
      </w:r>
    </w:p>
    <w:p>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（1）响应函（格式见第五章）；</w:t>
      </w:r>
    </w:p>
    <w:p>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（2）磋商报价表（首次报价）（格式见第五章）；</w:t>
      </w:r>
    </w:p>
    <w:p>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（3）报价明细表（如有，格式自拟）；</w:t>
      </w:r>
    </w:p>
    <w:p>
      <w:pPr>
        <w:snapToGrid w:val="0"/>
        <w:spacing w:line="560" w:lineRule="exact"/>
        <w:ind w:firstLine="480" w:firstLineChars="200"/>
        <w:jc w:val="left"/>
        <w:rPr>
          <w:rFonts w:ascii="仿宋" w:hAnsi="仿宋" w:eastAsia="仿宋" w:cs="仿宋"/>
          <w:color w:val="auto"/>
          <w:highlight w:val="none"/>
        </w:rPr>
      </w:pPr>
      <w:r>
        <w:rPr>
          <w:rFonts w:hint="eastAsia" w:ascii="仿宋" w:hAnsi="仿宋" w:eastAsia="仿宋" w:cs="仿宋"/>
          <w:color w:val="auto"/>
          <w:sz w:val="24"/>
          <w:highlight w:val="none"/>
        </w:rPr>
        <w:t>（4）磋商代理服务费承诺函（格式见第五章）；</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（5）供应商针对报价需要说明的其他材料（格式自拟）。</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9.磋商报价说明</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9.1响应报价应按采购文件中相关附表格式填写；</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9.2供应商应按本磋商文件提供相应的报价，不得缺项和漏项，每一项目只允许有一个报价，任何有选择性的报价，将不予接受；</w:t>
      </w:r>
    </w:p>
    <w:p>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9.3供应商的报价应是完成本磋商文件规定内容所需发生的全部费用（包含税金、运输、保险、服务及其他应由供应商承担的费用），应为履行合同的最终价格，凡未列入表达清楚的，将被视为均已包含在投标总报价中；</w:t>
      </w:r>
    </w:p>
    <w:p>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9.4如实际服务中发生服务内容的调整须经采购人同意，增减服务内容的结算按相应成交价格计算；</w:t>
      </w:r>
    </w:p>
    <w:p>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9.5供应商的最后报价由供应商自担全部风险责任，成交后不得以任何理由调报价或追加任何费用；</w:t>
      </w:r>
    </w:p>
    <w:p>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9.6各供应商拟采取的竞争措施和提供给采购人的优惠条件应在响应文件中列明，开标后提出的优惠条件一律不予考虑；</w:t>
      </w:r>
    </w:p>
    <w:p>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9.7供应商所有优惠条件和优惠费用不得降低和影响本采购项目质量；</w:t>
      </w:r>
    </w:p>
    <w:p>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9.8供应商对磋商文件里有关响应报价的全部内容应仔细确认，若有个别异议，应在开标前五天提出修改意见，否则视同全部确认；</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9.9</w:t>
      </w:r>
      <w:r>
        <w:rPr>
          <w:rFonts w:hint="eastAsia" w:ascii="仿宋" w:hAnsi="仿宋" w:eastAsia="仿宋" w:cs="仿宋"/>
          <w:bCs/>
          <w:color w:val="auto"/>
          <w:sz w:val="24"/>
          <w:highlight w:val="none"/>
        </w:rPr>
        <w:t>供应商要按磋商项目内容、数量及服务要求，就采购事项按格式要求规范填写，并由法定代表人或授权代理人签署，未经采购人书面同意，</w:t>
      </w:r>
      <w:r>
        <w:rPr>
          <w:rFonts w:hint="eastAsia" w:ascii="仿宋" w:hAnsi="仿宋" w:eastAsia="仿宋" w:cs="仿宋"/>
          <w:color w:val="auto"/>
          <w:sz w:val="24"/>
          <w:highlight w:val="none"/>
        </w:rPr>
        <w:t>不得随意更改项目名称、计量单位，否则有可能被视为无效磋商；</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9.10磋商分二轮进行，首次报价在响应文件中体现；</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9.11最后报价应通过政采云系统进行在线磋商、报价，若因系统原因无法在线磋商、报价时，可通过如下方式：代理机构通过电子邮箱（2756977296@qq.com）向各供应商指定的电子邮箱发送最后报价的通知函，供应商在收到此函后30分钟内通过指定的电子邮箱进行最后报价，最后报价应按照本磋商文件规定的格式并以邮件的形式提供，且由法定代表人或其授权代理人签字确认并加盖公章，最后报价由代理机构统一提交至磋商小组，并宣读最后报价，采购人及监督人在最后报价表上签字确认；</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9.12各供应商应事先做好充足准备，如未能在规定的时间内进行最后报价，作自动放弃处理；</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9.13</w:t>
      </w:r>
      <w:r>
        <w:rPr>
          <w:rFonts w:hint="eastAsia" w:ascii="仿宋" w:hAnsi="仿宋" w:eastAsia="仿宋" w:cs="仿宋"/>
          <w:bCs/>
          <w:color w:val="auto"/>
          <w:sz w:val="24"/>
          <w:highlight w:val="none"/>
        </w:rPr>
        <w:t>响应文件中的所有报价均以人民币（元）为单位；</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9.14采购人不接受备选方案。</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10.磋商有效期</w:t>
      </w:r>
    </w:p>
    <w:p>
      <w:pPr>
        <w:tabs>
          <w:tab w:val="left" w:pos="1440"/>
          <w:tab w:val="left" w:pos="16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10.1</w:t>
      </w:r>
      <w:r>
        <w:rPr>
          <w:rFonts w:hint="eastAsia" w:ascii="仿宋" w:hAnsi="仿宋" w:eastAsia="仿宋" w:cs="仿宋"/>
          <w:bCs/>
          <w:color w:val="auto"/>
          <w:sz w:val="24"/>
          <w:highlight w:val="none"/>
        </w:rPr>
        <w:t>自磋商开始之日起60天内。有效期短于这个规定期限的响应文件，将被拒绝；</w:t>
      </w:r>
    </w:p>
    <w:p>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10.2在特殊情况下，采购代理机构在原定磋商有效期内，可以根据需要以书面形式向供应商提出延长磋商有效期的要求，供应商须以书面形式予以答复。供应商可以拒绝采购代理机构的这种要求。同意延长磋商有效期的供应商既不能要求也不允许修改其响应文件。</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11.响应文件的签署和份数</w:t>
      </w:r>
    </w:p>
    <w:p>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11.1电子响应文件：</w:t>
      </w:r>
    </w:p>
    <w:p>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根据“政采云供应商项目采购-电子招投标操作指南”及本磋商文件规定的格式和顺序编制电子响应文件并进行关联定位，若因响应文件内容不完整、编排混乱导致响应文件被误读、漏读或者查找不到相关内容的，是供应商的责任。</w:t>
      </w:r>
    </w:p>
    <w:p>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11.2数据电子备份响应文件（U盘）：</w:t>
      </w:r>
    </w:p>
    <w:p>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响应文件的备份文件以U盘形式存储。数据电子备份响应文件格式及内容须与政采云平台项目采购-电子交易操作指南中制作、加密并递交的电子响应文件格式及内容一致。数据电子备份响应文件（U盘）须密封、包装，不按此规定密封、包装的数据电子备份响应文件（U盘）均按未提供处理；</w:t>
      </w:r>
    </w:p>
    <w:p>
      <w:pPr>
        <w:autoSpaceDE w:val="0"/>
        <w:autoSpaceDN w:val="0"/>
        <w:spacing w:line="56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11.3</w:t>
      </w:r>
      <w:r>
        <w:rPr>
          <w:rFonts w:hint="eastAsia" w:ascii="仿宋" w:hAnsi="仿宋" w:eastAsia="仿宋" w:cs="仿宋"/>
          <w:color w:val="auto"/>
          <w:kern w:val="0"/>
          <w:sz w:val="24"/>
          <w:highlight w:val="none"/>
        </w:rPr>
        <w:t>响应文件需按磋商文件要求的格式填写，未按规定格式填写将有可能视为无效响应文件；</w:t>
      </w:r>
    </w:p>
    <w:p>
      <w:pPr>
        <w:spacing w:line="56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sz w:val="24"/>
          <w:highlight w:val="none"/>
        </w:rPr>
        <w:t>11.4</w:t>
      </w:r>
      <w:r>
        <w:rPr>
          <w:rFonts w:hint="eastAsia" w:ascii="仿宋" w:hAnsi="仿宋" w:eastAsia="仿宋" w:cs="仿宋"/>
          <w:color w:val="auto"/>
          <w:kern w:val="0"/>
          <w:sz w:val="24"/>
          <w:highlight w:val="none"/>
        </w:rPr>
        <w:t>除供应商对错处做必要修改外，响应文件不得行间插字、涂改和增删，如有修改错漏处，应由供应商加盖校对章。</w:t>
      </w:r>
    </w:p>
    <w:p>
      <w:pPr>
        <w:pStyle w:val="3"/>
        <w:spacing w:line="560" w:lineRule="exact"/>
        <w:jc w:val="center"/>
        <w:rPr>
          <w:rFonts w:ascii="仿宋" w:hAnsi="仿宋" w:eastAsia="仿宋" w:cs="仿宋"/>
          <w:color w:val="auto"/>
          <w:kern w:val="44"/>
          <w:sz w:val="28"/>
          <w:szCs w:val="28"/>
          <w:highlight w:val="none"/>
        </w:rPr>
      </w:pPr>
      <w:bookmarkStart w:id="12" w:name="_Toc452995898"/>
      <w:r>
        <w:rPr>
          <w:rFonts w:hint="eastAsia" w:ascii="仿宋" w:hAnsi="仿宋" w:eastAsia="仿宋" w:cs="仿宋"/>
          <w:color w:val="auto"/>
          <w:kern w:val="44"/>
          <w:sz w:val="28"/>
          <w:szCs w:val="28"/>
          <w:highlight w:val="none"/>
        </w:rPr>
        <w:t>三、响应文件的提交</w:t>
      </w:r>
      <w:bookmarkEnd w:id="12"/>
    </w:p>
    <w:p>
      <w:pPr>
        <w:tabs>
          <w:tab w:val="left" w:pos="720"/>
        </w:tabs>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12</w:t>
      </w:r>
      <w:r>
        <w:rPr>
          <w:rFonts w:hint="eastAsia" w:ascii="仿宋" w:hAnsi="仿宋" w:eastAsia="仿宋" w:cs="仿宋"/>
          <w:bCs/>
          <w:color w:val="auto"/>
          <w:sz w:val="24"/>
          <w:highlight w:val="none"/>
        </w:rPr>
        <w:t>.数据电子备份响应文件（U盘）的密封及标记</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12.1供应商在数据电子备份响应文件（U盘）包封上应注明项目名称、项目编号、供应商名称并加盖供应商盖章；</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12.2如果数据电子备份响应文件（U盘）未按上述要求密封和加写标记，采购人有权予以拒绝此响应文件，视为未提供，并退回供应商；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12.3如果因密封不严、标记不明而造成过早启封、失密等情况，</w:t>
      </w:r>
      <w:r>
        <w:rPr>
          <w:rFonts w:hint="eastAsia" w:ascii="仿宋" w:hAnsi="仿宋" w:eastAsia="仿宋" w:cs="仿宋"/>
          <w:bCs/>
          <w:color w:val="auto"/>
          <w:sz w:val="24"/>
          <w:highlight w:val="none"/>
        </w:rPr>
        <w:t>采购代理机构</w:t>
      </w:r>
      <w:r>
        <w:rPr>
          <w:rFonts w:hint="eastAsia" w:ascii="仿宋" w:hAnsi="仿宋" w:eastAsia="仿宋" w:cs="仿宋"/>
          <w:color w:val="auto"/>
          <w:sz w:val="24"/>
          <w:highlight w:val="none"/>
        </w:rPr>
        <w:t>概不负责。</w:t>
      </w:r>
    </w:p>
    <w:p>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13.响应文件的递交及磋商截止时间：</w:t>
      </w:r>
    </w:p>
    <w:p>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顺丰），邮寄地址为：浙江新诚信工程咨询有限公司  [湖州市太湖路1155号14层1402室]，联系电话：18768247439。邮寄截止时间：供应商应于2024年</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日17:00时前准时送达，逾期不予受理。截止磋商截止时间前，采购人由二名人员（一名接收人、一名监督人员）统一负责接收并送至专门的监控室，与磋商资料一并归档。供应商须留足响应文件邮寄时间,确保数据电子备份响应文件（U盘）于规定的时间前送达指定地点，未按时送达的，均按未提供处理；</w:t>
      </w:r>
    </w:p>
    <w:p>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13.4采购代理机构可通过修改磋商文件酌情延长递交响应文件的截止时间，在此情况下，供应商的所有权利和义务以及供应商的磋商截止时间均应以延长后新的截止时间为准；</w:t>
      </w:r>
    </w:p>
    <w:p>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13.5供应商的修改书和撤回通知应在规定的磋商截止日期前按规定的时间及方式（邮箱或传真等）送达；</w:t>
      </w:r>
    </w:p>
    <w:p>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13.6采购代理机构收到供应商的响应文件或修改撤回通知书后，应当出具签收单（或收回签收单），通过邮箱或传真等方式送达；</w:t>
      </w:r>
    </w:p>
    <w:p>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13.7因网络或其他非供应商问题造成电子响应文件未成功解密，且供应商提供了数据电子备份响应文件（U盘）的，以数据电子备份响应文件（U盘）作为评审依据，否则视为电子响应文件撤回，作无效标处理。电子响应文件已成功解密的，数据电子备份响应文件（U盘）自动失效，不予启封。</w:t>
      </w:r>
    </w:p>
    <w:p>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14.迟交的响应文件</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采购人将不接受在规定的磋商截止时间后收到的任何响应文件。</w:t>
      </w:r>
    </w:p>
    <w:p>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15.响应文件的修改和撤回</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15.1供应商在提交响应文件后，可以修改或撤回其响应文件，但这种修改和撤回通知，必须在规定的磋商截止时间前，以书面形式（包括邮箱或传真等方式）通知采购代理机构；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15.2在磋商截止时间至规定的磋商有效期满之间的这段时间，供应商不得撤回其响应文件。</w:t>
      </w:r>
    </w:p>
    <w:p>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16.出现以下情形，导致电子交易平台无法正常进行，或者无法保证电子交易的公平、公正和安全时，中止电子交易活动：</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16.1电子交易平台发生故障而无法登录访问的；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16.2电子交易平台应用或数据库出现错误，不能进行正常操作的；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16.3电子交易平台发现严重安全漏洞，有潜在泄密危险的；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16.4病毒发作导致不能进行正常操作的；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16.5其他无法保证电子交易的公平、公正和安全的情况。</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出现以上规定情形，不影响采购公平、公正性的，采购代理机构可以待上述情形消除后继续组织电子交易活动，也可以决定某些环节以其他形式（数据备份响应文件（U盘））进行；影响或可能影响采购公平、公正性的，重新采购。</w:t>
      </w:r>
    </w:p>
    <w:p>
      <w:pPr>
        <w:pStyle w:val="3"/>
        <w:spacing w:line="560" w:lineRule="exact"/>
        <w:jc w:val="center"/>
        <w:rPr>
          <w:rFonts w:ascii="仿宋" w:hAnsi="仿宋" w:eastAsia="仿宋" w:cs="仿宋"/>
          <w:color w:val="auto"/>
          <w:sz w:val="28"/>
          <w:szCs w:val="28"/>
          <w:highlight w:val="none"/>
        </w:rPr>
      </w:pPr>
      <w:bookmarkStart w:id="13" w:name="_Toc452995899"/>
      <w:r>
        <w:rPr>
          <w:rFonts w:hint="eastAsia" w:ascii="仿宋" w:hAnsi="仿宋" w:eastAsia="仿宋" w:cs="仿宋"/>
          <w:color w:val="auto"/>
          <w:kern w:val="44"/>
          <w:sz w:val="28"/>
          <w:szCs w:val="28"/>
          <w:highlight w:val="none"/>
        </w:rPr>
        <w:t>四、</w:t>
      </w:r>
      <w:r>
        <w:rPr>
          <w:rFonts w:hint="eastAsia" w:ascii="仿宋" w:hAnsi="仿宋" w:eastAsia="仿宋" w:cs="仿宋"/>
          <w:color w:val="auto"/>
          <w:sz w:val="28"/>
          <w:szCs w:val="28"/>
          <w:highlight w:val="none"/>
        </w:rPr>
        <w:t>磋商</w:t>
      </w:r>
      <w:r>
        <w:rPr>
          <w:rFonts w:hint="eastAsia" w:ascii="仿宋" w:hAnsi="仿宋" w:eastAsia="仿宋" w:cs="仿宋"/>
          <w:color w:val="auto"/>
          <w:spacing w:val="14"/>
          <w:sz w:val="28"/>
          <w:szCs w:val="28"/>
          <w:highlight w:val="none"/>
        </w:rPr>
        <w:t>规则、</w:t>
      </w:r>
      <w:r>
        <w:rPr>
          <w:rFonts w:hint="eastAsia" w:ascii="仿宋" w:hAnsi="仿宋" w:eastAsia="仿宋" w:cs="仿宋"/>
          <w:color w:val="auto"/>
          <w:sz w:val="28"/>
          <w:szCs w:val="28"/>
          <w:highlight w:val="none"/>
        </w:rPr>
        <w:t>程序</w:t>
      </w:r>
      <w:bookmarkEnd w:id="13"/>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17.磋商规则</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17.1采购代理机构将于本须知前附表规定的时间和地点召开磋商会，所有供应商均应准时参加磋商会，本项目的磋商会采用不见面线上模式，供应商登录政采云平台在线响应；</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17.2磋商会由采购代理机构主持。</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17.3对供应商的磋商文件出现下列情况之一的，按照无效响应文件处理：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17.3.1电子响应文件逾期未上传、传输的将拒绝接收；</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17.3.2不具备磋商文件中规定的资格条件要求的；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17.3.3供应商提交两份或两份以上内容不同的响应文件，或在一份响应文件中对同一采购项目有两个或两个以上报价的；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17.3.4响应文件载明的采购项目完成期限超过磋商文件规定的期限，采购人不能接受的；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17.3.5响应文件载明的采购项目磋商有效期、服务期少于磋商文件规定期限的；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17.3.6响应文件未响应磋商文件规定的付款方式的；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17.3.7响应货物或服务的技术规范、技术标准明显不符合国家强制性要求的；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17.3.8响应货物或服务载明的验收标准和方法等不符合国家规定及竞争性磋商文件要求的；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17.3.9响应文件字迹模糊辨认不清的（磋商小组一致认为难以确认）；</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17.3.10提供不真实资料的；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17.3.11不符合法律、法规和磋商文件规定的其他实质性要求（磋商小组一致认定）的；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17.3.12磋商服务的服务指标、参数等存在实质性偏离（磋商小组一致认定）的；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17.3.13二分之一以上的磋商小组认为供应商报价明显</w:t>
      </w:r>
      <w:r>
        <w:rPr>
          <w:rFonts w:hint="eastAsia" w:ascii="仿宋" w:hAnsi="仿宋" w:eastAsia="仿宋" w:cs="仿宋"/>
          <w:color w:val="auto"/>
          <w:sz w:val="24"/>
          <w:highlight w:val="none"/>
          <w:lang w:val="en-US" w:eastAsia="zh-CN"/>
        </w:rPr>
        <w:t>低于</w:t>
      </w:r>
      <w:r>
        <w:rPr>
          <w:rFonts w:hint="eastAsia" w:ascii="仿宋" w:hAnsi="仿宋" w:eastAsia="仿宋" w:cs="仿宋"/>
          <w:color w:val="auto"/>
          <w:sz w:val="24"/>
          <w:highlight w:val="none"/>
        </w:rPr>
        <w:t>市场平均价的；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17.3.14未在浙江政府采购网（政采云平台）完成本项目网上报名的；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17.3.15法律、法规、规章及省级以上规范性文件等规定的其他情形；</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17.3.16未响应磋商文件中“▲”实质性条款。</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18.磋商小组与磋商原则</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磋商小组由采购代理机构依法组建，负责磋商活动。磋商小组遵循公开、公平、公正、科学合理，竞争择优的原则。</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19.磋商过程的保密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19.1磋商会开始后，直至授予成交供应商合同为止，凡属于对响应文件的审查、澄清、评判和比较的有关资料、成交候选供应商的推荐情况及与磋商有关的其他任何情况均依法严格保密；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19.2在响应文件的评判和比较、成交候选供应商推荐以及授予合同的过程中，供应商向采购人和磋商小组施加影响的任何行为，都将会导致其磋商被拒绝；</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19.3磋商小组通过政采云系统分别与各供应商进行技术、商务、资信及价格磋商，在磋商过程中，磋商小组成员不得透露其他供应商的磋商信息，严守商业秘密；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19.4供应商有下列情形之一的，视为供应商串通磋商，其磋商无效：</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19.4.1不同供应商的响应文件由同一单位或者个人编制；</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19.4.2不同供应商委托同一单位或者个人办理磋商事宜；</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19.4.3不同供应商的响应文件载明的项目管理成员或者联系人员为同一人；</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19.4.4不同供应商的响应文件异常一致或者响应报价呈规律性差异；</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19.4.5不同供应商的数据电子备份响应文件（U盘）相互混装。</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19.5供应商有下列情形之一的，属于恶意串通，其磋商无效：</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19.5.1供应商直接或者间接从采购人或者采购代理机构处获得其他供应商的相关情况并修改其响应文件；</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19.5.2供应商按照采购人或者采购代理机构的授意撤换、修改响应文件；</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19.5.3供应商之间协商报价、技术方案等响应文件的实质性内容；</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19.5.4属于同一集团、协会、商会等组织成员的供应商按照该组织要求协同参加政府采购活动；</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19.5.5供应商之间事先约定由某一特定供应商成交；</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19.5.6供应商之间商定部分供应商放弃参加政府采购活动或者放弃成交；</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19.5.7供应商与采购人或者采购代理机构之间、供应商相互之间，为谋求特定供应商成交或者排斥其他供应商的其他串通行为。</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20.响应文件的澄清</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为有助于响应文件的审查、评判和比较，磋商小组可以要求供应商对响应文件含义不明确的内容作必要的澄清或说明，供应商应通过政采云系统采用书面形式进行必要的澄清、说明或承诺。</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s="仿宋"/>
          <w:color w:val="auto"/>
          <w:spacing w:val="14"/>
          <w:sz w:val="24"/>
          <w:highlight w:val="none"/>
        </w:rPr>
        <w:t>磋商程序与方法</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21.1资格性审查</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磋商小组依据法律、法规和磋商文件规定，对响应文件中的资格证明等进行审查，以确定供应商是否具备磋商资格。</w:t>
      </w:r>
      <w:r>
        <w:rPr>
          <w:rFonts w:hint="eastAsia" w:ascii="仿宋" w:hAnsi="仿宋" w:eastAsia="仿宋" w:cs="仿宋"/>
          <w:b/>
          <w:color w:val="auto"/>
          <w:sz w:val="24"/>
          <w:highlight w:val="none"/>
          <w:u w:val="single"/>
        </w:rPr>
        <w:t>审查内容详见响应文件组成中资格审查条款1-5</w:t>
      </w:r>
      <w:r>
        <w:rPr>
          <w:rFonts w:hint="eastAsia" w:ascii="仿宋" w:hAnsi="仿宋" w:eastAsia="仿宋" w:cs="仿宋"/>
          <w:color w:val="auto"/>
          <w:sz w:val="24"/>
          <w:highlight w:val="none"/>
        </w:rPr>
        <w:t>。</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21.2初步审查</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磋商小组对通过资格性检查的供应商进行</w:t>
      </w:r>
      <w:r>
        <w:rPr>
          <w:rFonts w:hint="eastAsia" w:ascii="仿宋" w:hAnsi="仿宋" w:eastAsia="仿宋" w:cs="仿宋"/>
          <w:bCs/>
          <w:color w:val="auto"/>
          <w:sz w:val="24"/>
          <w:highlight w:val="none"/>
        </w:rPr>
        <w:t>符合性</w:t>
      </w:r>
      <w:r>
        <w:rPr>
          <w:rFonts w:hint="eastAsia" w:ascii="仿宋" w:hAnsi="仿宋" w:eastAsia="仿宋" w:cs="仿宋"/>
          <w:color w:val="auto"/>
          <w:sz w:val="24"/>
          <w:highlight w:val="none"/>
        </w:rPr>
        <w:t>检查。依据磋商文件的规定，从响应文件的有效性、完整性和对磋商文件的响应程度进行初步审查，以确定是否对磋商文件的实质性要求作出响应。</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21.3通过政采云系统，磋商小组根据磋商文件的内容与各供应商分别进行磋商，各供应商在线答复的同时，须对磋商中所涉及的澄清、修改、承诺等补充资料等在规定的时间内以书面文件形式通过系统提交至磋商小组，其书面文件必须由供应商的法定代表人或其授权代理人签字（或签章），作为响应文件的补充。如该供应商成为成交供应商，则该供应商的响应文件（含所有补充资料）将作为合同的组成部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21.4响应文件计算错误的修正</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21.4.1响应文件中磋商报价一览表内容与响应文件中磋商分项报价表内容不一致的，以磋商报价一览表为准；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21.4.2响应文件的大写金额和小写金额不一致的，以大写金额为准；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21.4.3总</w:t>
      </w:r>
      <w:r>
        <w:rPr>
          <w:rFonts w:hint="eastAsia" w:ascii="仿宋" w:hAnsi="仿宋" w:eastAsia="仿宋" w:cs="仿宋"/>
          <w:color w:val="auto"/>
          <w:spacing w:val="-8"/>
          <w:sz w:val="24"/>
          <w:highlight w:val="none"/>
        </w:rPr>
        <w:t>价金额与按单价汇总金额不一致的，以单价金额计算结果为准</w:t>
      </w:r>
      <w:r>
        <w:rPr>
          <w:rFonts w:hint="eastAsia" w:ascii="仿宋" w:hAnsi="仿宋" w:eastAsia="仿宋" w:cs="仿宋"/>
          <w:color w:val="auto"/>
          <w:sz w:val="24"/>
          <w:highlight w:val="none"/>
        </w:rPr>
        <w:t>。</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21.4.4单价金额小数点有明显错位的，应以总价为准，并修改单价；</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21.4.5对不同文字文本响应文件的解释发生异议的，以中文文本为准。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21.5技术、商务、资信及其他部分磋商结束后，所有供应商须按磋商小组要求，在规定时间内通过政采云系统进行最后报价，并提交至磋商小组。</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21.6</w:t>
      </w:r>
      <w:r>
        <w:rPr>
          <w:rFonts w:hint="eastAsia" w:ascii="仿宋" w:hAnsi="仿宋" w:eastAsia="仿宋" w:cs="仿宋"/>
          <w:bCs/>
          <w:color w:val="auto"/>
          <w:sz w:val="24"/>
          <w:highlight w:val="none"/>
        </w:rPr>
        <w:t>确定成交供应商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21.6.1在全部满足磋商文件实质性要求的前提下，按综合得分高低确定成交供应商。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21.6.2采购代理机构应当在磋商结束后二个工作日内将磋商评审报告送采购人确认。</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21.6.3采购人应当在收到磋商评审报告后五个工作日内，按照磋商评审报告中推荐的排列顺序依法确定成交供应商。</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21.6.4替补候选人的设定与使用：第一成交候选供应商放弃成交或者因不可抗力提出不能履行合同，采购人可以确定第二成交候选供应商为成交供应商或重新组织采购活动，排名第二的成交候选供应商因前款同样的原因不能签订合同，采购人可以确定排名第三的成交候选供应商为成交供应商或重新组织采购活动。</w:t>
      </w:r>
    </w:p>
    <w:p>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22.</w:t>
      </w:r>
      <w:r>
        <w:rPr>
          <w:rFonts w:hint="eastAsia" w:ascii="仿宋" w:hAnsi="仿宋" w:eastAsia="仿宋" w:cs="仿宋"/>
          <w:bCs/>
          <w:color w:val="auto"/>
          <w:sz w:val="24"/>
          <w:highlight w:val="none"/>
        </w:rPr>
        <w:t>成交公告</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采购代理机构应当在收到采购人书面确定的成交供应商通知后将成交结果在原发布磋商公告的媒体上予以公告。公告期按有关规定执行。</w:t>
      </w:r>
    </w:p>
    <w:p>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23.成交通知</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23.1</w:t>
      </w:r>
      <w:r>
        <w:rPr>
          <w:rFonts w:hint="eastAsia" w:ascii="仿宋" w:hAnsi="仿宋" w:eastAsia="仿宋" w:cs="仿宋"/>
          <w:bCs/>
          <w:color w:val="auto"/>
          <w:sz w:val="24"/>
          <w:highlight w:val="none"/>
        </w:rPr>
        <w:t>在磋商有效期内，</w:t>
      </w:r>
      <w:r>
        <w:rPr>
          <w:rFonts w:hint="eastAsia" w:ascii="仿宋" w:hAnsi="仿宋" w:eastAsia="仿宋" w:cs="仿宋"/>
          <w:color w:val="auto"/>
          <w:sz w:val="24"/>
          <w:highlight w:val="none"/>
        </w:rPr>
        <w:t>采购代理机构</w:t>
      </w:r>
      <w:r>
        <w:rPr>
          <w:rFonts w:hint="eastAsia" w:ascii="仿宋" w:hAnsi="仿宋" w:eastAsia="仿宋" w:cs="仿宋"/>
          <w:bCs/>
          <w:color w:val="auto"/>
          <w:sz w:val="24"/>
          <w:highlight w:val="none"/>
        </w:rPr>
        <w:t>可以书面形式通知所选定的成交供应商。通知也可以传真、信函的形式，但需要以书面确认，</w:t>
      </w:r>
      <w:r>
        <w:rPr>
          <w:rFonts w:hint="eastAsia" w:ascii="仿宋" w:hAnsi="仿宋" w:eastAsia="仿宋" w:cs="仿宋"/>
          <w:color w:val="auto"/>
          <w:sz w:val="24"/>
          <w:highlight w:val="none"/>
        </w:rPr>
        <w:t>领取成交通知书前须完成以下事项：</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23.2成交通知书为双方签订合同的依据；</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23.3成交供应商应根据成交通知书中规定的时间内，由法定代表人或其授权代理人与采购人签订合同。</w:t>
      </w:r>
    </w:p>
    <w:p>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24.</w:t>
      </w:r>
      <w:r>
        <w:rPr>
          <w:rFonts w:hint="eastAsia" w:ascii="仿宋" w:hAnsi="仿宋" w:eastAsia="仿宋" w:cs="仿宋"/>
          <w:bCs/>
          <w:color w:val="auto"/>
          <w:sz w:val="24"/>
          <w:highlight w:val="none"/>
        </w:rPr>
        <w:t>废标</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在磋商中，出现下列情形之一的，应予废标：</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24.1出现影响采购公正的违法、违规行为的；</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24.2因重大变故，采购任务取消的；</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24.3供应商的报价均超采购预算的，采购人不能支付的；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24.4</w:t>
      </w:r>
      <w:r>
        <w:rPr>
          <w:rFonts w:hint="eastAsia" w:ascii="仿宋" w:hAnsi="仿宋" w:eastAsia="仿宋" w:cs="仿宋"/>
          <w:bCs/>
          <w:snapToGrid w:val="0"/>
          <w:color w:val="auto"/>
          <w:sz w:val="24"/>
          <w:highlight w:val="none"/>
        </w:rPr>
        <w:t>法律、法规、规章等规定的其他情形除外。</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废标后，采购代理机构将废标理由通知所有供应商。</w:t>
      </w:r>
    </w:p>
    <w:p>
      <w:pPr>
        <w:spacing w:line="560" w:lineRule="exact"/>
        <w:ind w:firstLine="536" w:firstLineChars="200"/>
        <w:rPr>
          <w:rFonts w:ascii="仿宋" w:hAnsi="仿宋" w:eastAsia="仿宋" w:cs="仿宋"/>
          <w:bCs/>
          <w:color w:val="auto"/>
          <w:spacing w:val="14"/>
          <w:sz w:val="24"/>
          <w:highlight w:val="none"/>
          <w:u w:val="single"/>
        </w:rPr>
      </w:pPr>
      <w:r>
        <w:rPr>
          <w:rFonts w:hint="eastAsia" w:ascii="仿宋" w:hAnsi="仿宋" w:eastAsia="仿宋" w:cs="仿宋"/>
          <w:bCs/>
          <w:color w:val="auto"/>
          <w:spacing w:val="14"/>
          <w:sz w:val="24"/>
          <w:highlight w:val="none"/>
        </w:rPr>
        <w:t>本磋商规则及</w:t>
      </w:r>
      <w:r>
        <w:rPr>
          <w:rFonts w:hint="eastAsia" w:ascii="仿宋" w:hAnsi="仿宋" w:eastAsia="仿宋" w:cs="仿宋"/>
          <w:bCs/>
          <w:color w:val="auto"/>
          <w:sz w:val="24"/>
          <w:highlight w:val="none"/>
        </w:rPr>
        <w:t>程序</w:t>
      </w:r>
      <w:r>
        <w:rPr>
          <w:rFonts w:hint="eastAsia" w:ascii="仿宋" w:hAnsi="仿宋" w:eastAsia="仿宋" w:cs="仿宋"/>
          <w:bCs/>
          <w:color w:val="auto"/>
          <w:spacing w:val="14"/>
          <w:sz w:val="24"/>
          <w:highlight w:val="none"/>
        </w:rPr>
        <w:t>只适用于</w:t>
      </w:r>
      <w:r>
        <w:rPr>
          <w:rFonts w:hint="eastAsia" w:ascii="仿宋" w:hAnsi="仿宋" w:eastAsia="仿宋" w:cs="宋体"/>
          <w:b/>
          <w:color w:val="auto"/>
          <w:sz w:val="24"/>
          <w:highlight w:val="none"/>
          <w:u w:val="single"/>
          <w:lang w:eastAsia="zh-CN"/>
        </w:rPr>
        <w:t>2024年度湖州人社核心应用软件系统运维保障服务采购项目（</w:t>
      </w:r>
      <w:r>
        <w:rPr>
          <w:rFonts w:hint="eastAsia" w:ascii="仿宋" w:hAnsi="仿宋" w:eastAsia="仿宋" w:cs="宋体"/>
          <w:b/>
          <w:color w:val="auto"/>
          <w:sz w:val="24"/>
          <w:highlight w:val="none"/>
          <w:u w:val="single"/>
          <w:lang w:val="en-US" w:eastAsia="zh-CN"/>
        </w:rPr>
        <w:t>标项一</w:t>
      </w:r>
      <w:r>
        <w:rPr>
          <w:rFonts w:hint="eastAsia" w:ascii="仿宋" w:hAnsi="仿宋" w:eastAsia="仿宋" w:cs="宋体"/>
          <w:b/>
          <w:color w:val="auto"/>
          <w:sz w:val="24"/>
          <w:highlight w:val="none"/>
          <w:u w:val="single"/>
          <w:lang w:eastAsia="zh-CN"/>
        </w:rPr>
        <w:t>）</w:t>
      </w:r>
      <w:r>
        <w:rPr>
          <w:rFonts w:hint="eastAsia" w:ascii="仿宋" w:hAnsi="仿宋" w:eastAsia="仿宋" w:cs="仿宋"/>
          <w:bCs/>
          <w:color w:val="auto"/>
          <w:spacing w:val="-4"/>
          <w:sz w:val="24"/>
          <w:szCs w:val="21"/>
          <w:highlight w:val="none"/>
        </w:rPr>
        <w:t>（</w:t>
      </w:r>
      <w:r>
        <w:rPr>
          <w:rFonts w:hint="eastAsia" w:ascii="仿宋" w:hAnsi="仿宋" w:eastAsia="仿宋" w:cs="仿宋"/>
          <w:bCs/>
          <w:color w:val="auto"/>
          <w:spacing w:val="14"/>
          <w:sz w:val="24"/>
          <w:highlight w:val="none"/>
        </w:rPr>
        <w:t>编号：XCXHZ-2024-0</w:t>
      </w:r>
      <w:r>
        <w:rPr>
          <w:rFonts w:hint="eastAsia" w:ascii="仿宋" w:hAnsi="仿宋" w:eastAsia="仿宋" w:cs="仿宋"/>
          <w:bCs/>
          <w:color w:val="auto"/>
          <w:spacing w:val="14"/>
          <w:sz w:val="24"/>
          <w:highlight w:val="none"/>
          <w:lang w:val="en-US" w:eastAsia="zh-CN"/>
        </w:rPr>
        <w:t>31-001</w:t>
      </w:r>
      <w:r>
        <w:rPr>
          <w:rFonts w:hint="eastAsia" w:ascii="仿宋" w:hAnsi="仿宋" w:eastAsia="仿宋" w:cs="仿宋"/>
          <w:bCs/>
          <w:color w:val="auto"/>
          <w:spacing w:val="14"/>
          <w:sz w:val="24"/>
          <w:highlight w:val="none"/>
        </w:rPr>
        <w:t>（CG）)磋商文件。</w:t>
      </w:r>
    </w:p>
    <w:p>
      <w:pPr>
        <w:pStyle w:val="3"/>
        <w:spacing w:line="560" w:lineRule="exact"/>
        <w:jc w:val="center"/>
        <w:rPr>
          <w:rFonts w:ascii="仿宋" w:hAnsi="仿宋" w:eastAsia="仿宋" w:cs="仿宋"/>
          <w:color w:val="auto"/>
          <w:spacing w:val="14"/>
          <w:sz w:val="28"/>
          <w:szCs w:val="28"/>
          <w:highlight w:val="none"/>
        </w:rPr>
      </w:pPr>
      <w:bookmarkStart w:id="14" w:name="_Toc452995900"/>
      <w:r>
        <w:rPr>
          <w:rFonts w:hint="eastAsia" w:ascii="仿宋" w:hAnsi="仿宋" w:eastAsia="仿宋" w:cs="仿宋"/>
          <w:color w:val="auto"/>
          <w:spacing w:val="14"/>
          <w:sz w:val="28"/>
          <w:szCs w:val="28"/>
          <w:highlight w:val="none"/>
        </w:rPr>
        <w:t>五、授予合同</w:t>
      </w:r>
      <w:bookmarkEnd w:id="14"/>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25.授予合同的依据</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采购代理机构签发的成交通知书；</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.2</w:t>
      </w:r>
      <w:r>
        <w:rPr>
          <w:rFonts w:hint="eastAsia" w:ascii="仿宋" w:hAnsi="仿宋" w:eastAsia="仿宋" w:cs="仿宋"/>
          <w:color w:val="auto"/>
          <w:sz w:val="24"/>
          <w:highlight w:val="none"/>
        </w:rPr>
        <w:t>磋商文件、磋商文件的修改及补充通知（函）；</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.3</w:t>
      </w:r>
      <w:r>
        <w:rPr>
          <w:rFonts w:hint="eastAsia" w:ascii="仿宋" w:hAnsi="仿宋" w:eastAsia="仿宋" w:cs="仿宋"/>
          <w:color w:val="auto"/>
          <w:sz w:val="24"/>
          <w:highlight w:val="none"/>
        </w:rPr>
        <w:t>响应文件和磋商时供应商作出的书面澄清、说明、纠正、承诺等；</w:t>
      </w:r>
    </w:p>
    <w:p>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26</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合同签订</w:t>
      </w:r>
    </w:p>
    <w:p>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26.1成交供应商与采购人应按成交通知书中规定的时间、地点签订合同，否则应承担相应的法律责任。</w:t>
      </w:r>
    </w:p>
    <w:p>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bCs/>
          <w:color w:val="auto"/>
          <w:sz w:val="24"/>
          <w:highlight w:val="none"/>
        </w:rPr>
        <w:t>26.2磋商文件、成交供应商的响应文件及磋商过程中有关澄清文件和承诺均为合同附件。</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26.3</w:t>
      </w:r>
      <w:r>
        <w:rPr>
          <w:rFonts w:hint="eastAsia" w:ascii="仿宋" w:hAnsi="仿宋" w:eastAsia="仿宋" w:cs="仿宋"/>
          <w:snapToGrid w:val="0"/>
          <w:color w:val="auto"/>
          <w:sz w:val="24"/>
          <w:highlight w:val="none"/>
        </w:rPr>
        <w:t>采购人与成交供应商将根据《中华人民共和国</w:t>
      </w:r>
      <w:r>
        <w:rPr>
          <w:rFonts w:hint="eastAsia" w:ascii="仿宋" w:hAnsi="仿宋" w:eastAsia="仿宋" w:cs="仿宋"/>
          <w:snapToGrid w:val="0"/>
          <w:color w:val="auto"/>
          <w:sz w:val="24"/>
          <w:highlight w:val="none"/>
          <w:lang w:val="en-US" w:eastAsia="zh-CN"/>
        </w:rPr>
        <w:t>民法典</w:t>
      </w:r>
      <w:r>
        <w:rPr>
          <w:rFonts w:hint="eastAsia" w:ascii="仿宋" w:hAnsi="仿宋" w:eastAsia="仿宋" w:cs="仿宋"/>
          <w:snapToGrid w:val="0"/>
          <w:color w:val="auto"/>
          <w:sz w:val="24"/>
          <w:highlight w:val="none"/>
        </w:rPr>
        <w:t>》的规定，依据磋商文件和成交供应商的响应文件签订书面合同。</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26.4采购人如不与</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供应商订立合同，或者采购人、</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供应商订立背离合同实质性内容的协议，由政府有关部门责令改正，同时依法承担相应法律责任；</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26.5</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供应商如不按规定与采购人订立合同，则采购代理机构将废除授标，保证金不予退还，给采购人造成的损失超过响应担保数额的，还应当对超过部分予以赔偿，同时依法承担相应法律责任。</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26.6</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供应商应当按照合同约定履行义务，完成</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项目各项工作，不得将</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项目违法转让（转包）给他人；</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26.7如果</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供应商未能遵守本须知第26.6条的规定，则可取消其</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资格。在此情况下，可将合同授予排序在</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供应商之后的第一位</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候选供应商。</w:t>
      </w:r>
    </w:p>
    <w:p>
      <w:pPr>
        <w:pStyle w:val="24"/>
        <w:ind w:firstLine="0"/>
        <w:rPr>
          <w:color w:val="auto"/>
          <w:highlight w:val="none"/>
        </w:rPr>
      </w:pPr>
    </w:p>
    <w:p>
      <w:pPr>
        <w:pStyle w:val="3"/>
        <w:spacing w:line="560" w:lineRule="exact"/>
        <w:jc w:val="center"/>
        <w:rPr>
          <w:rFonts w:ascii="仿宋" w:hAnsi="仿宋" w:eastAsia="仿宋" w:cs="仿宋"/>
          <w:color w:val="auto"/>
          <w:spacing w:val="14"/>
          <w:sz w:val="28"/>
          <w:szCs w:val="28"/>
          <w:highlight w:val="none"/>
        </w:rPr>
      </w:pPr>
      <w:r>
        <w:rPr>
          <w:rFonts w:hint="eastAsia" w:ascii="仿宋" w:hAnsi="仿宋" w:eastAsia="仿宋" w:cs="仿宋"/>
          <w:color w:val="auto"/>
          <w:spacing w:val="14"/>
          <w:sz w:val="28"/>
          <w:szCs w:val="28"/>
          <w:highlight w:val="none"/>
        </w:rPr>
        <w:t>六、其他内容</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27.发生下列情况之一，供应商自愿接受取消磋商资格、记入信用档案、媒体通报、1-3年内禁止参与政府采购等处罚；如已成交的，自动放弃成交资格，并承担全部法律责任；给采购人造成损失的，依法承担赔偿责任：</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27.1供应商在提交磋商（响应）文件截止时间后撤回磋商（响应）文件的；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27.2供应商在磋商（响应）文件中提交虚假材料的；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27.3除因不可抗力或磋商文件认可的情形以外，成交供应商不与采购人签订合同的；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27.4供应商与采购人、其他供应商或者采购代理机构恶意串通的；</w:t>
      </w:r>
    </w:p>
    <w:p>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27.5磋商文件规定的其他情形。</w:t>
      </w:r>
    </w:p>
    <w:p>
      <w:pPr>
        <w:rPr>
          <w:rFonts w:ascii="仿宋" w:hAnsi="仿宋" w:eastAsia="仿宋" w:cs="仿宋"/>
          <w:color w:val="auto"/>
          <w:sz w:val="24"/>
          <w:highlight w:val="none"/>
        </w:rPr>
      </w:pPr>
    </w:p>
    <w:p>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pPr>
        <w:tabs>
          <w:tab w:val="left" w:pos="8100"/>
        </w:tabs>
        <w:spacing w:line="56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第四章 合同主要条款</w:t>
      </w:r>
    </w:p>
    <w:p>
      <w:pPr>
        <w:pStyle w:val="2"/>
        <w:spacing w:line="500" w:lineRule="exact"/>
        <w:jc w:val="center"/>
        <w:rPr>
          <w:rFonts w:ascii="仿宋" w:hAnsi="仿宋" w:eastAsia="仿宋" w:cs="仿宋"/>
          <w:b w:val="0"/>
          <w:bCs w:val="0"/>
          <w:snapToGrid w:val="0"/>
          <w:color w:val="auto"/>
          <w:sz w:val="36"/>
          <w:szCs w:val="36"/>
          <w:highlight w:val="none"/>
        </w:rPr>
      </w:pPr>
      <w:r>
        <w:rPr>
          <w:rFonts w:hint="eastAsia" w:ascii="仿宋" w:hAnsi="仿宋" w:eastAsia="仿宋" w:cs="仿宋"/>
          <w:color w:val="auto"/>
          <w:sz w:val="28"/>
          <w:szCs w:val="28"/>
          <w:highlight w:val="none"/>
        </w:rPr>
        <w:t>（仅供参考，以正式合同为准）</w:t>
      </w:r>
    </w:p>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财政审批编号:</w:t>
      </w:r>
      <w:r>
        <w:rPr>
          <w:rFonts w:hint="eastAsia" w:ascii="仿宋" w:hAnsi="仿宋" w:eastAsia="仿宋" w:cs="仿宋"/>
          <w:color w:val="auto"/>
          <w:sz w:val="24"/>
          <w:highlight w:val="none"/>
          <w:lang w:val="en-US" w:eastAsia="zh-CN"/>
        </w:rPr>
        <w:t>湖</w:t>
      </w:r>
      <w:r>
        <w:rPr>
          <w:rFonts w:hint="eastAsia" w:ascii="仿宋" w:hAnsi="仿宋" w:eastAsia="仿宋" w:cs="仿宋"/>
          <w:color w:val="auto"/>
          <w:sz w:val="24"/>
          <w:highlight w:val="none"/>
        </w:rPr>
        <w:t>财采确[2024]</w:t>
      </w:r>
      <w:r>
        <w:rPr>
          <w:rFonts w:hint="eastAsia" w:ascii="仿宋" w:hAnsi="仿宋" w:eastAsia="仿宋" w:cs="仿宋"/>
          <w:color w:val="auto"/>
          <w:sz w:val="24"/>
          <w:highlight w:val="none"/>
          <w:lang w:val="en-US" w:eastAsia="zh-CN"/>
        </w:rPr>
        <w:t>7777</w:t>
      </w:r>
      <w:r>
        <w:rPr>
          <w:rFonts w:hint="eastAsia" w:ascii="仿宋" w:hAnsi="仿宋" w:eastAsia="仿宋" w:cs="仿宋"/>
          <w:color w:val="auto"/>
          <w:sz w:val="24"/>
          <w:highlight w:val="none"/>
        </w:rPr>
        <w:t>号  采购文件编号: XCXHZ-2024-0</w:t>
      </w:r>
      <w:r>
        <w:rPr>
          <w:rFonts w:hint="eastAsia" w:ascii="仿宋" w:hAnsi="仿宋" w:eastAsia="仿宋" w:cs="仿宋"/>
          <w:color w:val="auto"/>
          <w:sz w:val="24"/>
          <w:highlight w:val="none"/>
          <w:lang w:val="en-US" w:eastAsia="zh-CN"/>
        </w:rPr>
        <w:t>31-001</w:t>
      </w:r>
      <w:r>
        <w:rPr>
          <w:rFonts w:hint="eastAsia" w:ascii="仿宋" w:hAnsi="仿宋" w:eastAsia="仿宋" w:cs="仿宋"/>
          <w:color w:val="auto"/>
          <w:sz w:val="24"/>
          <w:highlight w:val="none"/>
        </w:rPr>
        <w:t>（CG）</w:t>
      </w:r>
    </w:p>
    <w:p>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甲方（采购人）：</w:t>
      </w:r>
    </w:p>
    <w:p>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乙方（成交人）：</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甲、乙双方根据</w:t>
      </w:r>
      <w:r>
        <w:rPr>
          <w:rFonts w:hint="eastAsia" w:ascii="仿宋" w:hAnsi="仿宋" w:eastAsia="仿宋" w:cs="仿宋"/>
          <w:color w:val="auto"/>
          <w:sz w:val="24"/>
          <w:highlight w:val="none"/>
          <w:u w:val="single"/>
        </w:rPr>
        <w:t xml:space="preserve">浙江新诚信工程咨询有限公司 </w:t>
      </w:r>
      <w:r>
        <w:rPr>
          <w:rFonts w:hint="eastAsia" w:ascii="仿宋" w:hAnsi="仿宋" w:eastAsia="仿宋" w:cs="仿宋"/>
          <w:color w:val="auto"/>
          <w:sz w:val="24"/>
          <w:highlight w:val="none"/>
        </w:rPr>
        <w:t>关于</w:t>
      </w:r>
      <w:r>
        <w:rPr>
          <w:rFonts w:hint="eastAsia" w:ascii="仿宋" w:hAnsi="仿宋" w:eastAsia="仿宋" w:cs="宋体"/>
          <w:bCs/>
          <w:color w:val="auto"/>
          <w:sz w:val="24"/>
          <w:highlight w:val="none"/>
          <w:u w:val="single"/>
          <w:lang w:eastAsia="zh-CN"/>
        </w:rPr>
        <w:t>2024年度湖州人社核心应用软件系统运维保障服务采购项目（</w:t>
      </w:r>
      <w:r>
        <w:rPr>
          <w:rFonts w:hint="eastAsia" w:ascii="仿宋" w:hAnsi="仿宋" w:eastAsia="仿宋" w:cs="宋体"/>
          <w:bCs/>
          <w:color w:val="auto"/>
          <w:sz w:val="24"/>
          <w:highlight w:val="none"/>
          <w:u w:val="single"/>
          <w:lang w:val="en-US" w:eastAsia="zh-CN"/>
        </w:rPr>
        <w:t>标项一</w:t>
      </w:r>
      <w:r>
        <w:rPr>
          <w:rFonts w:hint="eastAsia" w:ascii="仿宋" w:hAnsi="仿宋" w:eastAsia="仿宋" w:cs="宋体"/>
          <w:bCs/>
          <w:color w:val="auto"/>
          <w:sz w:val="24"/>
          <w:highlight w:val="none"/>
          <w:u w:val="single"/>
          <w:lang w:eastAsia="zh-CN"/>
        </w:rPr>
        <w:t>）</w:t>
      </w:r>
      <w:r>
        <w:rPr>
          <w:rFonts w:hint="eastAsia" w:ascii="仿宋" w:hAnsi="仿宋" w:eastAsia="仿宋" w:cs="仿宋"/>
          <w:color w:val="auto"/>
          <w:sz w:val="24"/>
          <w:highlight w:val="none"/>
        </w:rPr>
        <w:t>竞争性磋商的结果，签署本合同。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1.定义</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本合同中的下列术语应解释为：</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1.1“合同”系指供需双方签署的、合同格式中载明的供需双方所达成的协议，包括所有的附件、附录和构成合同的所有文件；</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1.2“合同价”系指根据合同规定，甲方在供应商完全履行合同义务后应付给的价格；</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1.3“货物”系指乙方根据合同规定向采购人提供的一切货物、质量保证书和其他技术资料及技术参数；</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1.4“服务”系指根据合同规定乙方承担与供货有关的辅助服务，如运输、装卸、安装、保险以及其他的服务，例如安装、调试提供技术援助、培训和其他类似的义务；</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1.5“甲方”系指具体使用货物和接受服务的使用单位；</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1.6“乙方”系指根据合同规定提供采购项目货物和服务的具有法人资格的公司、企业或实体；</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2.合同项目与内容</w:t>
      </w:r>
    </w:p>
    <w:p>
      <w:pPr>
        <w:snapToGrid w:val="0"/>
        <w:spacing w:line="400" w:lineRule="exact"/>
        <w:ind w:firstLine="480" w:firstLineChars="200"/>
        <w:jc w:val="left"/>
        <w:rPr>
          <w:rFonts w:hint="eastAsia" w:ascii="仿宋" w:hAnsi="仿宋" w:eastAsia="仿宋" w:cs="宋体"/>
          <w:bCs/>
          <w:color w:val="auto"/>
          <w:sz w:val="24"/>
          <w:highlight w:val="none"/>
          <w:lang w:eastAsia="zh-CN"/>
        </w:rPr>
      </w:pPr>
      <w:r>
        <w:rPr>
          <w:rFonts w:hint="eastAsia" w:ascii="仿宋" w:hAnsi="仿宋" w:eastAsia="仿宋" w:cs="仿宋"/>
          <w:color w:val="auto"/>
          <w:sz w:val="24"/>
          <w:highlight w:val="none"/>
        </w:rPr>
        <w:t>2.1合同项目：</w:t>
      </w:r>
      <w:r>
        <w:rPr>
          <w:rFonts w:hint="eastAsia" w:ascii="仿宋" w:hAnsi="仿宋" w:eastAsia="仿宋" w:cs="仿宋"/>
          <w:color w:val="auto"/>
          <w:sz w:val="24"/>
          <w:highlight w:val="none"/>
          <w:lang w:val="en-US" w:eastAsia="zh-CN"/>
        </w:rPr>
        <w:t>2</w:t>
      </w:r>
      <w:r>
        <w:rPr>
          <w:rFonts w:hint="eastAsia" w:ascii="仿宋" w:hAnsi="仿宋" w:eastAsia="仿宋" w:cs="宋体"/>
          <w:bCs/>
          <w:color w:val="auto"/>
          <w:sz w:val="24"/>
          <w:highlight w:val="none"/>
          <w:lang w:eastAsia="zh-CN"/>
        </w:rPr>
        <w:t>024年度湖州人社核心应用软件系统运维保障服务采购项目（标项一）</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2.2内容：</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2.3合同价款：</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3.服务时间与服务地点</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服务时间：</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服务地点：由甲方指定。</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4.签署合同的要求</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4.1、乙方必须按照磋商文件和询标过程中承诺的条款以及成交通知书中规定的时间、地点与甲方签订合同；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4.2、所签订的合同内容不得对磋商文件和乙方的磋商文件作实质性修改；</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4.3、甲方不得向供应商提出任何不合理的要求，作为签订合同的条件，不得与乙方私下订立背离合同实质性内容的协议；</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5.技术规范</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本合同执行国家及本省、市现行项目实施及验收规范及有关条例、实施办法等。</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提供和交付的服务技术规范应与磋商文件规定的技术规范相一致。</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6.知识产权</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乙方保证所提供的服务及货物均不存在知识产权纠纷。乙方应保证甲方在使用时不受第三方提出侵犯其专利权、商标权等知识产权的诉讼。</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7.工作考核及付款方式</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8.支付：</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付款方式：根据《保障中小企业款项支付条例》、省财政厅《浙江省财政厅关于进一步发挥政府采购政策功能全力推动经济稳进提质的通知》（浙财采监〔2022〕3号）要求，制定如下付款方式：</w:t>
      </w:r>
    </w:p>
    <w:p>
      <w:pPr>
        <w:spacing w:line="400" w:lineRule="exact"/>
        <w:ind w:firstLine="480" w:firstLineChars="200"/>
        <w:rPr>
          <w:rFonts w:hint="eastAsia" w:ascii="仿宋" w:hAnsi="仿宋" w:eastAsia="仿宋" w:cs="仿宋"/>
          <w:bCs/>
          <w:color w:val="auto"/>
          <w:kern w:val="2"/>
          <w:sz w:val="24"/>
          <w:szCs w:val="24"/>
          <w:highlight w:val="none"/>
          <w:lang w:val="en-US" w:eastAsia="zh-CN" w:bidi="ar"/>
        </w:rPr>
      </w:pPr>
      <w:r>
        <w:rPr>
          <w:rFonts w:hint="eastAsia" w:ascii="仿宋" w:hAnsi="仿宋" w:eastAsia="仿宋" w:cs="仿宋"/>
          <w:bCs/>
          <w:color w:val="auto"/>
          <w:kern w:val="2"/>
          <w:sz w:val="24"/>
          <w:szCs w:val="24"/>
          <w:highlight w:val="none"/>
          <w:lang w:val="en-US" w:eastAsia="zh-CN" w:bidi="ar"/>
        </w:rPr>
        <w:t>合同生效及具备实施条件后7个工作日支付合同款项的50%，作为预付款；运维期结束后经验收合格，支付至合同款项的100%。</w:t>
      </w:r>
    </w:p>
    <w:p>
      <w:pPr>
        <w:spacing w:line="4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采购人应自收到供应商开具的发票后7个工作日内将上述相关款项支付到合同约定的供应商账户。</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在签订合同时，供应商明确表示无需预付款或者主动要求降低预付款比例的，采购合同可不适用前述规定。</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9.技术服务</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乙方应负责安排采购人相关人员进行操作、维修的培训。具体时间及培训内容在磋商时由供应商提出建议；</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10.售后服务及承诺</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10.1乙方应明确承诺售后服务各项内容和措施，提供详细的服务地点、联系人、电话等有关资料；</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10.2售后服务期：</w:t>
      </w:r>
      <w:r>
        <w:rPr>
          <w:rFonts w:hint="eastAsia" w:ascii="仿宋" w:hAnsi="仿宋" w:eastAsia="仿宋" w:cs="仿宋"/>
          <w:color w:val="auto"/>
          <w:sz w:val="24"/>
          <w:szCs w:val="28"/>
          <w:highlight w:val="none"/>
        </w:rPr>
        <w:t>。</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11.履约保证及后续服务</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11.1 履约保证金：无</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11.2乙方应按磋商文件规定的服务标准向采购人提供服务。</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11.3 如甲方检查发现供应商提供的服务服务不符合标准要求，乙方应立即进行整改，直到符合要求为止。甲方可根据考核标准中扣除供应商因检查不合格而应该扣罚的款项（扣罚款项在签订合同时明确）。</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11.4乙方提供的服务人员不符合本合同约定的数额，乙方应当自接到甲方通知之日起2日内予以补足，甲方有权按照缺岗天数及缺岗人数扣除相应的违约金。</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11.5 由于乙方服务人员原因在服务工作中给甲方的设施、材料造成损失，供应商应负责赔偿。</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11.6 在使用过程中发生问题，乙方在接到甲方通知后在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小时内到达采购人现场。</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11.7 在服务质量保证期内，乙方应对出现的服务质量及安全问题负责处理解决并承担一切费用。</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12.违约责任</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12.1 甲方无正当理由拒收接受服务的，甲方向供应商偿付合同款项百分之五作为违约金。</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12.2 甲方无故逾期验收和办理款项支付手续的,甲方应按逾期付款总额每日万分之五向乙方支付违约金。</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 乙方不按约定提供服务的，每日向甲方支付千分之六违约金。逾期提供服务超过约定日期10个工作日的，甲方可解除本合同。乙方因逾期提供服务或因其他违约行为导致甲方解除合同的，乙方应向甲方支付合同总值5%的违约金，如造成甲方损失超过违约金的，超出部分由乙方继续承担赔偿责任。</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12.4如乙方提供的服务或与服务相关的物品存在知识产权纠纷而导致本合同无法继续履行，在甲方发函要求解决相关知识产权问题后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日内仍未解决的，则甲方有权单方终止本合同的履行，并要求乙方承担相应赔偿责任。</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13.不可抗力事件处理</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13.1 在合同有效期内，任何一方因不可抗力事件导致不能履行合同，则合同履行期可延长，其延长期与不可抗力影响期相同。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13.2 不可抗力事件发生后，应立即通知对方，并寄送有关权威机构出具的证明。</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13.3 不可抗力事件延续120天以上，双方应通过友好协商，确定是否继续履行合同。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14.争议解决</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14.1在执行本合同中所发生的或与本合同有关的一切争端，合同双方应通过友好协商解决，经过协商仍不能解决，双方选择通过下列第x种方式解决：</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（1）将争端提交湖州仲裁委员会仲裁</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（2）直接向采购人所在地有管辖权的人民法院起诉。</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14.2仲裁费用或诉讼费用应由败诉方负担。</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14.3在仲裁或诉讼期间，除进行仲裁或诉讼的部分外，本合同其它部分应继续执行。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15.转让或分包</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15.1本合同范围的服务，应由乙方提供，不得转让他人供应；</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15.2除非得到甲方的书面同意后，乙方可以将其中部分依法分包给他人供应和实施。甲方有绝对权力阻止分包。虽然甲方之前未有阻止分包，甲方仍有权在任何时候拒绝任何分包人，有权要求任何分包人脱离本货物的供应和服务，并不承担任何赔偿责任。</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15.3本合同全部或部分的分包不能减轻乙方承担的责任，乙方仍须将分包人的任何行动、错误或疏忽当作是自己完成的并负全责；</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15.4在任何分包合同中，须注明分包人按分包合同的范围履行，在乙方按本合同的履行终止时（不论任何原因），亦同时一并终止；</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15.5如有转让和未经甲方同意的分包行为，甲方有权给予终止合同。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16.验收要求 </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按照采购文件要求、乙方的响应文件（承诺）及签订的合同约定标准进行验收。 </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17.适用法律</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合同适用法律有《中华人民共和国民法典》、《中华人民共和国产品质量法》和浙江省有关条例等。</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18.合同生效及其它</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1）合同经双方法定代表人或授权代理人签字并加盖单位公章后生效。</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2）合同执行中涉及采购资金和采购内容修改或补充的，须经财政部门审批，并签书面补充协议报政府采购监督管理部门备案，方可作为主合同不可分割的一部分。</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3）本合同未尽事宜，遵照《中华人民共和国民法典》有关条文执行。</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4）本合同一式六份，其中甲乙双方各执三份。</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19.软件知识产权</w:t>
      </w:r>
    </w:p>
    <w:p>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本标项所涉及到的应用软件开发完成后，知识产权归甲方所有。</w:t>
      </w:r>
    </w:p>
    <w:p>
      <w:pPr>
        <w:spacing w:line="440" w:lineRule="exact"/>
        <w:ind w:firstLine="480" w:firstLineChars="200"/>
        <w:rPr>
          <w:rFonts w:ascii="仿宋" w:hAnsi="仿宋" w:eastAsia="仿宋" w:cs="仿宋"/>
          <w:bCs/>
          <w:color w:val="auto"/>
          <w:sz w:val="24"/>
          <w:highlight w:val="none"/>
        </w:rPr>
      </w:pPr>
    </w:p>
    <w:p>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采购人：                                 供应商： </w:t>
      </w:r>
    </w:p>
    <w:p>
      <w:pPr>
        <w:spacing w:line="440" w:lineRule="exact"/>
        <w:ind w:firstLine="480" w:firstLineChars="200"/>
        <w:rPr>
          <w:rFonts w:ascii="仿宋" w:hAnsi="仿宋" w:eastAsia="仿宋" w:cs="仿宋"/>
          <w:bCs/>
          <w:color w:val="auto"/>
          <w:sz w:val="24"/>
          <w:highlight w:val="none"/>
        </w:rPr>
      </w:pPr>
    </w:p>
    <w:p>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地址：                                   地址： </w:t>
      </w:r>
    </w:p>
    <w:p>
      <w:pPr>
        <w:spacing w:line="440" w:lineRule="exact"/>
        <w:ind w:firstLine="480" w:firstLineChars="200"/>
        <w:rPr>
          <w:rFonts w:ascii="仿宋" w:hAnsi="仿宋" w:eastAsia="仿宋" w:cs="仿宋"/>
          <w:bCs/>
          <w:color w:val="auto"/>
          <w:sz w:val="24"/>
          <w:highlight w:val="none"/>
        </w:rPr>
      </w:pPr>
    </w:p>
    <w:p>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法定（或授权）代表人：                   法定（或授权）代表人：</w:t>
      </w:r>
    </w:p>
    <w:p>
      <w:pPr>
        <w:pStyle w:val="25"/>
        <w:rPr>
          <w:rFonts w:ascii="仿宋" w:hAnsi="仿宋" w:eastAsia="仿宋" w:cs="仿宋"/>
          <w:color w:val="auto"/>
          <w:highlight w:val="none"/>
        </w:rPr>
      </w:pPr>
    </w:p>
    <w:p>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签字日期：年  月  日                     签字日期：年  月  日</w:t>
      </w:r>
    </w:p>
    <w:p>
      <w:pPr>
        <w:autoSpaceDE w:val="0"/>
        <w:autoSpaceDN w:val="0"/>
        <w:adjustRightInd w:val="0"/>
        <w:spacing w:line="540" w:lineRule="exact"/>
        <w:contextualSpacing/>
        <w:jc w:val="center"/>
        <w:outlineLvl w:val="0"/>
        <w:rPr>
          <w:rFonts w:ascii="仿宋" w:hAnsi="仿宋" w:eastAsia="仿宋" w:cs="仿宋"/>
          <w:b/>
          <w:color w:val="auto"/>
          <w:sz w:val="36"/>
          <w:szCs w:val="36"/>
          <w:highlight w:val="none"/>
        </w:rPr>
      </w:pPr>
      <w:r>
        <w:rPr>
          <w:rFonts w:hint="eastAsia" w:ascii="仿宋" w:hAnsi="仿宋" w:eastAsia="仿宋" w:cs="仿宋"/>
          <w:color w:val="auto"/>
          <w:sz w:val="28"/>
          <w:szCs w:val="28"/>
          <w:highlight w:val="none"/>
        </w:rPr>
        <w:br w:type="page"/>
      </w:r>
      <w:r>
        <w:rPr>
          <w:rFonts w:hint="eastAsia" w:ascii="仿宋" w:hAnsi="仿宋" w:eastAsia="仿宋" w:cs="仿宋"/>
          <w:b/>
          <w:color w:val="auto"/>
          <w:sz w:val="36"/>
          <w:szCs w:val="36"/>
          <w:highlight w:val="none"/>
        </w:rPr>
        <w:t>第五章  响应文件格式</w:t>
      </w:r>
    </w:p>
    <w:p>
      <w:pPr>
        <w:pStyle w:val="36"/>
        <w:rPr>
          <w:rFonts w:ascii="仿宋" w:hAnsi="仿宋" w:eastAsia="仿宋" w:cs="Times New Roman"/>
          <w:color w:val="auto"/>
          <w:highlight w:val="none"/>
        </w:rPr>
      </w:pPr>
    </w:p>
    <w:p>
      <w:pPr>
        <w:pStyle w:val="36"/>
        <w:rPr>
          <w:rFonts w:ascii="仿宋" w:hAnsi="仿宋" w:eastAsia="仿宋" w:cs="Times New Roman"/>
          <w:b/>
          <w:color w:val="auto"/>
          <w:highlight w:val="none"/>
        </w:rPr>
      </w:pPr>
      <w:r>
        <w:rPr>
          <w:rFonts w:ascii="仿宋" w:hAnsi="仿宋" w:eastAsia="仿宋" w:cs="Times New Roman"/>
          <w:color w:val="auto"/>
          <w:highlight w:val="none"/>
        </w:rPr>
        <w:t>封面格式</w:t>
      </w:r>
      <w:r>
        <w:rPr>
          <w:rFonts w:hint="eastAsia" w:ascii="仿宋" w:hAnsi="仿宋" w:eastAsia="仿宋" w:cs="Times New Roman"/>
          <w:b/>
          <w:color w:val="auto"/>
          <w:highlight w:val="none"/>
        </w:rPr>
        <w:t>（成交后提供的纸质版本格式）</w:t>
      </w:r>
    </w:p>
    <w:p>
      <w:pPr>
        <w:pStyle w:val="36"/>
        <w:rPr>
          <w:rFonts w:ascii="仿宋" w:hAnsi="仿宋" w:eastAsia="仿宋" w:cs="Times New Roman"/>
          <w:color w:val="auto"/>
          <w:highlight w:val="none"/>
        </w:rPr>
      </w:pPr>
    </w:p>
    <w:p>
      <w:pPr>
        <w:pStyle w:val="36"/>
        <w:rPr>
          <w:rFonts w:ascii="仿宋" w:hAnsi="仿宋" w:eastAsia="仿宋" w:cs="Times New Roman"/>
          <w:color w:val="auto"/>
          <w:highlight w:val="none"/>
        </w:rPr>
      </w:pPr>
    </w:p>
    <w:p>
      <w:pPr>
        <w:pStyle w:val="36"/>
        <w:rPr>
          <w:rFonts w:ascii="仿宋" w:hAnsi="仿宋" w:eastAsia="仿宋" w:cs="Times New Roman"/>
          <w:color w:val="auto"/>
          <w:sz w:val="36"/>
          <w:szCs w:val="36"/>
          <w:highlight w:val="none"/>
        </w:rPr>
      </w:pPr>
    </w:p>
    <w:p>
      <w:pPr>
        <w:pStyle w:val="36"/>
        <w:jc w:val="center"/>
        <w:rPr>
          <w:rFonts w:ascii="仿宋" w:hAnsi="仿宋" w:eastAsia="仿宋" w:cs="Times New Roman"/>
          <w:color w:val="auto"/>
          <w:sz w:val="36"/>
          <w:szCs w:val="36"/>
          <w:highlight w:val="none"/>
        </w:rPr>
      </w:pPr>
      <w:r>
        <w:rPr>
          <w:rFonts w:hint="eastAsia" w:ascii="仿宋" w:hAnsi="仿宋" w:eastAsia="仿宋" w:cs="Times New Roman"/>
          <w:b/>
          <w:color w:val="auto"/>
          <w:sz w:val="36"/>
          <w:szCs w:val="36"/>
          <w:highlight w:val="none"/>
        </w:rPr>
        <w:t>磋商响应文件</w:t>
      </w:r>
    </w:p>
    <w:p>
      <w:pPr>
        <w:pStyle w:val="36"/>
        <w:jc w:val="right"/>
        <w:rPr>
          <w:rFonts w:ascii="仿宋" w:hAnsi="仿宋" w:eastAsia="仿宋" w:cs="Times New Roman"/>
          <w:color w:val="auto"/>
          <w:highlight w:val="none"/>
        </w:rPr>
      </w:pPr>
    </w:p>
    <w:p>
      <w:pPr>
        <w:pStyle w:val="36"/>
        <w:jc w:val="center"/>
        <w:rPr>
          <w:rFonts w:ascii="仿宋" w:hAnsi="仿宋" w:eastAsia="仿宋" w:cs="Times New Roman"/>
          <w:b/>
          <w:color w:val="auto"/>
          <w:highlight w:val="none"/>
        </w:rPr>
      </w:pPr>
      <w:r>
        <w:rPr>
          <w:rFonts w:ascii="仿宋" w:hAnsi="仿宋" w:eastAsia="仿宋" w:cs="Times New Roman"/>
          <w:b/>
          <w:color w:val="auto"/>
          <w:highlight w:val="none"/>
        </w:rPr>
        <w:t>技术、商务、资信及其他文件</w:t>
      </w:r>
      <w:r>
        <w:rPr>
          <w:rFonts w:hint="eastAsia" w:ascii="仿宋" w:hAnsi="仿宋" w:eastAsia="仿宋" w:cs="Times New Roman"/>
          <w:b/>
          <w:color w:val="auto"/>
          <w:highlight w:val="none"/>
        </w:rPr>
        <w:t>/报价文件</w:t>
      </w:r>
    </w:p>
    <w:p>
      <w:pPr>
        <w:pStyle w:val="36"/>
        <w:jc w:val="center"/>
        <w:rPr>
          <w:rFonts w:ascii="仿宋" w:hAnsi="仿宋" w:eastAsia="仿宋" w:cs="Times New Roman"/>
          <w:b/>
          <w:color w:val="auto"/>
          <w:highlight w:val="none"/>
        </w:rPr>
      </w:pPr>
    </w:p>
    <w:p>
      <w:pPr>
        <w:pStyle w:val="36"/>
        <w:jc w:val="center"/>
        <w:rPr>
          <w:rFonts w:ascii="仿宋" w:hAnsi="仿宋" w:eastAsia="仿宋" w:cs="Times New Roman"/>
          <w:b/>
          <w:color w:val="auto"/>
          <w:highlight w:val="none"/>
        </w:rPr>
      </w:pPr>
    </w:p>
    <w:p>
      <w:pPr>
        <w:pStyle w:val="36"/>
        <w:jc w:val="center"/>
        <w:rPr>
          <w:rFonts w:ascii="仿宋" w:hAnsi="仿宋" w:eastAsia="仿宋" w:cs="Times New Roman"/>
          <w:b/>
          <w:color w:val="auto"/>
          <w:highlight w:val="none"/>
        </w:rPr>
      </w:pPr>
    </w:p>
    <w:p>
      <w:pPr>
        <w:pStyle w:val="36"/>
        <w:jc w:val="center"/>
        <w:rPr>
          <w:rFonts w:ascii="仿宋" w:hAnsi="仿宋" w:eastAsia="仿宋" w:cs="Times New Roman"/>
          <w:b/>
          <w:color w:val="auto"/>
          <w:highlight w:val="none"/>
        </w:rPr>
      </w:pPr>
    </w:p>
    <w:p>
      <w:pPr>
        <w:pStyle w:val="36"/>
        <w:rPr>
          <w:rFonts w:ascii="仿宋" w:hAnsi="仿宋" w:eastAsia="仿宋" w:cs="Times New Roman"/>
          <w:color w:val="auto"/>
          <w:highlight w:val="none"/>
        </w:rPr>
      </w:pPr>
    </w:p>
    <w:p>
      <w:pPr>
        <w:pStyle w:val="36"/>
        <w:rPr>
          <w:rFonts w:ascii="仿宋" w:hAnsi="仿宋" w:eastAsia="仿宋" w:cs="Times New Roman"/>
          <w:color w:val="auto"/>
          <w:highlight w:val="none"/>
        </w:rPr>
      </w:pPr>
      <w:r>
        <w:rPr>
          <w:rFonts w:ascii="仿宋" w:hAnsi="仿宋" w:eastAsia="仿宋" w:cs="Times New Roman"/>
          <w:color w:val="auto"/>
          <w:highlight w:val="none"/>
        </w:rPr>
        <w:t xml:space="preserve">项目名称： </w:t>
      </w:r>
    </w:p>
    <w:p>
      <w:pPr>
        <w:pStyle w:val="36"/>
        <w:rPr>
          <w:rFonts w:ascii="仿宋" w:hAnsi="仿宋" w:eastAsia="仿宋" w:cs="Times New Roman"/>
          <w:color w:val="auto"/>
          <w:highlight w:val="none"/>
        </w:rPr>
      </w:pPr>
    </w:p>
    <w:p>
      <w:pPr>
        <w:pStyle w:val="36"/>
        <w:rPr>
          <w:rFonts w:ascii="仿宋" w:hAnsi="仿宋" w:eastAsia="仿宋" w:cs="Times New Roman"/>
          <w:color w:val="auto"/>
          <w:highlight w:val="none"/>
        </w:rPr>
      </w:pPr>
      <w:r>
        <w:rPr>
          <w:rFonts w:ascii="仿宋" w:hAnsi="仿宋" w:eastAsia="仿宋" w:cs="Times New Roman"/>
          <w:color w:val="auto"/>
          <w:highlight w:val="none"/>
        </w:rPr>
        <w:t>项目编号</w:t>
      </w:r>
      <w:r>
        <w:rPr>
          <w:rFonts w:hint="eastAsia" w:ascii="仿宋" w:hAnsi="仿宋" w:eastAsia="仿宋" w:cs="Times New Roman"/>
          <w:color w:val="auto"/>
          <w:highlight w:val="none"/>
        </w:rPr>
        <w:t>：</w:t>
      </w:r>
    </w:p>
    <w:p>
      <w:pPr>
        <w:pStyle w:val="36"/>
        <w:rPr>
          <w:rFonts w:ascii="仿宋" w:hAnsi="仿宋" w:eastAsia="仿宋" w:cs="Times New Roman"/>
          <w:color w:val="auto"/>
          <w:highlight w:val="none"/>
        </w:rPr>
      </w:pPr>
    </w:p>
    <w:p>
      <w:pPr>
        <w:pStyle w:val="36"/>
        <w:rPr>
          <w:rFonts w:ascii="仿宋" w:hAnsi="仿宋" w:eastAsia="仿宋" w:cs="Times New Roman"/>
          <w:color w:val="auto"/>
          <w:highlight w:val="none"/>
        </w:rPr>
      </w:pPr>
      <w:r>
        <w:rPr>
          <w:rFonts w:hint="eastAsia" w:ascii="仿宋" w:hAnsi="仿宋" w:eastAsia="仿宋" w:cs="Times New Roman"/>
          <w:color w:val="auto"/>
          <w:highlight w:val="none"/>
        </w:rPr>
        <w:t>响应</w:t>
      </w:r>
      <w:r>
        <w:rPr>
          <w:rFonts w:ascii="仿宋" w:hAnsi="仿宋" w:eastAsia="仿宋" w:cs="Times New Roman"/>
          <w:color w:val="auto"/>
          <w:highlight w:val="none"/>
        </w:rPr>
        <w:t xml:space="preserve">文件名称：技术、商务资信及其他文件 </w:t>
      </w:r>
      <w:r>
        <w:rPr>
          <w:rFonts w:hint="eastAsia" w:ascii="仿宋" w:hAnsi="仿宋" w:eastAsia="仿宋" w:cs="Times New Roman"/>
          <w:color w:val="auto"/>
          <w:highlight w:val="none"/>
        </w:rPr>
        <w:t>/报价文件</w:t>
      </w:r>
    </w:p>
    <w:p>
      <w:pPr>
        <w:pStyle w:val="36"/>
        <w:rPr>
          <w:rFonts w:ascii="仿宋" w:hAnsi="仿宋" w:eastAsia="仿宋" w:cs="Times New Roman"/>
          <w:color w:val="auto"/>
          <w:highlight w:val="none"/>
        </w:rPr>
      </w:pPr>
    </w:p>
    <w:p>
      <w:pPr>
        <w:pStyle w:val="36"/>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名称： </w:t>
      </w:r>
    </w:p>
    <w:p>
      <w:pPr>
        <w:pStyle w:val="36"/>
        <w:rPr>
          <w:rFonts w:ascii="仿宋" w:hAnsi="仿宋" w:eastAsia="仿宋" w:cs="Times New Roman"/>
          <w:color w:val="auto"/>
          <w:highlight w:val="none"/>
        </w:rPr>
      </w:pPr>
    </w:p>
    <w:p>
      <w:pPr>
        <w:pStyle w:val="36"/>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地址： </w:t>
      </w:r>
    </w:p>
    <w:p>
      <w:pPr>
        <w:pStyle w:val="36"/>
        <w:rPr>
          <w:rFonts w:ascii="仿宋" w:hAnsi="仿宋" w:eastAsia="仿宋" w:cs="Times New Roman"/>
          <w:color w:val="auto"/>
          <w:highlight w:val="none"/>
        </w:rPr>
      </w:pPr>
    </w:p>
    <w:p>
      <w:pPr>
        <w:pStyle w:val="36"/>
        <w:rPr>
          <w:rFonts w:ascii="仿宋" w:hAnsi="仿宋" w:eastAsia="仿宋" w:cs="Times New Roman"/>
          <w:color w:val="auto"/>
          <w:highlight w:val="none"/>
        </w:rPr>
      </w:pPr>
    </w:p>
    <w:p>
      <w:pPr>
        <w:wordWrap w:val="0"/>
        <w:ind w:firstLine="480" w:firstLineChars="200"/>
        <w:jc w:val="right"/>
        <w:rPr>
          <w:rFonts w:ascii="仿宋" w:hAnsi="仿宋" w:eastAsia="仿宋"/>
          <w:color w:val="auto"/>
          <w:sz w:val="24"/>
          <w:highlight w:val="none"/>
        </w:rPr>
      </w:pPr>
      <w:r>
        <w:rPr>
          <w:rFonts w:ascii="仿宋" w:hAnsi="仿宋" w:eastAsia="仿宋"/>
          <w:color w:val="auto"/>
          <w:sz w:val="24"/>
          <w:highlight w:val="none"/>
        </w:rPr>
        <w:t>年 月 日</w:t>
      </w:r>
    </w:p>
    <w:p>
      <w:pPr>
        <w:pStyle w:val="38"/>
        <w:rPr>
          <w:rFonts w:ascii="仿宋" w:hAnsi="仿宋" w:eastAsia="仿宋"/>
          <w:color w:val="auto"/>
          <w:highlight w:val="none"/>
        </w:rPr>
      </w:pPr>
    </w:p>
    <w:p>
      <w:pPr>
        <w:pStyle w:val="38"/>
        <w:rPr>
          <w:rFonts w:ascii="仿宋" w:hAnsi="仿宋" w:eastAsia="仿宋"/>
          <w:color w:val="auto"/>
          <w:highlight w:val="none"/>
        </w:rPr>
      </w:pPr>
    </w:p>
    <w:p>
      <w:pPr>
        <w:pStyle w:val="38"/>
        <w:rPr>
          <w:rFonts w:ascii="仿宋" w:hAnsi="仿宋" w:eastAsia="仿宋"/>
          <w:color w:val="auto"/>
          <w:highlight w:val="none"/>
        </w:rPr>
      </w:pPr>
    </w:p>
    <w:p>
      <w:pPr>
        <w:pStyle w:val="38"/>
        <w:rPr>
          <w:rFonts w:ascii="仿宋" w:hAnsi="仿宋" w:eastAsia="仿宋"/>
          <w:color w:val="auto"/>
          <w:highlight w:val="none"/>
        </w:rPr>
      </w:pPr>
    </w:p>
    <w:p>
      <w:pPr>
        <w:pStyle w:val="38"/>
        <w:rPr>
          <w:rFonts w:ascii="仿宋" w:hAnsi="仿宋" w:eastAsia="仿宋"/>
          <w:color w:val="auto"/>
          <w:highlight w:val="none"/>
        </w:rPr>
      </w:pPr>
    </w:p>
    <w:p>
      <w:pPr>
        <w:pStyle w:val="38"/>
        <w:rPr>
          <w:rFonts w:ascii="仿宋" w:hAnsi="仿宋" w:eastAsia="仿宋"/>
          <w:color w:val="auto"/>
          <w:highlight w:val="none"/>
        </w:rPr>
      </w:pPr>
    </w:p>
    <w:p>
      <w:pPr>
        <w:pStyle w:val="38"/>
        <w:rPr>
          <w:rFonts w:ascii="仿宋" w:hAnsi="仿宋" w:eastAsia="仿宋"/>
          <w:color w:val="auto"/>
          <w:highlight w:val="none"/>
        </w:rPr>
      </w:pPr>
    </w:p>
    <w:p>
      <w:pPr>
        <w:pStyle w:val="38"/>
        <w:rPr>
          <w:rFonts w:ascii="仿宋" w:hAnsi="仿宋" w:eastAsia="仿宋"/>
          <w:color w:val="auto"/>
          <w:highlight w:val="none"/>
        </w:rPr>
      </w:pPr>
    </w:p>
    <w:p>
      <w:pPr>
        <w:autoSpaceDE w:val="0"/>
        <w:autoSpaceDN w:val="0"/>
        <w:adjustRightInd w:val="0"/>
        <w:spacing w:line="540" w:lineRule="exact"/>
        <w:contextualSpacing/>
        <w:jc w:val="center"/>
        <w:rPr>
          <w:rFonts w:ascii="仿宋" w:hAnsi="仿宋" w:eastAsia="仿宋" w:cs="仿宋"/>
          <w:b/>
          <w:color w:val="auto"/>
          <w:sz w:val="36"/>
          <w:szCs w:val="36"/>
          <w:highlight w:val="none"/>
        </w:rPr>
      </w:pPr>
    </w:p>
    <w:p>
      <w:pPr>
        <w:snapToGrid w:val="0"/>
        <w:spacing w:before="50" w:after="50" w:line="360" w:lineRule="auto"/>
        <w:jc w:val="center"/>
        <w:rPr>
          <w:rFonts w:ascii="仿宋" w:hAnsi="仿宋" w:eastAsia="仿宋" w:cs="仿宋"/>
          <w:color w:val="auto"/>
          <w:sz w:val="24"/>
          <w:szCs w:val="28"/>
          <w:highlight w:val="none"/>
        </w:rPr>
      </w:pPr>
      <w:r>
        <w:rPr>
          <w:rFonts w:hint="eastAsia" w:ascii="仿宋" w:hAnsi="仿宋" w:eastAsia="仿宋" w:cs="仿宋"/>
          <w:color w:val="auto"/>
          <w:sz w:val="28"/>
          <w:szCs w:val="28"/>
          <w:highlight w:val="none"/>
        </w:rPr>
        <w:t>目   录</w:t>
      </w:r>
    </w:p>
    <w:p>
      <w:pPr>
        <w:pStyle w:val="38"/>
        <w:rPr>
          <w:color w:val="auto"/>
          <w:highlight w:val="none"/>
        </w:rPr>
      </w:pPr>
    </w:p>
    <w:p>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1、技术、商务资信及其他文件目录（具体参考第三章供应商须知“响应文件的组成”）</w:t>
      </w:r>
    </w:p>
    <w:p>
      <w:pPr>
        <w:snapToGrid w:val="0"/>
        <w:spacing w:before="50" w:after="50" w:line="360" w:lineRule="auto"/>
        <w:rPr>
          <w:rFonts w:ascii="仿宋" w:hAnsi="仿宋" w:eastAsia="仿宋" w:cs="仿宋"/>
          <w:color w:val="auto"/>
          <w:sz w:val="24"/>
          <w:szCs w:val="28"/>
          <w:highlight w:val="none"/>
        </w:rPr>
      </w:pPr>
    </w:p>
    <w:p>
      <w:pPr>
        <w:snapToGrid w:val="0"/>
        <w:spacing w:before="50" w:after="50" w:line="360" w:lineRule="auto"/>
        <w:rPr>
          <w:rFonts w:ascii="仿宋" w:hAnsi="仿宋" w:eastAsia="仿宋" w:cs="仿宋"/>
          <w:color w:val="auto"/>
          <w:szCs w:val="28"/>
          <w:highlight w:val="none"/>
        </w:rPr>
      </w:pPr>
    </w:p>
    <w:p>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2、首次报价文件目录（具体参考第三章供应商须知“响应文件的组成”）</w:t>
      </w:r>
    </w:p>
    <w:p>
      <w:pPr>
        <w:snapToGrid w:val="0"/>
        <w:spacing w:before="50" w:after="156" w:afterLines="50" w:line="360" w:lineRule="auto"/>
        <w:jc w:val="left"/>
        <w:rPr>
          <w:rFonts w:ascii="仿宋" w:hAnsi="仿宋" w:eastAsia="仿宋" w:cs="仿宋"/>
          <w:color w:val="auto"/>
          <w:szCs w:val="28"/>
          <w:highlight w:val="none"/>
        </w:rPr>
      </w:pPr>
    </w:p>
    <w:p>
      <w:pPr>
        <w:snapToGrid w:val="0"/>
        <w:spacing w:before="50" w:after="156" w:afterLines="50" w:line="360" w:lineRule="auto"/>
        <w:jc w:val="left"/>
        <w:rPr>
          <w:rFonts w:ascii="仿宋" w:hAnsi="仿宋" w:eastAsia="仿宋" w:cs="仿宋"/>
          <w:color w:val="auto"/>
          <w:szCs w:val="28"/>
          <w:highlight w:val="none"/>
        </w:rPr>
      </w:pPr>
    </w:p>
    <w:p>
      <w:pPr>
        <w:snapToGrid w:val="0"/>
        <w:spacing w:before="50" w:after="156" w:afterLines="50" w:line="360" w:lineRule="auto"/>
        <w:jc w:val="left"/>
        <w:rPr>
          <w:rFonts w:ascii="仿宋" w:hAnsi="仿宋" w:eastAsia="仿宋" w:cs="仿宋"/>
          <w:color w:val="auto"/>
          <w:szCs w:val="28"/>
          <w:highlight w:val="none"/>
        </w:rPr>
      </w:pPr>
    </w:p>
    <w:p>
      <w:pPr>
        <w:snapToGrid w:val="0"/>
        <w:spacing w:before="50" w:after="156" w:afterLines="50"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（本章仅提供部分标准通用表格，具体格式内容请参照本磋商文件中对响应文件编制要求）</w:t>
      </w: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156" w:afterLines="50" w:line="360" w:lineRule="auto"/>
        <w:jc w:val="left"/>
        <w:rPr>
          <w:rFonts w:ascii="仿宋" w:hAnsi="仿宋" w:eastAsia="仿宋" w:cs="仿宋"/>
          <w:color w:val="auto"/>
          <w:sz w:val="24"/>
          <w:highlight w:val="none"/>
        </w:rPr>
      </w:pPr>
    </w:p>
    <w:p>
      <w:pPr>
        <w:snapToGrid w:val="0"/>
        <w:spacing w:before="50" w:after="50" w:line="480" w:lineRule="auto"/>
        <w:rPr>
          <w:rFonts w:ascii="仿宋" w:hAnsi="仿宋" w:eastAsia="仿宋" w:cs="仿宋"/>
          <w:color w:val="auto"/>
          <w:sz w:val="24"/>
          <w:highlight w:val="none"/>
        </w:rPr>
      </w:pPr>
    </w:p>
    <w:p>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snapToGrid w:val="0"/>
        <w:spacing w:before="50" w:after="50"/>
        <w:jc w:val="center"/>
        <w:rPr>
          <w:rFonts w:ascii="仿宋" w:hAnsi="仿宋" w:eastAsia="仿宋" w:cs="仿宋"/>
          <w:b/>
          <w:bCs/>
          <w:color w:val="auto"/>
          <w:sz w:val="28"/>
          <w:szCs w:val="28"/>
          <w:highlight w:val="none"/>
        </w:rPr>
      </w:pPr>
    </w:p>
    <w:p>
      <w:pPr>
        <w:snapToGrid w:val="0"/>
        <w:spacing w:before="50" w:after="50"/>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供应商自评分索引表</w:t>
      </w:r>
    </w:p>
    <w:p>
      <w:pPr>
        <w:snapToGrid w:val="0"/>
        <w:spacing w:before="50"/>
        <w:jc w:val="center"/>
        <w:rPr>
          <w:rFonts w:ascii="仿宋" w:hAnsi="仿宋" w:eastAsia="仿宋" w:cs="仿宋"/>
          <w:b/>
          <w:color w:val="auto"/>
          <w:szCs w:val="28"/>
          <w:highlight w:val="none"/>
        </w:rPr>
      </w:pPr>
    </w:p>
    <w:p>
      <w:pPr>
        <w:pStyle w:val="9"/>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供应商全称（加盖公章）：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spacing w:line="460" w:lineRule="exact"/>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highlight w:val="none"/>
        </w:rPr>
        <w:t>项目名称：</w:t>
      </w:r>
      <w:r>
        <w:rPr>
          <w:rFonts w:hint="eastAsia" w:ascii="仿宋" w:hAnsi="仿宋" w:eastAsia="仿宋" w:cs="宋体"/>
          <w:bCs/>
          <w:color w:val="auto"/>
          <w:sz w:val="24"/>
          <w:highlight w:val="none"/>
          <w:lang w:eastAsia="zh-CN"/>
        </w:rPr>
        <w:t>2024年度湖州人社核心应用软件系统运维保障服务采购项目（</w:t>
      </w:r>
      <w:r>
        <w:rPr>
          <w:rFonts w:hint="eastAsia" w:ascii="仿宋" w:hAnsi="仿宋" w:eastAsia="仿宋" w:cs="宋体"/>
          <w:bCs/>
          <w:color w:val="auto"/>
          <w:sz w:val="24"/>
          <w:highlight w:val="none"/>
          <w:lang w:val="en-US" w:eastAsia="zh-CN"/>
        </w:rPr>
        <w:t>标项一</w:t>
      </w:r>
      <w:r>
        <w:rPr>
          <w:rFonts w:hint="eastAsia" w:ascii="仿宋" w:hAnsi="仿宋" w:eastAsia="仿宋" w:cs="宋体"/>
          <w:bCs/>
          <w:color w:val="auto"/>
          <w:sz w:val="24"/>
          <w:highlight w:val="none"/>
          <w:lang w:eastAsia="zh-CN"/>
        </w:rPr>
        <w:t>）</w:t>
      </w:r>
      <w:r>
        <w:rPr>
          <w:rFonts w:hint="eastAsia" w:ascii="仿宋" w:hAnsi="仿宋" w:eastAsia="仿宋" w:cs="仿宋"/>
          <w:color w:val="auto"/>
          <w:sz w:val="24"/>
          <w:szCs w:val="24"/>
          <w:highlight w:val="none"/>
        </w:rPr>
        <w:t xml:space="preserve">         </w:t>
      </w:r>
    </w:p>
    <w:tbl>
      <w:tblPr>
        <w:tblStyle w:val="26"/>
        <w:tblW w:w="89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响应文件对应资料</w:t>
            </w: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响应文件页码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对应第六章评分办法及评分标准（报价除外）</w:t>
            </w: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43"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0" w:beforeAutospacing="0" w:after="0" w:afterAutospacing="0"/>
              <w:ind w:left="0" w:right="0"/>
              <w:jc w:val="center"/>
              <w:rPr>
                <w:rFonts w:hint="default"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pPr>
              <w:keepNext w:val="0"/>
              <w:keepLines w:val="0"/>
              <w:suppressLineNumbers w:val="0"/>
              <w:snapToGrid w:val="0"/>
              <w:spacing w:before="156" w:beforeLines="50" w:beforeAutospacing="0" w:after="0" w:afterAutospacing="0"/>
              <w:ind w:left="0" w:right="0"/>
              <w:jc w:val="center"/>
              <w:rPr>
                <w:rFonts w:hint="default" w:ascii="仿宋" w:hAnsi="仿宋" w:eastAsia="仿宋" w:cs="仿宋"/>
                <w:color w:val="auto"/>
                <w:sz w:val="24"/>
                <w:highlight w:val="none"/>
              </w:rPr>
            </w:pPr>
          </w:p>
        </w:tc>
      </w:tr>
    </w:tbl>
    <w:p>
      <w:pPr>
        <w:snapToGrid w:val="0"/>
        <w:spacing w:line="460" w:lineRule="exact"/>
        <w:ind w:firstLine="240" w:firstLineChars="100"/>
        <w:rPr>
          <w:rFonts w:ascii="仿宋" w:hAnsi="仿宋" w:eastAsia="仿宋" w:cs="仿宋"/>
          <w:color w:val="auto"/>
          <w:sz w:val="24"/>
          <w:highlight w:val="none"/>
        </w:rPr>
      </w:pPr>
    </w:p>
    <w:p>
      <w:pPr>
        <w:snapToGrid w:val="0"/>
        <w:spacing w:line="460" w:lineRule="exact"/>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pPr>
        <w:snapToGrid w:val="0"/>
        <w:spacing w:line="460" w:lineRule="exact"/>
        <w:jc w:val="right"/>
        <w:rPr>
          <w:rFonts w:ascii="仿宋" w:hAnsi="仿宋" w:eastAsia="仿宋" w:cs="仿宋"/>
          <w:b/>
          <w:color w:val="auto"/>
          <w:sz w:val="28"/>
          <w:szCs w:val="28"/>
          <w:highlight w:val="none"/>
        </w:rPr>
      </w:pPr>
      <w:r>
        <w:rPr>
          <w:rFonts w:hint="eastAsia" w:ascii="仿宋" w:hAnsi="仿宋" w:eastAsia="仿宋" w:cs="仿宋"/>
          <w:color w:val="auto"/>
          <w:sz w:val="24"/>
          <w:highlight w:val="none"/>
        </w:rPr>
        <w:t>日期：    年  月   日</w:t>
      </w:r>
    </w:p>
    <w:p>
      <w:pP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pPr>
        <w:spacing w:line="560" w:lineRule="exact"/>
        <w:jc w:val="center"/>
        <w:outlineLvl w:val="1"/>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人员配备</w:t>
      </w:r>
    </w:p>
    <w:p>
      <w:pPr>
        <w:spacing w:line="460" w:lineRule="exact"/>
        <w:ind w:firstLine="480" w:firstLineChars="200"/>
        <w:jc w:val="left"/>
        <w:rPr>
          <w:rFonts w:hint="eastAsia" w:ascii="宋体" w:hAnsi="宋体" w:eastAsia="宋体" w:cs="宋体"/>
          <w:b/>
          <w:color w:val="auto"/>
          <w:sz w:val="36"/>
          <w:szCs w:val="36"/>
          <w:highlight w:val="none"/>
          <w:lang w:val="zh-CN"/>
        </w:rPr>
      </w:pPr>
      <w:r>
        <w:rPr>
          <w:rFonts w:hint="eastAsia" w:ascii="仿宋" w:hAnsi="仿宋" w:eastAsia="仿宋" w:cs="仿宋"/>
          <w:color w:val="auto"/>
          <w:sz w:val="24"/>
          <w:highlight w:val="none"/>
        </w:rPr>
        <w:t>项目名称：</w:t>
      </w:r>
      <w:r>
        <w:rPr>
          <w:rFonts w:hint="eastAsia" w:ascii="仿宋" w:hAnsi="仿宋" w:eastAsia="仿宋" w:cs="宋体"/>
          <w:bCs/>
          <w:color w:val="auto"/>
          <w:sz w:val="24"/>
          <w:highlight w:val="none"/>
          <w:lang w:eastAsia="zh-CN"/>
        </w:rPr>
        <w:t>2024年度湖州人社核心应用软件系统运维保障服务采购项目（</w:t>
      </w:r>
      <w:r>
        <w:rPr>
          <w:rFonts w:hint="eastAsia" w:ascii="仿宋" w:hAnsi="仿宋" w:eastAsia="仿宋" w:cs="宋体"/>
          <w:bCs/>
          <w:color w:val="auto"/>
          <w:sz w:val="24"/>
          <w:highlight w:val="none"/>
          <w:lang w:val="en-US" w:eastAsia="zh-CN"/>
        </w:rPr>
        <w:t>标项一</w:t>
      </w:r>
      <w:r>
        <w:rPr>
          <w:rFonts w:hint="eastAsia" w:ascii="仿宋" w:hAnsi="仿宋" w:eastAsia="仿宋" w:cs="宋体"/>
          <w:bCs/>
          <w:color w:val="auto"/>
          <w:sz w:val="24"/>
          <w:highlight w:val="none"/>
          <w:lang w:eastAsia="zh-CN"/>
        </w:rPr>
        <w:t>）</w:t>
      </w:r>
    </w:p>
    <w:tbl>
      <w:tblPr>
        <w:tblStyle w:val="26"/>
        <w:tblW w:w="9030" w:type="dxa"/>
        <w:jc w:val="center"/>
        <w:tblLayout w:type="fixed"/>
        <w:tblCellMar>
          <w:top w:w="0" w:type="dxa"/>
          <w:left w:w="108" w:type="dxa"/>
          <w:bottom w:w="0" w:type="dxa"/>
          <w:right w:w="108" w:type="dxa"/>
        </w:tblCellMar>
      </w:tblPr>
      <w:tblGrid>
        <w:gridCol w:w="420"/>
        <w:gridCol w:w="787"/>
        <w:gridCol w:w="609"/>
        <w:gridCol w:w="540"/>
        <w:gridCol w:w="884"/>
        <w:gridCol w:w="1080"/>
        <w:gridCol w:w="1080"/>
        <w:gridCol w:w="1260"/>
        <w:gridCol w:w="900"/>
        <w:gridCol w:w="1470"/>
      </w:tblGrid>
      <w:tr>
        <w:tblPrEx>
          <w:tblCellMar>
            <w:top w:w="0" w:type="dxa"/>
            <w:left w:w="108" w:type="dxa"/>
            <w:bottom w:w="0" w:type="dxa"/>
            <w:right w:w="108" w:type="dxa"/>
          </w:tblCellMar>
        </w:tblPrEx>
        <w:trPr>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p>
        </w:tc>
        <w:tc>
          <w:tcPr>
            <w:tcW w:w="60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性别</w:t>
            </w:r>
          </w:p>
        </w:tc>
        <w:tc>
          <w:tcPr>
            <w:tcW w:w="54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年龄</w:t>
            </w:r>
          </w:p>
        </w:tc>
        <w:tc>
          <w:tcPr>
            <w:tcW w:w="884"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学历</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身份证号</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职称等证书</w:t>
            </w:r>
          </w:p>
        </w:tc>
        <w:tc>
          <w:tcPr>
            <w:tcW w:w="126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本项目中的职责</w:t>
            </w:r>
          </w:p>
        </w:tc>
        <w:tc>
          <w:tcPr>
            <w:tcW w:w="9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项目经历</w:t>
            </w:r>
          </w:p>
        </w:tc>
        <w:tc>
          <w:tcPr>
            <w:tcW w:w="14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参与本项目的到位情况</w:t>
            </w:r>
          </w:p>
        </w:tc>
      </w:tr>
      <w:tr>
        <w:tblPrEx>
          <w:tblCellMar>
            <w:top w:w="0" w:type="dxa"/>
            <w:left w:w="108" w:type="dxa"/>
            <w:bottom w:w="0" w:type="dxa"/>
            <w:right w:w="108" w:type="dxa"/>
          </w:tblCellMar>
        </w:tblPrEx>
        <w:trPr>
          <w:trHeight w:val="479"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473"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473"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473"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autoSpaceDE w:val="0"/>
              <w:autoSpaceDN w:val="0"/>
              <w:adjustRightInd w:val="0"/>
              <w:spacing w:before="0" w:beforeAutospacing="0" w:after="0" w:afterAutospacing="0" w:line="360" w:lineRule="auto"/>
              <w:ind w:left="0" w:right="0"/>
              <w:jc w:val="center"/>
              <w:rPr>
                <w:rFonts w:hint="eastAsia" w:ascii="仿宋" w:hAnsi="仿宋" w:eastAsia="仿宋" w:cs="仿宋"/>
                <w:color w:val="auto"/>
                <w:sz w:val="24"/>
                <w:szCs w:val="24"/>
                <w:highlight w:val="none"/>
              </w:rPr>
            </w:pPr>
          </w:p>
        </w:tc>
      </w:tr>
    </w:tbl>
    <w:p>
      <w:pPr>
        <w:adjustRightInd w:val="0"/>
        <w:spacing w:line="480" w:lineRule="exact"/>
        <w:rPr>
          <w:rFonts w:hint="eastAsia" w:ascii="仿宋" w:hAnsi="仿宋" w:eastAsia="仿宋" w:cs="仿宋"/>
          <w:color w:val="auto"/>
          <w:kern w:val="0"/>
          <w:sz w:val="24"/>
          <w:szCs w:val="24"/>
          <w:highlight w:val="none"/>
          <w:lang w:val="zh-CN"/>
        </w:rPr>
      </w:pPr>
      <w:r>
        <w:rPr>
          <w:rFonts w:hint="eastAsia" w:ascii="仿宋" w:hAnsi="仿宋" w:eastAsia="仿宋" w:cs="仿宋"/>
          <w:color w:val="auto"/>
          <w:kern w:val="0"/>
          <w:sz w:val="24"/>
          <w:szCs w:val="24"/>
          <w:highlight w:val="none"/>
          <w:lang w:val="zh-CN"/>
        </w:rPr>
        <w:t>注：</w:t>
      </w:r>
      <w:r>
        <w:rPr>
          <w:rFonts w:hint="eastAsia" w:ascii="仿宋" w:hAnsi="仿宋" w:eastAsia="仿宋" w:cs="仿宋"/>
          <w:color w:val="auto"/>
          <w:kern w:val="0"/>
          <w:sz w:val="24"/>
          <w:szCs w:val="24"/>
          <w:highlight w:val="none"/>
          <w:lang w:val="en-US" w:eastAsia="zh-CN"/>
        </w:rPr>
        <w:t>供应商</w:t>
      </w:r>
      <w:r>
        <w:rPr>
          <w:rFonts w:hint="eastAsia" w:ascii="仿宋" w:hAnsi="仿宋" w:eastAsia="仿宋" w:cs="仿宋"/>
          <w:color w:val="auto"/>
          <w:kern w:val="0"/>
          <w:sz w:val="24"/>
          <w:szCs w:val="24"/>
          <w:highlight w:val="none"/>
          <w:lang w:val="zh-CN"/>
        </w:rPr>
        <w:t>可按上述的格式自行编制（</w:t>
      </w:r>
      <w:r>
        <w:rPr>
          <w:rFonts w:hint="eastAsia" w:ascii="仿宋" w:hAnsi="仿宋" w:eastAsia="仿宋" w:cs="仿宋"/>
          <w:color w:val="auto"/>
          <w:kern w:val="0"/>
          <w:sz w:val="24"/>
          <w:szCs w:val="24"/>
          <w:highlight w:val="none"/>
        </w:rPr>
        <w:t>可根据自身情况稍作修改</w:t>
      </w:r>
      <w:r>
        <w:rPr>
          <w:rFonts w:hint="eastAsia" w:ascii="仿宋" w:hAnsi="仿宋" w:eastAsia="仿宋" w:cs="仿宋"/>
          <w:color w:val="auto"/>
          <w:kern w:val="0"/>
          <w:sz w:val="24"/>
          <w:szCs w:val="24"/>
          <w:highlight w:val="none"/>
          <w:lang w:val="zh-CN"/>
        </w:rPr>
        <w:t>），</w:t>
      </w:r>
      <w:r>
        <w:rPr>
          <w:rFonts w:hint="eastAsia" w:ascii="仿宋" w:hAnsi="仿宋" w:eastAsia="仿宋" w:cs="仿宋"/>
          <w:color w:val="auto"/>
          <w:kern w:val="0"/>
          <w:sz w:val="24"/>
          <w:szCs w:val="24"/>
          <w:highlight w:val="none"/>
        </w:rPr>
        <w:t>相关证明材料附后</w:t>
      </w:r>
      <w:r>
        <w:rPr>
          <w:rFonts w:hint="eastAsia" w:ascii="仿宋" w:hAnsi="仿宋" w:eastAsia="仿宋" w:cs="仿宋"/>
          <w:color w:val="auto"/>
          <w:kern w:val="0"/>
          <w:sz w:val="24"/>
          <w:szCs w:val="24"/>
          <w:highlight w:val="none"/>
          <w:lang w:val="zh-CN"/>
        </w:rPr>
        <w:t>。</w:t>
      </w:r>
    </w:p>
    <w:p>
      <w:pPr>
        <w:adjustRightInd w:val="0"/>
        <w:spacing w:line="480" w:lineRule="exact"/>
        <w:jc w:val="center"/>
        <w:rPr>
          <w:rFonts w:hint="eastAsia" w:ascii="仿宋" w:hAnsi="仿宋" w:eastAsia="仿宋" w:cs="仿宋"/>
          <w:b/>
          <w:color w:val="auto"/>
          <w:sz w:val="24"/>
          <w:szCs w:val="24"/>
          <w:highlight w:val="none"/>
          <w:lang w:val="zh-CN"/>
        </w:rPr>
      </w:pPr>
    </w:p>
    <w:p>
      <w:pPr>
        <w:adjustRightInd w:val="0"/>
        <w:snapToGrid w:val="0"/>
        <w:spacing w:line="360" w:lineRule="auto"/>
        <w:ind w:firstLine="5280" w:firstLineChars="2200"/>
        <w:rPr>
          <w:rFonts w:hint="eastAsia" w:ascii="仿宋" w:hAnsi="仿宋" w:eastAsia="仿宋" w:cs="仿宋"/>
          <w:color w:val="auto"/>
          <w:kern w:val="0"/>
          <w:sz w:val="24"/>
          <w:szCs w:val="24"/>
          <w:highlight w:val="none"/>
          <w:lang w:val="zh-CN"/>
        </w:rPr>
      </w:pPr>
    </w:p>
    <w:p>
      <w:pPr>
        <w:adjustRightInd w:val="0"/>
        <w:snapToGrid w:val="0"/>
        <w:spacing w:line="360" w:lineRule="auto"/>
        <w:ind w:firstLine="5280" w:firstLineChars="2200"/>
        <w:rPr>
          <w:rFonts w:hint="eastAsia" w:ascii="仿宋" w:hAnsi="仿宋" w:eastAsia="仿宋" w:cs="仿宋"/>
          <w:color w:val="auto"/>
          <w:kern w:val="0"/>
          <w:sz w:val="24"/>
          <w:szCs w:val="24"/>
          <w:highlight w:val="none"/>
          <w:lang w:val="zh-CN"/>
        </w:rPr>
      </w:pPr>
    </w:p>
    <w:p>
      <w:pPr>
        <w:adjustRightInd w:val="0"/>
        <w:snapToGrid w:val="0"/>
        <w:spacing w:line="360" w:lineRule="auto"/>
        <w:ind w:firstLine="5280" w:firstLineChars="2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zh-CN"/>
        </w:rPr>
        <w:t>供应商名称(公章)：</w:t>
      </w:r>
    </w:p>
    <w:p>
      <w:pPr>
        <w:adjustRightInd w:val="0"/>
        <w:snapToGrid w:val="0"/>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zh-CN"/>
        </w:rPr>
        <w:t xml:space="preserve">                                       法定代表人或其授权代理人签名或盖章：</w:t>
      </w: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日期：  年  月   日</w:t>
      </w: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rPr>
          <w:rFonts w:hint="eastAsia" w:ascii="仿宋" w:hAnsi="仿宋" w:eastAsia="仿宋" w:cs="仿宋"/>
          <w:color w:val="auto"/>
          <w:kern w:val="0"/>
          <w:sz w:val="24"/>
          <w:szCs w:val="24"/>
          <w:highlight w:val="none"/>
        </w:rPr>
      </w:pPr>
    </w:p>
    <w:p>
      <w:pPr>
        <w:adjustRightInd w:val="0"/>
        <w:snapToGrid w:val="0"/>
        <w:spacing w:line="360" w:lineRule="auto"/>
        <w:ind w:firstLine="5160" w:firstLineChars="2150"/>
        <w:jc w:val="center"/>
        <w:rPr>
          <w:rFonts w:hint="eastAsia" w:ascii="仿宋" w:hAnsi="仿宋" w:eastAsia="仿宋" w:cs="仿宋"/>
          <w:color w:val="auto"/>
          <w:kern w:val="0"/>
          <w:sz w:val="24"/>
          <w:szCs w:val="24"/>
          <w:highlight w:val="none"/>
        </w:rPr>
      </w:pPr>
    </w:p>
    <w:p>
      <w:pPr>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商务响应表</w:t>
      </w:r>
    </w:p>
    <w:p>
      <w:pPr>
        <w:pStyle w:val="25"/>
        <w:rPr>
          <w:color w:val="auto"/>
          <w:highlight w:val="none"/>
        </w:rPr>
      </w:pPr>
    </w:p>
    <w:p>
      <w:pPr>
        <w:pStyle w:val="36"/>
        <w:spacing w:line="460" w:lineRule="exact"/>
        <w:rPr>
          <w:rFonts w:ascii="仿宋" w:hAnsi="仿宋" w:eastAsia="仿宋" w:cs="仿宋"/>
          <w:color w:val="auto"/>
          <w:highlight w:val="none"/>
        </w:rPr>
      </w:pPr>
      <w:r>
        <w:rPr>
          <w:rFonts w:hint="eastAsia" w:ascii="仿宋" w:hAnsi="仿宋" w:eastAsia="仿宋" w:cs="仿宋"/>
          <w:color w:val="auto"/>
          <w:highlight w:val="none"/>
        </w:rPr>
        <w:t>供应商全称（加盖公章）：</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pPr>
        <w:spacing w:line="460" w:lineRule="exact"/>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项目名称：</w:t>
      </w:r>
      <w:r>
        <w:rPr>
          <w:rFonts w:hint="eastAsia" w:ascii="仿宋" w:hAnsi="仿宋" w:eastAsia="仿宋" w:cs="宋体"/>
          <w:bCs/>
          <w:color w:val="auto"/>
          <w:sz w:val="24"/>
          <w:highlight w:val="none"/>
          <w:lang w:eastAsia="zh-CN"/>
        </w:rPr>
        <w:t>2024年度湖州人社核心应用软件系统运维保障服务采购项目（</w:t>
      </w:r>
      <w:r>
        <w:rPr>
          <w:rFonts w:hint="eastAsia" w:ascii="仿宋" w:hAnsi="仿宋" w:eastAsia="仿宋" w:cs="宋体"/>
          <w:bCs/>
          <w:color w:val="auto"/>
          <w:sz w:val="24"/>
          <w:highlight w:val="none"/>
          <w:lang w:val="en-US" w:eastAsia="zh-CN"/>
        </w:rPr>
        <w:t>标项一</w:t>
      </w:r>
      <w:r>
        <w:rPr>
          <w:rFonts w:hint="eastAsia" w:ascii="仿宋" w:hAnsi="仿宋" w:eastAsia="仿宋" w:cs="宋体"/>
          <w:bCs/>
          <w:color w:val="auto"/>
          <w:sz w:val="24"/>
          <w:highlight w:val="none"/>
          <w:lang w:eastAsia="zh-CN"/>
        </w:rPr>
        <w:t>）</w:t>
      </w:r>
    </w:p>
    <w:p>
      <w:pPr>
        <w:pStyle w:val="25"/>
        <w:rPr>
          <w:color w:val="auto"/>
          <w:highlight w:val="none"/>
        </w:rPr>
      </w:pPr>
    </w:p>
    <w:tbl>
      <w:tblPr>
        <w:tblStyle w:val="2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7"/>
        <w:gridCol w:w="2120"/>
        <w:gridCol w:w="1843"/>
        <w:gridCol w:w="2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项目</w:t>
            </w:r>
          </w:p>
        </w:tc>
        <w:tc>
          <w:tcPr>
            <w:tcW w:w="2120"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磋商文件要求</w:t>
            </w:r>
          </w:p>
        </w:tc>
        <w:tc>
          <w:tcPr>
            <w:tcW w:w="1843"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是否响应</w:t>
            </w:r>
          </w:p>
        </w:tc>
        <w:tc>
          <w:tcPr>
            <w:tcW w:w="2801"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供应商的承诺或说明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服务期</w:t>
            </w:r>
          </w:p>
        </w:tc>
        <w:tc>
          <w:tcPr>
            <w:tcW w:w="2120"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服务地点</w:t>
            </w:r>
          </w:p>
        </w:tc>
        <w:tc>
          <w:tcPr>
            <w:tcW w:w="2120"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付款方式</w:t>
            </w:r>
          </w:p>
        </w:tc>
        <w:tc>
          <w:tcPr>
            <w:tcW w:w="2120"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sz w:val="24"/>
                <w:highlight w:val="none"/>
              </w:rPr>
            </w:pPr>
          </w:p>
        </w:tc>
        <w:tc>
          <w:tcPr>
            <w:tcW w:w="2120"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sz w:val="24"/>
                <w:highlight w:val="none"/>
              </w:rPr>
            </w:pPr>
          </w:p>
        </w:tc>
        <w:tc>
          <w:tcPr>
            <w:tcW w:w="2120"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1843"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c>
          <w:tcPr>
            <w:tcW w:w="2801" w:type="dxa"/>
            <w:vAlign w:val="center"/>
          </w:tcPr>
          <w:p>
            <w:pPr>
              <w:keepNext w:val="0"/>
              <w:keepLines w:val="0"/>
              <w:suppressLineNumbers w:val="0"/>
              <w:spacing w:before="0" w:beforeAutospacing="0" w:after="0" w:afterAutospacing="0" w:line="460" w:lineRule="exact"/>
              <w:ind w:left="0" w:right="0"/>
              <w:jc w:val="center"/>
              <w:rPr>
                <w:rFonts w:hint="default" w:ascii="仿宋" w:hAnsi="仿宋" w:eastAsia="仿宋" w:cs="仿宋"/>
                <w:color w:val="auto"/>
                <w:kern w:val="0"/>
                <w:sz w:val="24"/>
                <w:highlight w:val="none"/>
              </w:rPr>
            </w:pPr>
          </w:p>
        </w:tc>
      </w:tr>
    </w:tbl>
    <w:p>
      <w:pPr>
        <w:spacing w:line="460" w:lineRule="exact"/>
        <w:jc w:val="left"/>
        <w:rPr>
          <w:rFonts w:ascii="仿宋" w:hAnsi="仿宋" w:eastAsia="仿宋" w:cs="仿宋"/>
          <w:color w:val="auto"/>
          <w:kern w:val="0"/>
          <w:sz w:val="24"/>
          <w:highlight w:val="none"/>
        </w:rPr>
      </w:pPr>
    </w:p>
    <w:p>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法定代表人或其授权代理人签名或盖章：</w:t>
      </w:r>
    </w:p>
    <w:p>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pPr>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50" w:after="156" w:afterLines="50"/>
        <w:jc w:val="left"/>
        <w:rPr>
          <w:rFonts w:ascii="仿宋" w:hAnsi="仿宋" w:eastAsia="仿宋" w:cs="仿宋"/>
          <w:b/>
          <w:color w:val="auto"/>
          <w:sz w:val="24"/>
          <w:highlight w:val="none"/>
        </w:rPr>
      </w:pPr>
    </w:p>
    <w:p>
      <w:pPr>
        <w:snapToGrid w:val="0"/>
        <w:spacing w:beforeLines="50" w:after="50" w:line="4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企业业绩</w:t>
      </w:r>
    </w:p>
    <w:p>
      <w:pPr>
        <w:keepNext w:val="0"/>
        <w:keepLines w:val="0"/>
        <w:pageBreakBefore w:val="0"/>
        <w:widowControl w:val="0"/>
        <w:kinsoku/>
        <w:wordWrap/>
        <w:overflowPunct/>
        <w:topLinePunct w:val="0"/>
        <w:autoSpaceDE w:val="0"/>
        <w:autoSpaceDN w:val="0"/>
        <w:bidi w:val="0"/>
        <w:adjustRightInd w:val="0"/>
        <w:snapToGrid/>
        <w:spacing w:line="500" w:lineRule="exact"/>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 xml:space="preserve">供应商全称（加盖公章）：  </w:t>
      </w:r>
    </w:p>
    <w:p>
      <w:pPr>
        <w:spacing w:line="460" w:lineRule="exact"/>
        <w:jc w:val="left"/>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highlight w:val="none"/>
        </w:rPr>
        <w:t>项目名称：</w:t>
      </w:r>
      <w:r>
        <w:rPr>
          <w:rFonts w:hint="eastAsia" w:ascii="仿宋" w:hAnsi="仿宋" w:eastAsia="仿宋" w:cs="宋体"/>
          <w:bCs/>
          <w:color w:val="auto"/>
          <w:sz w:val="24"/>
          <w:highlight w:val="none"/>
          <w:lang w:eastAsia="zh-CN"/>
        </w:rPr>
        <w:t>2024年度湖州人社核心应用软件系统运维保障服务采购项目（</w:t>
      </w:r>
      <w:r>
        <w:rPr>
          <w:rFonts w:hint="eastAsia" w:ascii="仿宋" w:hAnsi="仿宋" w:eastAsia="仿宋" w:cs="宋体"/>
          <w:bCs/>
          <w:color w:val="auto"/>
          <w:sz w:val="24"/>
          <w:highlight w:val="none"/>
          <w:lang w:val="en-US" w:eastAsia="zh-CN"/>
        </w:rPr>
        <w:t>标项一</w:t>
      </w:r>
      <w:r>
        <w:rPr>
          <w:rFonts w:hint="eastAsia" w:ascii="仿宋" w:hAnsi="仿宋" w:eastAsia="仿宋" w:cs="宋体"/>
          <w:bCs/>
          <w:color w:val="auto"/>
          <w:sz w:val="24"/>
          <w:highlight w:val="none"/>
          <w:lang w:eastAsia="zh-CN"/>
        </w:rPr>
        <w:t>）</w:t>
      </w:r>
    </w:p>
    <w:tbl>
      <w:tblPr>
        <w:tblStyle w:val="2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532"/>
        <w:gridCol w:w="1161"/>
        <w:gridCol w:w="1418"/>
        <w:gridCol w:w="1159"/>
        <w:gridCol w:w="1246"/>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使用方</w:t>
            </w: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合同金额（元）</w:t>
            </w: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签订</w:t>
            </w:r>
          </w:p>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使用方联系人</w:t>
            </w: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w:t>
            </w:r>
          </w:p>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532"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61"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418"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159"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c>
          <w:tcPr>
            <w:tcW w:w="1246" w:type="dxa"/>
            <w:vAlign w:val="center"/>
          </w:tcPr>
          <w:p>
            <w:pPr>
              <w:keepNext w:val="0"/>
              <w:keepLines w:val="0"/>
              <w:suppressLineNumbers w:val="0"/>
              <w:snapToGrid w:val="0"/>
              <w:spacing w:before="0" w:beforeLines="50" w:beforeAutospacing="0" w:after="50" w:afterAutospacing="0"/>
              <w:ind w:left="0" w:right="0"/>
              <w:jc w:val="center"/>
              <w:rPr>
                <w:rFonts w:hint="eastAsia" w:ascii="仿宋" w:hAnsi="仿宋" w:eastAsia="仿宋" w:cs="仿宋"/>
                <w:color w:val="auto"/>
                <w:sz w:val="24"/>
                <w:highlight w:val="none"/>
              </w:rPr>
            </w:pPr>
          </w:p>
        </w:tc>
      </w:tr>
    </w:tbl>
    <w:p>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此表仅提供了表格形式，投标人应根据需要准备足够数量的表格来填写</w:t>
      </w:r>
      <w:r>
        <w:rPr>
          <w:rFonts w:hint="eastAsia" w:ascii="仿宋" w:hAnsi="仿宋" w:eastAsia="仿宋" w:cs="仿宋"/>
          <w:b/>
          <w:color w:val="auto"/>
          <w:sz w:val="24"/>
          <w:highlight w:val="none"/>
          <w:lang w:eastAsia="zh-CN"/>
        </w:rPr>
        <w:t>。</w:t>
      </w:r>
    </w:p>
    <w:p>
      <w:pPr>
        <w:snapToGrid w:val="0"/>
        <w:spacing w:beforeLines="50" w:after="50"/>
        <w:jc w:val="left"/>
        <w:rPr>
          <w:rFonts w:hint="eastAsia" w:ascii="仿宋" w:hAnsi="仿宋" w:eastAsia="仿宋" w:cs="仿宋"/>
          <w:b/>
          <w:color w:val="auto"/>
          <w:sz w:val="24"/>
          <w:highlight w:val="none"/>
        </w:rPr>
      </w:pPr>
    </w:p>
    <w:p>
      <w:pPr>
        <w:snapToGrid w:val="0"/>
        <w:spacing w:beforeLines="50" w:after="50"/>
        <w:jc w:val="left"/>
        <w:rPr>
          <w:rFonts w:hint="eastAsia" w:ascii="仿宋" w:hAnsi="仿宋" w:eastAsia="仿宋" w:cs="仿宋"/>
          <w:b/>
          <w:color w:val="auto"/>
          <w:sz w:val="24"/>
          <w:highlight w:val="none"/>
        </w:rPr>
      </w:pPr>
    </w:p>
    <w:p>
      <w:pPr>
        <w:snapToGrid w:val="0"/>
        <w:spacing w:beforeLines="50" w:after="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eastAsia="zh-CN"/>
        </w:rPr>
        <w:t>字</w:t>
      </w:r>
      <w:r>
        <w:rPr>
          <w:rFonts w:hint="eastAsia" w:ascii="仿宋" w:hAnsi="仿宋" w:eastAsia="仿宋" w:cs="仿宋"/>
          <w:color w:val="auto"/>
          <w:sz w:val="24"/>
          <w:highlight w:val="none"/>
        </w:rPr>
        <w:t>或盖章：</w:t>
      </w:r>
    </w:p>
    <w:p>
      <w:pPr>
        <w:snapToGrid w:val="0"/>
        <w:spacing w:beforeLines="50" w:after="50"/>
        <w:jc w:val="left"/>
        <w:rPr>
          <w:rFonts w:hint="eastAsia" w:ascii="仿宋" w:hAnsi="仿宋" w:eastAsia="仿宋" w:cs="仿宋"/>
          <w:color w:val="auto"/>
          <w:sz w:val="24"/>
          <w:highlight w:val="none"/>
        </w:rPr>
      </w:pPr>
    </w:p>
    <w:p>
      <w:pPr>
        <w:snapToGrid w:val="0"/>
        <w:spacing w:beforeLines="50" w:after="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pPr>
        <w:snapToGrid w:val="0"/>
        <w:spacing w:before="50" w:after="156" w:afterLines="50"/>
        <w:jc w:val="left"/>
        <w:rPr>
          <w:rFonts w:ascii="仿宋" w:hAnsi="仿宋" w:eastAsia="仿宋" w:cs="仿宋"/>
          <w:b/>
          <w:color w:val="auto"/>
          <w:sz w:val="24"/>
          <w:highlight w:val="none"/>
        </w:rPr>
      </w:pPr>
      <w:r>
        <w:rPr>
          <w:rFonts w:hint="eastAsia" w:ascii="仿宋" w:hAnsi="仿宋" w:eastAsia="仿宋" w:cs="仿宋"/>
          <w:b/>
          <w:bCs/>
          <w:color w:val="auto"/>
          <w:sz w:val="32"/>
          <w:szCs w:val="32"/>
          <w:highlight w:val="none"/>
        </w:rPr>
        <w:br w:type="page"/>
      </w:r>
    </w:p>
    <w:p>
      <w:pPr>
        <w:snapToGrid w:val="0"/>
        <w:spacing w:before="156" w:beforeLines="5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法定代表人有效身份证明书</w:t>
      </w:r>
    </w:p>
    <w:p>
      <w:pPr>
        <w:pStyle w:val="7"/>
        <w:spacing w:line="360" w:lineRule="auto"/>
        <w:ind w:firstLine="513" w:firstLineChars="156"/>
        <w:jc w:val="center"/>
        <w:rPr>
          <w:rFonts w:ascii="仿宋" w:hAnsi="仿宋" w:eastAsia="仿宋" w:cs="仿宋"/>
          <w:b/>
          <w:bCs/>
          <w:color w:val="auto"/>
          <w:spacing w:val="24"/>
          <w:sz w:val="28"/>
          <w:szCs w:val="28"/>
          <w:highlight w:val="none"/>
        </w:rPr>
      </w:pPr>
    </w:p>
    <w:p>
      <w:pPr>
        <w:pStyle w:val="7"/>
        <w:spacing w:line="480" w:lineRule="auto"/>
        <w:ind w:firstLine="840" w:firstLineChars="3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（姓名）</w:t>
      </w:r>
      <w:r>
        <w:rPr>
          <w:rFonts w:hint="eastAsia" w:ascii="仿宋" w:hAnsi="仿宋" w:eastAsia="仿宋" w:cs="仿宋"/>
          <w:color w:val="auto"/>
          <w:sz w:val="24"/>
          <w:szCs w:val="24"/>
          <w:highlight w:val="none"/>
        </w:rPr>
        <w:t>是</w:t>
      </w:r>
      <w:r>
        <w:rPr>
          <w:rFonts w:hint="eastAsia" w:ascii="仿宋" w:hAnsi="仿宋" w:eastAsia="仿宋" w:cs="仿宋"/>
          <w:color w:val="auto"/>
          <w:sz w:val="24"/>
          <w:szCs w:val="24"/>
          <w:highlight w:val="none"/>
          <w:u w:val="single"/>
        </w:rPr>
        <w:t>（单位全称）</w:t>
      </w:r>
      <w:r>
        <w:rPr>
          <w:rFonts w:hint="eastAsia" w:ascii="仿宋" w:hAnsi="仿宋" w:eastAsia="仿宋" w:cs="仿宋"/>
          <w:color w:val="auto"/>
          <w:sz w:val="24"/>
          <w:szCs w:val="24"/>
          <w:highlight w:val="none"/>
        </w:rPr>
        <w:t>的法定代表人，身份证号码为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pPr>
        <w:pStyle w:val="7"/>
        <w:spacing w:line="480" w:lineRule="auto"/>
        <w:ind w:firstLine="374" w:firstLineChars="156"/>
        <w:rPr>
          <w:rFonts w:ascii="仿宋" w:hAnsi="仿宋" w:eastAsia="仿宋" w:cs="仿宋"/>
          <w:color w:val="auto"/>
          <w:sz w:val="24"/>
          <w:szCs w:val="24"/>
          <w:highlight w:val="none"/>
        </w:rPr>
      </w:pPr>
    </w:p>
    <w:p>
      <w:pPr>
        <w:pStyle w:val="7"/>
        <w:spacing w:line="480" w:lineRule="auto"/>
        <w:ind w:firstLine="374" w:firstLineChars="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特此证明</w:t>
      </w:r>
    </w:p>
    <w:p>
      <w:pPr>
        <w:pStyle w:val="7"/>
        <w:spacing w:line="480" w:lineRule="auto"/>
        <w:ind w:firstLine="0"/>
        <w:rPr>
          <w:rFonts w:ascii="仿宋" w:hAnsi="仿宋" w:eastAsia="仿宋" w:cs="仿宋"/>
          <w:color w:val="auto"/>
          <w:sz w:val="24"/>
          <w:szCs w:val="24"/>
          <w:highlight w:val="none"/>
        </w:rPr>
      </w:pPr>
    </w:p>
    <w:p>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供应商：（盖章）                  </w:t>
      </w:r>
    </w:p>
    <w:p>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法定代表人或其授权代理人（签名或盖章）</w:t>
      </w:r>
    </w:p>
    <w:p>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pPr>
        <w:pStyle w:val="7"/>
        <w:spacing w:line="480" w:lineRule="auto"/>
        <w:ind w:firstLine="0"/>
        <w:rPr>
          <w:rFonts w:ascii="仿宋" w:hAnsi="仿宋" w:eastAsia="仿宋" w:cs="仿宋"/>
          <w:color w:val="auto"/>
          <w:sz w:val="24"/>
          <w:szCs w:val="24"/>
          <w:highlight w:val="none"/>
        </w:rPr>
      </w:pPr>
    </w:p>
    <w:p>
      <w:pPr>
        <w:pStyle w:val="7"/>
        <w:spacing w:line="480" w:lineRule="auto"/>
        <w:ind w:firstLine="0"/>
        <w:rPr>
          <w:rFonts w:ascii="仿宋" w:hAnsi="仿宋" w:eastAsia="仿宋" w:cs="仿宋"/>
          <w:color w:val="auto"/>
          <w:sz w:val="24"/>
          <w:szCs w:val="24"/>
          <w:highlight w:val="none"/>
        </w:rPr>
      </w:pPr>
    </w:p>
    <w:p>
      <w:pPr>
        <w:pStyle w:val="7"/>
        <w:pBdr>
          <w:bottom w:val="single" w:color="auto" w:sz="6" w:space="1"/>
        </w:pBdr>
        <w:spacing w:line="480" w:lineRule="auto"/>
        <w:ind w:firstLine="0"/>
        <w:rPr>
          <w:rFonts w:ascii="仿宋" w:hAnsi="仿宋" w:eastAsia="仿宋" w:cs="仿宋"/>
          <w:color w:val="auto"/>
          <w:sz w:val="24"/>
          <w:szCs w:val="24"/>
          <w:highlight w:val="none"/>
        </w:rPr>
      </w:pPr>
    </w:p>
    <w:p>
      <w:pPr>
        <w:pStyle w:val="7"/>
        <w:spacing w:line="480" w:lineRule="auto"/>
        <w:ind w:firstLine="0"/>
        <w:rPr>
          <w:rFonts w:ascii="仿宋" w:hAnsi="仿宋" w:eastAsia="仿宋" w:cs="仿宋"/>
          <w:color w:val="auto"/>
          <w:sz w:val="24"/>
          <w:szCs w:val="24"/>
          <w:highlight w:val="none"/>
        </w:rPr>
      </w:pPr>
    </w:p>
    <w:p>
      <w:pPr>
        <w:pStyle w:val="7"/>
        <w:spacing w:line="480" w:lineRule="auto"/>
        <w:ind w:firstLine="0"/>
        <w:rPr>
          <w:rFonts w:ascii="仿宋" w:hAnsi="仿宋" w:eastAsia="仿宋" w:cs="仿宋"/>
          <w:color w:val="auto"/>
          <w:sz w:val="24"/>
          <w:szCs w:val="24"/>
          <w:highlight w:val="none"/>
        </w:rPr>
      </w:pPr>
    </w:p>
    <w:p>
      <w:pPr>
        <w:pStyle w:val="7"/>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有效身份证明复印件粘贴处</w:t>
      </w:r>
    </w:p>
    <w:p>
      <w:pPr>
        <w:pStyle w:val="7"/>
        <w:spacing w:line="360" w:lineRule="auto"/>
        <w:ind w:firstLine="545" w:firstLineChars="156"/>
        <w:jc w:val="center"/>
        <w:rPr>
          <w:rFonts w:ascii="仿宋" w:hAnsi="仿宋" w:eastAsia="仿宋" w:cs="仿宋"/>
          <w:b/>
          <w:bCs/>
          <w:color w:val="auto"/>
          <w:spacing w:val="24"/>
          <w:sz w:val="30"/>
          <w:highlight w:val="none"/>
        </w:rPr>
      </w:pPr>
    </w:p>
    <w:p>
      <w:pPr>
        <w:pStyle w:val="7"/>
        <w:spacing w:line="360" w:lineRule="auto"/>
        <w:ind w:firstLine="0"/>
        <w:jc w:val="center"/>
        <w:rPr>
          <w:rFonts w:ascii="仿宋" w:hAnsi="仿宋" w:eastAsia="仿宋" w:cs="仿宋"/>
          <w:b/>
          <w:bCs/>
          <w:color w:val="auto"/>
          <w:spacing w:val="24"/>
          <w:sz w:val="30"/>
          <w:highlight w:val="none"/>
        </w:rPr>
      </w:pPr>
    </w:p>
    <w:p>
      <w:pPr>
        <w:pStyle w:val="7"/>
        <w:spacing w:line="360" w:lineRule="auto"/>
        <w:ind w:firstLine="0"/>
        <w:jc w:val="center"/>
        <w:rPr>
          <w:rFonts w:ascii="仿宋" w:hAnsi="仿宋" w:eastAsia="仿宋" w:cs="仿宋"/>
          <w:b/>
          <w:bCs/>
          <w:color w:val="auto"/>
          <w:spacing w:val="24"/>
          <w:sz w:val="30"/>
          <w:highlight w:val="none"/>
        </w:rPr>
      </w:pPr>
    </w:p>
    <w:p>
      <w:pPr>
        <w:pStyle w:val="7"/>
        <w:spacing w:line="360" w:lineRule="auto"/>
        <w:ind w:firstLine="0"/>
        <w:jc w:val="center"/>
        <w:rPr>
          <w:rFonts w:ascii="仿宋" w:hAnsi="仿宋" w:eastAsia="仿宋" w:cs="仿宋"/>
          <w:b/>
          <w:bCs/>
          <w:color w:val="auto"/>
          <w:spacing w:val="24"/>
          <w:sz w:val="30"/>
          <w:highlight w:val="none"/>
        </w:rPr>
      </w:pPr>
    </w:p>
    <w:p>
      <w:pPr>
        <w:pStyle w:val="7"/>
        <w:spacing w:line="360" w:lineRule="auto"/>
        <w:ind w:firstLine="0"/>
        <w:jc w:val="center"/>
        <w:rPr>
          <w:rFonts w:ascii="仿宋" w:hAnsi="仿宋" w:eastAsia="仿宋" w:cs="仿宋"/>
          <w:b/>
          <w:bCs/>
          <w:color w:val="auto"/>
          <w:spacing w:val="24"/>
          <w:sz w:val="30"/>
          <w:highlight w:val="none"/>
        </w:rPr>
      </w:pPr>
    </w:p>
    <w:p>
      <w:pPr>
        <w:pStyle w:val="7"/>
        <w:spacing w:line="360" w:lineRule="auto"/>
        <w:ind w:firstLine="0"/>
        <w:jc w:val="center"/>
        <w:rPr>
          <w:rFonts w:ascii="仿宋" w:hAnsi="仿宋" w:eastAsia="仿宋" w:cs="仿宋"/>
          <w:b/>
          <w:bCs/>
          <w:color w:val="auto"/>
          <w:spacing w:val="24"/>
          <w:sz w:val="28"/>
          <w:szCs w:val="28"/>
          <w:highlight w:val="none"/>
        </w:rPr>
      </w:pPr>
    </w:p>
    <w:p>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pPr>
        <w:pStyle w:val="7"/>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法定代表人授权委托书</w:t>
      </w:r>
    </w:p>
    <w:p>
      <w:pPr>
        <w:spacing w:line="360" w:lineRule="auto"/>
        <w:ind w:firstLine="600" w:firstLineChars="200"/>
        <w:rPr>
          <w:rFonts w:ascii="仿宋" w:hAnsi="仿宋" w:eastAsia="仿宋" w:cs="仿宋"/>
          <w:color w:val="auto"/>
          <w:sz w:val="30"/>
          <w:highlight w:val="none"/>
        </w:rPr>
      </w:pPr>
    </w:p>
    <w:p>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的法定代表人，现授权委托</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为我单位授权代理人，以本单位的名义参加</w:t>
      </w: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 xml:space="preserve">            项目</w:t>
      </w:r>
      <w:r>
        <w:rPr>
          <w:rFonts w:hint="eastAsia" w:ascii="仿宋" w:hAnsi="仿宋" w:eastAsia="仿宋" w:cs="仿宋"/>
          <w:color w:val="auto"/>
          <w:sz w:val="24"/>
          <w:highlight w:val="none"/>
        </w:rPr>
        <w:t>的磋商活动。授权代理人在投标、开标、磋商、合同谈判过程中所签署的一切文件和处理与之有关的一切事务，我均予以承认。</w:t>
      </w:r>
    </w:p>
    <w:p>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授权代理人无转委托权，特此委托。</w:t>
      </w:r>
    </w:p>
    <w:p>
      <w:pPr>
        <w:spacing w:after="156" w:line="480" w:lineRule="auto"/>
        <w:rPr>
          <w:rFonts w:ascii="仿宋" w:hAnsi="仿宋" w:eastAsia="仿宋" w:cs="仿宋"/>
          <w:b/>
          <w:color w:val="auto"/>
          <w:sz w:val="24"/>
          <w:highlight w:val="none"/>
        </w:rPr>
      </w:pPr>
    </w:p>
    <w:p>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授权代理人：</w:t>
      </w:r>
      <w:r>
        <w:rPr>
          <w:rFonts w:hint="eastAsia" w:ascii="仿宋" w:hAnsi="仿宋" w:eastAsia="仿宋" w:cs="仿宋"/>
          <w:color w:val="auto"/>
          <w:sz w:val="24"/>
          <w:highlight w:val="none"/>
          <w:u w:val="single"/>
        </w:rPr>
        <w:t xml:space="preserve">                      （签字）   </w:t>
      </w:r>
    </w:p>
    <w:p>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职务：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pPr>
        <w:spacing w:line="480" w:lineRule="auto"/>
        <w:ind w:left="2699"/>
        <w:rPr>
          <w:rFonts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u w:val="single"/>
        </w:rPr>
        <w:t xml:space="preserve">                              （盖章）</w:t>
      </w:r>
    </w:p>
    <w:p>
      <w:pPr>
        <w:spacing w:line="48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（签名或盖章）</w:t>
      </w:r>
    </w:p>
    <w:p>
      <w:pPr>
        <w:pStyle w:val="7"/>
        <w:spacing w:line="480" w:lineRule="auto"/>
        <w:ind w:firstLine="2774" w:firstLineChars="1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pPr>
        <w:pStyle w:val="7"/>
        <w:pBdr>
          <w:bottom w:val="single" w:color="auto" w:sz="6" w:space="1"/>
        </w:pBdr>
        <w:spacing w:line="480" w:lineRule="auto"/>
        <w:ind w:firstLine="2774" w:firstLineChars="1156"/>
        <w:rPr>
          <w:rFonts w:ascii="仿宋" w:hAnsi="仿宋" w:eastAsia="仿宋" w:cs="仿宋"/>
          <w:color w:val="auto"/>
          <w:sz w:val="24"/>
          <w:szCs w:val="24"/>
          <w:highlight w:val="none"/>
        </w:rPr>
      </w:pPr>
    </w:p>
    <w:p>
      <w:pPr>
        <w:pStyle w:val="7"/>
        <w:spacing w:line="480" w:lineRule="auto"/>
        <w:ind w:firstLine="0"/>
        <w:rPr>
          <w:rFonts w:ascii="仿宋" w:hAnsi="仿宋" w:eastAsia="仿宋" w:cs="仿宋"/>
          <w:color w:val="auto"/>
          <w:sz w:val="24"/>
          <w:szCs w:val="24"/>
          <w:highlight w:val="none"/>
        </w:rPr>
      </w:pPr>
    </w:p>
    <w:p>
      <w:pPr>
        <w:pStyle w:val="7"/>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授权代理人有效身份证明复印件粘贴处</w:t>
      </w:r>
    </w:p>
    <w:p>
      <w:pPr>
        <w:pStyle w:val="7"/>
        <w:spacing w:line="480" w:lineRule="auto"/>
        <w:ind w:firstLine="0"/>
        <w:rPr>
          <w:rFonts w:ascii="仿宋" w:hAnsi="仿宋" w:eastAsia="仿宋" w:cs="仿宋"/>
          <w:color w:val="auto"/>
          <w:sz w:val="24"/>
          <w:szCs w:val="24"/>
          <w:highlight w:val="none"/>
        </w:rPr>
      </w:pPr>
    </w:p>
    <w:p>
      <w:pPr>
        <w:pStyle w:val="7"/>
        <w:spacing w:line="480" w:lineRule="auto"/>
        <w:ind w:firstLine="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（后附授权代理人最近1个月的个人社保缴纳证明文件）</w:t>
      </w:r>
    </w:p>
    <w:p>
      <w:pPr>
        <w:snapToGrid w:val="0"/>
        <w:spacing w:before="156" w:beforeLines="50" w:after="50"/>
        <w:jc w:val="center"/>
        <w:rPr>
          <w:rFonts w:ascii="仿宋" w:hAnsi="仿宋" w:eastAsia="仿宋" w:cs="仿宋"/>
          <w:b/>
          <w:color w:val="auto"/>
          <w:szCs w:val="28"/>
          <w:highlight w:val="none"/>
        </w:rPr>
      </w:pPr>
    </w:p>
    <w:p>
      <w:pPr>
        <w:spacing w:line="600" w:lineRule="exact"/>
        <w:jc w:val="center"/>
        <w:rPr>
          <w:rFonts w:ascii="仿宋" w:hAnsi="仿宋" w:eastAsia="仿宋" w:cs="仿宋"/>
          <w:b/>
          <w:bCs/>
          <w:color w:val="auto"/>
          <w:spacing w:val="24"/>
          <w:sz w:val="28"/>
          <w:szCs w:val="28"/>
          <w:highlight w:val="none"/>
        </w:rPr>
      </w:pPr>
    </w:p>
    <w:p>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pPr>
        <w:snapToGrid w:val="0"/>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p>
    <w:p>
      <w:pPr>
        <w:snapToGrid w:val="0"/>
        <w:spacing w:line="560" w:lineRule="exact"/>
        <w:jc w:val="center"/>
        <w:rPr>
          <w:rFonts w:ascii="仿宋" w:hAnsi="仿宋" w:eastAsia="仿宋" w:cs="仿宋"/>
          <w:b/>
          <w:color w:val="auto"/>
          <w:sz w:val="28"/>
          <w:szCs w:val="28"/>
          <w:highlight w:val="none"/>
        </w:rPr>
      </w:pPr>
    </w:p>
    <w:p>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pPr>
        <w:tabs>
          <w:tab w:val="left" w:pos="1650"/>
        </w:tabs>
        <w:jc w:val="left"/>
        <w:rPr>
          <w:rFonts w:ascii="仿宋" w:hAnsi="仿宋" w:eastAsia="仿宋" w:cs="仿宋"/>
          <w:color w:val="auto"/>
          <w:sz w:val="24"/>
          <w:highlight w:val="none"/>
          <w:u w:val="single"/>
        </w:rPr>
      </w:pPr>
    </w:p>
    <w:p>
      <w:pPr>
        <w:tabs>
          <w:tab w:val="left" w:pos="1650"/>
        </w:tabs>
        <w:spacing w:line="6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符合参与政府采购活动的资格条件并且没有税收缴纳、社会保障等方面的失信记录。且在磋商时间截止前未被“信用中国”（www.creditchina.gov.cn）、“中国政府采购网”（www.ccgp.gov.cn）列入失信被执行人、重大税收违法案件当事人名单、政府采购严重违法失信行为记录名单。</w:t>
      </w:r>
    </w:p>
    <w:p>
      <w:pPr>
        <w:pStyle w:val="10"/>
        <w:rPr>
          <w:rFonts w:ascii="仿宋" w:hAnsi="仿宋" w:eastAsia="仿宋" w:cs="仿宋"/>
          <w:b/>
          <w:color w:val="auto"/>
          <w:sz w:val="28"/>
          <w:szCs w:val="28"/>
          <w:highlight w:val="none"/>
        </w:rPr>
      </w:pPr>
    </w:p>
    <w:p>
      <w:pPr>
        <w:rPr>
          <w:rFonts w:ascii="仿宋" w:hAnsi="仿宋" w:eastAsia="仿宋" w:cs="仿宋"/>
          <w:b/>
          <w:color w:val="auto"/>
          <w:sz w:val="28"/>
          <w:szCs w:val="28"/>
          <w:highlight w:val="none"/>
        </w:rPr>
      </w:pPr>
    </w:p>
    <w:p>
      <w:pPr>
        <w:pStyle w:val="10"/>
        <w:rPr>
          <w:rFonts w:ascii="仿宋" w:hAnsi="仿宋" w:eastAsia="仿宋" w:cs="仿宋"/>
          <w:b/>
          <w:color w:val="auto"/>
          <w:sz w:val="28"/>
          <w:szCs w:val="28"/>
          <w:highlight w:val="none"/>
        </w:rPr>
      </w:pPr>
    </w:p>
    <w:p>
      <w:pPr>
        <w:rPr>
          <w:rFonts w:ascii="仿宋" w:hAnsi="仿宋" w:eastAsia="仿宋" w:cs="仿宋"/>
          <w:b/>
          <w:color w:val="auto"/>
          <w:sz w:val="28"/>
          <w:szCs w:val="28"/>
          <w:highlight w:val="none"/>
        </w:rPr>
      </w:pPr>
    </w:p>
    <w:p>
      <w:pPr>
        <w:pStyle w:val="10"/>
        <w:rPr>
          <w:rFonts w:ascii="仿宋" w:hAnsi="仿宋" w:eastAsia="仿宋" w:cs="仿宋"/>
          <w:b/>
          <w:color w:val="auto"/>
          <w:sz w:val="28"/>
          <w:szCs w:val="28"/>
          <w:highlight w:val="none"/>
        </w:rPr>
      </w:pPr>
    </w:p>
    <w:p>
      <w:pPr>
        <w:rPr>
          <w:rFonts w:ascii="仿宋" w:hAnsi="仿宋" w:eastAsia="仿宋" w:cs="仿宋"/>
          <w:b/>
          <w:color w:val="auto"/>
          <w:sz w:val="28"/>
          <w:szCs w:val="28"/>
          <w:highlight w:val="none"/>
        </w:rPr>
      </w:pPr>
    </w:p>
    <w:p>
      <w:pPr>
        <w:pStyle w:val="10"/>
        <w:rPr>
          <w:rFonts w:ascii="仿宋" w:hAnsi="仿宋" w:eastAsia="仿宋" w:cs="仿宋"/>
          <w:b/>
          <w:color w:val="auto"/>
          <w:sz w:val="28"/>
          <w:szCs w:val="28"/>
          <w:highlight w:val="none"/>
        </w:rPr>
      </w:pPr>
    </w:p>
    <w:p>
      <w:pPr>
        <w:pStyle w:val="39"/>
        <w:spacing w:before="0" w:beforeAutospacing="0" w:after="0" w:afterAutospacing="0" w:line="560" w:lineRule="exact"/>
        <w:ind w:firstLine="3240" w:firstLineChars="1350"/>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pPr>
        <w:spacing w:line="600" w:lineRule="exact"/>
        <w:jc w:val="center"/>
        <w:rPr>
          <w:rFonts w:ascii="仿宋" w:hAnsi="仿宋" w:eastAsia="仿宋" w:cs="仿宋"/>
          <w:b/>
          <w:bCs/>
          <w:color w:val="auto"/>
          <w:spacing w:val="24"/>
          <w:sz w:val="28"/>
          <w:szCs w:val="28"/>
          <w:highlight w:val="none"/>
        </w:rPr>
      </w:pPr>
    </w:p>
    <w:p>
      <w:pPr>
        <w:spacing w:line="600" w:lineRule="exact"/>
        <w:jc w:val="center"/>
        <w:rPr>
          <w:rFonts w:ascii="仿宋" w:hAnsi="仿宋" w:eastAsia="仿宋" w:cs="仿宋"/>
          <w:b/>
          <w:bCs/>
          <w:color w:val="auto"/>
          <w:spacing w:val="24"/>
          <w:sz w:val="28"/>
          <w:szCs w:val="28"/>
          <w:highlight w:val="none"/>
        </w:rPr>
      </w:pPr>
    </w:p>
    <w:p>
      <w:pPr>
        <w:spacing w:line="600" w:lineRule="exact"/>
        <w:jc w:val="center"/>
        <w:rPr>
          <w:rFonts w:ascii="仿宋" w:hAnsi="仿宋" w:eastAsia="仿宋" w:cs="仿宋"/>
          <w:b/>
          <w:bCs/>
          <w:color w:val="auto"/>
          <w:spacing w:val="24"/>
          <w:sz w:val="28"/>
          <w:szCs w:val="28"/>
          <w:highlight w:val="none"/>
        </w:rPr>
      </w:pPr>
    </w:p>
    <w:p>
      <w:pPr>
        <w:spacing w:line="600" w:lineRule="exact"/>
        <w:jc w:val="center"/>
        <w:rPr>
          <w:rFonts w:ascii="仿宋" w:hAnsi="仿宋" w:eastAsia="仿宋" w:cs="仿宋"/>
          <w:b/>
          <w:bCs/>
          <w:color w:val="auto"/>
          <w:spacing w:val="24"/>
          <w:sz w:val="28"/>
          <w:szCs w:val="28"/>
          <w:highlight w:val="none"/>
        </w:rPr>
      </w:pPr>
    </w:p>
    <w:p>
      <w:pPr>
        <w:spacing w:line="600" w:lineRule="exact"/>
        <w:jc w:val="center"/>
        <w:rPr>
          <w:rFonts w:ascii="仿宋" w:hAnsi="仿宋" w:eastAsia="仿宋" w:cs="仿宋"/>
          <w:b/>
          <w:bCs/>
          <w:color w:val="auto"/>
          <w:spacing w:val="24"/>
          <w:sz w:val="28"/>
          <w:szCs w:val="28"/>
          <w:highlight w:val="none"/>
        </w:rPr>
      </w:pPr>
    </w:p>
    <w:p>
      <w:pPr>
        <w:spacing w:line="600" w:lineRule="exact"/>
        <w:jc w:val="center"/>
        <w:rPr>
          <w:rFonts w:ascii="仿宋" w:hAnsi="仿宋" w:eastAsia="仿宋" w:cs="仿宋"/>
          <w:b/>
          <w:bCs/>
          <w:color w:val="auto"/>
          <w:spacing w:val="24"/>
          <w:sz w:val="28"/>
          <w:szCs w:val="28"/>
          <w:highlight w:val="none"/>
        </w:rPr>
      </w:pPr>
    </w:p>
    <w:p>
      <w:pPr>
        <w:spacing w:line="600" w:lineRule="exact"/>
        <w:rPr>
          <w:rFonts w:ascii="仿宋" w:hAnsi="仿宋" w:eastAsia="仿宋" w:cs="仿宋"/>
          <w:b/>
          <w:bCs/>
          <w:color w:val="auto"/>
          <w:spacing w:val="24"/>
          <w:sz w:val="28"/>
          <w:szCs w:val="28"/>
          <w:highlight w:val="none"/>
        </w:rPr>
      </w:pPr>
    </w:p>
    <w:p>
      <w:pPr>
        <w:spacing w:line="600" w:lineRule="exact"/>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信用承诺书</w:t>
      </w:r>
    </w:p>
    <w:p>
      <w:pPr>
        <w:tabs>
          <w:tab w:val="left" w:pos="1650"/>
        </w:tabs>
        <w:spacing w:line="64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（采购项目）</w:t>
      </w:r>
      <w:r>
        <w:rPr>
          <w:rFonts w:hint="eastAsia" w:ascii="仿宋" w:hAnsi="仿宋" w:eastAsia="仿宋" w:cs="仿宋"/>
          <w:color w:val="auto"/>
          <w:sz w:val="24"/>
          <w:highlight w:val="none"/>
        </w:rPr>
        <w:t>政府采购活动，郑重承诺如下：</w:t>
      </w:r>
    </w:p>
    <w:p>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1、对所提供的资料合法性、真实性、准确性和有效性负责；</w:t>
      </w:r>
    </w:p>
    <w:p>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2、严格按照国家法律、法规和规章，依法开展相关经济活动，全面履行应尽的责任和义务；</w:t>
      </w:r>
    </w:p>
    <w:p>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3、加强自我约束、自我规范、自我管理，不制假售假、不虚假宣传、不违约毁约、不恶意逃债、不偷税漏税，诚信依法经营；</w:t>
      </w:r>
    </w:p>
    <w:p>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4、自愿接受行政主管部门的依法检查、违背承诺约定将自愿承担违约责任，并接受法律法规和相关部门规章制度的惩戒和约束；</w:t>
      </w:r>
    </w:p>
    <w:p>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5、按照信用信息管理有关要求，本单位（个人）同意将以上承诺在信用湖州网站公示，若违背以上承诺，依据相关规定记入企业（个人）信用档案；性质严重的，承担相应法律后果和责任，并依法依规列入严重失信名单。</w:t>
      </w:r>
    </w:p>
    <w:p>
      <w:pPr>
        <w:tabs>
          <w:tab w:val="left" w:pos="1650"/>
        </w:tabs>
        <w:spacing w:line="640" w:lineRule="exact"/>
        <w:rPr>
          <w:rFonts w:ascii="仿宋" w:hAnsi="仿宋" w:eastAsia="仿宋" w:cs="仿宋"/>
          <w:color w:val="auto"/>
          <w:sz w:val="24"/>
          <w:highlight w:val="none"/>
          <w:u w:val="single"/>
        </w:rPr>
      </w:pPr>
    </w:p>
    <w:p>
      <w:pPr>
        <w:tabs>
          <w:tab w:val="left" w:pos="1650"/>
        </w:tabs>
        <w:spacing w:line="640" w:lineRule="exact"/>
        <w:rPr>
          <w:rFonts w:ascii="仿宋" w:hAnsi="仿宋" w:eastAsia="仿宋" w:cs="仿宋"/>
          <w:color w:val="auto"/>
          <w:sz w:val="24"/>
          <w:highlight w:val="none"/>
          <w:u w:val="single"/>
        </w:rPr>
      </w:pPr>
    </w:p>
    <w:p>
      <w:pPr>
        <w:pStyle w:val="39"/>
        <w:spacing w:before="0" w:beforeAutospacing="0" w:after="0" w:afterAutospacing="0" w:line="640" w:lineRule="exact"/>
        <w:ind w:firstLine="600" w:firstLineChars="250"/>
        <w:rPr>
          <w:rFonts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pPr>
        <w:pStyle w:val="39"/>
        <w:spacing w:before="0" w:beforeAutospacing="0" w:after="0" w:afterAutospacing="0" w:line="640" w:lineRule="exact"/>
        <w:rPr>
          <w:rFonts w:ascii="仿宋" w:hAnsi="仿宋" w:eastAsia="仿宋" w:cs="仿宋"/>
          <w:color w:val="auto"/>
          <w:highlight w:val="none"/>
        </w:rPr>
      </w:pPr>
    </w:p>
    <w:p>
      <w:pPr>
        <w:pStyle w:val="39"/>
        <w:spacing w:before="0" w:beforeAutospacing="0" w:after="0" w:afterAutospacing="0" w:line="640" w:lineRule="exact"/>
        <w:rPr>
          <w:rFonts w:ascii="仿宋" w:hAnsi="仿宋" w:eastAsia="仿宋" w:cs="仿宋"/>
          <w:color w:val="auto"/>
          <w:highlight w:val="none"/>
        </w:rPr>
      </w:pPr>
    </w:p>
    <w:p>
      <w:pPr>
        <w:pStyle w:val="39"/>
        <w:spacing w:before="0" w:beforeAutospacing="0" w:after="0" w:afterAutospacing="0" w:line="640" w:lineRule="exact"/>
        <w:ind w:firstLine="3240" w:firstLineChars="1350"/>
        <w:jc w:val="right"/>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pPr>
        <w:spacing w:line="640" w:lineRule="exact"/>
        <w:jc w:val="righ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   间：  年  月  日</w:t>
      </w:r>
    </w:p>
    <w:p>
      <w:pPr>
        <w:pStyle w:val="7"/>
        <w:spacing w:line="600" w:lineRule="exact"/>
        <w:ind w:firstLine="0"/>
        <w:jc w:val="center"/>
        <w:rPr>
          <w:rFonts w:ascii="仿宋" w:hAnsi="仿宋" w:eastAsia="仿宋" w:cs="仿宋"/>
          <w:color w:val="auto"/>
          <w:sz w:val="24"/>
          <w:szCs w:val="24"/>
          <w:highlight w:val="none"/>
        </w:rPr>
      </w:pPr>
    </w:p>
    <w:p>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中小企业声明函（工程、 服务）</w:t>
      </w:r>
    </w:p>
    <w:p>
      <w:pPr>
        <w:spacing w:line="56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本公司（联合体）郑重声明，根据《政府采购促进中小企业发展管理办法》（财</w:t>
      </w:r>
    </w:p>
    <w:p>
      <w:pPr>
        <w:spacing w:line="56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库﹝2020﹞46 号）的规定，本公司 （联合体）参加</w:t>
      </w:r>
      <w:r>
        <w:rPr>
          <w:rFonts w:hint="eastAsia" w:ascii="仿宋" w:hAnsi="仿宋" w:eastAsia="仿宋" w:cs="仿宋"/>
          <w:color w:val="auto"/>
          <w:sz w:val="24"/>
          <w:highlight w:val="none"/>
          <w:u w:val="single"/>
        </w:rPr>
        <w:t xml:space="preserve"> （ 单位名称 ） </w:t>
      </w:r>
      <w:r>
        <w:rPr>
          <w:rFonts w:hint="eastAsia" w:ascii="仿宋" w:hAnsi="仿宋" w:eastAsia="仿宋" w:cs="仿宋"/>
          <w:color w:val="auto"/>
          <w:sz w:val="24"/>
          <w:highlight w:val="none"/>
        </w:rPr>
        <w:t xml:space="preserve">的 </w:t>
      </w:r>
      <w:r>
        <w:rPr>
          <w:rFonts w:hint="eastAsia" w:ascii="仿宋" w:hAnsi="仿宋" w:eastAsia="仿宋" w:cs="仿宋"/>
          <w:color w:val="auto"/>
          <w:sz w:val="24"/>
          <w:highlight w:val="none"/>
          <w:u w:val="single"/>
        </w:rPr>
        <w:t>（ 项目名称 ）</w:t>
      </w:r>
      <w:r>
        <w:rPr>
          <w:rFonts w:hint="eastAsia" w:ascii="仿宋" w:hAnsi="仿宋" w:eastAsia="仿宋" w:cs="仿宋"/>
          <w:color w:val="auto"/>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color w:val="auto"/>
          <w:sz w:val="24"/>
          <w:highlight w:val="none"/>
          <w:u w:val="single"/>
        </w:rPr>
        <w:t xml:space="preserve">（ 标的名称 ）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 </w:t>
      </w:r>
      <w:r>
        <w:rPr>
          <w:rFonts w:hint="eastAsia" w:ascii="仿宋" w:hAnsi="仿宋" w:eastAsia="仿宋"/>
          <w:color w:val="auto"/>
          <w:sz w:val="24"/>
          <w:highlight w:val="none"/>
          <w:u w:val="single"/>
        </w:rPr>
        <w:t>采购文件中明确的所属行业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 企业名称）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 、小型企业 、微型企业 ） </w:t>
      </w:r>
      <w:r>
        <w:rPr>
          <w:rFonts w:hint="eastAsia" w:ascii="仿宋" w:hAnsi="仿宋" w:eastAsia="仿宋" w:cs="仿宋"/>
          <w:color w:val="auto"/>
          <w:sz w:val="24"/>
          <w:highlight w:val="none"/>
        </w:rPr>
        <w:t xml:space="preserve">； </w:t>
      </w:r>
    </w:p>
    <w:p>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2. </w:t>
      </w:r>
      <w:r>
        <w:rPr>
          <w:rFonts w:hint="eastAsia" w:ascii="仿宋" w:hAnsi="仿宋" w:eastAsia="仿宋" w:cs="仿宋"/>
          <w:color w:val="auto"/>
          <w:sz w:val="24"/>
          <w:highlight w:val="none"/>
          <w:u w:val="single"/>
        </w:rPr>
        <w:t xml:space="preserve">（ 标的名称 ）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 </w:t>
      </w:r>
      <w:r>
        <w:rPr>
          <w:rFonts w:hint="eastAsia" w:ascii="仿宋" w:hAnsi="仿宋" w:eastAsia="仿宋"/>
          <w:color w:val="auto"/>
          <w:sz w:val="24"/>
          <w:highlight w:val="none"/>
          <w:u w:val="single"/>
        </w:rPr>
        <w:t>采购文件中明确的所属行业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 企业名称）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 、小型企业 、微型企业 ） </w:t>
      </w:r>
      <w:r>
        <w:rPr>
          <w:rFonts w:hint="eastAsia" w:ascii="仿宋" w:hAnsi="仿宋" w:eastAsia="仿宋" w:cs="仿宋"/>
          <w:color w:val="auto"/>
          <w:sz w:val="24"/>
          <w:highlight w:val="none"/>
        </w:rPr>
        <w:t>；</w:t>
      </w:r>
    </w:p>
    <w:p>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以上企业，不属于大企业的分支机构，不存在控股股东为大企业的情形，也不存在与大企业的负责人为同一人的情形。 本企业对上述声明内容的真实性负责。如有虚假，将依 法承担相应责任。 </w:t>
      </w:r>
    </w:p>
    <w:p>
      <w:pPr>
        <w:tabs>
          <w:tab w:val="left" w:pos="2996"/>
        </w:tabs>
        <w:spacing w:line="600" w:lineRule="exact"/>
        <w:ind w:firstLine="480" w:firstLineChars="200"/>
        <w:rPr>
          <w:rFonts w:ascii="仿宋" w:hAnsi="仿宋" w:eastAsia="仿宋" w:cs="仿宋"/>
          <w:color w:val="auto"/>
          <w:sz w:val="24"/>
          <w:highlight w:val="none"/>
        </w:rPr>
      </w:pPr>
    </w:p>
    <w:p>
      <w:pPr>
        <w:tabs>
          <w:tab w:val="left" w:pos="2996"/>
        </w:tabs>
        <w:spacing w:line="600" w:lineRule="exact"/>
        <w:ind w:firstLine="480" w:firstLineChars="200"/>
        <w:rPr>
          <w:rFonts w:ascii="仿宋" w:hAnsi="仿宋" w:eastAsia="仿宋" w:cs="仿宋"/>
          <w:color w:val="auto"/>
          <w:sz w:val="24"/>
          <w:highlight w:val="none"/>
        </w:rPr>
      </w:pPr>
    </w:p>
    <w:p>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　期：</w:t>
      </w:r>
    </w:p>
    <w:p>
      <w:pPr>
        <w:spacing w:line="600" w:lineRule="exact"/>
        <w:rPr>
          <w:rFonts w:ascii="仿宋" w:hAnsi="仿宋" w:eastAsia="仿宋" w:cs="仿宋"/>
          <w:color w:val="auto"/>
          <w:sz w:val="24"/>
          <w:highlight w:val="none"/>
        </w:rPr>
      </w:pPr>
    </w:p>
    <w:p>
      <w:pPr>
        <w:spacing w:line="600" w:lineRule="exact"/>
        <w:rPr>
          <w:rFonts w:ascii="仿宋" w:hAnsi="仿宋" w:eastAsia="仿宋" w:cs="仿宋"/>
          <w:color w:val="auto"/>
          <w:sz w:val="24"/>
          <w:highlight w:val="none"/>
        </w:rPr>
      </w:pPr>
    </w:p>
    <w:p>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监狱企业声明函</w:t>
      </w:r>
    </w:p>
    <w:p>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【非监狱企业的不用提供】</w:t>
      </w:r>
    </w:p>
    <w:p>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本企业郑重声明，根据《关于政府采购支持监狱企业发展有关问题的通知》(财库[2014]68号）的规定，本企业为监狱企业。</w:t>
      </w:r>
    </w:p>
    <w:p>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根据上述标准，我企业属于监狱企业的理由为:</w:t>
      </w:r>
    </w:p>
    <w:p>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本企业为参加(项目名称:) (项目编号:)采购活动提供本企业的产品。</w:t>
      </w:r>
    </w:p>
    <w:p>
      <w:pPr>
        <w:spacing w:line="60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本企业对上述声明的真实性负责。如有虚假，将依法承担相应责任。</w:t>
      </w:r>
    </w:p>
    <w:p>
      <w:pPr>
        <w:spacing w:line="600" w:lineRule="exact"/>
        <w:rPr>
          <w:rFonts w:ascii="仿宋" w:hAnsi="仿宋" w:eastAsia="仿宋" w:cs="仿宋"/>
          <w:color w:val="auto"/>
          <w:sz w:val="24"/>
          <w:highlight w:val="none"/>
        </w:rPr>
      </w:pPr>
    </w:p>
    <w:p>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 :</w:t>
      </w:r>
    </w:p>
    <w:p>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pPr>
        <w:spacing w:line="600" w:lineRule="exact"/>
        <w:ind w:firstLine="360" w:firstLineChars="150"/>
        <w:jc w:val="right"/>
        <w:rPr>
          <w:rFonts w:ascii="仿宋" w:hAnsi="仿宋" w:eastAsia="仿宋" w:cs="仿宋"/>
          <w:color w:val="auto"/>
          <w:sz w:val="24"/>
          <w:highlight w:val="none"/>
        </w:rPr>
      </w:pP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注：1、根据《关于政府采购支持监狱企业发展有关问题的通知》（财库[2014]68 号）的规定，供应商提供由省级以上监狱管理局、戒毒管理局（含新疆生产建设兵团）出具的属于监狱企业证明文件的，视同为小型和微型企业小微企业名录；</w:t>
      </w:r>
    </w:p>
    <w:p>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2、监狱企业参加政府采购活动时，应当提供由省级以上监狱管理局、戒毒管理局(含新疆生产建设兵团)出具的属于监狱企业的证明文件；</w:t>
      </w:r>
    </w:p>
    <w:p>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540" w:lineRule="exact"/>
        <w:rPr>
          <w:rFonts w:ascii="仿宋" w:hAnsi="仿宋" w:eastAsia="仿宋" w:cs="仿宋"/>
          <w:color w:val="auto"/>
          <w:sz w:val="24"/>
          <w:highlight w:val="none"/>
        </w:rPr>
      </w:pPr>
    </w:p>
    <w:p>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残疾人福利性单位声明函</w:t>
      </w:r>
    </w:p>
    <w:p>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【非残疾人福利性单位不用提供】</w:t>
      </w:r>
    </w:p>
    <w:p>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本单位郑重声明，根据《财政部民政部中国残疾人联合会关于促进残疾人就业政府采购政策的通知》(财库(2017) 141号)的规定。本单位为符合条件的残疾人福利性单位，且本单位参加(采购人名称)单位的(项目名称)项目采购活动提供本单位制造的货物(由本单位承担工程/提供服务)，或者提供其他残疾人福利性单位制造的货物(不包括使用非残疾人福利性单位注册商标的货物)。</w:t>
      </w:r>
    </w:p>
    <w:p>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本单位对上述声明的真实性负责，如有虚假，将依法承但相应责任。</w:t>
      </w:r>
    </w:p>
    <w:p>
      <w:pPr>
        <w:spacing w:line="600" w:lineRule="exact"/>
        <w:ind w:firstLine="480" w:firstLineChars="200"/>
        <w:rPr>
          <w:rFonts w:ascii="仿宋" w:hAnsi="仿宋" w:eastAsia="仿宋" w:cs="仿宋"/>
          <w:color w:val="auto"/>
          <w:sz w:val="24"/>
          <w:highlight w:val="none"/>
        </w:rPr>
      </w:pPr>
    </w:p>
    <w:p>
      <w:pPr>
        <w:spacing w:line="600" w:lineRule="exact"/>
        <w:ind w:firstLine="480" w:firstLineChars="200"/>
        <w:rPr>
          <w:rFonts w:ascii="仿宋" w:hAnsi="仿宋" w:eastAsia="仿宋" w:cs="仿宋"/>
          <w:color w:val="auto"/>
          <w:sz w:val="24"/>
          <w:highlight w:val="none"/>
        </w:rPr>
      </w:pPr>
    </w:p>
    <w:p>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pPr>
        <w:spacing w:line="360" w:lineRule="auto"/>
        <w:rPr>
          <w:rFonts w:ascii="仿宋" w:hAnsi="仿宋" w:eastAsia="仿宋" w:cs="仿宋"/>
          <w:b/>
          <w:color w:val="auto"/>
          <w:szCs w:val="28"/>
          <w:highlight w:val="none"/>
        </w:rPr>
      </w:pPr>
    </w:p>
    <w:p>
      <w:pPr>
        <w:spacing w:line="360" w:lineRule="auto"/>
        <w:rPr>
          <w:rFonts w:ascii="仿宋" w:hAnsi="仿宋" w:eastAsia="仿宋" w:cs="仿宋"/>
          <w:b/>
          <w:color w:val="auto"/>
          <w:szCs w:val="28"/>
          <w:highlight w:val="none"/>
        </w:rPr>
      </w:pPr>
    </w:p>
    <w:p>
      <w:pPr>
        <w:spacing w:line="360" w:lineRule="auto"/>
        <w:rPr>
          <w:rFonts w:ascii="仿宋" w:hAnsi="仿宋" w:eastAsia="仿宋" w:cs="仿宋"/>
          <w:b/>
          <w:color w:val="auto"/>
          <w:szCs w:val="28"/>
          <w:highlight w:val="none"/>
        </w:rPr>
      </w:pPr>
    </w:p>
    <w:p>
      <w:pPr>
        <w:spacing w:line="600" w:lineRule="exact"/>
        <w:rPr>
          <w:rFonts w:ascii="仿宋" w:hAnsi="仿宋" w:eastAsia="仿宋" w:cs="仿宋"/>
          <w:color w:val="auto"/>
          <w:sz w:val="24"/>
          <w:highlight w:val="none"/>
        </w:rPr>
      </w:pPr>
      <w:r>
        <w:rPr>
          <w:rFonts w:hint="eastAsia" w:ascii="仿宋" w:hAnsi="仿宋" w:eastAsia="仿宋" w:cs="仿宋"/>
          <w:color w:val="auto"/>
          <w:sz w:val="24"/>
          <w:highlight w:val="none"/>
        </w:rPr>
        <w:t>注：符合《关于促进残疾人就业政府采购政策的通知》（财库〔2017〕141 号）规定的条件并提供《残疾人福利性单位声明函》的残疾人福利性单位视同小型、微型企业。</w:t>
      </w:r>
    </w:p>
    <w:p>
      <w:pPr>
        <w:pStyle w:val="36"/>
        <w:rPr>
          <w:rFonts w:ascii="仿宋" w:hAnsi="仿宋" w:eastAsia="仿宋" w:cs="仿宋"/>
          <w:color w:val="auto"/>
          <w:highlight w:val="none"/>
        </w:rPr>
      </w:pPr>
    </w:p>
    <w:p>
      <w:pPr>
        <w:rPr>
          <w:rFonts w:ascii="仿宋" w:hAnsi="仿宋" w:eastAsia="仿宋" w:cs="仿宋"/>
          <w:color w:val="auto"/>
          <w:sz w:val="24"/>
          <w:highlight w:val="none"/>
        </w:rPr>
      </w:pPr>
    </w:p>
    <w:p>
      <w:pPr>
        <w:pStyle w:val="36"/>
        <w:rPr>
          <w:rFonts w:ascii="仿宋" w:hAnsi="仿宋" w:eastAsia="仿宋" w:cs="仿宋"/>
          <w:color w:val="auto"/>
          <w:highlight w:val="none"/>
        </w:rPr>
      </w:pPr>
    </w:p>
    <w:p>
      <w:pPr>
        <w:rPr>
          <w:rFonts w:ascii="仿宋" w:hAnsi="仿宋" w:eastAsia="仿宋" w:cs="仿宋"/>
          <w:color w:val="auto"/>
          <w:sz w:val="24"/>
          <w:highlight w:val="none"/>
        </w:rPr>
      </w:pPr>
    </w:p>
    <w:p>
      <w:pPr>
        <w:pStyle w:val="36"/>
        <w:rPr>
          <w:rFonts w:ascii="仿宋" w:hAnsi="仿宋" w:eastAsia="仿宋" w:cs="仿宋"/>
          <w:color w:val="auto"/>
          <w:highlight w:val="none"/>
        </w:rPr>
      </w:pPr>
    </w:p>
    <w:p>
      <w:pPr>
        <w:rPr>
          <w:rFonts w:ascii="仿宋" w:hAnsi="仿宋" w:eastAsia="仿宋" w:cs="仿宋"/>
          <w:color w:val="auto"/>
          <w:sz w:val="24"/>
          <w:highlight w:val="none"/>
        </w:rPr>
      </w:pPr>
    </w:p>
    <w:p>
      <w:pPr>
        <w:pStyle w:val="36"/>
        <w:rPr>
          <w:rFonts w:ascii="仿宋" w:hAnsi="仿宋" w:eastAsia="仿宋" w:cs="仿宋"/>
          <w:color w:val="auto"/>
          <w:highlight w:val="none"/>
        </w:rPr>
      </w:pPr>
    </w:p>
    <w:p>
      <w:pPr>
        <w:rPr>
          <w:rFonts w:ascii="仿宋" w:hAnsi="仿宋" w:eastAsia="仿宋" w:cs="仿宋"/>
          <w:color w:val="auto"/>
          <w:sz w:val="24"/>
          <w:highlight w:val="none"/>
        </w:rPr>
      </w:pPr>
    </w:p>
    <w:p>
      <w:pPr>
        <w:pStyle w:val="36"/>
        <w:rPr>
          <w:rFonts w:ascii="仿宋" w:hAnsi="仿宋" w:eastAsia="仿宋" w:cs="仿宋"/>
          <w:color w:val="auto"/>
          <w:highlight w:val="none"/>
        </w:rPr>
      </w:pPr>
    </w:p>
    <w:p>
      <w:pPr>
        <w:rPr>
          <w:rFonts w:ascii="仿宋" w:hAnsi="仿宋" w:eastAsia="仿宋" w:cs="仿宋"/>
          <w:color w:val="auto"/>
          <w:sz w:val="24"/>
          <w:highlight w:val="none"/>
        </w:rPr>
      </w:pPr>
    </w:p>
    <w:p>
      <w:pPr>
        <w:pStyle w:val="36"/>
        <w:rPr>
          <w:color w:val="auto"/>
          <w:highlight w:val="none"/>
        </w:rPr>
      </w:pPr>
    </w:p>
    <w:p>
      <w:pPr>
        <w:spacing w:line="600" w:lineRule="exact"/>
        <w:jc w:val="center"/>
        <w:rPr>
          <w:rFonts w:ascii="仿宋" w:hAnsi="仿宋" w:eastAsia="仿宋" w:cs="仿宋"/>
          <w:b/>
          <w:bCs/>
          <w:color w:val="auto"/>
          <w:spacing w:val="24"/>
          <w:sz w:val="28"/>
          <w:szCs w:val="28"/>
          <w:highlight w:val="none"/>
        </w:rPr>
      </w:pPr>
    </w:p>
    <w:p>
      <w:pPr>
        <w:snapToGrid w:val="0"/>
        <w:spacing w:before="156" w:beforeLines="50" w:after="50" w:line="4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响 应 函</w:t>
      </w:r>
    </w:p>
    <w:p>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（采购人名称）</w:t>
      </w:r>
      <w:r>
        <w:rPr>
          <w:rFonts w:hint="eastAsia" w:ascii="仿宋" w:hAnsi="仿宋" w:eastAsia="仿宋" w:cs="仿宋"/>
          <w:color w:val="auto"/>
          <w:sz w:val="24"/>
          <w:highlight w:val="none"/>
        </w:rPr>
        <w:t>：</w:t>
      </w:r>
    </w:p>
    <w:p>
      <w:pPr>
        <w:snapToGrid w:val="0"/>
        <w:spacing w:line="600" w:lineRule="exact"/>
        <w:ind w:firstLine="600" w:firstLineChars="250"/>
        <w:rPr>
          <w:rFonts w:ascii="仿宋" w:hAnsi="仿宋" w:eastAsia="仿宋" w:cs="仿宋"/>
          <w:color w:val="auto"/>
          <w:sz w:val="24"/>
          <w:szCs w:val="20"/>
          <w:highlight w:val="none"/>
        </w:rPr>
      </w:pPr>
      <w:r>
        <w:rPr>
          <w:rFonts w:hint="eastAsia" w:ascii="仿宋" w:hAnsi="仿宋" w:eastAsia="仿宋" w:cs="仿宋"/>
          <w:color w:val="auto"/>
          <w:sz w:val="24"/>
          <w:highlight w:val="none"/>
        </w:rPr>
        <w:t>根据贵方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项目的磋商公告</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（全名）</w:t>
      </w:r>
      <w:r>
        <w:rPr>
          <w:rFonts w:hint="eastAsia" w:ascii="仿宋" w:hAnsi="仿宋" w:eastAsia="仿宋" w:cs="仿宋"/>
          <w:color w:val="auto"/>
          <w:sz w:val="24"/>
          <w:highlight w:val="none"/>
        </w:rPr>
        <w:t>经正式授权并代表供应商</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提交《技术、商务、资信及其他文件》和《首次报价文件》。</w:t>
      </w:r>
    </w:p>
    <w:p>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据此函，签字代表宣布同意如下：</w:t>
      </w:r>
    </w:p>
    <w:p>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1.供应商已详细审查全部“磋商文件”，包括修改文件（如有的话）以及全部参考资料和有关附件，已经了解我方对于磋商文件、采购过程、采购结果有依法进行询问、质疑、投诉的权利及相关渠道和要求。</w:t>
      </w:r>
    </w:p>
    <w:p>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2.供应商在磋商之前已经与贵方进行了充分的沟通，完全理解并接受磋商文件的各项规定和要求，对磋商文件的合理性、合法性不再有异议。</w:t>
      </w:r>
    </w:p>
    <w:p>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3.本磋商有效期自开标日起</w:t>
      </w:r>
      <w:r>
        <w:rPr>
          <w:rFonts w:hint="eastAsia" w:ascii="仿宋" w:hAnsi="仿宋" w:eastAsia="仿宋" w:cs="仿宋"/>
          <w:color w:val="auto"/>
          <w:sz w:val="24"/>
          <w:highlight w:val="none"/>
          <w:u w:val="single"/>
        </w:rPr>
        <w:t>60</w:t>
      </w:r>
      <w:r>
        <w:rPr>
          <w:rFonts w:hint="eastAsia" w:ascii="仿宋" w:hAnsi="仿宋" w:eastAsia="仿宋" w:cs="仿宋"/>
          <w:color w:val="auto"/>
          <w:sz w:val="24"/>
          <w:highlight w:val="none"/>
        </w:rPr>
        <w:t>个日历天。</w:t>
      </w:r>
    </w:p>
    <w:p>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4.如成交，本响应文件至本项目合同履行完毕止均保持有效，本供应商将按“磋商文件”及政府采购法律、法规的规定履行合同责任和义务。</w:t>
      </w:r>
    </w:p>
    <w:p>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5.供应商同意按照贵方要求提供与磋商有关的一切数据或资料。</w:t>
      </w:r>
    </w:p>
    <w:p>
      <w:pPr>
        <w:snapToGrid w:val="0"/>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6.与本磋商有关的一切正式往来信函请寄：</w:t>
      </w:r>
    </w:p>
    <w:p>
      <w:pPr>
        <w:snapToGrid w:val="0"/>
        <w:spacing w:line="600" w:lineRule="exact"/>
        <w:ind w:firstLine="480" w:firstLineChars="200"/>
        <w:rPr>
          <w:rFonts w:ascii="仿宋" w:hAnsi="仿宋" w:eastAsia="仿宋" w:cs="仿宋"/>
          <w:color w:val="auto"/>
          <w:sz w:val="24"/>
          <w:szCs w:val="20"/>
          <w:highlight w:val="none"/>
        </w:rPr>
      </w:pPr>
    </w:p>
    <w:p>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地址：                       邮编：                        电话：</w:t>
      </w:r>
    </w:p>
    <w:p>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传真：                       供应商代表姓名：              职务：</w:t>
      </w:r>
    </w:p>
    <w:p>
      <w:pPr>
        <w:snapToGrid w:val="0"/>
        <w:spacing w:line="60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供应商名称(公章):</w:t>
      </w:r>
    </w:p>
    <w:p>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开户银行：                   银行帐号：</w:t>
      </w:r>
    </w:p>
    <w:p>
      <w:pPr>
        <w:snapToGrid w:val="0"/>
        <w:spacing w:line="600" w:lineRule="exact"/>
        <w:rPr>
          <w:rFonts w:ascii="仿宋" w:hAnsi="仿宋" w:eastAsia="仿宋" w:cs="仿宋"/>
          <w:color w:val="auto"/>
          <w:sz w:val="30"/>
          <w:szCs w:val="20"/>
          <w:highlight w:val="none"/>
        </w:rPr>
      </w:pPr>
      <w:r>
        <w:rPr>
          <w:rFonts w:hint="eastAsia" w:ascii="仿宋" w:hAnsi="仿宋" w:eastAsia="仿宋" w:cs="仿宋"/>
          <w:color w:val="auto"/>
          <w:sz w:val="24"/>
          <w:highlight w:val="none"/>
        </w:rPr>
        <w:t>授权代理人签字:              日期:年月日</w:t>
      </w:r>
    </w:p>
    <w:p>
      <w:pPr>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br w:type="page"/>
      </w:r>
    </w:p>
    <w:p>
      <w:pPr>
        <w:snapToGrid w:val="0"/>
        <w:spacing w:before="156" w:beforeLines="50" w:after="50"/>
        <w:jc w:val="center"/>
        <w:outlineLvl w:val="1"/>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t>磋商报价表（首次报价）</w:t>
      </w:r>
    </w:p>
    <w:p>
      <w:pPr>
        <w:autoSpaceDE w:val="0"/>
        <w:autoSpaceDN w:val="0"/>
        <w:adjustRightInd w:val="0"/>
        <w:spacing w:line="600" w:lineRule="exact"/>
        <w:ind w:firstLine="6720" w:firstLineChars="2800"/>
        <w:rPr>
          <w:rFonts w:ascii="仿宋" w:hAnsi="仿宋" w:eastAsia="仿宋" w:cs="仿宋"/>
          <w:color w:val="auto"/>
          <w:sz w:val="24"/>
          <w:highlight w:val="none"/>
        </w:rPr>
      </w:pPr>
      <w:r>
        <w:rPr>
          <w:rFonts w:hint="eastAsia" w:ascii="仿宋" w:hAnsi="仿宋" w:eastAsia="仿宋" w:cs="仿宋"/>
          <w:color w:val="auto"/>
          <w:sz w:val="24"/>
          <w:highlight w:val="none"/>
          <w:lang w:val="zh-CN"/>
        </w:rPr>
        <w:t>报价单位：</w:t>
      </w:r>
      <w:r>
        <w:rPr>
          <w:rFonts w:hint="eastAsia" w:ascii="仿宋" w:hAnsi="仿宋" w:eastAsia="仿宋" w:cs="仿宋"/>
          <w:color w:val="auto"/>
          <w:sz w:val="24"/>
          <w:highlight w:val="none"/>
        </w:rPr>
        <w:t>元</w:t>
      </w:r>
    </w:p>
    <w:tbl>
      <w:tblPr>
        <w:tblStyle w:val="26"/>
        <w:tblW w:w="957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8" w:type="dxa"/>
            <w:tcBorders>
              <w:top w:val="single" w:color="auto" w:sz="4" w:space="0"/>
            </w:tcBorders>
            <w:noWrap/>
            <w:vAlign w:val="center"/>
          </w:tcPr>
          <w:p>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8211" w:type="dxa"/>
            <w:tcBorders>
              <w:top w:val="single" w:color="auto" w:sz="4" w:space="0"/>
              <w:bottom w:val="single" w:color="auto" w:sz="4" w:space="0"/>
            </w:tcBorders>
            <w:noWrap/>
            <w:vAlign w:val="center"/>
          </w:tcPr>
          <w:p>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lang w:val="en-US" w:eastAsia="zh-CN"/>
              </w:rPr>
            </w:pPr>
            <w:r>
              <w:rPr>
                <w:rFonts w:hint="eastAsia" w:ascii="仿宋" w:hAnsi="仿宋" w:eastAsia="仿宋" w:cs="宋体"/>
                <w:bCs/>
                <w:color w:val="auto"/>
                <w:sz w:val="24"/>
                <w:highlight w:val="none"/>
                <w:lang w:eastAsia="zh-CN"/>
              </w:rPr>
              <w:t>2024年度湖州人社核心应用软件系统运维保障服务采购项目（</w:t>
            </w:r>
            <w:r>
              <w:rPr>
                <w:rFonts w:hint="eastAsia" w:ascii="仿宋" w:hAnsi="仿宋" w:eastAsia="仿宋" w:cs="宋体"/>
                <w:bCs/>
                <w:color w:val="auto"/>
                <w:sz w:val="24"/>
                <w:highlight w:val="none"/>
                <w:lang w:val="en-US" w:eastAsia="zh-CN"/>
              </w:rPr>
              <w:t>标项一</w:t>
            </w:r>
            <w:r>
              <w:rPr>
                <w:rFonts w:hint="eastAsia" w:ascii="仿宋" w:hAnsi="仿宋" w:eastAsia="仿宋"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pPr>
              <w:keepNext w:val="0"/>
              <w:keepLines w:val="0"/>
              <w:suppressLineNumbers w:val="0"/>
              <w:autoSpaceDE w:val="0"/>
              <w:autoSpaceDN w:val="0"/>
              <w:adjustRightInd w:val="0"/>
              <w:spacing w:before="0" w:beforeAutospacing="0" w:after="0" w:afterAutospacing="0" w:line="60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lang w:val="zh-CN"/>
              </w:rPr>
              <w:t>项目编号</w:t>
            </w:r>
          </w:p>
        </w:tc>
        <w:tc>
          <w:tcPr>
            <w:tcW w:w="8211" w:type="dxa"/>
            <w:tcBorders>
              <w:top w:val="single" w:color="auto" w:sz="4" w:space="0"/>
              <w:bottom w:val="single" w:color="auto" w:sz="4" w:space="0"/>
            </w:tcBorders>
            <w:noWrap/>
            <w:vAlign w:val="center"/>
          </w:tcPr>
          <w:p>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宋体"/>
                <w:bCs/>
                <w:color w:val="auto"/>
                <w:sz w:val="24"/>
                <w:highlight w:val="none"/>
              </w:rPr>
              <w:t>XCXHZ-2024-0</w:t>
            </w:r>
            <w:r>
              <w:rPr>
                <w:rFonts w:hint="eastAsia" w:ascii="仿宋" w:hAnsi="仿宋" w:eastAsia="仿宋" w:cs="宋体"/>
                <w:bCs/>
                <w:color w:val="auto"/>
                <w:sz w:val="24"/>
                <w:highlight w:val="none"/>
                <w:lang w:val="en-US" w:eastAsia="zh-CN"/>
              </w:rPr>
              <w:t>31-001</w:t>
            </w:r>
            <w:r>
              <w:rPr>
                <w:rFonts w:hint="eastAsia" w:ascii="仿宋" w:hAnsi="仿宋" w:eastAsia="仿宋" w:cs="宋体"/>
                <w:bCs/>
                <w:color w:val="auto"/>
                <w:sz w:val="24"/>
                <w:highlight w:val="none"/>
              </w:rPr>
              <w:t>（CG）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atLeast"/>
        </w:trPr>
        <w:tc>
          <w:tcPr>
            <w:tcW w:w="1368" w:type="dxa"/>
            <w:noWrap/>
            <w:vAlign w:val="center"/>
          </w:tcPr>
          <w:p>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磋商报价</w:t>
            </w:r>
          </w:p>
        </w:tc>
        <w:tc>
          <w:tcPr>
            <w:tcW w:w="8211" w:type="dxa"/>
            <w:tcBorders>
              <w:top w:val="single" w:color="auto" w:sz="4" w:space="0"/>
              <w:bottom w:val="single" w:color="auto" w:sz="4" w:space="0"/>
            </w:tcBorders>
            <w:noWrap/>
            <w:vAlign w:val="center"/>
          </w:tcPr>
          <w:p>
            <w:pPr>
              <w:keepNext w:val="0"/>
              <w:keepLines w:val="0"/>
              <w:suppressLineNumbers w:val="0"/>
              <w:spacing w:before="0" w:beforeAutospacing="0" w:after="0" w:afterAutospacing="0" w:line="540" w:lineRule="exact"/>
              <w:ind w:left="0" w:right="0"/>
              <w:jc w:val="left"/>
              <w:rPr>
                <w:rFonts w:hint="default" w:ascii="仿宋" w:hAnsi="仿宋" w:eastAsia="仿宋" w:cs="仿宋"/>
                <w:color w:val="auto"/>
                <w:sz w:val="24"/>
                <w:highlight w:val="none"/>
              </w:rPr>
            </w:pPr>
            <w:r>
              <w:rPr>
                <w:rFonts w:hint="eastAsia" w:ascii="仿宋" w:hAnsi="仿宋" w:eastAsia="仿宋" w:cs="仿宋"/>
                <w:color w:val="auto"/>
                <w:sz w:val="24"/>
                <w:highlight w:val="none"/>
              </w:rPr>
              <w:t>小写：</w:t>
            </w:r>
          </w:p>
          <w:p>
            <w:pPr>
              <w:keepNext w:val="0"/>
              <w:keepLines w:val="0"/>
              <w:suppressLineNumbers w:val="0"/>
              <w:spacing w:before="0" w:beforeAutospacing="0" w:after="0" w:afterAutospacing="0" w:line="540" w:lineRule="exact"/>
              <w:ind w:left="0" w:right="0"/>
              <w:jc w:val="left"/>
              <w:rPr>
                <w:rFonts w:hint="default" w:ascii="仿宋" w:hAnsi="仿宋" w:eastAsia="仿宋" w:cs="仿宋"/>
                <w:bCs/>
                <w:color w:val="auto"/>
                <w:kern w:val="0"/>
                <w:sz w:val="24"/>
                <w:highlight w:val="none"/>
              </w:rPr>
            </w:pPr>
            <w:r>
              <w:rPr>
                <w:rFonts w:hint="eastAsia" w:ascii="仿宋" w:hAnsi="仿宋" w:eastAsia="仿宋" w:cs="仿宋"/>
                <w:color w:val="auto"/>
                <w:sz w:val="24"/>
                <w:highlight w:val="none"/>
              </w:rPr>
              <w:t>大写：</w:t>
            </w:r>
          </w:p>
        </w:tc>
      </w:tr>
    </w:tbl>
    <w:p>
      <w:pPr>
        <w:pStyle w:val="14"/>
        <w:spacing w:before="156" w:after="156" w:line="480" w:lineRule="exact"/>
        <w:ind w:firstLine="480" w:firstLineChars="200"/>
        <w:rPr>
          <w:rFonts w:ascii="仿宋" w:hAnsi="仿宋" w:eastAsia="仿宋" w:cs="仿宋"/>
          <w:bCs/>
          <w:color w:val="auto"/>
          <w:highlight w:val="none"/>
          <w:u w:val="single"/>
        </w:rPr>
      </w:pPr>
      <w:r>
        <w:rPr>
          <w:rFonts w:hint="eastAsia" w:ascii="仿宋" w:hAnsi="仿宋" w:eastAsia="仿宋" w:cs="仿宋"/>
          <w:bCs/>
          <w:color w:val="auto"/>
          <w:highlight w:val="none"/>
        </w:rPr>
        <w:t xml:space="preserve">注：1、报价一经涂改，应在涂改处加盖单位公章或者由法定代表人或授权委托人签字或盖章，否则其磋商作无效标处理。 </w:t>
      </w:r>
    </w:p>
    <w:p>
      <w:pPr>
        <w:pStyle w:val="14"/>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2、应包含服务所发生的费用及供应商认为完成本磋商文件规定内容所需发生的其它费用，凡未列入的，将被视为均已包含在磋商总报价中。只允许有一个报价，任何有选择的或有条件的报价将不予接受。</w:t>
      </w:r>
    </w:p>
    <w:p>
      <w:pPr>
        <w:pStyle w:val="14"/>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3、不提供此表格的将视为没有实质性响应磋商文件。</w:t>
      </w:r>
    </w:p>
    <w:p>
      <w:pPr>
        <w:autoSpaceDE w:val="0"/>
        <w:autoSpaceDN w:val="0"/>
        <w:adjustRightInd w:val="0"/>
        <w:spacing w:line="600" w:lineRule="exact"/>
        <w:rPr>
          <w:color w:val="auto"/>
          <w:highlight w:val="none"/>
          <w:lang w:val="zh-CN"/>
        </w:rPr>
      </w:pPr>
      <w:r>
        <w:rPr>
          <w:rFonts w:hint="eastAsia" w:ascii="仿宋" w:hAnsi="仿宋" w:eastAsia="仿宋" w:cs="仿宋"/>
          <w:color w:val="auto"/>
          <w:sz w:val="24"/>
          <w:highlight w:val="none"/>
        </w:rPr>
        <w:t>供应商名称（公章）：</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pPr>
        <w:spacing w:line="360" w:lineRule="auto"/>
        <w:rPr>
          <w:rFonts w:ascii="仿宋" w:hAnsi="仿宋" w:eastAsia="仿宋" w:cs="仿宋"/>
          <w:b/>
          <w:color w:val="auto"/>
          <w:szCs w:val="28"/>
          <w:highlight w:val="none"/>
        </w:rPr>
      </w:pPr>
      <w:r>
        <w:rPr>
          <w:rFonts w:hint="eastAsia" w:ascii="仿宋" w:hAnsi="仿宋" w:eastAsia="仿宋" w:cs="仿宋"/>
          <w:color w:val="auto"/>
          <w:sz w:val="24"/>
          <w:highlight w:val="none"/>
        </w:rPr>
        <w:t>日期：  年   月  日</w:t>
      </w:r>
    </w:p>
    <w:p>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pStyle w:val="7"/>
        <w:spacing w:line="500" w:lineRule="exact"/>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磋商代理服务费承诺函</w:t>
      </w:r>
    </w:p>
    <w:p>
      <w:pPr>
        <w:pStyle w:val="7"/>
        <w:spacing w:line="500" w:lineRule="exact"/>
        <w:jc w:val="center"/>
        <w:rPr>
          <w:rFonts w:ascii="仿宋" w:hAnsi="仿宋" w:eastAsia="仿宋" w:cs="仿宋"/>
          <w:b/>
          <w:color w:val="auto"/>
          <w:sz w:val="28"/>
          <w:szCs w:val="28"/>
          <w:highlight w:val="none"/>
        </w:rPr>
      </w:pPr>
    </w:p>
    <w:p>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浙江新诚信工程咨询有限公司 ：</w:t>
      </w:r>
    </w:p>
    <w:p>
      <w:pPr>
        <w:pStyle w:val="7"/>
        <w:spacing w:line="72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根据磋商文件的规定，一旦我公司成交，我公司同意按磋商文件要求向贵公司交纳成交项目的磋商代理服务费，在收到成交通知书后的当天一次性结清。</w:t>
      </w:r>
    </w:p>
    <w:p>
      <w:pPr>
        <w:pStyle w:val="7"/>
        <w:spacing w:line="72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pPr>
        <w:pStyle w:val="7"/>
        <w:spacing w:line="720" w:lineRule="exact"/>
        <w:jc w:val="left"/>
        <w:rPr>
          <w:rFonts w:ascii="仿宋" w:hAnsi="仿宋" w:eastAsia="仿宋" w:cs="仿宋"/>
          <w:color w:val="auto"/>
          <w:sz w:val="24"/>
          <w:highlight w:val="none"/>
        </w:rPr>
      </w:pPr>
    </w:p>
    <w:p>
      <w:pPr>
        <w:pStyle w:val="7"/>
        <w:spacing w:line="720" w:lineRule="exact"/>
        <w:jc w:val="left"/>
        <w:rPr>
          <w:rFonts w:ascii="仿宋" w:hAnsi="仿宋" w:eastAsia="仿宋" w:cs="仿宋"/>
          <w:color w:val="auto"/>
          <w:sz w:val="24"/>
          <w:highlight w:val="none"/>
        </w:rPr>
      </w:pPr>
    </w:p>
    <w:p>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法定代表人或授权代理人签字：</w:t>
      </w:r>
    </w:p>
    <w:p>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日期：2024年  月  日</w:t>
      </w:r>
    </w:p>
    <w:p>
      <w:pPr>
        <w:pBdr>
          <w:bottom w:val="single" w:color="auto" w:sz="6" w:space="1"/>
        </w:pBdr>
        <w:spacing w:line="540" w:lineRule="exact"/>
        <w:rPr>
          <w:rFonts w:ascii="仿宋" w:hAnsi="仿宋" w:eastAsia="仿宋" w:cs="仿宋"/>
          <w:color w:val="auto"/>
          <w:sz w:val="24"/>
          <w:highlight w:val="none"/>
        </w:rPr>
      </w:pPr>
    </w:p>
    <w:p>
      <w:pPr>
        <w:spacing w:line="540" w:lineRule="exact"/>
        <w:rPr>
          <w:rFonts w:ascii="仿宋" w:hAnsi="仿宋" w:eastAsia="仿宋" w:cs="仿宋"/>
          <w:color w:val="auto"/>
          <w:sz w:val="24"/>
          <w:highlight w:val="none"/>
        </w:rPr>
      </w:pPr>
    </w:p>
    <w:p>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p>
    <w:p>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账户名称：浙江新诚信工程咨询有限公司湖州分公司</w:t>
      </w:r>
    </w:p>
    <w:p>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开户银行：湖州银行股份有限公司南园支行           </w:t>
      </w:r>
    </w:p>
    <w:p>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银行账号：800028090000155</w:t>
      </w:r>
    </w:p>
    <w:p>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“用途”一栏注明项目编号XCXHZ-2024-0</w:t>
      </w:r>
      <w:r>
        <w:rPr>
          <w:rFonts w:hint="eastAsia" w:ascii="仿宋" w:hAnsi="仿宋" w:eastAsia="仿宋" w:cs="仿宋"/>
          <w:color w:val="auto"/>
          <w:sz w:val="24"/>
          <w:highlight w:val="none"/>
          <w:lang w:val="en-US" w:eastAsia="zh-CN"/>
        </w:rPr>
        <w:t>31-001</w:t>
      </w:r>
      <w:r>
        <w:rPr>
          <w:rFonts w:hint="eastAsia" w:ascii="仿宋" w:hAnsi="仿宋" w:eastAsia="仿宋" w:cs="仿宋"/>
          <w:color w:val="auto"/>
          <w:sz w:val="24"/>
          <w:highlight w:val="none"/>
        </w:rPr>
        <w:t>(CG)</w:t>
      </w:r>
    </w:p>
    <w:p>
      <w:pPr>
        <w:snapToGrid w:val="0"/>
        <w:spacing w:before="156" w:beforeLines="50" w:after="50"/>
        <w:jc w:val="center"/>
        <w:rPr>
          <w:rFonts w:ascii="仿宋" w:hAnsi="仿宋" w:eastAsia="仿宋" w:cs="仿宋"/>
          <w:b/>
          <w:color w:val="auto"/>
          <w:sz w:val="28"/>
          <w:szCs w:val="28"/>
          <w:highlight w:val="none"/>
          <w:lang w:val="zh-CN"/>
        </w:rPr>
      </w:pPr>
    </w:p>
    <w:p>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pStyle w:val="2"/>
        <w:spacing w:line="460" w:lineRule="exact"/>
        <w:jc w:val="center"/>
        <w:rPr>
          <w:rFonts w:ascii="仿宋" w:hAnsi="仿宋" w:eastAsia="仿宋" w:cs="仿宋"/>
          <w:color w:val="auto"/>
          <w:sz w:val="36"/>
          <w:szCs w:val="36"/>
          <w:highlight w:val="none"/>
        </w:rPr>
      </w:pPr>
      <w:r>
        <w:rPr>
          <w:rFonts w:hint="eastAsia" w:ascii="仿宋" w:hAnsi="仿宋" w:eastAsia="仿宋" w:cs="仿宋"/>
          <w:color w:val="auto"/>
          <w:kern w:val="2"/>
          <w:sz w:val="36"/>
          <w:szCs w:val="36"/>
          <w:highlight w:val="none"/>
        </w:rPr>
        <w:t>第六章 磋商办法及评分标准</w:t>
      </w:r>
    </w:p>
    <w:p>
      <w:pPr>
        <w:spacing w:line="550" w:lineRule="exact"/>
        <w:ind w:firstLine="42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为公正、公平、科学地选择成交供应商，根据《中华人民共和国政府采购法》、《政府采购竞争性磋商采购方式管理暂行办法》等有关法律法规的规定，并结合本项目的实际，制定本办法。</w:t>
      </w:r>
    </w:p>
    <w:p>
      <w:pPr>
        <w:spacing w:line="550" w:lineRule="exact"/>
        <w:ind w:firstLine="472" w:firstLineChars="196"/>
        <w:outlineLvl w:val="1"/>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一、总则：</w:t>
      </w:r>
    </w:p>
    <w:p>
      <w:pPr>
        <w:spacing w:line="550" w:lineRule="exact"/>
        <w:ind w:left="472"/>
        <w:rPr>
          <w:rFonts w:hint="eastAsia" w:ascii="仿宋" w:hAnsi="仿宋" w:eastAsia="仿宋" w:cs="仿宋"/>
          <w:color w:val="auto"/>
          <w:sz w:val="24"/>
          <w:highlight w:val="none"/>
        </w:rPr>
      </w:pPr>
      <w:r>
        <w:rPr>
          <w:rFonts w:hint="eastAsia" w:ascii="仿宋" w:hAnsi="仿宋" w:eastAsia="仿宋" w:cs="仿宋"/>
          <w:color w:val="auto"/>
          <w:sz w:val="24"/>
          <w:highlight w:val="none"/>
        </w:rPr>
        <w:t>（一）磋商小组遵循公开、公平、公正、科学合理、竞争择优的原则；</w:t>
      </w:r>
    </w:p>
    <w:p>
      <w:pPr>
        <w:spacing w:line="55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（二）磋商由磋商小组负责，磋商小组由采购人以及相关专业的专家共</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人组成。磋商小组由磋商采购人依据有关规定组建，其中技术、经济专家于磋商前在监管人员的监督下从专家库中随机抽取。有关人员对磋商小组成员名单必须严格保密，与磋商有利害关系的人员不得参加磋商会；</w:t>
      </w:r>
    </w:p>
    <w:p>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（三）磋商小组成员及参加磋商的其他相关人员应严格遵守国家有关保密的法律、法规和规定，并接受有关部门的监督；</w:t>
      </w:r>
    </w:p>
    <w:p>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（四）磋商小组应按磋商文件规定的程序进行磋商；</w:t>
      </w:r>
    </w:p>
    <w:p>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（五）通讯工具管理：在磋商期间，磋商小组每个成员的手机都必须关机；</w:t>
      </w:r>
    </w:p>
    <w:p>
      <w:pPr>
        <w:spacing w:line="550" w:lineRule="exact"/>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（六）在磋商期间，磋商小组各成员不得随意离开规定的磋商地点，所有资料由采购代理机构工作人员专门保管和发放。磋商小组成员完成磋商时应如数、及时归还，任何与本项目有关的资料不得带离磋商现场；</w:t>
      </w:r>
    </w:p>
    <w:p>
      <w:pPr>
        <w:spacing w:line="550" w:lineRule="exact"/>
        <w:ind w:firstLine="360" w:firstLineChars="15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（七）本次磋商采用综合评分法，总分为100分，其中价格分</w:t>
      </w:r>
      <w:r>
        <w:rPr>
          <w:rFonts w:hint="eastAsia" w:ascii="仿宋" w:hAnsi="仿宋" w:eastAsia="仿宋" w:cs="仿宋"/>
          <w:bCs/>
          <w:color w:val="auto"/>
          <w:sz w:val="24"/>
          <w:highlight w:val="none"/>
          <w:lang w:val="en-US" w:eastAsia="zh-CN"/>
        </w:rPr>
        <w:t>10</w:t>
      </w:r>
      <w:r>
        <w:rPr>
          <w:rFonts w:hint="eastAsia" w:ascii="仿宋" w:hAnsi="仿宋" w:eastAsia="仿宋" w:cs="仿宋"/>
          <w:bCs/>
          <w:color w:val="auto"/>
          <w:sz w:val="24"/>
          <w:highlight w:val="none"/>
        </w:rPr>
        <w:t>分；技术、商务、资信及其他</w:t>
      </w:r>
      <w:r>
        <w:rPr>
          <w:rFonts w:hint="eastAsia" w:ascii="仿宋" w:hAnsi="仿宋" w:eastAsia="仿宋" w:cs="仿宋"/>
          <w:bCs/>
          <w:color w:val="auto"/>
          <w:sz w:val="24"/>
          <w:highlight w:val="none"/>
          <w:lang w:val="en-US" w:eastAsia="zh-CN"/>
        </w:rPr>
        <w:t>9</w:t>
      </w:r>
      <w:r>
        <w:rPr>
          <w:rFonts w:hint="eastAsia" w:ascii="仿宋" w:hAnsi="仿宋" w:eastAsia="仿宋" w:cs="仿宋"/>
          <w:bCs/>
          <w:color w:val="auto"/>
          <w:sz w:val="24"/>
          <w:highlight w:val="none"/>
        </w:rPr>
        <w:t>0分。合格供应商的评标得分为各项目汇总得分，成交候选资格按评标得分由高到低顺序排列，得分相同的，按磋商报价由低到高顺序排列；得分且磋商报价相同的，按技术得分由高到低顺序排列。技术部分得分仍相同的，由采购人采用随机抽取的方式决定。排名第一的供应商为第一成交候选人,其他供应商成交候选资格依此类推。第一成交候选人放弃成交或者因不可抗力提出不能履行合同，采购人可以确定第二成交候选人为成交人，排名第二的成交候选人因前款同样的原因不能签订合同，采购人可以确定排名第三的成交候选人为成交人，采购人也可选择重新采购。评分过程中采用四舍五入法，并保留小数2位。</w:t>
      </w:r>
    </w:p>
    <w:p>
      <w:pPr>
        <w:spacing w:line="550" w:lineRule="exact"/>
        <w:ind w:firstLine="361" w:firstLineChars="15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二、计算方法：（按评分标准）</w:t>
      </w:r>
    </w:p>
    <w:p>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价格分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10分</w:t>
      </w:r>
    </w:p>
    <w:p>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1、价格分采用低价优先法计算、即满足</w:t>
      </w:r>
      <w:r>
        <w:rPr>
          <w:rFonts w:hint="eastAsia" w:ascii="仿宋" w:hAnsi="仿宋" w:eastAsia="仿宋" w:cs="仿宋"/>
          <w:color w:val="auto"/>
          <w:sz w:val="24"/>
          <w:szCs w:val="24"/>
          <w:highlight w:val="none"/>
          <w:lang w:val="en-US" w:eastAsia="zh-CN"/>
        </w:rPr>
        <w:t>磋商文件</w:t>
      </w:r>
      <w:r>
        <w:rPr>
          <w:rFonts w:hint="eastAsia" w:ascii="仿宋" w:hAnsi="仿宋" w:eastAsia="仿宋" w:cs="仿宋"/>
          <w:color w:val="auto"/>
          <w:sz w:val="24"/>
          <w:szCs w:val="24"/>
          <w:highlight w:val="none"/>
        </w:rPr>
        <w:t>要求且最后报价最低的供应商的价格为磋商基准价，其价格分为满分、其他供后商的价格分统一按照下列公式计算</w:t>
      </w:r>
      <w:r>
        <w:rPr>
          <w:rFonts w:hint="eastAsia" w:ascii="仿宋" w:hAnsi="仿宋" w:eastAsia="仿宋" w:cs="仿宋"/>
          <w:color w:val="auto"/>
          <w:sz w:val="24"/>
          <w:szCs w:val="24"/>
          <w:highlight w:val="none"/>
          <w:lang w:eastAsia="zh-CN"/>
        </w:rPr>
        <w:t>：</w:t>
      </w:r>
    </w:p>
    <w:p>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磋商报价得分=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基准价/磋商报价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100</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0%</w:t>
      </w:r>
    </w:p>
    <w:p>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90</w:t>
      </w:r>
      <w:r>
        <w:rPr>
          <w:rFonts w:hint="eastAsia" w:ascii="仿宋" w:hAnsi="仿宋" w:eastAsia="仿宋" w:cs="仿宋"/>
          <w:color w:val="auto"/>
          <w:sz w:val="24"/>
          <w:szCs w:val="24"/>
          <w:highlight w:val="none"/>
        </w:rPr>
        <w:t>分</w:t>
      </w:r>
    </w:p>
    <w:p>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1、本项目设技术分</w:t>
      </w:r>
      <w:r>
        <w:rPr>
          <w:rFonts w:hint="eastAsia" w:ascii="仿宋" w:hAnsi="仿宋" w:eastAsia="仿宋" w:cs="仿宋"/>
          <w:color w:val="auto"/>
          <w:sz w:val="24"/>
          <w:szCs w:val="24"/>
          <w:highlight w:val="none"/>
          <w:lang w:val="en-US" w:eastAsia="zh-CN"/>
        </w:rPr>
        <w:t>66</w:t>
      </w:r>
      <w:r>
        <w:rPr>
          <w:rFonts w:hint="eastAsia" w:ascii="仿宋" w:hAnsi="仿宋" w:eastAsia="仿宋" w:cs="仿宋"/>
          <w:color w:val="auto"/>
          <w:sz w:val="24"/>
          <w:szCs w:val="24"/>
          <w:highlight w:val="none"/>
        </w:rPr>
        <w:t>分、商务资信及其他分</w:t>
      </w:r>
      <w:r>
        <w:rPr>
          <w:rFonts w:hint="eastAsia" w:ascii="仿宋" w:hAnsi="仿宋" w:eastAsia="仿宋" w:cs="仿宋"/>
          <w:color w:val="auto"/>
          <w:sz w:val="24"/>
          <w:szCs w:val="24"/>
          <w:highlight w:val="none"/>
          <w:lang w:val="en-US" w:eastAsia="zh-CN"/>
        </w:rPr>
        <w:t>24</w:t>
      </w:r>
      <w:r>
        <w:rPr>
          <w:rFonts w:hint="eastAsia" w:ascii="仿宋" w:hAnsi="仿宋" w:eastAsia="仿宋" w:cs="仿宋"/>
          <w:color w:val="auto"/>
          <w:sz w:val="24"/>
          <w:szCs w:val="24"/>
          <w:highlight w:val="none"/>
        </w:rPr>
        <w:t>分</w:t>
      </w:r>
    </w:p>
    <w:p>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2、技术分、商务资信及其他分的计算</w:t>
      </w:r>
      <w:r>
        <w:rPr>
          <w:rFonts w:hint="eastAsia" w:ascii="仿宋" w:hAnsi="仿宋" w:eastAsia="仿宋" w:cs="仿宋"/>
          <w:color w:val="auto"/>
          <w:sz w:val="24"/>
          <w:szCs w:val="24"/>
          <w:highlight w:val="none"/>
          <w:lang w:eastAsia="zh-CN"/>
        </w:rPr>
        <w:t>：</w:t>
      </w:r>
    </w:p>
    <w:p>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技术分、商务资信及其他分按照磋商小组成员的独立评分结果汇总数的算术平均分计算，计算公式为</w:t>
      </w:r>
      <w:r>
        <w:rPr>
          <w:rFonts w:hint="eastAsia" w:ascii="仿宋" w:hAnsi="仿宋" w:eastAsia="仿宋" w:cs="仿宋"/>
          <w:color w:val="auto"/>
          <w:sz w:val="24"/>
          <w:szCs w:val="24"/>
          <w:highlight w:val="none"/>
          <w:lang w:eastAsia="zh-CN"/>
        </w:rPr>
        <w:t>：</w:t>
      </w:r>
    </w:p>
    <w:p>
      <w:pPr>
        <w:spacing w:line="360" w:lineRule="auto"/>
        <w:ind w:firstLine="42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磋商小组所有成员评分合计数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磋商小组人员数</w:t>
      </w:r>
      <w:r>
        <w:rPr>
          <w:rFonts w:hint="eastAsia" w:ascii="仿宋" w:hAnsi="仿宋" w:eastAsia="仿宋" w:cs="仿宋"/>
          <w:color w:val="auto"/>
          <w:sz w:val="24"/>
          <w:szCs w:val="24"/>
          <w:highlight w:val="none"/>
          <w:lang w:val="en-US" w:eastAsia="zh-CN"/>
        </w:rPr>
        <w:t>）</w:t>
      </w:r>
    </w:p>
    <w:p>
      <w:pPr>
        <w:spacing w:line="550" w:lineRule="exact"/>
        <w:ind w:firstLine="480" w:firstLineChars="200"/>
        <w:jc w:val="left"/>
        <w:rPr>
          <w:rFonts w:hint="eastAsia" w:ascii="仿宋" w:hAnsi="仿宋" w:eastAsia="仿宋" w:cs="仿宋"/>
          <w:bCs/>
          <w:color w:val="auto"/>
          <w:sz w:val="24"/>
          <w:highlight w:val="none"/>
        </w:rPr>
      </w:pPr>
      <w:r>
        <w:rPr>
          <w:rFonts w:hint="eastAsia" w:ascii="仿宋" w:hAnsi="仿宋" w:eastAsia="仿宋" w:cs="仿宋"/>
          <w:color w:val="auto"/>
          <w:sz w:val="24"/>
          <w:szCs w:val="24"/>
          <w:highlight w:val="none"/>
        </w:rPr>
        <w:t>磋商小组在评审时发现供应商</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报价</w:t>
      </w:r>
      <w:r>
        <w:rPr>
          <w:rFonts w:hint="eastAsia" w:ascii="仿宋" w:hAnsi="仿宋" w:eastAsia="仿宋" w:cs="仿宋"/>
          <w:color w:val="auto"/>
          <w:sz w:val="24"/>
          <w:szCs w:val="24"/>
          <w:highlight w:val="none"/>
          <w:lang w:val="en-US" w:eastAsia="zh-CN"/>
        </w:rPr>
        <w:t>明显</w:t>
      </w:r>
      <w:r>
        <w:rPr>
          <w:rFonts w:hint="eastAsia" w:ascii="仿宋" w:hAnsi="仿宋" w:eastAsia="仿宋" w:cs="仿宋"/>
          <w:color w:val="auto"/>
          <w:sz w:val="24"/>
          <w:szCs w:val="24"/>
          <w:highlight w:val="none"/>
        </w:rPr>
        <w:t>低于成本价的，应当要求供应商书面说明并提供相关证明材料。供应商不能当场合理说明原因并提供证明材料的，磋商小组应将该供应商的磋商文件作无效处理，并在评审报告中说明</w:t>
      </w:r>
      <w:r>
        <w:rPr>
          <w:rFonts w:hint="eastAsia" w:ascii="仿宋" w:hAnsi="仿宋" w:eastAsia="仿宋" w:cs="仿宋"/>
          <w:color w:val="auto"/>
          <w:sz w:val="24"/>
          <w:szCs w:val="24"/>
          <w:highlight w:val="none"/>
          <w:lang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gridCol w:w="1515"/>
        <w:gridCol w:w="5359"/>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8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序号</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评审内容</w:t>
            </w:r>
          </w:p>
        </w:tc>
        <w:tc>
          <w:tcPr>
            <w:tcW w:w="535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评分标准</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分值（分）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一</w:t>
            </w:r>
          </w:p>
        </w:tc>
        <w:tc>
          <w:tcPr>
            <w:tcW w:w="687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技术分</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66分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trPr>
        <w:tc>
          <w:tcPr>
            <w:tcW w:w="8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sz w:val="24"/>
                <w:highlight w:val="none"/>
              </w:rPr>
              <w:t>运维方案</w:t>
            </w:r>
          </w:p>
        </w:tc>
        <w:tc>
          <w:tcPr>
            <w:tcW w:w="535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jc w:val="lef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运维方案：针对</w:t>
            </w: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提供的详细运维方案，体现运维服务内容，包括：周期性工作计划、运维管理制度、维修方案等。方案详细完整贴合本项目需求的得10分，方案不全面或缺少可行性的，每项扣1分，扣完为止。</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2</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sz w:val="24"/>
                <w:highlight w:val="none"/>
              </w:rPr>
              <w:t>重难点分析</w:t>
            </w:r>
          </w:p>
        </w:tc>
        <w:tc>
          <w:tcPr>
            <w:tcW w:w="535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jc w:val="left"/>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sz w:val="24"/>
                <w:highlight w:val="none"/>
              </w:rPr>
              <w:t>重难点分析：针对本项目建设过程中的的重难点，提出解决措施，根据</w:t>
            </w: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的解决措施的合理性、科学性、可操作性进行打分。解决措施合理、科学、可操作性强的，得5分；方案不全面或缺少可行性的，每项扣1分，扣完为止。</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kern w:val="2"/>
                <w:sz w:val="24"/>
                <w:szCs w:val="24"/>
                <w:highlight w:val="none"/>
                <w:vertAlign w:val="baseline"/>
                <w:lang w:val="en-US" w:eastAsia="zh-CN" w:bidi="ar-SA"/>
              </w:rPr>
            </w:pPr>
            <w:r>
              <w:rPr>
                <w:rFonts w:hint="eastAsia" w:ascii="仿宋" w:hAnsi="仿宋" w:eastAsia="仿宋" w:cs="仿宋"/>
                <w:color w:val="auto"/>
                <w:sz w:val="24"/>
                <w:szCs w:val="24"/>
                <w:highlight w:val="none"/>
                <w:vertAlign w:val="baseline"/>
                <w:lang w:val="en-US" w:eastAsia="zh-CN"/>
              </w:rPr>
              <w:t>3</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质</w:t>
            </w:r>
            <w:r>
              <w:rPr>
                <w:rFonts w:hint="eastAsia" w:ascii="仿宋" w:hAnsi="仿宋" w:eastAsia="仿宋" w:cs="仿宋"/>
                <w:sz w:val="24"/>
                <w:highlight w:val="none"/>
                <w:lang w:val="en-US" w:eastAsia="zh-CN"/>
              </w:rPr>
              <w:t>量控制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sz w:val="24"/>
                <w:highlight w:val="none"/>
              </w:rPr>
              <w:t>方案</w:t>
            </w:r>
          </w:p>
        </w:tc>
        <w:tc>
          <w:tcPr>
            <w:tcW w:w="535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jc w:val="left"/>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sz w:val="24"/>
                <w:highlight w:val="none"/>
              </w:rPr>
              <w:t>质控方案：针对本项目提供的确保运维保障有效的质控方案，方案制定详尽，可行性高的得10分；方案不全面或缺少可行性的，每项扣1分，扣完为止。</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kern w:val="2"/>
                <w:sz w:val="24"/>
                <w:szCs w:val="24"/>
                <w:highlight w:val="none"/>
                <w:vertAlign w:val="baseline"/>
                <w:lang w:val="en-US" w:eastAsia="zh-CN" w:bidi="ar-SA"/>
              </w:rPr>
            </w:pPr>
            <w:r>
              <w:rPr>
                <w:rFonts w:hint="eastAsia" w:ascii="仿宋" w:hAnsi="仿宋" w:eastAsia="仿宋" w:cs="仿宋"/>
                <w:color w:val="auto"/>
                <w:kern w:val="2"/>
                <w:sz w:val="24"/>
                <w:szCs w:val="24"/>
                <w:highlight w:val="none"/>
                <w:vertAlign w:val="baseline"/>
                <w:lang w:val="en-US" w:eastAsia="zh-CN" w:bidi="ar-SA"/>
              </w:rPr>
              <w:t>4</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应急解决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sz w:val="24"/>
                <w:highlight w:val="none"/>
              </w:rPr>
              <w:t>方案</w:t>
            </w:r>
          </w:p>
        </w:tc>
        <w:tc>
          <w:tcPr>
            <w:tcW w:w="535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jc w:val="left"/>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sz w:val="24"/>
                <w:highlight w:val="none"/>
              </w:rPr>
              <w:t>应急解决方案：针对本项目提供的应急方案及实施计划，满足项目需求、整体合理、可行性强的得10分；方案不全面或缺少可行性的，每项扣1分，扣完为止。</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5" w:hRule="atLeast"/>
        </w:trPr>
        <w:tc>
          <w:tcPr>
            <w:tcW w:w="8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5</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b/>
                <w:bCs/>
                <w:highlight w:val="none"/>
              </w:rPr>
            </w:pPr>
            <w:r>
              <w:rPr>
                <w:rFonts w:hint="eastAsia" w:ascii="仿宋" w:hAnsi="仿宋" w:eastAsia="仿宋" w:cs="仿宋"/>
                <w:sz w:val="24"/>
                <w:highlight w:val="none"/>
              </w:rPr>
              <w:t>系统性能调整及保障方案</w:t>
            </w:r>
          </w:p>
        </w:tc>
        <w:tc>
          <w:tcPr>
            <w:tcW w:w="535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jc w:val="left"/>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sz w:val="24"/>
                <w:highlight w:val="none"/>
              </w:rPr>
              <w:t>系统性能调整及保障方案：针对本项目提供的详细的系统性能调整、重大活动现场保障方案，协助用户进行系统性能调整及重大活动现场保障措施，方案和措施科学、合理、规范、可操作，得10分；方案不全面或缺少可行性的，每项扣1分，扣完为止。</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6</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b/>
                <w:bCs/>
                <w:highlight w:val="none"/>
              </w:rPr>
            </w:pPr>
            <w:r>
              <w:rPr>
                <w:rFonts w:hint="eastAsia" w:ascii="仿宋" w:hAnsi="仿宋" w:eastAsia="仿宋" w:cs="仿宋"/>
                <w:sz w:val="24"/>
                <w:highlight w:val="none"/>
              </w:rPr>
              <w:t>与</w:t>
            </w:r>
            <w:r>
              <w:rPr>
                <w:rFonts w:hint="eastAsia" w:ascii="仿宋" w:hAnsi="仿宋" w:eastAsia="仿宋" w:cs="仿宋"/>
                <w:sz w:val="24"/>
                <w:highlight w:val="none"/>
                <w:lang w:val="en-US" w:eastAsia="zh-CN"/>
              </w:rPr>
              <w:t>采购</w:t>
            </w:r>
            <w:r>
              <w:rPr>
                <w:rFonts w:hint="eastAsia" w:ascii="仿宋" w:hAnsi="仿宋" w:eastAsia="仿宋" w:cs="仿宋"/>
                <w:sz w:val="24"/>
                <w:highlight w:val="none"/>
              </w:rPr>
              <w:t>人的配合</w:t>
            </w:r>
          </w:p>
        </w:tc>
        <w:tc>
          <w:tcPr>
            <w:tcW w:w="535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sz w:val="24"/>
                <w:highlight w:val="none"/>
              </w:rPr>
              <w:t>针对本项目提供详尽的配合方案，</w:t>
            </w:r>
            <w:r>
              <w:rPr>
                <w:rFonts w:hint="eastAsia" w:ascii="仿宋" w:hAnsi="仿宋" w:eastAsia="仿宋" w:cs="仿宋"/>
                <w:sz w:val="24"/>
                <w:highlight w:val="none"/>
                <w:lang w:val="en-US" w:eastAsia="zh-CN"/>
              </w:rPr>
              <w:t>方案制定详尽，可行性高的得5分；方案不全面或缺少可行性的，每项扣1分，扣完为止。</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8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7</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建设性意见</w:t>
            </w:r>
          </w:p>
        </w:tc>
        <w:tc>
          <w:tcPr>
            <w:tcW w:w="535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针对本采购项目的建设性意见，每提供一条可行性的意见得2分，最高得4分。</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7" w:hRule="atLeast"/>
        </w:trPr>
        <w:tc>
          <w:tcPr>
            <w:tcW w:w="8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8</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sz w:val="24"/>
                <w:highlight w:val="none"/>
              </w:rPr>
              <w:t>人员配置</w:t>
            </w:r>
          </w:p>
        </w:tc>
        <w:tc>
          <w:tcPr>
            <w:tcW w:w="5359" w:type="dxa"/>
            <w:vAlign w:val="center"/>
          </w:tcPr>
          <w:p>
            <w:pPr>
              <w:keepNext w:val="0"/>
              <w:keepLines w:val="0"/>
              <w:suppressLineNumbers w:val="0"/>
              <w:spacing w:before="0" w:beforeAutospacing="0" w:after="0" w:afterAutospacing="0" w:line="420" w:lineRule="exact"/>
              <w:ind w:left="0" w:right="0"/>
              <w:rPr>
                <w:rFonts w:hint="default" w:ascii="仿宋" w:hAnsi="仿宋" w:eastAsia="仿宋" w:cs="仿宋"/>
                <w:sz w:val="24"/>
                <w:highlight w:val="none"/>
              </w:rPr>
            </w:pPr>
            <w:r>
              <w:rPr>
                <w:rFonts w:hint="eastAsia" w:ascii="仿宋" w:hAnsi="仿宋" w:eastAsia="仿宋" w:cs="仿宋"/>
                <w:sz w:val="24"/>
                <w:highlight w:val="none"/>
              </w:rPr>
              <w:t>1、拟投入本项目项目负责人具有信息系统项目管理师证书，得3分。</w:t>
            </w:r>
          </w:p>
          <w:p>
            <w:pPr>
              <w:keepNext w:val="0"/>
              <w:keepLines w:val="0"/>
              <w:suppressLineNumbers w:val="0"/>
              <w:spacing w:before="0" w:beforeAutospacing="0" w:after="0" w:afterAutospacing="0" w:line="420" w:lineRule="exact"/>
              <w:ind w:left="0" w:right="0"/>
              <w:rPr>
                <w:rFonts w:hint="default" w:ascii="仿宋" w:hAnsi="仿宋" w:eastAsia="仿宋" w:cs="仿宋"/>
                <w:sz w:val="24"/>
                <w:highlight w:val="none"/>
              </w:rPr>
            </w:pPr>
            <w:r>
              <w:rPr>
                <w:rFonts w:hint="eastAsia" w:ascii="仿宋" w:hAnsi="仿宋" w:eastAsia="仿宋" w:cs="仿宋"/>
                <w:sz w:val="24"/>
                <w:highlight w:val="none"/>
              </w:rPr>
              <w:t>2、拟投入本项目项目组成员（不含项目负责人）具有资质：</w:t>
            </w:r>
          </w:p>
          <w:p>
            <w:pPr>
              <w:keepNext w:val="0"/>
              <w:keepLines w:val="0"/>
              <w:suppressLineNumbers w:val="0"/>
              <w:spacing w:before="0" w:beforeAutospacing="0" w:after="0" w:afterAutospacing="0" w:line="420" w:lineRule="exact"/>
              <w:ind w:left="0" w:right="0"/>
              <w:rPr>
                <w:rFonts w:hint="default" w:ascii="仿宋" w:hAnsi="仿宋" w:eastAsia="仿宋" w:cs="仿宋"/>
                <w:sz w:val="24"/>
                <w:highlight w:val="none"/>
              </w:rPr>
            </w:pPr>
            <w:r>
              <w:rPr>
                <w:rFonts w:hint="eastAsia" w:ascii="仿宋" w:hAnsi="仿宋" w:eastAsia="仿宋" w:cs="仿宋"/>
                <w:sz w:val="24"/>
                <w:highlight w:val="none"/>
              </w:rPr>
              <w:t>（1）具有系统架构设计师证书得3分。</w:t>
            </w:r>
          </w:p>
          <w:p>
            <w:pPr>
              <w:keepNext w:val="0"/>
              <w:keepLines w:val="0"/>
              <w:suppressLineNumbers w:val="0"/>
              <w:spacing w:before="0" w:beforeAutospacing="0" w:after="0" w:afterAutospacing="0" w:line="420" w:lineRule="exact"/>
              <w:ind w:left="0" w:right="0"/>
              <w:rPr>
                <w:rFonts w:hint="default" w:ascii="仿宋" w:hAnsi="仿宋" w:eastAsia="仿宋" w:cs="仿宋"/>
                <w:sz w:val="24"/>
                <w:highlight w:val="none"/>
              </w:rPr>
            </w:pPr>
            <w:r>
              <w:rPr>
                <w:rFonts w:hint="eastAsia" w:ascii="仿宋" w:hAnsi="仿宋" w:eastAsia="仿宋" w:cs="仿宋"/>
                <w:sz w:val="24"/>
                <w:highlight w:val="none"/>
              </w:rPr>
              <w:t>（2）具有软件设计师证书得3分。</w:t>
            </w:r>
          </w:p>
          <w:p>
            <w:pPr>
              <w:keepNext w:val="0"/>
              <w:keepLines w:val="0"/>
              <w:suppressLineNumbers w:val="0"/>
              <w:spacing w:before="0" w:beforeAutospacing="0" w:after="0" w:afterAutospacing="0" w:line="420" w:lineRule="exact"/>
              <w:ind w:left="0" w:right="0"/>
              <w:rPr>
                <w:rFonts w:hint="default" w:ascii="仿宋" w:hAnsi="仿宋" w:eastAsia="仿宋" w:cs="仿宋"/>
                <w:sz w:val="24"/>
                <w:highlight w:val="none"/>
              </w:rPr>
            </w:pPr>
            <w:r>
              <w:rPr>
                <w:rFonts w:hint="eastAsia" w:ascii="仿宋" w:hAnsi="仿宋" w:eastAsia="仿宋" w:cs="仿宋"/>
                <w:sz w:val="24"/>
                <w:highlight w:val="none"/>
              </w:rPr>
              <w:t>（3）具有系统集成项目管理工程师证书得3分。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b/>
                <w:bCs/>
                <w:sz w:val="24"/>
                <w:highlight w:val="none"/>
                <w:u w:val="single"/>
              </w:rPr>
              <w:t>【注：1、须提供相关证书扫描件并加盖公章；2、须提供</w:t>
            </w:r>
            <w:r>
              <w:rPr>
                <w:rFonts w:hint="eastAsia" w:ascii="仿宋" w:hAnsi="仿宋" w:eastAsia="仿宋" w:cs="仿宋"/>
                <w:b/>
                <w:bCs/>
                <w:sz w:val="24"/>
                <w:highlight w:val="none"/>
                <w:u w:val="single"/>
                <w:lang w:val="en-US" w:eastAsia="zh-CN"/>
              </w:rPr>
              <w:t>供应商</w:t>
            </w:r>
            <w:r>
              <w:rPr>
                <w:rFonts w:hint="eastAsia" w:ascii="仿宋" w:hAnsi="仿宋" w:eastAsia="仿宋" w:cs="仿宋"/>
                <w:b/>
                <w:bCs/>
                <w:sz w:val="24"/>
                <w:highlight w:val="none"/>
                <w:u w:val="single"/>
              </w:rPr>
              <w:t>为其缴纳的最近三个月的社保缴纳证明。】</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二</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b/>
                <w:bCs/>
                <w:color w:val="auto"/>
                <w:sz w:val="24"/>
                <w:szCs w:val="24"/>
                <w:highlight w:val="none"/>
                <w:vertAlign w:val="baseline"/>
                <w:lang w:val="en-US" w:eastAsia="zh-CN"/>
              </w:rPr>
            </w:pPr>
          </w:p>
        </w:tc>
        <w:tc>
          <w:tcPr>
            <w:tcW w:w="535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商务、资信及其他分</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24分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8" w:hRule="atLeast"/>
        </w:trPr>
        <w:tc>
          <w:tcPr>
            <w:tcW w:w="8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9</w:t>
            </w:r>
          </w:p>
        </w:tc>
        <w:tc>
          <w:tcPr>
            <w:tcW w:w="1515" w:type="dxa"/>
            <w:vAlign w:val="center"/>
          </w:tcPr>
          <w:p>
            <w:pPr>
              <w:pStyle w:val="12"/>
              <w:keepNext w:val="0"/>
              <w:keepLines w:val="0"/>
              <w:suppressLineNumbers w:val="0"/>
              <w:spacing w:before="0" w:beforeAutospacing="0" w:after="0" w:afterAutospacing="0" w:line="420" w:lineRule="exact"/>
              <w:ind w:left="0" w:right="0"/>
              <w:jc w:val="center"/>
              <w:rPr>
                <w:rFonts w:hint="default" w:ascii="仿宋" w:hAnsi="仿宋" w:eastAsia="仿宋" w:cs="仿宋"/>
                <w:b w:val="0"/>
                <w:bCs/>
                <w:sz w:val="24"/>
                <w:highlight w:val="none"/>
              </w:rPr>
            </w:pPr>
            <w:r>
              <w:rPr>
                <w:rFonts w:hint="eastAsia" w:ascii="仿宋" w:hAnsi="仿宋" w:eastAsia="仿宋" w:cs="仿宋"/>
                <w:b w:val="0"/>
                <w:bCs/>
                <w:sz w:val="24"/>
                <w:highlight w:val="none"/>
              </w:rPr>
              <w:t>企业</w:t>
            </w:r>
          </w:p>
          <w:p>
            <w:pPr>
              <w:pStyle w:val="12"/>
              <w:keepNext w:val="0"/>
              <w:keepLines w:val="0"/>
              <w:suppressLineNumbers w:val="0"/>
              <w:spacing w:before="0" w:beforeAutospacing="0" w:after="0" w:afterAutospacing="0" w:line="420" w:lineRule="exact"/>
              <w:ind w:left="0" w:right="0"/>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sz w:val="24"/>
                <w:highlight w:val="none"/>
              </w:rPr>
              <w:t>业绩</w:t>
            </w:r>
          </w:p>
        </w:tc>
        <w:tc>
          <w:tcPr>
            <w:tcW w:w="5359" w:type="dxa"/>
            <w:vAlign w:val="center"/>
          </w:tcPr>
          <w:p>
            <w:pPr>
              <w:pStyle w:val="12"/>
              <w:keepNext w:val="0"/>
              <w:keepLines w:val="0"/>
              <w:suppressLineNumbers w:val="0"/>
              <w:spacing w:before="0" w:beforeAutospacing="0" w:after="0" w:afterAutospacing="0" w:line="440" w:lineRule="exact"/>
              <w:ind w:left="0" w:right="0"/>
              <w:rPr>
                <w:rFonts w:hint="default" w:ascii="仿宋" w:hAnsi="仿宋" w:eastAsia="仿宋" w:cs="仿宋"/>
                <w:bCs/>
                <w:sz w:val="24"/>
                <w:highlight w:val="none"/>
              </w:rPr>
            </w:pPr>
            <w:r>
              <w:rPr>
                <w:rFonts w:hint="eastAsia" w:ascii="仿宋" w:hAnsi="仿宋" w:eastAsia="仿宋" w:cs="仿宋"/>
                <w:bCs/>
                <w:sz w:val="24"/>
                <w:highlight w:val="none"/>
              </w:rPr>
              <w:t>根据</w:t>
            </w:r>
            <w:r>
              <w:rPr>
                <w:rFonts w:hint="eastAsia" w:ascii="仿宋" w:hAnsi="仿宋" w:eastAsia="仿宋" w:cs="仿宋"/>
                <w:bCs/>
                <w:sz w:val="24"/>
                <w:highlight w:val="none"/>
                <w:lang w:val="en-US" w:eastAsia="zh-CN"/>
              </w:rPr>
              <w:t>供应商2021</w:t>
            </w:r>
            <w:r>
              <w:rPr>
                <w:rFonts w:hint="eastAsia" w:ascii="仿宋" w:hAnsi="仿宋" w:eastAsia="仿宋" w:cs="仿宋"/>
                <w:bCs/>
                <w:sz w:val="24"/>
                <w:highlight w:val="none"/>
              </w:rPr>
              <w:t>年1月1日至今的同类项目业绩进行评定，每提供一个业绩得</w:t>
            </w:r>
            <w:r>
              <w:rPr>
                <w:rFonts w:hint="eastAsia" w:ascii="仿宋" w:hAnsi="仿宋" w:eastAsia="仿宋" w:cs="仿宋"/>
                <w:bCs/>
                <w:sz w:val="24"/>
                <w:highlight w:val="none"/>
                <w:lang w:val="en-US" w:eastAsia="zh-CN"/>
              </w:rPr>
              <w:t>0.5</w:t>
            </w:r>
            <w:r>
              <w:rPr>
                <w:rFonts w:hint="eastAsia" w:ascii="仿宋" w:hAnsi="仿宋" w:eastAsia="仿宋" w:cs="仿宋"/>
                <w:bCs/>
                <w:sz w:val="24"/>
                <w:highlight w:val="none"/>
              </w:rPr>
              <w:t>分，最高得1分。</w:t>
            </w:r>
          </w:p>
          <w:p>
            <w:pPr>
              <w:keepNext w:val="0"/>
              <w:keepLines w:val="0"/>
              <w:suppressLineNumbers w:val="0"/>
              <w:tabs>
                <w:tab w:val="left" w:pos="1080"/>
              </w:tabs>
              <w:spacing w:before="0" w:beforeAutospacing="0" w:after="0" w:afterAutospacing="0" w:line="440" w:lineRule="exact"/>
              <w:ind w:left="0" w:right="0"/>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bCs/>
                <w:sz w:val="24"/>
                <w:highlight w:val="none"/>
                <w:u w:val="single"/>
              </w:rPr>
              <w:t>【注：提供中标（成交）通知书</w:t>
            </w:r>
            <w:r>
              <w:rPr>
                <w:rFonts w:hint="eastAsia" w:ascii="仿宋" w:hAnsi="仿宋" w:eastAsia="仿宋" w:cs="仿宋"/>
                <w:b/>
                <w:bCs/>
                <w:sz w:val="24"/>
                <w:highlight w:val="none"/>
                <w:u w:val="single"/>
                <w:lang w:val="en-US" w:eastAsia="zh-CN"/>
              </w:rPr>
              <w:t>或</w:t>
            </w:r>
            <w:r>
              <w:rPr>
                <w:rFonts w:hint="eastAsia" w:ascii="仿宋" w:hAnsi="仿宋" w:eastAsia="仿宋" w:cs="仿宋"/>
                <w:b/>
                <w:bCs/>
                <w:sz w:val="24"/>
                <w:highlight w:val="none"/>
                <w:u w:val="single"/>
              </w:rPr>
              <w:t>合同扫描件加盖</w:t>
            </w:r>
            <w:r>
              <w:rPr>
                <w:rFonts w:hint="eastAsia" w:ascii="仿宋" w:hAnsi="仿宋" w:eastAsia="仿宋" w:cs="仿宋"/>
                <w:b/>
                <w:bCs/>
                <w:sz w:val="24"/>
                <w:highlight w:val="none"/>
                <w:u w:val="single"/>
                <w:lang w:val="en-US" w:eastAsia="zh-CN"/>
              </w:rPr>
              <w:t>供应商</w:t>
            </w:r>
            <w:r>
              <w:rPr>
                <w:rFonts w:hint="eastAsia" w:ascii="仿宋" w:hAnsi="仿宋" w:eastAsia="仿宋" w:cs="仿宋"/>
                <w:b/>
                <w:bCs/>
                <w:sz w:val="24"/>
                <w:highlight w:val="none"/>
                <w:u w:val="single"/>
              </w:rPr>
              <w:t>公章。】</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888"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10</w:t>
            </w:r>
          </w:p>
        </w:tc>
        <w:tc>
          <w:tcPr>
            <w:tcW w:w="1515"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b w:val="0"/>
                <w:bCs/>
                <w:kern w:val="2"/>
                <w:sz w:val="24"/>
                <w:szCs w:val="24"/>
                <w:highlight w:val="none"/>
                <w:lang w:val="en-US" w:eastAsia="zh-CN" w:bidi="ar-SA"/>
              </w:rPr>
            </w:pPr>
            <w:r>
              <w:rPr>
                <w:rFonts w:hint="eastAsia" w:ascii="仿宋" w:hAnsi="仿宋" w:eastAsia="仿宋" w:cs="仿宋"/>
                <w:b w:val="0"/>
                <w:bCs/>
                <w:kern w:val="2"/>
                <w:sz w:val="24"/>
                <w:szCs w:val="24"/>
                <w:highlight w:val="none"/>
                <w:lang w:val="en-US" w:eastAsia="zh-CN" w:bidi="ar-SA"/>
              </w:rPr>
              <w:t>售后服务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b w:val="0"/>
                <w:bCs/>
                <w:color w:val="auto"/>
                <w:kern w:val="2"/>
                <w:sz w:val="24"/>
                <w:szCs w:val="24"/>
                <w:highlight w:val="none"/>
                <w:vertAlign w:val="baseline"/>
                <w:lang w:val="en-US" w:eastAsia="zh-CN" w:bidi="ar-SA"/>
              </w:rPr>
            </w:pPr>
            <w:r>
              <w:rPr>
                <w:rFonts w:hint="eastAsia" w:ascii="仿宋" w:hAnsi="仿宋" w:eastAsia="仿宋" w:cs="仿宋"/>
                <w:b w:val="0"/>
                <w:bCs/>
                <w:kern w:val="2"/>
                <w:sz w:val="24"/>
                <w:szCs w:val="24"/>
                <w:highlight w:val="none"/>
                <w:lang w:val="en-US" w:eastAsia="zh-CN" w:bidi="ar-SA"/>
              </w:rPr>
              <w:t>方案</w:t>
            </w:r>
          </w:p>
        </w:tc>
        <w:tc>
          <w:tcPr>
            <w:tcW w:w="535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 w:hAnsi="仿宋" w:eastAsia="仿宋" w:cs="仿宋"/>
                <w:b w:val="0"/>
                <w:bCs w:val="0"/>
                <w:color w:val="auto"/>
                <w:kern w:val="2"/>
                <w:sz w:val="24"/>
                <w:szCs w:val="24"/>
                <w:highlight w:val="none"/>
                <w:vertAlign w:val="baseline"/>
                <w:lang w:val="en-US" w:eastAsia="zh-CN" w:bidi="ar-SA"/>
              </w:rPr>
            </w:pPr>
            <w:r>
              <w:rPr>
                <w:rFonts w:hint="eastAsia" w:ascii="仿宋" w:hAnsi="仿宋" w:eastAsia="仿宋" w:cs="仿宋"/>
                <w:sz w:val="24"/>
                <w:highlight w:val="none"/>
              </w:rPr>
              <w:t>1、供应商具备快速、即时的服务响应机制，根据供应商承诺提供的售后服务方案（包括本地化服务能力、服务措施、服务承诺、即时响应能力等方面）和后续技术服务支持情况以及后续的技术实施保障措施等进行评分:服务保障方案全面与合理的得</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分；存在欠缺的，每项扣1分，扣完为止。</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kern w:val="2"/>
                <w:sz w:val="24"/>
                <w:szCs w:val="24"/>
                <w:highlight w:val="none"/>
                <w:vertAlign w:val="baseline"/>
                <w:lang w:val="en-US" w:eastAsia="zh-CN" w:bidi="ar-SA"/>
              </w:rPr>
            </w:pPr>
            <w:r>
              <w:rPr>
                <w:rFonts w:hint="eastAsia" w:ascii="仿宋" w:hAnsi="仿宋" w:eastAsia="仿宋" w:cs="仿宋"/>
                <w:color w:val="auto"/>
                <w:kern w:val="2"/>
                <w:sz w:val="24"/>
                <w:szCs w:val="24"/>
                <w:highlight w:val="none"/>
                <w:vertAlign w:val="baseline"/>
                <w:lang w:val="en-US" w:eastAsia="zh-CN" w:bidi="ar-SA"/>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888"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p>
        </w:tc>
        <w:tc>
          <w:tcPr>
            <w:tcW w:w="151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p>
        </w:tc>
        <w:tc>
          <w:tcPr>
            <w:tcW w:w="535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eastAsia" w:ascii="仿宋" w:hAnsi="仿宋" w:eastAsia="仿宋" w:cs="仿宋"/>
                <w:b w:val="0"/>
                <w:bCs w:val="0"/>
                <w:color w:val="auto"/>
                <w:kern w:val="2"/>
                <w:sz w:val="24"/>
                <w:szCs w:val="24"/>
                <w:highlight w:val="none"/>
                <w:vertAlign w:val="baseline"/>
                <w:lang w:val="en-US" w:eastAsia="zh-CN" w:bidi="ar-SA"/>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响应时间：接到</w:t>
            </w:r>
            <w:r>
              <w:rPr>
                <w:rFonts w:hint="eastAsia" w:ascii="仿宋" w:hAnsi="仿宋" w:eastAsia="仿宋" w:cs="仿宋"/>
                <w:sz w:val="24"/>
                <w:highlight w:val="none"/>
                <w:lang w:val="en-US" w:eastAsia="zh-CN"/>
              </w:rPr>
              <w:t>采购</w:t>
            </w:r>
            <w:r>
              <w:rPr>
                <w:rFonts w:hint="eastAsia" w:ascii="仿宋" w:hAnsi="仿宋" w:eastAsia="仿宋" w:cs="仿宋"/>
                <w:sz w:val="24"/>
                <w:highlight w:val="none"/>
              </w:rPr>
              <w:t>人通知（电话、电传等）后1小时予以现场响应得2分，0.5小时予以现场响应得4分。</w:t>
            </w:r>
            <w:r>
              <w:rPr>
                <w:rFonts w:hint="eastAsia" w:ascii="仿宋" w:hAnsi="仿宋" w:eastAsia="仿宋" w:cs="仿宋"/>
                <w:sz w:val="24"/>
                <w:highlight w:val="none"/>
                <w:lang w:val="en-US" w:eastAsia="zh-CN"/>
              </w:rPr>
              <w:t>提供承诺函（格式自拟），</w:t>
            </w:r>
            <w:r>
              <w:rPr>
                <w:rFonts w:hint="eastAsia" w:ascii="仿宋" w:hAnsi="仿宋" w:eastAsia="仿宋" w:cs="仿宋"/>
                <w:sz w:val="24"/>
                <w:highlight w:val="none"/>
              </w:rPr>
              <w:t>无承诺不得分。最高得4分。</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kern w:val="2"/>
                <w:sz w:val="24"/>
                <w:szCs w:val="24"/>
                <w:highlight w:val="none"/>
                <w:vertAlign w:val="baseline"/>
                <w:lang w:val="en-US" w:eastAsia="zh-CN" w:bidi="ar-SA"/>
              </w:rPr>
            </w:pPr>
            <w:r>
              <w:rPr>
                <w:rFonts w:hint="eastAsia" w:ascii="仿宋" w:hAnsi="仿宋" w:eastAsia="仿宋" w:cs="仿宋"/>
                <w:color w:val="auto"/>
                <w:kern w:val="2"/>
                <w:sz w:val="24"/>
                <w:szCs w:val="24"/>
                <w:highlight w:val="none"/>
                <w:vertAlign w:val="baseline"/>
                <w:lang w:val="en-US" w:eastAsia="zh-CN" w:bidi="ar-SA"/>
              </w:rPr>
              <w:t>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p>
        </w:tc>
        <w:tc>
          <w:tcPr>
            <w:tcW w:w="151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cs="仿宋"/>
                <w:color w:val="auto"/>
                <w:sz w:val="24"/>
                <w:szCs w:val="24"/>
                <w:highlight w:val="none"/>
                <w:vertAlign w:val="baseline"/>
                <w:lang w:val="en-US" w:eastAsia="zh-CN"/>
              </w:rPr>
            </w:pPr>
          </w:p>
        </w:tc>
        <w:tc>
          <w:tcPr>
            <w:tcW w:w="535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培训服务：根据</w:t>
            </w:r>
            <w:r>
              <w:rPr>
                <w:rFonts w:hint="eastAsia" w:ascii="仿宋" w:hAnsi="仿宋" w:eastAsia="仿宋" w:cs="仿宋"/>
                <w:sz w:val="24"/>
                <w:highlight w:val="none"/>
                <w:lang w:val="en-US" w:eastAsia="zh-CN"/>
              </w:rPr>
              <w:t>供应商提供的培训服务方案</w:t>
            </w:r>
            <w:r>
              <w:rPr>
                <w:rFonts w:hint="eastAsia" w:ascii="仿宋" w:hAnsi="仿宋" w:eastAsia="仿宋" w:cs="仿宋"/>
                <w:sz w:val="24"/>
                <w:highlight w:val="none"/>
              </w:rPr>
              <w:t>，包含培训时间、培训课程内容、培训后续技术支持等方面，方案制定详尽，可行性高的得</w:t>
            </w:r>
            <w:r>
              <w:rPr>
                <w:rFonts w:hint="eastAsia" w:ascii="仿宋" w:hAnsi="仿宋" w:eastAsia="仿宋" w:cs="仿宋"/>
                <w:sz w:val="24"/>
                <w:highlight w:val="none"/>
                <w:lang w:val="en-US" w:eastAsia="zh-CN"/>
              </w:rPr>
              <w:t>4</w:t>
            </w:r>
            <w:r>
              <w:rPr>
                <w:rFonts w:hint="eastAsia" w:ascii="仿宋" w:hAnsi="仿宋" w:eastAsia="仿宋" w:cs="仿宋"/>
                <w:sz w:val="24"/>
                <w:highlight w:val="none"/>
              </w:rPr>
              <w:t>分；方案不全面或缺少可行性的，每项扣1分，扣完为止。</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kern w:val="2"/>
                <w:sz w:val="24"/>
                <w:szCs w:val="24"/>
                <w:highlight w:val="none"/>
                <w:vertAlign w:val="baseline"/>
                <w:lang w:val="en-US" w:eastAsia="zh-CN" w:bidi="ar-SA"/>
              </w:rPr>
            </w:pPr>
            <w:r>
              <w:rPr>
                <w:rFonts w:hint="eastAsia" w:ascii="仿宋" w:hAnsi="仿宋" w:eastAsia="仿宋" w:cs="仿宋"/>
                <w:color w:val="auto"/>
                <w:kern w:val="2"/>
                <w:sz w:val="24"/>
                <w:szCs w:val="24"/>
                <w:highlight w:val="none"/>
                <w:vertAlign w:val="baseline"/>
                <w:lang w:val="en-US" w:eastAsia="zh-CN" w:bidi="ar-SA"/>
              </w:rPr>
              <w:t>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11</w:t>
            </w:r>
          </w:p>
        </w:tc>
        <w:tc>
          <w:tcPr>
            <w:tcW w:w="1515" w:type="dxa"/>
            <w:vAlign w:val="center"/>
          </w:tcPr>
          <w:p>
            <w:pPr>
              <w:pStyle w:val="12"/>
              <w:keepNext w:val="0"/>
              <w:keepLines w:val="0"/>
              <w:suppressLineNumbers w:val="0"/>
              <w:spacing w:before="0" w:beforeAutospacing="0" w:after="0" w:afterAutospacing="0" w:line="420" w:lineRule="exact"/>
              <w:ind w:left="0" w:right="0"/>
              <w:jc w:val="center"/>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b w:val="0"/>
                <w:bCs/>
                <w:sz w:val="24"/>
                <w:highlight w:val="none"/>
              </w:rPr>
              <w:t>企业实力</w:t>
            </w:r>
          </w:p>
        </w:tc>
        <w:tc>
          <w:tcPr>
            <w:tcW w:w="5359" w:type="dxa"/>
            <w:vAlign w:val="center"/>
          </w:tcPr>
          <w:p>
            <w:pPr>
              <w:pStyle w:val="12"/>
              <w:keepNext w:val="0"/>
              <w:keepLines w:val="0"/>
              <w:suppressLineNumbers w:val="0"/>
              <w:spacing w:before="0" w:beforeAutospacing="0" w:after="0" w:afterAutospacing="0" w:line="440" w:lineRule="exact"/>
              <w:ind w:left="0" w:right="0"/>
              <w:rPr>
                <w:rFonts w:hint="default"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具有有效质量管理体系认证证书得</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分；</w:t>
            </w:r>
          </w:p>
          <w:p>
            <w:pPr>
              <w:pStyle w:val="12"/>
              <w:keepNext w:val="0"/>
              <w:keepLines w:val="0"/>
              <w:suppressLineNumbers w:val="0"/>
              <w:spacing w:before="0" w:beforeAutospacing="0" w:after="0" w:afterAutospacing="0" w:line="440" w:lineRule="exact"/>
              <w:ind w:left="0" w:right="0"/>
              <w:rPr>
                <w:rFonts w:hint="default"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具有有效信息安全管理体系认证证书得</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分；</w:t>
            </w:r>
          </w:p>
          <w:p>
            <w:pPr>
              <w:pStyle w:val="12"/>
              <w:keepNext w:val="0"/>
              <w:keepLines w:val="0"/>
              <w:suppressLineNumbers w:val="0"/>
              <w:spacing w:before="0" w:beforeAutospacing="0" w:after="0" w:afterAutospacing="0" w:line="440" w:lineRule="exact"/>
              <w:ind w:left="0" w:right="0"/>
              <w:rPr>
                <w:rFonts w:hint="default" w:ascii="仿宋" w:hAnsi="仿宋" w:eastAsia="仿宋" w:cs="仿宋"/>
                <w:sz w:val="24"/>
                <w:highlight w:val="none"/>
              </w:rPr>
            </w:pPr>
            <w:r>
              <w:rPr>
                <w:rFonts w:hint="eastAsia" w:ascii="仿宋" w:hAnsi="仿宋" w:eastAsia="仿宋" w:cs="仿宋"/>
                <w:sz w:val="24"/>
                <w:highlight w:val="none"/>
              </w:rPr>
              <w:t>3、</w:t>
            </w: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具有有效信息技术服务管理体系认证证书的得</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分；</w:t>
            </w:r>
          </w:p>
          <w:p>
            <w:pPr>
              <w:pStyle w:val="12"/>
              <w:keepNext w:val="0"/>
              <w:keepLines w:val="0"/>
              <w:suppressLineNumbers w:val="0"/>
              <w:spacing w:before="0" w:beforeAutospacing="0" w:after="0" w:afterAutospacing="0" w:line="440" w:lineRule="exact"/>
              <w:ind w:left="0" w:right="0"/>
              <w:rPr>
                <w:rFonts w:hint="default"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具有涉密信息系统软件开发资质证书的得2分；</w:t>
            </w:r>
          </w:p>
          <w:p>
            <w:pPr>
              <w:pStyle w:val="12"/>
              <w:keepNext w:val="0"/>
              <w:keepLines w:val="0"/>
              <w:suppressLineNumbers w:val="0"/>
              <w:spacing w:before="0" w:beforeAutospacing="0" w:after="0" w:afterAutospacing="0" w:line="440" w:lineRule="exact"/>
              <w:ind w:left="0" w:right="0"/>
              <w:rPr>
                <w:rFonts w:hint="default"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具有应用系统集成技术相关产品发明或实用新型专利证书的得2分。</w:t>
            </w:r>
          </w:p>
          <w:p>
            <w:pPr>
              <w:keepNext w:val="0"/>
              <w:keepLines w:val="0"/>
              <w:suppressLineNumbers w:val="0"/>
              <w:spacing w:before="0" w:beforeAutospacing="0" w:after="0" w:afterAutospacing="0" w:line="420" w:lineRule="exact"/>
              <w:ind w:left="0" w:right="0"/>
              <w:rPr>
                <w:rFonts w:hint="eastAsia" w:ascii="仿宋" w:hAnsi="仿宋" w:eastAsia="仿宋" w:cs="仿宋"/>
                <w:sz w:val="24"/>
                <w:highlight w:val="none"/>
              </w:rPr>
            </w:pPr>
            <w:r>
              <w:rPr>
                <w:rFonts w:hint="eastAsia" w:ascii="仿宋" w:hAnsi="仿宋" w:eastAsia="仿宋" w:cs="仿宋"/>
                <w:b/>
                <w:bCs/>
                <w:sz w:val="24"/>
                <w:highlight w:val="none"/>
                <w:u w:val="single"/>
              </w:rPr>
              <w:t>【注：1-3项</w:t>
            </w:r>
            <w:r>
              <w:rPr>
                <w:rFonts w:hint="eastAsia" w:ascii="仿宋" w:hAnsi="仿宋" w:eastAsia="仿宋" w:cs="仿宋"/>
                <w:b/>
                <w:bCs/>
                <w:sz w:val="24"/>
                <w:highlight w:val="none"/>
                <w:u w:val="single"/>
                <w:lang w:val="en-US" w:eastAsia="zh-CN"/>
              </w:rPr>
              <w:t>供应商</w:t>
            </w:r>
            <w:r>
              <w:rPr>
                <w:rFonts w:hint="eastAsia" w:ascii="仿宋" w:hAnsi="仿宋" w:eastAsia="仿宋" w:cs="仿宋"/>
                <w:b/>
                <w:bCs/>
                <w:sz w:val="24"/>
                <w:highlight w:val="none"/>
                <w:u w:val="single"/>
              </w:rPr>
              <w:t>须提供有效期内认证证书扫描件及全国认证认可信息公共服务平台网站截图加盖公章，不提供不得分，第4-5项</w:t>
            </w:r>
            <w:r>
              <w:rPr>
                <w:rFonts w:hint="eastAsia" w:ascii="仿宋" w:hAnsi="仿宋" w:eastAsia="仿宋" w:cs="仿宋"/>
                <w:b/>
                <w:bCs/>
                <w:sz w:val="24"/>
                <w:highlight w:val="none"/>
                <w:u w:val="single"/>
                <w:lang w:val="en-US" w:eastAsia="zh-CN"/>
              </w:rPr>
              <w:t>供应商</w:t>
            </w:r>
            <w:r>
              <w:rPr>
                <w:rFonts w:hint="eastAsia" w:ascii="仿宋" w:hAnsi="仿宋" w:eastAsia="仿宋" w:cs="仿宋"/>
                <w:b/>
                <w:bCs/>
                <w:sz w:val="24"/>
                <w:highlight w:val="none"/>
                <w:u w:val="single"/>
              </w:rPr>
              <w:t>须提供上述证书扫描件并加盖公章。】</w:t>
            </w:r>
          </w:p>
        </w:tc>
        <w:tc>
          <w:tcPr>
            <w:tcW w:w="16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 w:hAnsi="仿宋" w:eastAsia="仿宋" w:cs="仿宋"/>
                <w:color w:val="auto"/>
                <w:kern w:val="2"/>
                <w:sz w:val="24"/>
                <w:szCs w:val="24"/>
                <w:highlight w:val="none"/>
                <w:vertAlign w:val="baseline"/>
                <w:lang w:val="en-US" w:eastAsia="zh-CN" w:bidi="ar-SA"/>
              </w:rPr>
            </w:pPr>
            <w:r>
              <w:rPr>
                <w:rFonts w:hint="eastAsia" w:ascii="仿宋" w:hAnsi="仿宋" w:eastAsia="仿宋" w:cs="仿宋"/>
                <w:color w:val="auto"/>
                <w:kern w:val="2"/>
                <w:sz w:val="24"/>
                <w:szCs w:val="24"/>
                <w:highlight w:val="none"/>
                <w:vertAlign w:val="baseline"/>
                <w:lang w:val="en-US" w:eastAsia="zh-CN" w:bidi="ar-SA"/>
              </w:rPr>
              <w:t>10分</w:t>
            </w:r>
          </w:p>
        </w:tc>
      </w:tr>
    </w:tbl>
    <w:p>
      <w:pPr>
        <w:pStyle w:val="23"/>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pPr>
        <w:pStyle w:val="23"/>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sectPr>
      <w:headerReference r:id="rId7" w:type="default"/>
      <w:footerReference r:id="rId8" w:type="default"/>
      <w:pgSz w:w="11906" w:h="16838"/>
      <w:pgMar w:top="1134" w:right="1247" w:bottom="1032" w:left="1247" w:header="851" w:footer="85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0" w:usb3="00000000" w:csb0="2000019F" w:csb1="4F01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pPr>
      <w:pStyle w:val="17"/>
      <w:jc w:val="center"/>
      <w:rPr>
        <w:rFonts w:ascii="仿宋" w:hAnsi="仿宋" w:eastAsia="仿宋" w:cs="仿宋"/>
        <w:sz w:val="21"/>
        <w:szCs w:val="21"/>
      </w:rPr>
    </w:pPr>
  </w:p>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pPr>
      <w:pStyle w:val="17"/>
      <w:jc w:val="center"/>
      <w:rPr>
        <w:rFonts w:ascii="仿宋" w:hAnsi="仿宋" w:eastAsia="仿宋" w:cs="仿宋"/>
        <w:sz w:val="21"/>
        <w:szCs w:val="21"/>
      </w:rPr>
    </w:pPr>
  </w:p>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left="7770" w:hanging="7770" w:hangingChars="3700"/>
      <w:jc w:val="left"/>
      <w:rPr>
        <w:rFonts w:ascii="仿宋" w:hAnsi="仿宋" w:eastAsia="仿宋" w:cs="仿宋"/>
        <w:sz w:val="21"/>
        <w:szCs w:val="21"/>
      </w:rPr>
    </w:pPr>
    <w:r>
      <w:rPr>
        <w:rFonts w:hint="eastAsia" w:ascii="仿宋" w:hAnsi="仿宋" w:eastAsia="仿宋" w:cs="仿宋"/>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spacing w:line="660" w:lineRule="exact"/>
      <w:rPr>
        <w:rFonts w:ascii="仿宋" w:hAnsi="仿宋" w:eastAsia="仿宋"/>
        <w:szCs w:val="21"/>
      </w:rPr>
    </w:pPr>
    <w:r>
      <w:rPr>
        <w:rFonts w:hint="eastAsia" w:ascii="仿宋" w:hAnsi="仿宋" w:eastAsia="仿宋"/>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7F1145"/>
    <w:multiLevelType w:val="multilevel"/>
    <w:tmpl w:val="177F1145"/>
    <w:lvl w:ilvl="0" w:tentative="0">
      <w:start w:val="1"/>
      <w:numFmt w:val="japaneseCounting"/>
      <w:lvlText w:val="第%1章"/>
      <w:lvlJc w:val="left"/>
      <w:pPr>
        <w:ind w:left="1320" w:hanging="13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39D6FF"/>
    <w:multiLevelType w:val="singleLevel"/>
    <w:tmpl w:val="3E39D6FF"/>
    <w:lvl w:ilvl="0" w:tentative="0">
      <w:start w:val="1"/>
      <w:numFmt w:val="chineseCounting"/>
      <w:suff w:val="space"/>
      <w:lvlText w:val="第%1章"/>
      <w:lvlJc w:val="left"/>
      <w:rPr>
        <w:rFonts w:hint="eastAsia"/>
      </w:rPr>
    </w:lvl>
  </w:abstractNum>
  <w:abstractNum w:abstractNumId="2">
    <w:nsid w:val="4CA46F2E"/>
    <w:multiLevelType w:val="multilevel"/>
    <w:tmpl w:val="4CA46F2E"/>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56B82435"/>
    <w:multiLevelType w:val="multilevel"/>
    <w:tmpl w:val="56B8243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wMzdlMDU1MTc1YzQ3NzExMmIxNTAyNDE2NzA4MjgifQ=="/>
    <w:docVar w:name="KSO_WPS_MARK_KEY" w:val="bf0cebdd-ff94-4ef8-b352-e53529499eaf"/>
  </w:docVars>
  <w:rsids>
    <w:rsidRoot w:val="00172A27"/>
    <w:rsid w:val="00097F54"/>
    <w:rsid w:val="00100786"/>
    <w:rsid w:val="00172A27"/>
    <w:rsid w:val="00461156"/>
    <w:rsid w:val="004F5057"/>
    <w:rsid w:val="00743FD4"/>
    <w:rsid w:val="007B5009"/>
    <w:rsid w:val="009A5857"/>
    <w:rsid w:val="00A05674"/>
    <w:rsid w:val="00C72553"/>
    <w:rsid w:val="00CB2852"/>
    <w:rsid w:val="00D35A12"/>
    <w:rsid w:val="00F03612"/>
    <w:rsid w:val="00F470EA"/>
    <w:rsid w:val="01594AA8"/>
    <w:rsid w:val="01C4065D"/>
    <w:rsid w:val="01EE10E5"/>
    <w:rsid w:val="023B4457"/>
    <w:rsid w:val="02436A73"/>
    <w:rsid w:val="027819AA"/>
    <w:rsid w:val="02973924"/>
    <w:rsid w:val="02A1245A"/>
    <w:rsid w:val="02D8723E"/>
    <w:rsid w:val="031B4DCD"/>
    <w:rsid w:val="03B40A04"/>
    <w:rsid w:val="042B2A2D"/>
    <w:rsid w:val="04385A96"/>
    <w:rsid w:val="04D82D56"/>
    <w:rsid w:val="052D1615"/>
    <w:rsid w:val="05411642"/>
    <w:rsid w:val="05A4454E"/>
    <w:rsid w:val="05C537BE"/>
    <w:rsid w:val="066C606B"/>
    <w:rsid w:val="0671352A"/>
    <w:rsid w:val="067D29AE"/>
    <w:rsid w:val="06820426"/>
    <w:rsid w:val="06BB3CE5"/>
    <w:rsid w:val="070B26EF"/>
    <w:rsid w:val="072478F4"/>
    <w:rsid w:val="075A73A0"/>
    <w:rsid w:val="0771579B"/>
    <w:rsid w:val="07E15B19"/>
    <w:rsid w:val="08246E93"/>
    <w:rsid w:val="082D0FEC"/>
    <w:rsid w:val="088F5575"/>
    <w:rsid w:val="08C63771"/>
    <w:rsid w:val="08D12032"/>
    <w:rsid w:val="0904563C"/>
    <w:rsid w:val="093A1CD8"/>
    <w:rsid w:val="093F3F82"/>
    <w:rsid w:val="0A9915BA"/>
    <w:rsid w:val="0AB06A35"/>
    <w:rsid w:val="0ACB306F"/>
    <w:rsid w:val="0AD376B8"/>
    <w:rsid w:val="0ADA7B8E"/>
    <w:rsid w:val="0B1008C8"/>
    <w:rsid w:val="0B20482E"/>
    <w:rsid w:val="0B4F7C07"/>
    <w:rsid w:val="0B64718D"/>
    <w:rsid w:val="0B6E767D"/>
    <w:rsid w:val="0B77573F"/>
    <w:rsid w:val="0BC0559A"/>
    <w:rsid w:val="0BEB24AE"/>
    <w:rsid w:val="0C0158DF"/>
    <w:rsid w:val="0C07111F"/>
    <w:rsid w:val="0C2C180D"/>
    <w:rsid w:val="0C3969CD"/>
    <w:rsid w:val="0C6A5B49"/>
    <w:rsid w:val="0CAE59D3"/>
    <w:rsid w:val="0CB95F6E"/>
    <w:rsid w:val="0CE71E24"/>
    <w:rsid w:val="0CFC185B"/>
    <w:rsid w:val="0D3B2BC7"/>
    <w:rsid w:val="0D690623"/>
    <w:rsid w:val="0DA341AF"/>
    <w:rsid w:val="0DD86730"/>
    <w:rsid w:val="0DD94294"/>
    <w:rsid w:val="0DF3026D"/>
    <w:rsid w:val="0E137E11"/>
    <w:rsid w:val="0E3538B1"/>
    <w:rsid w:val="0E4512A2"/>
    <w:rsid w:val="0E5728E3"/>
    <w:rsid w:val="0E891C66"/>
    <w:rsid w:val="0EA32867"/>
    <w:rsid w:val="0EAB712B"/>
    <w:rsid w:val="0EFB5712"/>
    <w:rsid w:val="0F27485B"/>
    <w:rsid w:val="0F2B4043"/>
    <w:rsid w:val="0F36417B"/>
    <w:rsid w:val="0F3A51FB"/>
    <w:rsid w:val="0FA14F53"/>
    <w:rsid w:val="0FE61A10"/>
    <w:rsid w:val="10130D68"/>
    <w:rsid w:val="10B7486C"/>
    <w:rsid w:val="10D50B55"/>
    <w:rsid w:val="10F5757C"/>
    <w:rsid w:val="111749F9"/>
    <w:rsid w:val="11617E2F"/>
    <w:rsid w:val="11861A0E"/>
    <w:rsid w:val="120B614A"/>
    <w:rsid w:val="123B7D46"/>
    <w:rsid w:val="12A10CC2"/>
    <w:rsid w:val="12A72D69"/>
    <w:rsid w:val="12CD0AA7"/>
    <w:rsid w:val="12F26E2C"/>
    <w:rsid w:val="13164819"/>
    <w:rsid w:val="13242569"/>
    <w:rsid w:val="1335758E"/>
    <w:rsid w:val="133656E5"/>
    <w:rsid w:val="13944620"/>
    <w:rsid w:val="14135A37"/>
    <w:rsid w:val="14282CBE"/>
    <w:rsid w:val="1430271A"/>
    <w:rsid w:val="147B0A12"/>
    <w:rsid w:val="14993759"/>
    <w:rsid w:val="14F0527E"/>
    <w:rsid w:val="15593193"/>
    <w:rsid w:val="15887DFB"/>
    <w:rsid w:val="15ED5270"/>
    <w:rsid w:val="16443A9D"/>
    <w:rsid w:val="16740EF4"/>
    <w:rsid w:val="16A77330"/>
    <w:rsid w:val="16CB6312"/>
    <w:rsid w:val="170F6114"/>
    <w:rsid w:val="17374EA5"/>
    <w:rsid w:val="1740285C"/>
    <w:rsid w:val="17EB2569"/>
    <w:rsid w:val="17FAC4D3"/>
    <w:rsid w:val="183606C3"/>
    <w:rsid w:val="18801768"/>
    <w:rsid w:val="19317DF2"/>
    <w:rsid w:val="193B23CF"/>
    <w:rsid w:val="19514BD9"/>
    <w:rsid w:val="1990646A"/>
    <w:rsid w:val="19A946F6"/>
    <w:rsid w:val="19E35BF1"/>
    <w:rsid w:val="19F85670"/>
    <w:rsid w:val="19FF426D"/>
    <w:rsid w:val="1A202E67"/>
    <w:rsid w:val="1A271BF7"/>
    <w:rsid w:val="1A995465"/>
    <w:rsid w:val="1AD93112"/>
    <w:rsid w:val="1B276316"/>
    <w:rsid w:val="1B3F77E9"/>
    <w:rsid w:val="1B4F4DFB"/>
    <w:rsid w:val="1BE877C1"/>
    <w:rsid w:val="1C1A0C21"/>
    <w:rsid w:val="1C512E16"/>
    <w:rsid w:val="1CCE7A03"/>
    <w:rsid w:val="1D5B3D35"/>
    <w:rsid w:val="1DFB7C65"/>
    <w:rsid w:val="1E035D66"/>
    <w:rsid w:val="1E327280"/>
    <w:rsid w:val="1EF6339E"/>
    <w:rsid w:val="1F2418C4"/>
    <w:rsid w:val="1F505D79"/>
    <w:rsid w:val="1F6A6616"/>
    <w:rsid w:val="1F8C6C4C"/>
    <w:rsid w:val="1FC37230"/>
    <w:rsid w:val="1FCF796F"/>
    <w:rsid w:val="1FF534EC"/>
    <w:rsid w:val="20221559"/>
    <w:rsid w:val="20922CB7"/>
    <w:rsid w:val="20A53B59"/>
    <w:rsid w:val="21AB6153"/>
    <w:rsid w:val="223219B2"/>
    <w:rsid w:val="224A2BFB"/>
    <w:rsid w:val="2281728D"/>
    <w:rsid w:val="228A2AFC"/>
    <w:rsid w:val="232D20FA"/>
    <w:rsid w:val="237F7C33"/>
    <w:rsid w:val="23881862"/>
    <w:rsid w:val="23A361CC"/>
    <w:rsid w:val="23D1105D"/>
    <w:rsid w:val="241030E3"/>
    <w:rsid w:val="24935653"/>
    <w:rsid w:val="249A47EB"/>
    <w:rsid w:val="24A21A72"/>
    <w:rsid w:val="24E87D94"/>
    <w:rsid w:val="250E1CE4"/>
    <w:rsid w:val="25302054"/>
    <w:rsid w:val="25414148"/>
    <w:rsid w:val="25A4390E"/>
    <w:rsid w:val="26373CBC"/>
    <w:rsid w:val="268D73AC"/>
    <w:rsid w:val="270333F6"/>
    <w:rsid w:val="2705567A"/>
    <w:rsid w:val="2814527D"/>
    <w:rsid w:val="2830745C"/>
    <w:rsid w:val="28365677"/>
    <w:rsid w:val="288874AD"/>
    <w:rsid w:val="289831A1"/>
    <w:rsid w:val="28D728F5"/>
    <w:rsid w:val="28DE3252"/>
    <w:rsid w:val="291034CC"/>
    <w:rsid w:val="29112458"/>
    <w:rsid w:val="291D4D0A"/>
    <w:rsid w:val="298927F8"/>
    <w:rsid w:val="29B8498C"/>
    <w:rsid w:val="29BE15C6"/>
    <w:rsid w:val="2A233FCE"/>
    <w:rsid w:val="2A384496"/>
    <w:rsid w:val="2A3C6EB3"/>
    <w:rsid w:val="2A492A2D"/>
    <w:rsid w:val="2A787807"/>
    <w:rsid w:val="2A7953A1"/>
    <w:rsid w:val="2AC07052"/>
    <w:rsid w:val="2AD43590"/>
    <w:rsid w:val="2AE9491C"/>
    <w:rsid w:val="2B0214BD"/>
    <w:rsid w:val="2B0B3754"/>
    <w:rsid w:val="2B190124"/>
    <w:rsid w:val="2BD8709E"/>
    <w:rsid w:val="2BEC28A4"/>
    <w:rsid w:val="2BFB2E19"/>
    <w:rsid w:val="2C3F2F17"/>
    <w:rsid w:val="2C475AEE"/>
    <w:rsid w:val="2CAA6070"/>
    <w:rsid w:val="2CBB6D5D"/>
    <w:rsid w:val="2CC444C4"/>
    <w:rsid w:val="2CE832F7"/>
    <w:rsid w:val="2D2C2DED"/>
    <w:rsid w:val="2D6A408E"/>
    <w:rsid w:val="2DEE4968"/>
    <w:rsid w:val="2E09179F"/>
    <w:rsid w:val="2E2020E1"/>
    <w:rsid w:val="2E8A2E93"/>
    <w:rsid w:val="2E9F2E49"/>
    <w:rsid w:val="2EAB2B9C"/>
    <w:rsid w:val="2EE87A66"/>
    <w:rsid w:val="2EF02C89"/>
    <w:rsid w:val="2EF8624D"/>
    <w:rsid w:val="2EFB6551"/>
    <w:rsid w:val="2F0A5E02"/>
    <w:rsid w:val="2F6A7BFA"/>
    <w:rsid w:val="2F9E6908"/>
    <w:rsid w:val="2FA26989"/>
    <w:rsid w:val="2FAA4FA4"/>
    <w:rsid w:val="30180020"/>
    <w:rsid w:val="302E5E9B"/>
    <w:rsid w:val="30497D75"/>
    <w:rsid w:val="304F650E"/>
    <w:rsid w:val="308253DB"/>
    <w:rsid w:val="30C93B1B"/>
    <w:rsid w:val="31063B63"/>
    <w:rsid w:val="31267F1E"/>
    <w:rsid w:val="31300690"/>
    <w:rsid w:val="31482F68"/>
    <w:rsid w:val="31552F9F"/>
    <w:rsid w:val="315E7873"/>
    <w:rsid w:val="319525C0"/>
    <w:rsid w:val="31C335E3"/>
    <w:rsid w:val="31CC6AA5"/>
    <w:rsid w:val="31DB68CD"/>
    <w:rsid w:val="3255145A"/>
    <w:rsid w:val="326205EA"/>
    <w:rsid w:val="328238D1"/>
    <w:rsid w:val="32A004DC"/>
    <w:rsid w:val="32D50F5A"/>
    <w:rsid w:val="33013677"/>
    <w:rsid w:val="332E52E9"/>
    <w:rsid w:val="333B3FD9"/>
    <w:rsid w:val="33435798"/>
    <w:rsid w:val="33466BF6"/>
    <w:rsid w:val="338A0FFE"/>
    <w:rsid w:val="33B31EB4"/>
    <w:rsid w:val="33C03E65"/>
    <w:rsid w:val="33C24980"/>
    <w:rsid w:val="33D36AEB"/>
    <w:rsid w:val="33D623CD"/>
    <w:rsid w:val="33F92805"/>
    <w:rsid w:val="340547AC"/>
    <w:rsid w:val="3444432F"/>
    <w:rsid w:val="34A600E1"/>
    <w:rsid w:val="34B85698"/>
    <w:rsid w:val="34F15104"/>
    <w:rsid w:val="35305866"/>
    <w:rsid w:val="360867E3"/>
    <w:rsid w:val="36765044"/>
    <w:rsid w:val="36D35A1E"/>
    <w:rsid w:val="36EE5669"/>
    <w:rsid w:val="370E607B"/>
    <w:rsid w:val="37384A3D"/>
    <w:rsid w:val="37441298"/>
    <w:rsid w:val="37691294"/>
    <w:rsid w:val="37725351"/>
    <w:rsid w:val="378B5DCC"/>
    <w:rsid w:val="381A2417"/>
    <w:rsid w:val="3838732A"/>
    <w:rsid w:val="387664FA"/>
    <w:rsid w:val="38A320EF"/>
    <w:rsid w:val="38B669E3"/>
    <w:rsid w:val="39F64DC7"/>
    <w:rsid w:val="3A0B34EA"/>
    <w:rsid w:val="3A3A3B2A"/>
    <w:rsid w:val="3A4C711F"/>
    <w:rsid w:val="3AD76819"/>
    <w:rsid w:val="3B3910A0"/>
    <w:rsid w:val="3B3C195C"/>
    <w:rsid w:val="3B45726A"/>
    <w:rsid w:val="3B4856EB"/>
    <w:rsid w:val="3B646736"/>
    <w:rsid w:val="3B6F09CF"/>
    <w:rsid w:val="3B8829D4"/>
    <w:rsid w:val="3BE22854"/>
    <w:rsid w:val="3C3209F8"/>
    <w:rsid w:val="3C342695"/>
    <w:rsid w:val="3C62707C"/>
    <w:rsid w:val="3D001434"/>
    <w:rsid w:val="3D0038A0"/>
    <w:rsid w:val="3D053ED7"/>
    <w:rsid w:val="3D4421E5"/>
    <w:rsid w:val="3D5D60A8"/>
    <w:rsid w:val="3DC201B3"/>
    <w:rsid w:val="3DC924E9"/>
    <w:rsid w:val="3DD57961"/>
    <w:rsid w:val="3DFE4168"/>
    <w:rsid w:val="3E1201FF"/>
    <w:rsid w:val="3E78202C"/>
    <w:rsid w:val="3F42139D"/>
    <w:rsid w:val="3F454EB3"/>
    <w:rsid w:val="3F5600D8"/>
    <w:rsid w:val="3F5E1FC9"/>
    <w:rsid w:val="3F664BFC"/>
    <w:rsid w:val="3F861B34"/>
    <w:rsid w:val="3FAB3381"/>
    <w:rsid w:val="3FBB1A3C"/>
    <w:rsid w:val="3FCD5F36"/>
    <w:rsid w:val="3FD37E62"/>
    <w:rsid w:val="3FFF5A44"/>
    <w:rsid w:val="401A3413"/>
    <w:rsid w:val="4113053B"/>
    <w:rsid w:val="413127D1"/>
    <w:rsid w:val="415D4B3C"/>
    <w:rsid w:val="418424EB"/>
    <w:rsid w:val="41B31CF9"/>
    <w:rsid w:val="41F145CF"/>
    <w:rsid w:val="42192802"/>
    <w:rsid w:val="42193DF4"/>
    <w:rsid w:val="421F432B"/>
    <w:rsid w:val="423C5C2A"/>
    <w:rsid w:val="4243251F"/>
    <w:rsid w:val="42A145F4"/>
    <w:rsid w:val="42D9110E"/>
    <w:rsid w:val="42F57927"/>
    <w:rsid w:val="431959A7"/>
    <w:rsid w:val="435E5276"/>
    <w:rsid w:val="43E75F34"/>
    <w:rsid w:val="43FE121A"/>
    <w:rsid w:val="44383774"/>
    <w:rsid w:val="447B39B3"/>
    <w:rsid w:val="44D07F90"/>
    <w:rsid w:val="44E03886"/>
    <w:rsid w:val="44EB3285"/>
    <w:rsid w:val="451070A1"/>
    <w:rsid w:val="45630CC0"/>
    <w:rsid w:val="45C30031"/>
    <w:rsid w:val="45DC5C7F"/>
    <w:rsid w:val="460F771A"/>
    <w:rsid w:val="462417D4"/>
    <w:rsid w:val="464956A3"/>
    <w:rsid w:val="464B3AF8"/>
    <w:rsid w:val="464F25F8"/>
    <w:rsid w:val="46C44412"/>
    <w:rsid w:val="46DC70FD"/>
    <w:rsid w:val="470775A3"/>
    <w:rsid w:val="47356752"/>
    <w:rsid w:val="47CD3790"/>
    <w:rsid w:val="480C5D35"/>
    <w:rsid w:val="48234C0F"/>
    <w:rsid w:val="483D1C62"/>
    <w:rsid w:val="486B1FD7"/>
    <w:rsid w:val="48C816D1"/>
    <w:rsid w:val="49211B63"/>
    <w:rsid w:val="49661035"/>
    <w:rsid w:val="4A025516"/>
    <w:rsid w:val="4A1C197E"/>
    <w:rsid w:val="4A4C71A1"/>
    <w:rsid w:val="4A550FBD"/>
    <w:rsid w:val="4A773957"/>
    <w:rsid w:val="4A8065F0"/>
    <w:rsid w:val="4A9A7C03"/>
    <w:rsid w:val="4AA778D1"/>
    <w:rsid w:val="4AA82F6B"/>
    <w:rsid w:val="4B1D60B4"/>
    <w:rsid w:val="4BB74194"/>
    <w:rsid w:val="4BB900ED"/>
    <w:rsid w:val="4BC56EF7"/>
    <w:rsid w:val="4BCE24FB"/>
    <w:rsid w:val="4BF60E13"/>
    <w:rsid w:val="4C1244F7"/>
    <w:rsid w:val="4C5E3F3B"/>
    <w:rsid w:val="4CA85A8C"/>
    <w:rsid w:val="4CE42200"/>
    <w:rsid w:val="4D060757"/>
    <w:rsid w:val="4D490D09"/>
    <w:rsid w:val="4D963E29"/>
    <w:rsid w:val="4DA370C6"/>
    <w:rsid w:val="4DB73B3A"/>
    <w:rsid w:val="4DC725B8"/>
    <w:rsid w:val="4DE414E3"/>
    <w:rsid w:val="4DF11073"/>
    <w:rsid w:val="4E094FEC"/>
    <w:rsid w:val="4E0B4E03"/>
    <w:rsid w:val="4E1E03F4"/>
    <w:rsid w:val="4E213FB1"/>
    <w:rsid w:val="4E246514"/>
    <w:rsid w:val="4E3C4B0B"/>
    <w:rsid w:val="4E526418"/>
    <w:rsid w:val="4E710F72"/>
    <w:rsid w:val="4F0E0B39"/>
    <w:rsid w:val="4F1373BE"/>
    <w:rsid w:val="4F5C3E56"/>
    <w:rsid w:val="4F6E20F8"/>
    <w:rsid w:val="4FA36F0E"/>
    <w:rsid w:val="50594CB7"/>
    <w:rsid w:val="506E2C10"/>
    <w:rsid w:val="51051586"/>
    <w:rsid w:val="51331AED"/>
    <w:rsid w:val="51C838E3"/>
    <w:rsid w:val="51DE5123"/>
    <w:rsid w:val="51E33D99"/>
    <w:rsid w:val="51EB4B97"/>
    <w:rsid w:val="52103846"/>
    <w:rsid w:val="52360E0C"/>
    <w:rsid w:val="523942DD"/>
    <w:rsid w:val="524D4E26"/>
    <w:rsid w:val="52866565"/>
    <w:rsid w:val="52DF5181"/>
    <w:rsid w:val="52EF3704"/>
    <w:rsid w:val="53090C02"/>
    <w:rsid w:val="530E2063"/>
    <w:rsid w:val="532F71C7"/>
    <w:rsid w:val="539D19BB"/>
    <w:rsid w:val="54077C82"/>
    <w:rsid w:val="543F40F8"/>
    <w:rsid w:val="54A35CBB"/>
    <w:rsid w:val="54AF02B1"/>
    <w:rsid w:val="54D32A41"/>
    <w:rsid w:val="54E30B20"/>
    <w:rsid w:val="54F95460"/>
    <w:rsid w:val="54FB30C3"/>
    <w:rsid w:val="555A5DEC"/>
    <w:rsid w:val="555B3075"/>
    <w:rsid w:val="556B5097"/>
    <w:rsid w:val="55F25770"/>
    <w:rsid w:val="568E14BC"/>
    <w:rsid w:val="56BC4005"/>
    <w:rsid w:val="572341B6"/>
    <w:rsid w:val="57247B1F"/>
    <w:rsid w:val="57862D68"/>
    <w:rsid w:val="5799311F"/>
    <w:rsid w:val="57F62CC3"/>
    <w:rsid w:val="583E0CB1"/>
    <w:rsid w:val="585322D1"/>
    <w:rsid w:val="586D3F87"/>
    <w:rsid w:val="5871327B"/>
    <w:rsid w:val="58991383"/>
    <w:rsid w:val="58D03A3A"/>
    <w:rsid w:val="58D22B7F"/>
    <w:rsid w:val="5929028C"/>
    <w:rsid w:val="5934586C"/>
    <w:rsid w:val="596013A4"/>
    <w:rsid w:val="59AF0A45"/>
    <w:rsid w:val="59CC0D4E"/>
    <w:rsid w:val="59DB2571"/>
    <w:rsid w:val="5A2426D0"/>
    <w:rsid w:val="5A767910"/>
    <w:rsid w:val="5A7D391C"/>
    <w:rsid w:val="5A87548E"/>
    <w:rsid w:val="5AE31B30"/>
    <w:rsid w:val="5B386973"/>
    <w:rsid w:val="5B5B7E08"/>
    <w:rsid w:val="5B694BE9"/>
    <w:rsid w:val="5B887E91"/>
    <w:rsid w:val="5BC86593"/>
    <w:rsid w:val="5BD371CD"/>
    <w:rsid w:val="5C3A5362"/>
    <w:rsid w:val="5C3E6229"/>
    <w:rsid w:val="5C4A4966"/>
    <w:rsid w:val="5C602D32"/>
    <w:rsid w:val="5CD1185B"/>
    <w:rsid w:val="5CD35D3E"/>
    <w:rsid w:val="5D6A05DC"/>
    <w:rsid w:val="5D7F13FC"/>
    <w:rsid w:val="5DA2719A"/>
    <w:rsid w:val="5E2F1776"/>
    <w:rsid w:val="5E541E21"/>
    <w:rsid w:val="5E5E48BB"/>
    <w:rsid w:val="5E9A2473"/>
    <w:rsid w:val="5F423DF6"/>
    <w:rsid w:val="5F4E49D2"/>
    <w:rsid w:val="5F641286"/>
    <w:rsid w:val="5FEE72CA"/>
    <w:rsid w:val="602010AE"/>
    <w:rsid w:val="60361BA1"/>
    <w:rsid w:val="60786190"/>
    <w:rsid w:val="607D30E2"/>
    <w:rsid w:val="60816920"/>
    <w:rsid w:val="611575D5"/>
    <w:rsid w:val="61273D49"/>
    <w:rsid w:val="613025C6"/>
    <w:rsid w:val="614318D6"/>
    <w:rsid w:val="618A73AA"/>
    <w:rsid w:val="61E27004"/>
    <w:rsid w:val="620B4C69"/>
    <w:rsid w:val="620B4DE2"/>
    <w:rsid w:val="62220A71"/>
    <w:rsid w:val="6229295F"/>
    <w:rsid w:val="628A16C5"/>
    <w:rsid w:val="62C47861"/>
    <w:rsid w:val="63007459"/>
    <w:rsid w:val="63226E50"/>
    <w:rsid w:val="633A4C72"/>
    <w:rsid w:val="633D6D7A"/>
    <w:rsid w:val="63811457"/>
    <w:rsid w:val="63936E3D"/>
    <w:rsid w:val="63C57B95"/>
    <w:rsid w:val="63CE48B3"/>
    <w:rsid w:val="63D146D3"/>
    <w:rsid w:val="63D70ECA"/>
    <w:rsid w:val="645D3FD0"/>
    <w:rsid w:val="64615B78"/>
    <w:rsid w:val="65235F13"/>
    <w:rsid w:val="653852E6"/>
    <w:rsid w:val="65C81BB4"/>
    <w:rsid w:val="663A016C"/>
    <w:rsid w:val="667E2906"/>
    <w:rsid w:val="668A7943"/>
    <w:rsid w:val="669B2A06"/>
    <w:rsid w:val="66BC3D6A"/>
    <w:rsid w:val="66E52CB4"/>
    <w:rsid w:val="66EF6B73"/>
    <w:rsid w:val="66F652E5"/>
    <w:rsid w:val="671F17EB"/>
    <w:rsid w:val="67211A33"/>
    <w:rsid w:val="673749DB"/>
    <w:rsid w:val="67562CB8"/>
    <w:rsid w:val="67731D8A"/>
    <w:rsid w:val="677A1D46"/>
    <w:rsid w:val="68025E35"/>
    <w:rsid w:val="68141B8B"/>
    <w:rsid w:val="681450EA"/>
    <w:rsid w:val="684A5B95"/>
    <w:rsid w:val="68D75C06"/>
    <w:rsid w:val="694C6837"/>
    <w:rsid w:val="696E786B"/>
    <w:rsid w:val="69AB16BB"/>
    <w:rsid w:val="69BD19C1"/>
    <w:rsid w:val="69C601AD"/>
    <w:rsid w:val="6A1432B1"/>
    <w:rsid w:val="6A70682E"/>
    <w:rsid w:val="6AC63F9C"/>
    <w:rsid w:val="6ACE0985"/>
    <w:rsid w:val="6AD4435E"/>
    <w:rsid w:val="6AF814A5"/>
    <w:rsid w:val="6B5109DA"/>
    <w:rsid w:val="6B6C2B09"/>
    <w:rsid w:val="6B740057"/>
    <w:rsid w:val="6B7A55A4"/>
    <w:rsid w:val="6B994AD4"/>
    <w:rsid w:val="6BA82C30"/>
    <w:rsid w:val="6BD76DDA"/>
    <w:rsid w:val="6BFC1338"/>
    <w:rsid w:val="6BFF1784"/>
    <w:rsid w:val="6C2E4B41"/>
    <w:rsid w:val="6CAE44ED"/>
    <w:rsid w:val="6CC41357"/>
    <w:rsid w:val="6CF13D2F"/>
    <w:rsid w:val="6CF546C4"/>
    <w:rsid w:val="6D0E5786"/>
    <w:rsid w:val="6D3558E2"/>
    <w:rsid w:val="6D99465B"/>
    <w:rsid w:val="6DD5685C"/>
    <w:rsid w:val="6DF2085E"/>
    <w:rsid w:val="6E2C4EEC"/>
    <w:rsid w:val="6E3379D9"/>
    <w:rsid w:val="6E37145A"/>
    <w:rsid w:val="6E671469"/>
    <w:rsid w:val="6E97376B"/>
    <w:rsid w:val="6EA91C0A"/>
    <w:rsid w:val="6ED4637D"/>
    <w:rsid w:val="6EF571EF"/>
    <w:rsid w:val="6F433E0D"/>
    <w:rsid w:val="6F652652"/>
    <w:rsid w:val="6F6C40D6"/>
    <w:rsid w:val="6F775116"/>
    <w:rsid w:val="6F7EA9E9"/>
    <w:rsid w:val="6F873C8C"/>
    <w:rsid w:val="6FE75F47"/>
    <w:rsid w:val="6FF065CD"/>
    <w:rsid w:val="70121EEF"/>
    <w:rsid w:val="702675A5"/>
    <w:rsid w:val="70A96034"/>
    <w:rsid w:val="71781C43"/>
    <w:rsid w:val="718169FE"/>
    <w:rsid w:val="71A1306D"/>
    <w:rsid w:val="71B75B64"/>
    <w:rsid w:val="71C829EA"/>
    <w:rsid w:val="72515C8C"/>
    <w:rsid w:val="728D39C8"/>
    <w:rsid w:val="7295089C"/>
    <w:rsid w:val="72996F38"/>
    <w:rsid w:val="72E24852"/>
    <w:rsid w:val="73666B57"/>
    <w:rsid w:val="739A7603"/>
    <w:rsid w:val="73CD4756"/>
    <w:rsid w:val="74122000"/>
    <w:rsid w:val="742F3CB1"/>
    <w:rsid w:val="74330669"/>
    <w:rsid w:val="746E2ABD"/>
    <w:rsid w:val="74852ECC"/>
    <w:rsid w:val="74A44223"/>
    <w:rsid w:val="74A67F54"/>
    <w:rsid w:val="74EA09B6"/>
    <w:rsid w:val="74F00563"/>
    <w:rsid w:val="74F556AA"/>
    <w:rsid w:val="74FF2F33"/>
    <w:rsid w:val="751002ED"/>
    <w:rsid w:val="75130EA2"/>
    <w:rsid w:val="75F51DD2"/>
    <w:rsid w:val="763151F9"/>
    <w:rsid w:val="76326251"/>
    <w:rsid w:val="765637C0"/>
    <w:rsid w:val="770333D8"/>
    <w:rsid w:val="779D52B1"/>
    <w:rsid w:val="788F055B"/>
    <w:rsid w:val="78E63D42"/>
    <w:rsid w:val="78F572F7"/>
    <w:rsid w:val="79216FB6"/>
    <w:rsid w:val="794C38BE"/>
    <w:rsid w:val="797D6FDD"/>
    <w:rsid w:val="798412AA"/>
    <w:rsid w:val="79C4103C"/>
    <w:rsid w:val="79CD0EA3"/>
    <w:rsid w:val="79F341C6"/>
    <w:rsid w:val="7A42133E"/>
    <w:rsid w:val="7A7D5833"/>
    <w:rsid w:val="7B1138F9"/>
    <w:rsid w:val="7B160EDC"/>
    <w:rsid w:val="7B66762B"/>
    <w:rsid w:val="7B9945BC"/>
    <w:rsid w:val="7C4E1AFC"/>
    <w:rsid w:val="7C973EA1"/>
    <w:rsid w:val="7CC01B5A"/>
    <w:rsid w:val="7D1D41F4"/>
    <w:rsid w:val="7D246948"/>
    <w:rsid w:val="7D41467E"/>
    <w:rsid w:val="7D4B095E"/>
    <w:rsid w:val="7D4F9C85"/>
    <w:rsid w:val="7D783EEB"/>
    <w:rsid w:val="7D7F5576"/>
    <w:rsid w:val="7D9B444F"/>
    <w:rsid w:val="7DAA0ADC"/>
    <w:rsid w:val="7DB23A4C"/>
    <w:rsid w:val="7DF726D2"/>
    <w:rsid w:val="7E64769F"/>
    <w:rsid w:val="7E8E7D1F"/>
    <w:rsid w:val="7EA865E1"/>
    <w:rsid w:val="7EC148B6"/>
    <w:rsid w:val="7ECD35DF"/>
    <w:rsid w:val="7F034DD9"/>
    <w:rsid w:val="7F0F3592"/>
    <w:rsid w:val="7F896EDB"/>
    <w:rsid w:val="7F9E6E81"/>
    <w:rsid w:val="7FCB5E84"/>
    <w:rsid w:val="8BD71BDE"/>
    <w:rsid w:val="9ED780EE"/>
    <w:rsid w:val="B1F7AA9D"/>
    <w:rsid w:val="B9E5B44F"/>
    <w:rsid w:val="F779D03F"/>
    <w:rsid w:val="F7F566E7"/>
    <w:rsid w:val="FDDCA07F"/>
    <w:rsid w:val="FF8FBBDD"/>
    <w:rsid w:val="FFCF0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61"/>
    <w:autoRedefine/>
    <w:qFormat/>
    <w:uiPriority w:val="0"/>
    <w:pPr>
      <w:keepNext/>
      <w:keepLines/>
      <w:spacing w:line="578" w:lineRule="auto"/>
      <w:outlineLvl w:val="0"/>
    </w:pPr>
    <w:rPr>
      <w:b/>
      <w:bCs/>
      <w:kern w:val="44"/>
      <w:sz w:val="44"/>
      <w:szCs w:val="44"/>
    </w:rPr>
  </w:style>
  <w:style w:type="paragraph" w:styleId="3">
    <w:name w:val="heading 2"/>
    <w:basedOn w:val="1"/>
    <w:next w:val="1"/>
    <w:link w:val="66"/>
    <w:autoRedefine/>
    <w:qFormat/>
    <w:uiPriority w:val="0"/>
    <w:pPr>
      <w:keepNext/>
      <w:keepLines/>
      <w:spacing w:line="416" w:lineRule="auto"/>
      <w:outlineLvl w:val="1"/>
    </w:pPr>
    <w:rPr>
      <w:rFonts w:ascii="Arial" w:hAnsi="Arial" w:eastAsia="黑体"/>
      <w:b/>
      <w:bCs/>
      <w:sz w:val="32"/>
      <w:szCs w:val="32"/>
    </w:rPr>
  </w:style>
  <w:style w:type="paragraph" w:styleId="4">
    <w:name w:val="heading 3"/>
    <w:basedOn w:val="1"/>
    <w:next w:val="1"/>
    <w:autoRedefine/>
    <w:qFormat/>
    <w:uiPriority w:val="99"/>
    <w:pPr>
      <w:keepNext/>
      <w:keepLines/>
      <w:numPr>
        <w:ilvl w:val="2"/>
        <w:numId w:val="1"/>
      </w:numPr>
      <w:outlineLvl w:val="2"/>
    </w:pPr>
    <w:rPr>
      <w:rFonts w:ascii="仿宋" w:hAnsi="仿宋"/>
      <w:b/>
      <w:bCs/>
      <w:sz w:val="30"/>
      <w:szCs w:val="32"/>
    </w:rPr>
  </w:style>
  <w:style w:type="paragraph" w:styleId="5">
    <w:name w:val="heading 4"/>
    <w:basedOn w:val="1"/>
    <w:next w:val="1"/>
    <w:autoRedefine/>
    <w:qFormat/>
    <w:uiPriority w:val="9"/>
    <w:pPr>
      <w:keepNext/>
      <w:keepLines/>
      <w:numPr>
        <w:ilvl w:val="3"/>
        <w:numId w:val="1"/>
      </w:numPr>
      <w:outlineLvl w:val="3"/>
    </w:pPr>
    <w:rPr>
      <w:rFonts w:ascii="仿宋" w:hAnsi="仿宋"/>
      <w:sz w:val="28"/>
      <w:szCs w:val="28"/>
    </w:rPr>
  </w:style>
  <w:style w:type="paragraph" w:styleId="6">
    <w:name w:val="heading 5"/>
    <w:basedOn w:val="1"/>
    <w:next w:val="1"/>
    <w:autoRedefine/>
    <w:qFormat/>
    <w:uiPriority w:val="9"/>
    <w:pPr>
      <w:keepNext/>
      <w:keepLines/>
      <w:numPr>
        <w:ilvl w:val="4"/>
        <w:numId w:val="1"/>
      </w:numPr>
      <w:spacing w:before="120" w:after="120" w:line="377" w:lineRule="auto"/>
      <w:outlineLvl w:val="4"/>
    </w:pPr>
    <w:rPr>
      <w:b/>
      <w:bCs/>
      <w:szCs w:val="28"/>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Normal Indent"/>
    <w:basedOn w:val="1"/>
    <w:next w:val="8"/>
    <w:link w:val="62"/>
    <w:autoRedefine/>
    <w:qFormat/>
    <w:uiPriority w:val="0"/>
    <w:pPr>
      <w:ind w:firstLine="420"/>
    </w:pPr>
    <w:rPr>
      <w:szCs w:val="20"/>
    </w:rPr>
  </w:style>
  <w:style w:type="paragraph" w:styleId="8">
    <w:name w:val="Body Text Indent"/>
    <w:basedOn w:val="1"/>
    <w:next w:val="7"/>
    <w:link w:val="60"/>
    <w:autoRedefine/>
    <w:qFormat/>
    <w:uiPriority w:val="0"/>
    <w:pPr>
      <w:spacing w:line="360" w:lineRule="auto"/>
      <w:ind w:firstLine="600" w:firstLineChars="200"/>
    </w:pPr>
    <w:rPr>
      <w:rFonts w:ascii="仿宋_GB2312" w:hAnsi="宋体" w:eastAsia="仿宋_GB2312"/>
      <w:sz w:val="30"/>
    </w:rPr>
  </w:style>
  <w:style w:type="paragraph" w:styleId="9">
    <w:name w:val="caption"/>
    <w:basedOn w:val="1"/>
    <w:next w:val="1"/>
    <w:autoRedefine/>
    <w:qFormat/>
    <w:uiPriority w:val="0"/>
    <w:rPr>
      <w:rFonts w:ascii="Arial" w:hAnsi="Arial" w:eastAsia="黑体"/>
      <w:sz w:val="20"/>
      <w:szCs w:val="20"/>
    </w:rPr>
  </w:style>
  <w:style w:type="paragraph" w:styleId="10">
    <w:name w:val="toa heading"/>
    <w:basedOn w:val="1"/>
    <w:next w:val="1"/>
    <w:autoRedefine/>
    <w:qFormat/>
    <w:uiPriority w:val="0"/>
    <w:pPr>
      <w:spacing w:before="120"/>
    </w:pPr>
    <w:rPr>
      <w:rFonts w:ascii="Arial" w:hAnsi="Arial"/>
      <w:sz w:val="24"/>
    </w:rPr>
  </w:style>
  <w:style w:type="paragraph" w:styleId="11">
    <w:name w:val="annotation text"/>
    <w:basedOn w:val="1"/>
    <w:autoRedefine/>
    <w:qFormat/>
    <w:uiPriority w:val="0"/>
    <w:pPr>
      <w:jc w:val="left"/>
    </w:pPr>
  </w:style>
  <w:style w:type="paragraph" w:styleId="12">
    <w:name w:val="Body Text"/>
    <w:basedOn w:val="1"/>
    <w:next w:val="1"/>
    <w:link w:val="65"/>
    <w:autoRedefine/>
    <w:qFormat/>
    <w:uiPriority w:val="0"/>
    <w:rPr>
      <w:rFonts w:ascii="宋体" w:hAnsi="宋体"/>
      <w:sz w:val="28"/>
    </w:rPr>
  </w:style>
  <w:style w:type="paragraph" w:styleId="13">
    <w:name w:val="Block Text"/>
    <w:basedOn w:val="1"/>
    <w:autoRedefine/>
    <w:qFormat/>
    <w:uiPriority w:val="99"/>
    <w:pPr>
      <w:adjustRightInd w:val="0"/>
      <w:ind w:left="420" w:right="33"/>
      <w:textAlignment w:val="baseline"/>
    </w:pPr>
    <w:rPr>
      <w:sz w:val="24"/>
    </w:rPr>
  </w:style>
  <w:style w:type="paragraph" w:styleId="14">
    <w:name w:val="Plain Text"/>
    <w:basedOn w:val="1"/>
    <w:autoRedefine/>
    <w:qFormat/>
    <w:uiPriority w:val="0"/>
    <w:pPr>
      <w:spacing w:beforeLines="50" w:afterLines="50" w:line="400" w:lineRule="exact"/>
    </w:pPr>
    <w:rPr>
      <w:rFonts w:ascii="宋体" w:hAnsi="Courier New"/>
      <w:sz w:val="24"/>
    </w:rPr>
  </w:style>
  <w:style w:type="paragraph" w:styleId="15">
    <w:name w:val="Body Text Indent 2"/>
    <w:basedOn w:val="1"/>
    <w:autoRedefine/>
    <w:qFormat/>
    <w:uiPriority w:val="0"/>
    <w:pPr>
      <w:spacing w:after="120" w:line="480" w:lineRule="auto"/>
      <w:ind w:left="420" w:leftChars="200"/>
    </w:pPr>
  </w:style>
  <w:style w:type="paragraph" w:styleId="16">
    <w:name w:val="Balloon Text"/>
    <w:basedOn w:val="1"/>
    <w:link w:val="52"/>
    <w:autoRedefine/>
    <w:qFormat/>
    <w:uiPriority w:val="0"/>
    <w:rPr>
      <w:sz w:val="18"/>
      <w:szCs w:val="18"/>
    </w:rPr>
  </w:style>
  <w:style w:type="paragraph" w:styleId="17">
    <w:name w:val="footer"/>
    <w:basedOn w:val="1"/>
    <w:autoRedefine/>
    <w:qFormat/>
    <w:uiPriority w:val="99"/>
    <w:pPr>
      <w:tabs>
        <w:tab w:val="center" w:pos="4153"/>
        <w:tab w:val="right" w:pos="8306"/>
      </w:tabs>
      <w:snapToGrid w:val="0"/>
      <w:jc w:val="left"/>
    </w:pPr>
    <w:rPr>
      <w:sz w:val="18"/>
      <w:szCs w:val="18"/>
    </w:rPr>
  </w:style>
  <w:style w:type="paragraph" w:styleId="18">
    <w:name w:val="header"/>
    <w:basedOn w:val="1"/>
    <w:autoRedefine/>
    <w:qFormat/>
    <w:uiPriority w:val="99"/>
    <w:pPr>
      <w:pBdr>
        <w:bottom w:val="single" w:color="auto" w:sz="6" w:space="1"/>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19">
    <w:name w:val="toc 1"/>
    <w:next w:val="1"/>
    <w:autoRedefine/>
    <w:qFormat/>
    <w:uiPriority w:val="0"/>
    <w:pPr>
      <w:widowControl w:val="0"/>
      <w:tabs>
        <w:tab w:val="right" w:leader="dot" w:pos="8494"/>
      </w:tabs>
      <w:spacing w:line="360" w:lineRule="auto"/>
      <w:jc w:val="both"/>
    </w:pPr>
    <w:rPr>
      <w:rFonts w:ascii="宋体" w:hAnsi="宋体" w:eastAsia="宋体" w:cs="Times New Roman"/>
      <w:kern w:val="2"/>
      <w:sz w:val="32"/>
      <w:szCs w:val="24"/>
      <w:lang w:val="en-US" w:eastAsia="zh-CN" w:bidi="ar-SA"/>
    </w:rPr>
  </w:style>
  <w:style w:type="paragraph" w:styleId="20">
    <w:name w:val="toc 6"/>
    <w:basedOn w:val="1"/>
    <w:next w:val="1"/>
    <w:autoRedefine/>
    <w:qFormat/>
    <w:uiPriority w:val="0"/>
    <w:pPr>
      <w:ind w:left="1050"/>
      <w:jc w:val="left"/>
    </w:pPr>
    <w:rPr>
      <w:sz w:val="18"/>
      <w:szCs w:val="18"/>
    </w:rPr>
  </w:style>
  <w:style w:type="paragraph" w:styleId="21">
    <w:name w:val="Body Text Indent 3"/>
    <w:basedOn w:val="1"/>
    <w:autoRedefine/>
    <w:qFormat/>
    <w:uiPriority w:val="99"/>
    <w:pPr>
      <w:spacing w:line="500" w:lineRule="atLeast"/>
      <w:ind w:firstLine="720" w:firstLineChars="300"/>
    </w:pPr>
    <w:rPr>
      <w:rFonts w:ascii="Times New Roman" w:hAnsi="Times New Roman"/>
      <w:sz w:val="24"/>
    </w:rPr>
  </w:style>
  <w:style w:type="paragraph" w:styleId="22">
    <w:name w:val="toc 2"/>
    <w:basedOn w:val="1"/>
    <w:next w:val="1"/>
    <w:autoRedefine/>
    <w:qFormat/>
    <w:uiPriority w:val="39"/>
    <w:pPr>
      <w:ind w:left="420" w:leftChars="200"/>
    </w:pPr>
    <w:rPr>
      <w:szCs w:val="20"/>
    </w:rPr>
  </w:style>
  <w:style w:type="paragraph" w:styleId="23">
    <w:name w:val="Normal (Web)"/>
    <w:basedOn w:val="1"/>
    <w:autoRedefine/>
    <w:qFormat/>
    <w:uiPriority w:val="0"/>
    <w:pPr>
      <w:spacing w:beforeAutospacing="1" w:afterAutospacing="1"/>
      <w:jc w:val="left"/>
    </w:pPr>
    <w:rPr>
      <w:rFonts w:asciiTheme="minorHAnsi" w:hAnsiTheme="minorHAnsi" w:eastAsiaTheme="minorEastAsia"/>
      <w:kern w:val="0"/>
      <w:sz w:val="24"/>
    </w:rPr>
  </w:style>
  <w:style w:type="paragraph" w:styleId="24">
    <w:name w:val="Body Text First Indent"/>
    <w:basedOn w:val="12"/>
    <w:next w:val="1"/>
    <w:link w:val="63"/>
    <w:autoRedefine/>
    <w:qFormat/>
    <w:uiPriority w:val="0"/>
    <w:pPr>
      <w:spacing w:line="312" w:lineRule="auto"/>
      <w:ind w:firstLine="420"/>
    </w:pPr>
  </w:style>
  <w:style w:type="paragraph" w:styleId="25">
    <w:name w:val="Body Text First Indent 2"/>
    <w:basedOn w:val="8"/>
    <w:link w:val="59"/>
    <w:autoRedefine/>
    <w:qFormat/>
    <w:uiPriority w:val="99"/>
    <w:pPr>
      <w:tabs>
        <w:tab w:val="left" w:pos="0"/>
        <w:tab w:val="left" w:pos="993"/>
        <w:tab w:val="left" w:pos="1134"/>
      </w:tabs>
      <w:spacing w:after="120" w:line="240" w:lineRule="auto"/>
      <w:ind w:left="420" w:leftChars="200" w:firstLine="420"/>
    </w:pPr>
    <w:rPr>
      <w:sz w:val="21"/>
      <w:szCs w:val="21"/>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autoRedefine/>
    <w:qFormat/>
    <w:uiPriority w:val="0"/>
    <w:rPr>
      <w:b/>
    </w:rPr>
  </w:style>
  <w:style w:type="character" w:styleId="30">
    <w:name w:val="page number"/>
    <w:autoRedefine/>
    <w:qFormat/>
    <w:uiPriority w:val="0"/>
  </w:style>
  <w:style w:type="character" w:styleId="31">
    <w:name w:val="Hyperlink"/>
    <w:autoRedefine/>
    <w:qFormat/>
    <w:uiPriority w:val="99"/>
    <w:rPr>
      <w:color w:val="1F1F1F"/>
      <w:u w:val="none"/>
    </w:rPr>
  </w:style>
  <w:style w:type="character" w:styleId="32">
    <w:name w:val="annotation reference"/>
    <w:basedOn w:val="28"/>
    <w:autoRedefine/>
    <w:qFormat/>
    <w:uiPriority w:val="0"/>
    <w:rPr>
      <w:sz w:val="21"/>
      <w:szCs w:val="21"/>
    </w:rPr>
  </w:style>
  <w:style w:type="character" w:styleId="33">
    <w:name w:val="HTML Sample"/>
    <w:basedOn w:val="28"/>
    <w:autoRedefine/>
    <w:qFormat/>
    <w:uiPriority w:val="0"/>
    <w:rPr>
      <w:rFonts w:ascii="Courier New" w:hAnsi="Courier New"/>
    </w:rPr>
  </w:style>
  <w:style w:type="paragraph" w:customStyle="1" w:styleId="34">
    <w:name w:val="DAS正文"/>
    <w:basedOn w:val="1"/>
    <w:autoRedefine/>
    <w:qFormat/>
    <w:uiPriority w:val="0"/>
    <w:pPr>
      <w:spacing w:line="360" w:lineRule="auto"/>
      <w:ind w:right="181" w:firstLine="480" w:firstLineChars="200"/>
    </w:pPr>
    <w:rPr>
      <w:rFonts w:ascii="Verdana" w:hAnsi="Verdana" w:cs="Verdana"/>
    </w:rPr>
  </w:style>
  <w:style w:type="paragraph" w:customStyle="1" w:styleId="35">
    <w:name w:val="_Style 1"/>
    <w:autoRedefine/>
    <w:qFormat/>
    <w:uiPriority w:val="0"/>
    <w:rPr>
      <w:rFonts w:ascii="Times New Roman" w:hAnsi="Times New Roman" w:eastAsia="宋体" w:cs="Times New Roman"/>
      <w:kern w:val="2"/>
      <w:sz w:val="28"/>
      <w:szCs w:val="22"/>
      <w:lang w:val="en-US" w:eastAsia="zh-CN" w:bidi="ar-SA"/>
    </w:rPr>
  </w:style>
  <w:style w:type="paragraph" w:customStyle="1" w:styleId="36">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7">
    <w:name w:val="表格文字"/>
    <w:basedOn w:val="1"/>
    <w:next w:val="12"/>
    <w:autoRedefine/>
    <w:qFormat/>
    <w:uiPriority w:val="0"/>
    <w:pPr>
      <w:adjustRightInd w:val="0"/>
      <w:spacing w:line="420" w:lineRule="atLeast"/>
      <w:jc w:val="left"/>
      <w:textAlignment w:val="baseline"/>
    </w:pPr>
    <w:rPr>
      <w:kern w:val="0"/>
      <w:szCs w:val="21"/>
    </w:rPr>
  </w:style>
  <w:style w:type="paragraph" w:customStyle="1" w:styleId="38">
    <w:name w:val="章正文"/>
    <w:basedOn w:val="1"/>
    <w:autoRedefine/>
    <w:qFormat/>
    <w:uiPriority w:val="0"/>
    <w:pPr>
      <w:spacing w:before="156" w:beforeLines="50" w:after="120" w:line="300" w:lineRule="auto"/>
      <w:ind w:firstLine="480"/>
    </w:pPr>
    <w:rPr>
      <w:rFonts w:ascii="Helvetica" w:hAnsi="Helvetica"/>
      <w:kern w:val="0"/>
      <w:sz w:val="24"/>
    </w:rPr>
  </w:style>
  <w:style w:type="paragraph" w:customStyle="1" w:styleId="39">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0">
    <w:name w:val="BodyText1I2"/>
    <w:basedOn w:val="41"/>
    <w:autoRedefine/>
    <w:qFormat/>
    <w:uiPriority w:val="0"/>
    <w:pPr>
      <w:tabs>
        <w:tab w:val="left" w:pos="720"/>
        <w:tab w:val="left" w:pos="1260"/>
        <w:tab w:val="left" w:pos="2160"/>
        <w:tab w:val="left" w:pos="2880"/>
        <w:tab w:val="left" w:pos="3600"/>
        <w:tab w:val="left" w:pos="4320"/>
        <w:tab w:val="left" w:pos="5040"/>
        <w:tab w:val="left" w:pos="5760"/>
      </w:tabs>
      <w:ind w:firstLine="210"/>
    </w:pPr>
    <w:rPr>
      <w:szCs w:val="24"/>
    </w:rPr>
  </w:style>
  <w:style w:type="paragraph" w:customStyle="1" w:styleId="41">
    <w:name w:val="BodyTextIndent"/>
    <w:basedOn w:val="1"/>
    <w:autoRedefine/>
    <w:qFormat/>
    <w:uiPriority w:val="0"/>
    <w:pPr>
      <w:widowControl/>
      <w:tabs>
        <w:tab w:val="left" w:pos="720"/>
        <w:tab w:val="left" w:pos="1260"/>
        <w:tab w:val="left" w:pos="2160"/>
        <w:tab w:val="left" w:pos="2880"/>
        <w:tab w:val="left" w:pos="3600"/>
        <w:tab w:val="left" w:pos="4320"/>
        <w:tab w:val="left" w:pos="5040"/>
        <w:tab w:val="left" w:pos="5760"/>
      </w:tabs>
      <w:spacing w:line="360" w:lineRule="auto"/>
      <w:ind w:right="25" w:rightChars="12" w:firstLine="720" w:firstLineChars="300"/>
      <w:jc w:val="left"/>
      <w:textAlignment w:val="baseline"/>
    </w:pPr>
    <w:rPr>
      <w:rFonts w:ascii="宋体"/>
      <w:color w:val="000000"/>
      <w:kern w:val="0"/>
      <w:sz w:val="24"/>
      <w:szCs w:val="20"/>
    </w:rPr>
  </w:style>
  <w:style w:type="paragraph" w:customStyle="1" w:styleId="42">
    <w:name w:val="Table Paragraph"/>
    <w:basedOn w:val="1"/>
    <w:autoRedefine/>
    <w:qFormat/>
    <w:uiPriority w:val="1"/>
  </w:style>
  <w:style w:type="paragraph" w:customStyle="1" w:styleId="43">
    <w:name w:val="列出段落1"/>
    <w:basedOn w:val="1"/>
    <w:autoRedefine/>
    <w:qFormat/>
    <w:uiPriority w:val="0"/>
    <w:pPr>
      <w:ind w:firstLine="420" w:firstLineChars="200"/>
    </w:pPr>
  </w:style>
  <w:style w:type="paragraph" w:customStyle="1" w:styleId="44">
    <w:name w:val="正文段"/>
    <w:basedOn w:val="1"/>
    <w:autoRedefine/>
    <w:qFormat/>
    <w:uiPriority w:val="0"/>
    <w:pPr>
      <w:widowControl/>
      <w:snapToGrid w:val="0"/>
      <w:spacing w:afterLines="50"/>
      <w:ind w:firstLine="200" w:firstLineChars="200"/>
    </w:pPr>
    <w:rPr>
      <w:kern w:val="0"/>
      <w:sz w:val="24"/>
      <w:szCs w:val="20"/>
    </w:rPr>
  </w:style>
  <w:style w:type="paragraph" w:customStyle="1" w:styleId="45">
    <w:name w:val="BodyText1I"/>
    <w:basedOn w:val="46"/>
    <w:autoRedefine/>
    <w:qFormat/>
    <w:uiPriority w:val="0"/>
    <w:pPr>
      <w:tabs>
        <w:tab w:val="left" w:pos="3380"/>
      </w:tabs>
      <w:ind w:firstLine="420" w:firstLineChars="100"/>
    </w:pPr>
    <w:rPr>
      <w:rFonts w:ascii="宋体" w:hAnsi="宋体"/>
      <w:sz w:val="28"/>
      <w:szCs w:val="28"/>
    </w:rPr>
  </w:style>
  <w:style w:type="paragraph" w:customStyle="1" w:styleId="46">
    <w:name w:val="BodyText"/>
    <w:basedOn w:val="1"/>
    <w:autoRedefine/>
    <w:qFormat/>
    <w:uiPriority w:val="0"/>
    <w:pPr>
      <w:tabs>
        <w:tab w:val="left" w:pos="3380"/>
      </w:tabs>
      <w:jc w:val="center"/>
      <w:textAlignment w:val="baseline"/>
    </w:pPr>
    <w:rPr>
      <w:rFonts w:ascii="Times New Roman"/>
      <w:b/>
      <w:bCs/>
      <w:spacing w:val="-20"/>
      <w:kern w:val="0"/>
      <w:sz w:val="36"/>
    </w:rPr>
  </w:style>
  <w:style w:type="paragraph" w:customStyle="1" w:styleId="47">
    <w:name w:val="[Normal]"/>
    <w:autoRedefine/>
    <w:qFormat/>
    <w:uiPriority w:val="0"/>
    <w:rPr>
      <w:rFonts w:ascii="宋体" w:hAnsi="宋体" w:eastAsia="宋体" w:cs="Times New Roman"/>
      <w:sz w:val="24"/>
      <w:szCs w:val="22"/>
      <w:lang w:val="zh-CN" w:eastAsia="zh-CN" w:bidi="ar-SA"/>
    </w:rPr>
  </w:style>
  <w:style w:type="character" w:customStyle="1" w:styleId="48">
    <w:name w:val="font41"/>
    <w:basedOn w:val="28"/>
    <w:autoRedefine/>
    <w:qFormat/>
    <w:uiPriority w:val="0"/>
    <w:rPr>
      <w:rFonts w:hint="eastAsia" w:ascii="宋体" w:hAnsi="宋体" w:eastAsia="宋体" w:cs="宋体"/>
      <w:color w:val="000000"/>
      <w:sz w:val="20"/>
      <w:szCs w:val="20"/>
      <w:u w:val="none"/>
    </w:rPr>
  </w:style>
  <w:style w:type="character" w:customStyle="1" w:styleId="49">
    <w:name w:val="NormalCharacter"/>
    <w:autoRedefine/>
    <w:qFormat/>
    <w:uiPriority w:val="0"/>
  </w:style>
  <w:style w:type="paragraph" w:customStyle="1" w:styleId="50">
    <w:name w:val="*正文"/>
    <w:basedOn w:val="1"/>
    <w:next w:val="1"/>
    <w:autoRedefine/>
    <w:qFormat/>
    <w:uiPriority w:val="0"/>
    <w:pPr>
      <w:widowControl/>
      <w:ind w:firstLine="200" w:firstLineChars="200"/>
      <w:jc w:val="left"/>
    </w:pPr>
    <w:rPr>
      <w:rFonts w:ascii="仿宋_GB2312" w:eastAsia="仿宋_GB2312"/>
      <w:szCs w:val="28"/>
    </w:rPr>
  </w:style>
  <w:style w:type="paragraph" w:customStyle="1" w:styleId="51">
    <w:name w:val="sp-正文"/>
    <w:basedOn w:val="1"/>
    <w:autoRedefine/>
    <w:qFormat/>
    <w:uiPriority w:val="9"/>
  </w:style>
  <w:style w:type="character" w:customStyle="1" w:styleId="52">
    <w:name w:val="批注框文本 字符"/>
    <w:basedOn w:val="28"/>
    <w:link w:val="16"/>
    <w:autoRedefine/>
    <w:qFormat/>
    <w:uiPriority w:val="0"/>
    <w:rPr>
      <w:rFonts w:ascii="Calibri" w:hAnsi="Calibri"/>
      <w:kern w:val="2"/>
      <w:sz w:val="18"/>
      <w:szCs w:val="18"/>
    </w:rPr>
  </w:style>
  <w:style w:type="character" w:customStyle="1" w:styleId="53">
    <w:name w:val="font21"/>
    <w:basedOn w:val="28"/>
    <w:autoRedefine/>
    <w:qFormat/>
    <w:uiPriority w:val="0"/>
    <w:rPr>
      <w:rFonts w:hint="eastAsia" w:ascii="仿宋" w:hAnsi="仿宋" w:eastAsia="仿宋" w:cs="仿宋"/>
      <w:color w:val="000000"/>
      <w:sz w:val="24"/>
      <w:szCs w:val="24"/>
      <w:u w:val="single"/>
    </w:rPr>
  </w:style>
  <w:style w:type="character" w:customStyle="1" w:styleId="54">
    <w:name w:val="font11"/>
    <w:basedOn w:val="28"/>
    <w:autoRedefine/>
    <w:qFormat/>
    <w:uiPriority w:val="0"/>
    <w:rPr>
      <w:rFonts w:hint="eastAsia" w:ascii="仿宋" w:hAnsi="仿宋" w:eastAsia="仿宋" w:cs="仿宋"/>
      <w:color w:val="000000"/>
      <w:sz w:val="24"/>
      <w:szCs w:val="24"/>
      <w:u w:val="none"/>
    </w:rPr>
  </w:style>
  <w:style w:type="paragraph" w:customStyle="1" w:styleId="55">
    <w:name w:val="样式 正文文本缩进 + 首行缩进:  2 字符 行距: 1.5 倍行距"/>
    <w:basedOn w:val="8"/>
    <w:autoRedefine/>
    <w:qFormat/>
    <w:uiPriority w:val="0"/>
    <w:pPr>
      <w:spacing w:before="156"/>
      <w:ind w:firstLine="482"/>
    </w:pPr>
    <w:rPr>
      <w:rFonts w:cs="宋体"/>
      <w:b/>
    </w:rPr>
  </w:style>
  <w:style w:type="paragraph" w:customStyle="1" w:styleId="56">
    <w:name w:val="列表段落1"/>
    <w:basedOn w:val="1"/>
    <w:autoRedefine/>
    <w:qFormat/>
    <w:uiPriority w:val="99"/>
    <w:pPr>
      <w:spacing w:line="360" w:lineRule="auto"/>
      <w:ind w:firstLine="420"/>
    </w:pPr>
    <w:rPr>
      <w:rFonts w:eastAsia="仿宋_GB2312" w:asciiTheme="minorHAnsi" w:hAnsiTheme="minorHAnsi"/>
      <w:spacing w:val="6"/>
      <w:szCs w:val="20"/>
    </w:rPr>
  </w:style>
  <w:style w:type="paragraph" w:customStyle="1" w:styleId="57">
    <w:name w:val="Heading3"/>
    <w:basedOn w:val="1"/>
    <w:next w:val="1"/>
    <w:autoRedefine/>
    <w:qFormat/>
    <w:uiPriority w:val="0"/>
    <w:pPr>
      <w:spacing w:before="120" w:after="120" w:line="300" w:lineRule="auto"/>
    </w:pPr>
    <w:rPr>
      <w:sz w:val="24"/>
      <w:szCs w:val="20"/>
    </w:rPr>
  </w:style>
  <w:style w:type="character" w:customStyle="1" w:styleId="58">
    <w:name w:val="font31"/>
    <w:basedOn w:val="28"/>
    <w:autoRedefine/>
    <w:qFormat/>
    <w:uiPriority w:val="0"/>
    <w:rPr>
      <w:rFonts w:hint="eastAsia" w:ascii="宋体" w:hAnsi="宋体" w:eastAsia="宋体" w:cs="宋体"/>
      <w:color w:val="000000"/>
      <w:sz w:val="20"/>
      <w:szCs w:val="20"/>
      <w:u w:val="none"/>
    </w:rPr>
  </w:style>
  <w:style w:type="character" w:customStyle="1" w:styleId="59">
    <w:name w:val="正文首行缩进 2 Char"/>
    <w:basedOn w:val="60"/>
    <w:link w:val="25"/>
    <w:autoRedefine/>
    <w:qFormat/>
    <w:uiPriority w:val="0"/>
    <w:rPr>
      <w:kern w:val="2"/>
      <w:sz w:val="21"/>
      <w:szCs w:val="24"/>
    </w:rPr>
  </w:style>
  <w:style w:type="character" w:customStyle="1" w:styleId="60">
    <w:name w:val="正文文本缩进 Char"/>
    <w:basedOn w:val="28"/>
    <w:link w:val="8"/>
    <w:autoRedefine/>
    <w:qFormat/>
    <w:uiPriority w:val="0"/>
    <w:rPr>
      <w:kern w:val="2"/>
      <w:sz w:val="21"/>
      <w:szCs w:val="24"/>
    </w:rPr>
  </w:style>
  <w:style w:type="character" w:customStyle="1" w:styleId="61">
    <w:name w:val="标题 1 Char"/>
    <w:basedOn w:val="28"/>
    <w:link w:val="2"/>
    <w:autoRedefine/>
    <w:qFormat/>
    <w:uiPriority w:val="0"/>
    <w:rPr>
      <w:b/>
      <w:bCs/>
      <w:kern w:val="44"/>
      <w:sz w:val="44"/>
      <w:szCs w:val="44"/>
    </w:rPr>
  </w:style>
  <w:style w:type="character" w:customStyle="1" w:styleId="62">
    <w:name w:val="正文缩进 Char"/>
    <w:basedOn w:val="28"/>
    <w:link w:val="7"/>
    <w:autoRedefine/>
    <w:qFormat/>
    <w:uiPriority w:val="0"/>
    <w:rPr>
      <w:kern w:val="2"/>
      <w:sz w:val="21"/>
    </w:rPr>
  </w:style>
  <w:style w:type="character" w:customStyle="1" w:styleId="63">
    <w:name w:val="正文首行缩进 Char"/>
    <w:basedOn w:val="64"/>
    <w:link w:val="24"/>
    <w:autoRedefine/>
    <w:qFormat/>
    <w:uiPriority w:val="0"/>
    <w:rPr>
      <w:kern w:val="2"/>
      <w:sz w:val="21"/>
      <w:szCs w:val="24"/>
    </w:rPr>
  </w:style>
  <w:style w:type="character" w:customStyle="1" w:styleId="64">
    <w:name w:val="正文文本 Char"/>
    <w:basedOn w:val="28"/>
    <w:link w:val="12"/>
    <w:autoRedefine/>
    <w:qFormat/>
    <w:uiPriority w:val="0"/>
    <w:rPr>
      <w:kern w:val="2"/>
      <w:sz w:val="21"/>
      <w:szCs w:val="24"/>
    </w:rPr>
  </w:style>
  <w:style w:type="character" w:customStyle="1" w:styleId="65">
    <w:name w:val="正文文本 Char1"/>
    <w:basedOn w:val="28"/>
    <w:link w:val="12"/>
    <w:autoRedefine/>
    <w:qFormat/>
    <w:uiPriority w:val="0"/>
    <w:rPr>
      <w:rFonts w:hint="eastAsia" w:ascii="宋体" w:hAnsi="宋体" w:eastAsia="宋体" w:cs="宋体"/>
      <w:kern w:val="2"/>
      <w:sz w:val="28"/>
      <w:szCs w:val="24"/>
    </w:rPr>
  </w:style>
  <w:style w:type="character" w:customStyle="1" w:styleId="66">
    <w:name w:val="标题 2 Char"/>
    <w:basedOn w:val="28"/>
    <w:link w:val="3"/>
    <w:autoRedefine/>
    <w:qFormat/>
    <w:uiPriority w:val="0"/>
    <w:rPr>
      <w:rFonts w:ascii="Cambria" w:hAnsi="Cambria" w:eastAsia="宋体"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51</Pages>
  <Words>25362</Words>
  <Characters>26947</Characters>
  <Lines>196</Lines>
  <Paragraphs>55</Paragraphs>
  <TotalTime>11</TotalTime>
  <ScaleCrop>false</ScaleCrop>
  <LinksUpToDate>false</LinksUpToDate>
  <CharactersWithSpaces>28022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2024-02-28T07:33:00Z</dcterms:created>
  <dc:creator>Administrator.PC-20160716QTOZ</dc:creator>
  <cp:lastModifiedBy>Administrator</cp:lastModifiedBy>
  <cp:lastPrinted>2024-04-25T06:06:00Z</cp:lastPrinted>
  <dcterms:modified xsi:type="dcterms:W3CDTF">2024-05-23T01:06:31Z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B8A1D418FDBC4A41BE3E58A7C1DC90B7_13</vt:lpwstr>
  </property>
  <property fmtid="{D5CDD505-2E9C-101B-9397-08002B2CF9AE}" pid="4" name="KSOSaveFontToCloudKey">
    <vt:lpwstr>240195731_btnclosed</vt:lpwstr>
  </property>
</Properties>
</file>