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600" w:lineRule="exact"/>
        <w:jc w:val="center"/>
        <w:rPr>
          <w:rFonts w:ascii="仿宋" w:hAnsi="仿宋" w:eastAsia="仿宋" w:cs="仿宋"/>
          <w:b/>
          <w:color w:val="auto"/>
          <w:kern w:val="0"/>
          <w:sz w:val="48"/>
          <w:szCs w:val="48"/>
          <w:highlight w:val="none"/>
        </w:rPr>
      </w:pPr>
    </w:p>
    <w:p>
      <w:pPr>
        <w:adjustRightInd w:val="0"/>
        <w:snapToGrid w:val="0"/>
        <w:spacing w:line="600" w:lineRule="exact"/>
        <w:jc w:val="center"/>
        <w:rPr>
          <w:rFonts w:ascii="仿宋" w:hAnsi="仿宋" w:eastAsia="仿宋" w:cs="仿宋"/>
          <w:b/>
          <w:color w:val="auto"/>
          <w:kern w:val="0"/>
          <w:sz w:val="48"/>
          <w:szCs w:val="48"/>
          <w:highlight w:val="none"/>
        </w:rPr>
      </w:pPr>
    </w:p>
    <w:p>
      <w:pPr>
        <w:widowControl/>
        <w:spacing w:line="900" w:lineRule="exact"/>
        <w:jc w:val="center"/>
        <w:rPr>
          <w:rFonts w:hint="eastAsia" w:ascii="仿宋" w:hAnsi="仿宋" w:eastAsia="仿宋" w:cs="仿宋"/>
          <w:b/>
          <w:color w:val="auto"/>
          <w:kern w:val="0"/>
          <w:sz w:val="36"/>
          <w:szCs w:val="36"/>
          <w:highlight w:val="none"/>
          <w:lang w:eastAsia="zh-CN"/>
        </w:rPr>
      </w:pPr>
      <w:r>
        <w:rPr>
          <w:rFonts w:hint="eastAsia" w:ascii="仿宋" w:hAnsi="仿宋" w:eastAsia="仿宋" w:cs="仿宋"/>
          <w:b/>
          <w:color w:val="auto"/>
          <w:kern w:val="0"/>
          <w:sz w:val="36"/>
          <w:szCs w:val="36"/>
          <w:highlight w:val="none"/>
          <w:lang w:eastAsia="zh-CN"/>
        </w:rPr>
        <w:t>湖州市人民政府滨湖街道办事处</w:t>
      </w:r>
    </w:p>
    <w:p>
      <w:pPr>
        <w:widowControl/>
        <w:spacing w:line="900" w:lineRule="exact"/>
        <w:jc w:val="center"/>
        <w:rPr>
          <w:rFonts w:ascii="仿宋" w:hAnsi="仿宋" w:eastAsia="仿宋" w:cs="仿宋"/>
          <w:b/>
          <w:color w:val="auto"/>
          <w:kern w:val="0"/>
          <w:sz w:val="48"/>
          <w:szCs w:val="48"/>
          <w:highlight w:val="none"/>
        </w:rPr>
      </w:pPr>
      <w:r>
        <w:rPr>
          <w:rFonts w:hint="eastAsia" w:ascii="仿宋" w:hAnsi="仿宋" w:eastAsia="仿宋" w:cs="仿宋"/>
          <w:b/>
          <w:color w:val="auto"/>
          <w:kern w:val="0"/>
          <w:sz w:val="36"/>
          <w:szCs w:val="36"/>
          <w:highlight w:val="none"/>
          <w:lang w:eastAsia="zh-CN"/>
        </w:rPr>
        <w:t xml:space="preserve">街道机关2024年度食堂食材第三方配送及食堂运维项目 </w:t>
      </w:r>
      <w:r>
        <w:rPr>
          <w:rFonts w:hint="eastAsia" w:ascii="仿宋" w:hAnsi="仿宋" w:eastAsia="仿宋" w:cs="仿宋"/>
          <w:b/>
          <w:color w:val="auto"/>
          <w:kern w:val="0"/>
          <w:sz w:val="48"/>
          <w:szCs w:val="48"/>
          <w:highlight w:val="none"/>
          <w:lang w:eastAsia="zh-CN"/>
        </w:rPr>
        <w:t xml:space="preserve">   </w:t>
      </w:r>
      <w:r>
        <w:rPr>
          <w:rFonts w:hint="eastAsia" w:ascii="仿宋" w:hAnsi="仿宋" w:eastAsia="仿宋" w:cs="仿宋"/>
          <w:b/>
          <w:color w:val="auto"/>
          <w:kern w:val="0"/>
          <w:sz w:val="48"/>
          <w:szCs w:val="48"/>
          <w:highlight w:val="none"/>
        </w:rPr>
        <w:t xml:space="preserve"> </w:t>
      </w:r>
    </w:p>
    <w:p>
      <w:pPr>
        <w:widowControl/>
        <w:spacing w:line="900" w:lineRule="exact"/>
        <w:jc w:val="center"/>
        <w:rPr>
          <w:rFonts w:ascii="仿宋" w:hAnsi="仿宋" w:eastAsia="仿宋" w:cs="仿宋"/>
          <w:b/>
          <w:color w:val="auto"/>
          <w:kern w:val="0"/>
          <w:sz w:val="32"/>
          <w:szCs w:val="32"/>
          <w:highlight w:val="none"/>
        </w:rPr>
      </w:pPr>
      <w:r>
        <w:rPr>
          <w:rFonts w:hint="eastAsia" w:ascii="仿宋" w:hAnsi="仿宋" w:eastAsia="仿宋" w:cs="仿宋"/>
          <w:color w:val="auto"/>
          <w:sz w:val="30"/>
          <w:szCs w:val="30"/>
          <w:highlight w:val="none"/>
        </w:rPr>
        <w:t>（财政审批编号:</w:t>
      </w:r>
      <w:r>
        <w:rPr>
          <w:rFonts w:hint="eastAsia" w:ascii="仿宋" w:hAnsi="仿宋" w:eastAsia="仿宋" w:cs="仿宋"/>
          <w:color w:val="auto"/>
          <w:sz w:val="30"/>
          <w:szCs w:val="30"/>
          <w:highlight w:val="none"/>
          <w:lang w:val="en-US" w:eastAsia="zh-CN"/>
        </w:rPr>
        <w:t>南太湖新区财采确临[2024]19号</w:t>
      </w:r>
      <w:r>
        <w:rPr>
          <w:rFonts w:hint="eastAsia" w:ascii="仿宋" w:hAnsi="仿宋" w:eastAsia="仿宋" w:cs="仿宋"/>
          <w:color w:val="auto"/>
          <w:sz w:val="30"/>
          <w:szCs w:val="30"/>
          <w:highlight w:val="none"/>
        </w:rPr>
        <w:t>）</w:t>
      </w:r>
    </w:p>
    <w:p>
      <w:pPr>
        <w:adjustRightInd w:val="0"/>
        <w:snapToGrid w:val="0"/>
        <w:spacing w:line="600" w:lineRule="exact"/>
        <w:rPr>
          <w:rFonts w:ascii="仿宋" w:hAnsi="仿宋" w:eastAsia="仿宋" w:cs="仿宋"/>
          <w:b/>
          <w:snapToGrid w:val="0"/>
          <w:color w:val="auto"/>
          <w:sz w:val="84"/>
          <w:szCs w:val="84"/>
          <w:highlight w:val="none"/>
        </w:rPr>
      </w:pPr>
    </w:p>
    <w:p>
      <w:pPr>
        <w:adjustRightInd w:val="0"/>
        <w:snapToGrid w:val="0"/>
        <w:spacing w:line="600" w:lineRule="exact"/>
        <w:jc w:val="center"/>
        <w:rPr>
          <w:rFonts w:ascii="仿宋" w:hAnsi="仿宋" w:eastAsia="仿宋" w:cs="仿宋"/>
          <w:b/>
          <w:snapToGrid w:val="0"/>
          <w:color w:val="auto"/>
          <w:sz w:val="84"/>
          <w:szCs w:val="84"/>
          <w:highlight w:val="none"/>
        </w:rPr>
      </w:pPr>
    </w:p>
    <w:p>
      <w:pPr>
        <w:adjustRightInd w:val="0"/>
        <w:snapToGrid w:val="0"/>
        <w:spacing w:line="800" w:lineRule="atLeast"/>
        <w:jc w:val="center"/>
        <w:rPr>
          <w:rFonts w:ascii="仿宋" w:hAnsi="仿宋" w:eastAsia="仿宋" w:cs="仿宋"/>
          <w:b/>
          <w:snapToGrid w:val="0"/>
          <w:color w:val="auto"/>
          <w:sz w:val="84"/>
          <w:szCs w:val="84"/>
          <w:highlight w:val="none"/>
        </w:rPr>
      </w:pPr>
      <w:r>
        <w:rPr>
          <w:rFonts w:hint="eastAsia" w:ascii="仿宋" w:hAnsi="仿宋" w:eastAsia="仿宋" w:cs="仿宋"/>
          <w:b/>
          <w:snapToGrid w:val="0"/>
          <w:color w:val="auto"/>
          <w:sz w:val="72"/>
          <w:szCs w:val="72"/>
          <w:highlight w:val="none"/>
        </w:rPr>
        <w:t>竞争性磋商文件</w:t>
      </w:r>
    </w:p>
    <w:p>
      <w:pPr>
        <w:adjustRightInd w:val="0"/>
        <w:snapToGrid w:val="0"/>
        <w:spacing w:line="500" w:lineRule="exact"/>
        <w:jc w:val="center"/>
        <w:rPr>
          <w:rFonts w:ascii="仿宋" w:hAnsi="仿宋" w:eastAsia="仿宋" w:cs="仿宋"/>
          <w:bCs/>
          <w:snapToGrid w:val="0"/>
          <w:color w:val="auto"/>
          <w:sz w:val="28"/>
          <w:szCs w:val="28"/>
          <w:highlight w:val="none"/>
        </w:rPr>
      </w:pPr>
      <w:r>
        <w:rPr>
          <w:rFonts w:hint="eastAsia" w:ascii="仿宋" w:hAnsi="仿宋" w:eastAsia="仿宋" w:cs="仿宋"/>
          <w:bCs/>
          <w:snapToGrid w:val="0"/>
          <w:color w:val="auto"/>
          <w:sz w:val="28"/>
          <w:szCs w:val="28"/>
          <w:highlight w:val="none"/>
        </w:rPr>
        <w:t>（全流程电子）</w:t>
      </w:r>
    </w:p>
    <w:p>
      <w:pPr>
        <w:adjustRightInd w:val="0"/>
        <w:snapToGrid w:val="0"/>
        <w:spacing w:line="500" w:lineRule="exact"/>
        <w:rPr>
          <w:rFonts w:ascii="仿宋" w:hAnsi="仿宋" w:eastAsia="仿宋" w:cs="仿宋"/>
          <w:bCs/>
          <w:snapToGrid w:val="0"/>
          <w:color w:val="auto"/>
          <w:sz w:val="32"/>
          <w:highlight w:val="none"/>
        </w:rPr>
      </w:pPr>
    </w:p>
    <w:p>
      <w:pPr>
        <w:adjustRightInd w:val="0"/>
        <w:snapToGrid w:val="0"/>
        <w:spacing w:line="500" w:lineRule="exact"/>
        <w:rPr>
          <w:rFonts w:ascii="仿宋" w:hAnsi="仿宋" w:eastAsia="仿宋" w:cs="仿宋"/>
          <w:bCs/>
          <w:snapToGrid w:val="0"/>
          <w:color w:val="auto"/>
          <w:sz w:val="32"/>
          <w:highlight w:val="none"/>
        </w:rPr>
      </w:pPr>
    </w:p>
    <w:p>
      <w:pPr>
        <w:adjustRightInd w:val="0"/>
        <w:snapToGrid w:val="0"/>
        <w:spacing w:line="500" w:lineRule="exact"/>
        <w:rPr>
          <w:rFonts w:ascii="仿宋" w:hAnsi="仿宋" w:eastAsia="仿宋" w:cs="仿宋"/>
          <w:bCs/>
          <w:snapToGrid w:val="0"/>
          <w:color w:val="auto"/>
          <w:sz w:val="32"/>
          <w:highlight w:val="none"/>
        </w:rPr>
      </w:pPr>
    </w:p>
    <w:p>
      <w:pPr>
        <w:adjustRightInd w:val="0"/>
        <w:snapToGrid w:val="0"/>
        <w:spacing w:line="640" w:lineRule="exact"/>
        <w:ind w:firstLine="301" w:firstLineChars="100"/>
        <w:rPr>
          <w:rFonts w:ascii="仿宋" w:hAnsi="仿宋" w:eastAsia="仿宋" w:cs="仿宋"/>
          <w:snapToGrid w:val="0"/>
          <w:color w:val="auto"/>
          <w:sz w:val="30"/>
          <w:szCs w:val="30"/>
          <w:highlight w:val="none"/>
          <w:u w:val="single"/>
        </w:rPr>
      </w:pPr>
      <w:r>
        <w:rPr>
          <w:rFonts w:hint="eastAsia" w:ascii="仿宋" w:hAnsi="仿宋" w:eastAsia="仿宋" w:cs="仿宋"/>
          <w:b/>
          <w:snapToGrid w:val="0"/>
          <w:color w:val="auto"/>
          <w:sz w:val="30"/>
          <w:szCs w:val="30"/>
          <w:highlight w:val="none"/>
        </w:rPr>
        <w:t>项目编号</w:t>
      </w:r>
      <w:r>
        <w:rPr>
          <w:rFonts w:hint="eastAsia" w:ascii="仿宋" w:hAnsi="仿宋" w:eastAsia="仿宋" w:cs="仿宋"/>
          <w:snapToGrid w:val="0"/>
          <w:color w:val="auto"/>
          <w:sz w:val="30"/>
          <w:szCs w:val="30"/>
          <w:highlight w:val="none"/>
        </w:rPr>
        <w:t>：</w:t>
      </w:r>
      <w:r>
        <w:rPr>
          <w:rFonts w:hint="eastAsia" w:ascii="仿宋" w:hAnsi="仿宋" w:eastAsia="仿宋" w:cs="仿宋"/>
          <w:snapToGrid w:val="0"/>
          <w:color w:val="auto"/>
          <w:sz w:val="30"/>
          <w:szCs w:val="30"/>
          <w:highlight w:val="none"/>
          <w:u w:val="single"/>
          <w:lang w:eastAsia="zh-CN"/>
        </w:rPr>
        <w:t>XCXHZ-202</w:t>
      </w:r>
      <w:r>
        <w:rPr>
          <w:rFonts w:hint="eastAsia" w:ascii="仿宋" w:hAnsi="仿宋" w:eastAsia="仿宋" w:cs="仿宋"/>
          <w:snapToGrid w:val="0"/>
          <w:color w:val="auto"/>
          <w:sz w:val="30"/>
          <w:szCs w:val="30"/>
          <w:highlight w:val="none"/>
          <w:u w:val="single"/>
          <w:lang w:val="en-US" w:eastAsia="zh-CN"/>
        </w:rPr>
        <w:t>4</w:t>
      </w:r>
      <w:r>
        <w:rPr>
          <w:rFonts w:hint="eastAsia" w:ascii="仿宋" w:hAnsi="仿宋" w:eastAsia="仿宋" w:cs="仿宋"/>
          <w:snapToGrid w:val="0"/>
          <w:color w:val="auto"/>
          <w:sz w:val="30"/>
          <w:szCs w:val="30"/>
          <w:highlight w:val="none"/>
          <w:u w:val="single"/>
          <w:lang w:eastAsia="zh-CN"/>
        </w:rPr>
        <w:t>-</w:t>
      </w:r>
      <w:r>
        <w:rPr>
          <w:rFonts w:hint="eastAsia" w:ascii="仿宋" w:hAnsi="仿宋" w:eastAsia="仿宋" w:cs="仿宋"/>
          <w:snapToGrid w:val="0"/>
          <w:color w:val="auto"/>
          <w:sz w:val="30"/>
          <w:szCs w:val="30"/>
          <w:highlight w:val="none"/>
          <w:u w:val="single"/>
          <w:lang w:val="en-US" w:eastAsia="zh-CN"/>
        </w:rPr>
        <w:t>003</w:t>
      </w:r>
      <w:r>
        <w:rPr>
          <w:rFonts w:hint="eastAsia" w:ascii="仿宋" w:hAnsi="仿宋" w:eastAsia="仿宋" w:cs="仿宋"/>
          <w:snapToGrid w:val="0"/>
          <w:color w:val="auto"/>
          <w:sz w:val="30"/>
          <w:szCs w:val="30"/>
          <w:highlight w:val="none"/>
          <w:u w:val="single"/>
          <w:lang w:eastAsia="zh-CN"/>
        </w:rPr>
        <w:t xml:space="preserve">（CG） </w:t>
      </w:r>
      <w:r>
        <w:rPr>
          <w:rFonts w:hint="eastAsia" w:ascii="仿宋" w:hAnsi="仿宋" w:eastAsia="仿宋" w:cs="仿宋"/>
          <w:snapToGrid w:val="0"/>
          <w:color w:val="auto"/>
          <w:sz w:val="30"/>
          <w:szCs w:val="30"/>
          <w:highlight w:val="none"/>
          <w:u w:val="single"/>
        </w:rPr>
        <w:t xml:space="preserve">                                 </w:t>
      </w:r>
    </w:p>
    <w:p>
      <w:pPr>
        <w:adjustRightInd w:val="0"/>
        <w:snapToGrid w:val="0"/>
        <w:spacing w:line="640" w:lineRule="exact"/>
        <w:ind w:left="1821" w:leftChars="150" w:hanging="1506" w:hangingChars="500"/>
        <w:rPr>
          <w:rFonts w:ascii="仿宋" w:hAnsi="仿宋" w:eastAsia="仿宋" w:cs="仿宋"/>
          <w:snapToGrid w:val="0"/>
          <w:color w:val="auto"/>
          <w:sz w:val="30"/>
          <w:szCs w:val="30"/>
          <w:highlight w:val="none"/>
          <w:u w:val="single"/>
        </w:rPr>
      </w:pPr>
      <w:r>
        <w:rPr>
          <w:rFonts w:hint="eastAsia" w:ascii="仿宋" w:hAnsi="仿宋" w:eastAsia="仿宋" w:cs="仿宋"/>
          <w:b/>
          <w:snapToGrid w:val="0"/>
          <w:color w:val="auto"/>
          <w:sz w:val="30"/>
          <w:szCs w:val="30"/>
          <w:highlight w:val="none"/>
        </w:rPr>
        <w:t>项目名称：</w:t>
      </w:r>
      <w:r>
        <w:rPr>
          <w:rFonts w:hint="eastAsia" w:ascii="仿宋" w:hAnsi="仿宋" w:eastAsia="仿宋" w:cs="仿宋"/>
          <w:color w:val="auto"/>
          <w:kern w:val="0"/>
          <w:sz w:val="30"/>
          <w:szCs w:val="30"/>
          <w:highlight w:val="none"/>
          <w:u w:val="single"/>
          <w:lang w:eastAsia="zh-CN"/>
        </w:rPr>
        <w:t xml:space="preserve">街道机关2024年度食堂食材第三方配送及食堂运维项目    </w:t>
      </w:r>
      <w:r>
        <w:rPr>
          <w:rFonts w:hint="eastAsia" w:ascii="仿宋" w:hAnsi="仿宋" w:eastAsia="仿宋" w:cs="仿宋"/>
          <w:color w:val="auto"/>
          <w:kern w:val="0"/>
          <w:sz w:val="30"/>
          <w:szCs w:val="30"/>
          <w:highlight w:val="none"/>
          <w:u w:val="single"/>
        </w:rPr>
        <w:t xml:space="preserve">                        </w:t>
      </w:r>
      <w:r>
        <w:rPr>
          <w:rFonts w:hint="eastAsia" w:ascii="仿宋" w:hAnsi="仿宋" w:eastAsia="仿宋" w:cs="仿宋"/>
          <w:color w:val="auto"/>
          <w:kern w:val="0"/>
          <w:sz w:val="30"/>
          <w:szCs w:val="30"/>
          <w:highlight w:val="none"/>
          <w:u w:val="single"/>
          <w:lang w:val="en-US" w:eastAsia="zh-CN"/>
        </w:rPr>
        <w:t xml:space="preserve">          </w:t>
      </w:r>
      <w:r>
        <w:rPr>
          <w:rFonts w:hint="eastAsia" w:ascii="仿宋" w:hAnsi="仿宋" w:eastAsia="仿宋" w:cs="仿宋"/>
          <w:color w:val="auto"/>
          <w:kern w:val="0"/>
          <w:sz w:val="30"/>
          <w:szCs w:val="30"/>
          <w:highlight w:val="none"/>
          <w:u w:val="single"/>
        </w:rPr>
        <w:t xml:space="preserve"> </w:t>
      </w:r>
    </w:p>
    <w:p>
      <w:pPr>
        <w:adjustRightInd w:val="0"/>
        <w:snapToGrid w:val="0"/>
        <w:spacing w:line="640" w:lineRule="exact"/>
        <w:ind w:left="1670" w:leftChars="150" w:hanging="1355" w:hangingChars="450"/>
        <w:rPr>
          <w:rFonts w:ascii="仿宋" w:hAnsi="仿宋" w:eastAsia="仿宋" w:cs="仿宋"/>
          <w:color w:val="auto"/>
          <w:kern w:val="0"/>
          <w:sz w:val="30"/>
          <w:szCs w:val="30"/>
          <w:highlight w:val="none"/>
          <w:u w:val="single"/>
        </w:rPr>
      </w:pPr>
      <w:r>
        <w:rPr>
          <w:rFonts w:hint="eastAsia" w:ascii="仿宋" w:hAnsi="仿宋" w:eastAsia="仿宋" w:cs="仿宋"/>
          <w:b/>
          <w:snapToGrid w:val="0"/>
          <w:color w:val="auto"/>
          <w:sz w:val="30"/>
          <w:szCs w:val="30"/>
          <w:highlight w:val="none"/>
        </w:rPr>
        <w:t>采 购 人：</w:t>
      </w:r>
      <w:r>
        <w:rPr>
          <w:rFonts w:hint="eastAsia" w:ascii="仿宋" w:hAnsi="仿宋" w:eastAsia="仿宋" w:cs="仿宋"/>
          <w:b/>
          <w:snapToGrid w:val="0"/>
          <w:color w:val="auto"/>
          <w:sz w:val="30"/>
          <w:szCs w:val="30"/>
          <w:highlight w:val="none"/>
          <w:lang w:val="en-US" w:eastAsia="zh-CN"/>
        </w:rPr>
        <w:t xml:space="preserve"> </w:t>
      </w:r>
      <w:r>
        <w:rPr>
          <w:rFonts w:hint="eastAsia" w:ascii="仿宋" w:hAnsi="仿宋" w:eastAsia="仿宋" w:cs="仿宋"/>
          <w:color w:val="auto"/>
          <w:sz w:val="28"/>
          <w:szCs w:val="28"/>
          <w:highlight w:val="none"/>
          <w:u w:val="single"/>
          <w:lang w:eastAsia="zh-CN"/>
        </w:rPr>
        <w:t>湖州市人民政府滨湖街道办事处</w:t>
      </w:r>
      <w:r>
        <w:rPr>
          <w:rFonts w:hint="eastAsia" w:ascii="仿宋" w:hAnsi="仿宋" w:eastAsia="仿宋" w:cs="仿宋"/>
          <w:color w:val="auto"/>
          <w:kern w:val="0"/>
          <w:sz w:val="30"/>
          <w:szCs w:val="30"/>
          <w:highlight w:val="none"/>
          <w:u w:val="single"/>
        </w:rPr>
        <w:t xml:space="preserve">                  （盖章）</w:t>
      </w:r>
    </w:p>
    <w:p>
      <w:pPr>
        <w:adjustRightInd w:val="0"/>
        <w:snapToGrid w:val="0"/>
        <w:spacing w:line="640" w:lineRule="exact"/>
        <w:ind w:firstLine="301" w:firstLineChars="100"/>
        <w:rPr>
          <w:rFonts w:ascii="仿宋" w:hAnsi="仿宋" w:eastAsia="仿宋" w:cs="仿宋"/>
          <w:bCs/>
          <w:snapToGrid w:val="0"/>
          <w:color w:val="auto"/>
          <w:sz w:val="30"/>
          <w:szCs w:val="30"/>
          <w:highlight w:val="none"/>
        </w:rPr>
      </w:pPr>
      <w:r>
        <w:rPr>
          <w:rFonts w:hint="eastAsia" w:ascii="仿宋" w:hAnsi="仿宋" w:eastAsia="仿宋" w:cs="仿宋"/>
          <w:b/>
          <w:snapToGrid w:val="0"/>
          <w:color w:val="auto"/>
          <w:sz w:val="30"/>
          <w:szCs w:val="30"/>
          <w:highlight w:val="none"/>
        </w:rPr>
        <w:t>代理机构：</w:t>
      </w:r>
      <w:r>
        <w:rPr>
          <w:rFonts w:hint="eastAsia" w:ascii="仿宋" w:hAnsi="仿宋" w:eastAsia="仿宋" w:cs="仿宋"/>
          <w:b/>
          <w:snapToGrid w:val="0"/>
          <w:color w:val="auto"/>
          <w:sz w:val="30"/>
          <w:szCs w:val="30"/>
          <w:highlight w:val="none"/>
          <w:lang w:val="en-US" w:eastAsia="zh-CN"/>
        </w:rPr>
        <w:t xml:space="preserve"> </w:t>
      </w:r>
      <w:r>
        <w:rPr>
          <w:rFonts w:hint="eastAsia" w:ascii="仿宋" w:hAnsi="仿宋" w:eastAsia="仿宋" w:cs="仿宋"/>
          <w:snapToGrid w:val="0"/>
          <w:color w:val="auto"/>
          <w:sz w:val="30"/>
          <w:szCs w:val="30"/>
          <w:highlight w:val="none"/>
          <w:u w:val="single"/>
          <w:lang w:eastAsia="zh-CN"/>
        </w:rPr>
        <w:t xml:space="preserve">浙江新诚信工程咨询有限公司 </w:t>
      </w:r>
      <w:r>
        <w:rPr>
          <w:rFonts w:hint="eastAsia" w:ascii="仿宋" w:hAnsi="仿宋" w:eastAsia="仿宋" w:cs="仿宋"/>
          <w:snapToGrid w:val="0"/>
          <w:color w:val="auto"/>
          <w:sz w:val="30"/>
          <w:szCs w:val="30"/>
          <w:highlight w:val="none"/>
          <w:u w:val="single"/>
        </w:rPr>
        <w:t xml:space="preserve">                 （盖章）</w:t>
      </w:r>
    </w:p>
    <w:p>
      <w:pPr>
        <w:spacing w:line="640" w:lineRule="exact"/>
        <w:jc w:val="center"/>
        <w:rPr>
          <w:rFonts w:hint="eastAsia" w:ascii="仿宋" w:hAnsi="仿宋" w:eastAsia="仿宋" w:cs="仿宋"/>
          <w:b/>
          <w:snapToGrid w:val="0"/>
          <w:color w:val="auto"/>
          <w:sz w:val="30"/>
          <w:szCs w:val="30"/>
          <w:highlight w:val="none"/>
        </w:rPr>
      </w:pPr>
    </w:p>
    <w:p>
      <w:pPr>
        <w:spacing w:line="640" w:lineRule="exact"/>
        <w:jc w:val="center"/>
        <w:rPr>
          <w:rFonts w:ascii="仿宋" w:hAnsi="仿宋" w:eastAsia="仿宋" w:cs="仿宋"/>
          <w:b/>
          <w:color w:val="auto"/>
          <w:sz w:val="30"/>
          <w:szCs w:val="30"/>
          <w:highlight w:val="none"/>
        </w:rPr>
      </w:pPr>
      <w:r>
        <w:rPr>
          <w:rFonts w:hint="eastAsia" w:ascii="仿宋" w:hAnsi="仿宋" w:eastAsia="仿宋" w:cs="仿宋"/>
          <w:b/>
          <w:snapToGrid w:val="0"/>
          <w:color w:val="auto"/>
          <w:sz w:val="30"/>
          <w:szCs w:val="30"/>
          <w:highlight w:val="none"/>
        </w:rPr>
        <w:t>202</w:t>
      </w:r>
      <w:r>
        <w:rPr>
          <w:rFonts w:hint="eastAsia" w:ascii="仿宋" w:hAnsi="仿宋" w:eastAsia="仿宋" w:cs="仿宋"/>
          <w:b/>
          <w:snapToGrid w:val="0"/>
          <w:color w:val="auto"/>
          <w:sz w:val="30"/>
          <w:szCs w:val="30"/>
          <w:highlight w:val="none"/>
          <w:lang w:val="en-US" w:eastAsia="zh-CN"/>
        </w:rPr>
        <w:t>4</w:t>
      </w:r>
      <w:r>
        <w:rPr>
          <w:rFonts w:hint="eastAsia" w:ascii="仿宋" w:hAnsi="仿宋" w:eastAsia="仿宋" w:cs="仿宋"/>
          <w:b/>
          <w:snapToGrid w:val="0"/>
          <w:color w:val="auto"/>
          <w:sz w:val="30"/>
          <w:szCs w:val="30"/>
          <w:highlight w:val="none"/>
        </w:rPr>
        <w:t>年</w:t>
      </w:r>
      <w:r>
        <w:rPr>
          <w:rFonts w:hint="eastAsia" w:ascii="仿宋" w:hAnsi="仿宋" w:eastAsia="仿宋" w:cs="仿宋"/>
          <w:b/>
          <w:snapToGrid w:val="0"/>
          <w:color w:val="auto"/>
          <w:sz w:val="30"/>
          <w:szCs w:val="30"/>
          <w:highlight w:val="none"/>
          <w:lang w:val="en-US" w:eastAsia="zh-CN"/>
        </w:rPr>
        <w:t>1</w:t>
      </w:r>
      <w:r>
        <w:rPr>
          <w:rFonts w:hint="eastAsia" w:ascii="仿宋" w:hAnsi="仿宋" w:eastAsia="仿宋" w:cs="仿宋"/>
          <w:b/>
          <w:snapToGrid w:val="0"/>
          <w:color w:val="auto"/>
          <w:sz w:val="30"/>
          <w:szCs w:val="30"/>
          <w:highlight w:val="none"/>
        </w:rPr>
        <w:t>月</w:t>
      </w:r>
    </w:p>
    <w:p>
      <w:pPr>
        <w:rPr>
          <w:rFonts w:ascii="仿宋" w:hAnsi="仿宋" w:eastAsia="仿宋" w:cs="仿宋"/>
          <w:b/>
          <w:color w:val="auto"/>
          <w:sz w:val="44"/>
          <w:szCs w:val="44"/>
          <w:highlight w:val="none"/>
        </w:rPr>
      </w:pPr>
    </w:p>
    <w:p>
      <w:pPr>
        <w:rPr>
          <w:rFonts w:ascii="仿宋" w:hAnsi="仿宋" w:eastAsia="仿宋" w:cs="仿宋"/>
          <w:b/>
          <w:color w:val="auto"/>
          <w:sz w:val="44"/>
          <w:szCs w:val="44"/>
          <w:highlight w:val="none"/>
        </w:rPr>
      </w:pPr>
      <w:r>
        <w:rPr>
          <w:rFonts w:hint="eastAsia" w:ascii="仿宋" w:hAnsi="仿宋" w:eastAsia="仿宋" w:cs="仿宋"/>
          <w:b/>
          <w:color w:val="auto"/>
          <w:sz w:val="44"/>
          <w:szCs w:val="44"/>
          <w:highlight w:val="none"/>
        </w:rPr>
        <w:br w:type="page"/>
      </w:r>
    </w:p>
    <w:p>
      <w:pPr>
        <w:jc w:val="center"/>
        <w:rPr>
          <w:rFonts w:ascii="仿宋" w:hAnsi="仿宋" w:eastAsia="仿宋" w:cs="仿宋"/>
          <w:b/>
          <w:color w:val="auto"/>
          <w:sz w:val="44"/>
          <w:szCs w:val="44"/>
          <w:highlight w:val="none"/>
        </w:rPr>
      </w:pPr>
      <w:r>
        <w:rPr>
          <w:rFonts w:hint="eastAsia" w:ascii="仿宋" w:hAnsi="仿宋" w:eastAsia="仿宋" w:cs="仿宋"/>
          <w:b/>
          <w:color w:val="auto"/>
          <w:sz w:val="44"/>
          <w:szCs w:val="44"/>
          <w:highlight w:val="none"/>
        </w:rPr>
        <w:t>目  录</w:t>
      </w:r>
    </w:p>
    <w:p>
      <w:pPr>
        <w:adjustRightInd w:val="0"/>
        <w:snapToGrid w:val="0"/>
        <w:spacing w:line="360" w:lineRule="auto"/>
        <w:rPr>
          <w:rFonts w:ascii="仿宋" w:hAnsi="仿宋" w:eastAsia="仿宋" w:cs="仿宋"/>
          <w:color w:val="auto"/>
          <w:sz w:val="30"/>
          <w:szCs w:val="30"/>
          <w:highlight w:val="none"/>
        </w:rPr>
      </w:pPr>
    </w:p>
    <w:p>
      <w:pPr>
        <w:adjustRightInd w:val="0"/>
        <w:snapToGrid w:val="0"/>
        <w:spacing w:line="360" w:lineRule="auto"/>
        <w:jc w:val="distribute"/>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第一章 竞争性磋商公告</w:t>
      </w:r>
      <w:r>
        <w:rPr>
          <w:rFonts w:hint="eastAsia" w:ascii="仿宋" w:hAnsi="仿宋" w:eastAsia="仿宋" w:cs="仿宋"/>
          <w:b/>
          <w:bCs/>
          <w:color w:val="auto"/>
          <w:sz w:val="30"/>
          <w:szCs w:val="30"/>
          <w:highlight w:val="none"/>
        </w:rPr>
        <w:t>……………………………………………03</w:t>
      </w:r>
    </w:p>
    <w:p>
      <w:pPr>
        <w:adjustRightInd w:val="0"/>
        <w:snapToGrid w:val="0"/>
        <w:spacing w:line="480" w:lineRule="auto"/>
        <w:jc w:val="distribute"/>
        <w:rPr>
          <w:rFonts w:hint="eastAsia" w:ascii="仿宋" w:hAnsi="仿宋" w:eastAsia="仿宋" w:cs="仿宋"/>
          <w:b/>
          <w:bCs/>
          <w:color w:val="auto"/>
          <w:sz w:val="30"/>
          <w:szCs w:val="30"/>
          <w:highlight w:val="none"/>
          <w:lang w:eastAsia="zh-CN"/>
        </w:rPr>
      </w:pPr>
      <w:r>
        <w:rPr>
          <w:rFonts w:hint="eastAsia" w:ascii="仿宋" w:hAnsi="仿宋" w:eastAsia="仿宋" w:cs="仿宋"/>
          <w:b/>
          <w:bCs/>
          <w:color w:val="auto"/>
          <w:sz w:val="30"/>
          <w:szCs w:val="30"/>
          <w:highlight w:val="none"/>
        </w:rPr>
        <w:t>第二章 磋商项目采购需求…………………………………………0</w:t>
      </w:r>
      <w:r>
        <w:rPr>
          <w:rFonts w:hint="eastAsia" w:ascii="仿宋" w:hAnsi="仿宋" w:eastAsia="仿宋" w:cs="仿宋"/>
          <w:b/>
          <w:bCs/>
          <w:color w:val="auto"/>
          <w:sz w:val="30"/>
          <w:szCs w:val="30"/>
          <w:highlight w:val="none"/>
          <w:lang w:val="en-US" w:eastAsia="zh-CN"/>
        </w:rPr>
        <w:t>8</w:t>
      </w:r>
    </w:p>
    <w:p>
      <w:pPr>
        <w:adjustRightInd w:val="0"/>
        <w:snapToGrid w:val="0"/>
        <w:spacing w:line="480" w:lineRule="auto"/>
        <w:jc w:val="distribute"/>
        <w:rPr>
          <w:rFonts w:hint="default" w:ascii="仿宋" w:hAnsi="仿宋" w:eastAsia="仿宋" w:cs="仿宋"/>
          <w:b/>
          <w:bCs/>
          <w:color w:val="auto"/>
          <w:sz w:val="30"/>
          <w:szCs w:val="30"/>
          <w:highlight w:val="none"/>
          <w:lang w:val="en-US" w:eastAsia="zh-CN"/>
        </w:rPr>
      </w:pPr>
      <w:r>
        <w:rPr>
          <w:rFonts w:hint="eastAsia" w:ascii="仿宋" w:hAnsi="仿宋" w:eastAsia="仿宋" w:cs="仿宋"/>
          <w:b/>
          <w:bCs/>
          <w:color w:val="auto"/>
          <w:sz w:val="30"/>
          <w:szCs w:val="30"/>
          <w:highlight w:val="none"/>
        </w:rPr>
        <w:t>第三章 供应商须知…………………………………………………</w:t>
      </w:r>
      <w:r>
        <w:rPr>
          <w:rFonts w:hint="eastAsia" w:ascii="仿宋" w:hAnsi="仿宋" w:eastAsia="仿宋" w:cs="仿宋"/>
          <w:b/>
          <w:bCs/>
          <w:color w:val="auto"/>
          <w:sz w:val="30"/>
          <w:szCs w:val="30"/>
          <w:highlight w:val="none"/>
          <w:lang w:val="en-US" w:eastAsia="zh-CN"/>
        </w:rPr>
        <w:t>21</w:t>
      </w:r>
    </w:p>
    <w:p>
      <w:pPr>
        <w:adjustRightInd w:val="0"/>
        <w:snapToGrid w:val="0"/>
        <w:spacing w:line="480" w:lineRule="auto"/>
        <w:ind w:firstLine="150" w:firstLineChars="50"/>
        <w:jc w:val="distribute"/>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 xml:space="preserve">      前附表………………………………………………………</w:t>
      </w:r>
      <w:r>
        <w:rPr>
          <w:rFonts w:hint="eastAsia" w:ascii="仿宋" w:hAnsi="仿宋" w:eastAsia="仿宋" w:cs="仿宋"/>
          <w:color w:val="auto"/>
          <w:sz w:val="30"/>
          <w:szCs w:val="30"/>
          <w:highlight w:val="none"/>
          <w:lang w:val="en-US" w:eastAsia="zh-CN"/>
        </w:rPr>
        <w:t>21</w:t>
      </w:r>
    </w:p>
    <w:p>
      <w:pPr>
        <w:adjustRightInd w:val="0"/>
        <w:snapToGrid w:val="0"/>
        <w:spacing w:line="480" w:lineRule="auto"/>
        <w:ind w:firstLine="150" w:firstLineChars="50"/>
        <w:jc w:val="distribute"/>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 xml:space="preserve">      一、总则……………………………………………………</w:t>
      </w:r>
      <w:r>
        <w:rPr>
          <w:rFonts w:hint="eastAsia" w:ascii="仿宋" w:hAnsi="仿宋" w:eastAsia="仿宋" w:cs="仿宋"/>
          <w:color w:val="auto"/>
          <w:sz w:val="30"/>
          <w:szCs w:val="30"/>
          <w:highlight w:val="none"/>
          <w:lang w:val="en-US" w:eastAsia="zh-CN"/>
        </w:rPr>
        <w:t>23</w:t>
      </w:r>
    </w:p>
    <w:p>
      <w:pPr>
        <w:adjustRightInd w:val="0"/>
        <w:snapToGrid w:val="0"/>
        <w:spacing w:line="480" w:lineRule="auto"/>
        <w:ind w:firstLine="150" w:firstLineChars="50"/>
        <w:jc w:val="distribute"/>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 xml:space="preserve">      二、磋商文件的说明………………………………………</w:t>
      </w:r>
      <w:r>
        <w:rPr>
          <w:rFonts w:hint="eastAsia" w:ascii="仿宋" w:hAnsi="仿宋" w:eastAsia="仿宋" w:cs="仿宋"/>
          <w:color w:val="auto"/>
          <w:sz w:val="30"/>
          <w:szCs w:val="30"/>
          <w:highlight w:val="none"/>
          <w:lang w:val="en-US" w:eastAsia="zh-CN"/>
        </w:rPr>
        <w:t>24</w:t>
      </w:r>
    </w:p>
    <w:p>
      <w:pPr>
        <w:adjustRightInd w:val="0"/>
        <w:snapToGrid w:val="0"/>
        <w:spacing w:line="480" w:lineRule="auto"/>
        <w:ind w:firstLine="150" w:firstLineChars="50"/>
        <w:jc w:val="distribute"/>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rPr>
        <w:t xml:space="preserve">      三、响应文件的提交………………………………………2</w:t>
      </w:r>
      <w:r>
        <w:rPr>
          <w:rFonts w:hint="eastAsia" w:ascii="仿宋" w:hAnsi="仿宋" w:eastAsia="仿宋" w:cs="仿宋"/>
          <w:color w:val="auto"/>
          <w:sz w:val="30"/>
          <w:szCs w:val="30"/>
          <w:highlight w:val="none"/>
          <w:lang w:val="en-US" w:eastAsia="zh-CN"/>
        </w:rPr>
        <w:t>9</w:t>
      </w:r>
    </w:p>
    <w:p>
      <w:pPr>
        <w:adjustRightInd w:val="0"/>
        <w:snapToGrid w:val="0"/>
        <w:spacing w:line="480" w:lineRule="auto"/>
        <w:ind w:firstLine="150" w:firstLineChars="50"/>
        <w:jc w:val="distribute"/>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 xml:space="preserve">      四、磋商规则、程序………………………………………</w:t>
      </w:r>
      <w:r>
        <w:rPr>
          <w:rFonts w:hint="eastAsia" w:ascii="仿宋" w:hAnsi="仿宋" w:eastAsia="仿宋" w:cs="仿宋"/>
          <w:color w:val="auto"/>
          <w:sz w:val="30"/>
          <w:szCs w:val="30"/>
          <w:highlight w:val="none"/>
          <w:lang w:val="en-US" w:eastAsia="zh-CN"/>
        </w:rPr>
        <w:t>31</w:t>
      </w:r>
    </w:p>
    <w:p>
      <w:pPr>
        <w:adjustRightInd w:val="0"/>
        <w:snapToGrid w:val="0"/>
        <w:spacing w:line="480" w:lineRule="auto"/>
        <w:ind w:firstLine="150" w:firstLineChars="50"/>
        <w:jc w:val="distribute"/>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 xml:space="preserve">      五、授予合同………………………………………………</w:t>
      </w:r>
      <w:r>
        <w:rPr>
          <w:rFonts w:hint="eastAsia" w:ascii="仿宋" w:hAnsi="仿宋" w:eastAsia="仿宋" w:cs="仿宋"/>
          <w:color w:val="auto"/>
          <w:sz w:val="30"/>
          <w:szCs w:val="30"/>
          <w:highlight w:val="none"/>
          <w:lang w:val="en-US" w:eastAsia="zh-CN"/>
        </w:rPr>
        <w:t>36</w:t>
      </w:r>
    </w:p>
    <w:p>
      <w:pPr>
        <w:adjustRightInd w:val="0"/>
        <w:snapToGrid w:val="0"/>
        <w:spacing w:line="480" w:lineRule="auto"/>
        <w:ind w:firstLine="150" w:firstLineChars="50"/>
        <w:jc w:val="distribute"/>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 xml:space="preserve">      六、其他内容………………………………………………</w:t>
      </w:r>
      <w:r>
        <w:rPr>
          <w:rFonts w:hint="eastAsia" w:ascii="仿宋" w:hAnsi="仿宋" w:eastAsia="仿宋" w:cs="仿宋"/>
          <w:color w:val="auto"/>
          <w:sz w:val="30"/>
          <w:szCs w:val="30"/>
          <w:highlight w:val="none"/>
          <w:lang w:val="en-US" w:eastAsia="zh-CN"/>
        </w:rPr>
        <w:t>37</w:t>
      </w:r>
    </w:p>
    <w:p>
      <w:pPr>
        <w:adjustRightInd w:val="0"/>
        <w:snapToGrid w:val="0"/>
        <w:spacing w:line="480" w:lineRule="auto"/>
        <w:jc w:val="distribute"/>
        <w:rPr>
          <w:rFonts w:hint="eastAsia" w:ascii="仿宋" w:hAnsi="仿宋" w:eastAsia="仿宋" w:cs="仿宋"/>
          <w:b/>
          <w:bCs/>
          <w:color w:val="auto"/>
          <w:sz w:val="30"/>
          <w:szCs w:val="30"/>
          <w:highlight w:val="none"/>
          <w:lang w:eastAsia="zh-CN"/>
        </w:rPr>
      </w:pPr>
      <w:r>
        <w:rPr>
          <w:rFonts w:hint="eastAsia" w:ascii="仿宋" w:hAnsi="仿宋" w:eastAsia="仿宋" w:cs="仿宋"/>
          <w:b/>
          <w:bCs/>
          <w:color w:val="auto"/>
          <w:sz w:val="30"/>
          <w:szCs w:val="30"/>
          <w:highlight w:val="none"/>
        </w:rPr>
        <w:t>第四章 合同主要条款………………………………………………3</w:t>
      </w:r>
      <w:r>
        <w:rPr>
          <w:rFonts w:hint="eastAsia" w:ascii="仿宋" w:hAnsi="仿宋" w:eastAsia="仿宋" w:cs="仿宋"/>
          <w:b/>
          <w:bCs/>
          <w:color w:val="auto"/>
          <w:sz w:val="30"/>
          <w:szCs w:val="30"/>
          <w:highlight w:val="none"/>
          <w:lang w:val="en-US" w:eastAsia="zh-CN"/>
        </w:rPr>
        <w:t>8</w:t>
      </w:r>
    </w:p>
    <w:p>
      <w:pPr>
        <w:adjustRightInd w:val="0"/>
        <w:snapToGrid w:val="0"/>
        <w:spacing w:line="480" w:lineRule="auto"/>
        <w:jc w:val="distribute"/>
        <w:rPr>
          <w:rFonts w:hint="default" w:ascii="仿宋" w:hAnsi="仿宋" w:eastAsia="仿宋" w:cs="仿宋"/>
          <w:b/>
          <w:bCs/>
          <w:color w:val="auto"/>
          <w:sz w:val="30"/>
          <w:szCs w:val="30"/>
          <w:highlight w:val="none"/>
          <w:lang w:val="en-US" w:eastAsia="zh-CN"/>
        </w:rPr>
      </w:pPr>
      <w:r>
        <w:rPr>
          <w:rFonts w:hint="eastAsia" w:ascii="仿宋" w:hAnsi="仿宋" w:eastAsia="仿宋" w:cs="仿宋"/>
          <w:b/>
          <w:bCs/>
          <w:color w:val="auto"/>
          <w:sz w:val="30"/>
          <w:szCs w:val="30"/>
          <w:highlight w:val="none"/>
        </w:rPr>
        <w:t>第五章 响应文件格式………………………………………………</w:t>
      </w:r>
      <w:r>
        <w:rPr>
          <w:rFonts w:hint="eastAsia" w:ascii="仿宋" w:hAnsi="仿宋" w:eastAsia="仿宋" w:cs="仿宋"/>
          <w:b/>
          <w:bCs/>
          <w:color w:val="auto"/>
          <w:sz w:val="30"/>
          <w:szCs w:val="30"/>
          <w:highlight w:val="none"/>
          <w:lang w:val="en-US" w:eastAsia="zh-CN"/>
        </w:rPr>
        <w:t>42</w:t>
      </w:r>
    </w:p>
    <w:p>
      <w:pPr>
        <w:adjustRightInd w:val="0"/>
        <w:snapToGrid w:val="0"/>
        <w:spacing w:line="480" w:lineRule="auto"/>
        <w:jc w:val="distribute"/>
        <w:rPr>
          <w:rFonts w:hint="eastAsia"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rPr>
        <w:t>第六章 磋商办法及评分标准………………………………………5</w:t>
      </w:r>
      <w:r>
        <w:rPr>
          <w:rFonts w:hint="eastAsia" w:ascii="仿宋" w:hAnsi="仿宋" w:eastAsia="仿宋" w:cs="仿宋"/>
          <w:b/>
          <w:color w:val="auto"/>
          <w:sz w:val="30"/>
          <w:szCs w:val="30"/>
          <w:highlight w:val="none"/>
          <w:lang w:val="en-US" w:eastAsia="zh-CN"/>
        </w:rPr>
        <w:t>8</w:t>
      </w:r>
    </w:p>
    <w:p>
      <w:pPr>
        <w:spacing w:line="600" w:lineRule="exact"/>
        <w:rPr>
          <w:rFonts w:ascii="仿宋" w:hAnsi="仿宋" w:eastAsia="仿宋" w:cs="仿宋"/>
          <w:color w:val="auto"/>
          <w:sz w:val="30"/>
          <w:szCs w:val="30"/>
          <w:highlight w:val="none"/>
        </w:rPr>
      </w:pPr>
    </w:p>
    <w:p>
      <w:pPr>
        <w:spacing w:line="600" w:lineRule="exact"/>
        <w:rPr>
          <w:rFonts w:ascii="仿宋" w:hAnsi="仿宋" w:eastAsia="仿宋" w:cs="仿宋"/>
          <w:b/>
          <w:color w:val="auto"/>
          <w:sz w:val="36"/>
          <w:szCs w:val="36"/>
          <w:highlight w:val="none"/>
        </w:rPr>
      </w:pPr>
    </w:p>
    <w:p>
      <w:pPr>
        <w:spacing w:line="600" w:lineRule="exact"/>
        <w:rPr>
          <w:rFonts w:ascii="仿宋" w:hAnsi="仿宋" w:eastAsia="仿宋" w:cs="仿宋"/>
          <w:b/>
          <w:color w:val="auto"/>
          <w:sz w:val="36"/>
          <w:szCs w:val="36"/>
          <w:highlight w:val="none"/>
        </w:rPr>
      </w:pPr>
    </w:p>
    <w:p>
      <w:pP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pPr>
        <w:numPr>
          <w:ilvl w:val="0"/>
          <w:numId w:val="1"/>
        </w:numPr>
        <w:spacing w:line="600" w:lineRule="exact"/>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竞争性磋商公告</w:t>
      </w:r>
    </w:p>
    <w:p>
      <w:pPr>
        <w:spacing w:line="500" w:lineRule="exact"/>
        <w:jc w:val="center"/>
        <w:rPr>
          <w:rFonts w:ascii="仿宋" w:hAnsi="仿宋" w:eastAsia="仿宋" w:cs="仿宋"/>
          <w:color w:val="auto"/>
          <w:sz w:val="36"/>
          <w:szCs w:val="36"/>
          <w:highlight w:val="none"/>
        </w:rPr>
      </w:pPr>
      <w:r>
        <w:rPr>
          <w:rFonts w:hint="eastAsia" w:ascii="仿宋" w:hAnsi="仿宋" w:eastAsia="仿宋" w:cs="仿宋"/>
          <w:b/>
          <w:bCs/>
          <w:color w:val="auto"/>
          <w:kern w:val="0"/>
          <w:sz w:val="24"/>
          <w:highlight w:val="none"/>
        </w:rPr>
        <w:t>（本项目为电子磋商项目）</w:t>
      </w:r>
    </w:p>
    <w:p>
      <w:pPr>
        <w:snapToGrid w:val="0"/>
        <w:spacing w:line="500" w:lineRule="exact"/>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rPr>
        <w:t>根据《中华人民共和国政府采购法》、《政府采购竞争性磋商采购方式</w:t>
      </w:r>
      <w:r>
        <w:rPr>
          <w:rFonts w:hint="eastAsia" w:ascii="仿宋" w:hAnsi="仿宋" w:eastAsia="仿宋" w:cs="仿宋"/>
          <w:color w:val="auto"/>
          <w:kern w:val="0"/>
          <w:sz w:val="24"/>
          <w:highlight w:val="none"/>
          <w:lang w:val="en-US" w:eastAsia="zh-CN"/>
        </w:rPr>
        <w:t>管理</w:t>
      </w:r>
      <w:r>
        <w:rPr>
          <w:rFonts w:hint="eastAsia" w:ascii="仿宋" w:hAnsi="仿宋" w:eastAsia="仿宋" w:cs="仿宋"/>
          <w:color w:val="auto"/>
          <w:kern w:val="0"/>
          <w:sz w:val="24"/>
          <w:highlight w:val="none"/>
        </w:rPr>
        <w:t>暂行办法》及相关法律、法规等规定，</w:t>
      </w:r>
      <w:r>
        <w:rPr>
          <w:rFonts w:hint="eastAsia" w:ascii="仿宋" w:hAnsi="仿宋" w:eastAsia="仿宋" w:cs="宋体"/>
          <w:color w:val="auto"/>
          <w:kern w:val="0"/>
          <w:sz w:val="24"/>
          <w:highlight w:val="none"/>
        </w:rPr>
        <w:t>经</w:t>
      </w:r>
      <w:r>
        <w:rPr>
          <w:rFonts w:hint="eastAsia" w:ascii="仿宋" w:hAnsi="仿宋" w:eastAsia="仿宋"/>
          <w:color w:val="auto"/>
          <w:sz w:val="24"/>
          <w:highlight w:val="none"/>
        </w:rPr>
        <w:t>财政局(财政审批编号：</w:t>
      </w:r>
      <w:r>
        <w:rPr>
          <w:rFonts w:hint="eastAsia" w:ascii="仿宋" w:hAnsi="仿宋" w:eastAsia="仿宋"/>
          <w:color w:val="auto"/>
          <w:sz w:val="24"/>
          <w:highlight w:val="none"/>
          <w:u w:val="single"/>
        </w:rPr>
        <w:t>南太湖新区财采确临[202</w:t>
      </w:r>
      <w:r>
        <w:rPr>
          <w:rFonts w:hint="eastAsia" w:ascii="仿宋" w:hAnsi="仿宋" w:eastAsia="仿宋"/>
          <w:color w:val="auto"/>
          <w:sz w:val="24"/>
          <w:highlight w:val="none"/>
          <w:u w:val="single"/>
          <w:lang w:val="en-US" w:eastAsia="zh-CN"/>
        </w:rPr>
        <w:t>4</w:t>
      </w:r>
      <w:r>
        <w:rPr>
          <w:rFonts w:hint="eastAsia" w:ascii="仿宋" w:hAnsi="仿宋" w:eastAsia="仿宋"/>
          <w:color w:val="auto"/>
          <w:sz w:val="24"/>
          <w:highlight w:val="none"/>
          <w:u w:val="single"/>
        </w:rPr>
        <w:t>]</w:t>
      </w:r>
      <w:r>
        <w:rPr>
          <w:rFonts w:hint="eastAsia" w:ascii="仿宋" w:hAnsi="仿宋" w:eastAsia="仿宋"/>
          <w:color w:val="auto"/>
          <w:sz w:val="24"/>
          <w:highlight w:val="none"/>
          <w:u w:val="single"/>
          <w:lang w:val="en-US" w:eastAsia="zh-CN"/>
        </w:rPr>
        <w:t>19</w:t>
      </w:r>
      <w:r>
        <w:rPr>
          <w:rFonts w:hint="eastAsia" w:ascii="仿宋" w:hAnsi="仿宋" w:eastAsia="仿宋"/>
          <w:color w:val="auto"/>
          <w:sz w:val="24"/>
          <w:highlight w:val="none"/>
          <w:u w:val="single"/>
        </w:rPr>
        <w:t>号)</w:t>
      </w:r>
      <w:r>
        <w:rPr>
          <w:rFonts w:hint="eastAsia" w:ascii="仿宋" w:hAnsi="仿宋" w:eastAsia="仿宋" w:cs="宋体"/>
          <w:color w:val="auto"/>
          <w:kern w:val="0"/>
          <w:sz w:val="24"/>
          <w:highlight w:val="none"/>
        </w:rPr>
        <w:t>批准</w:t>
      </w:r>
      <w:r>
        <w:rPr>
          <w:rFonts w:hint="eastAsia" w:ascii="仿宋" w:hAnsi="仿宋" w:eastAsia="仿宋" w:cs="宋体"/>
          <w:color w:val="auto"/>
          <w:kern w:val="0"/>
          <w:sz w:val="24"/>
          <w:highlight w:val="none"/>
          <w:lang w:eastAsia="zh-CN"/>
        </w:rPr>
        <w:t>，</w:t>
      </w:r>
      <w:r>
        <w:rPr>
          <w:rFonts w:hint="eastAsia" w:ascii="仿宋" w:hAnsi="仿宋" w:eastAsia="仿宋" w:cs="仿宋"/>
          <w:b/>
          <w:color w:val="auto"/>
          <w:kern w:val="0"/>
          <w:sz w:val="24"/>
          <w:highlight w:val="none"/>
          <w:u w:val="single"/>
          <w:lang w:eastAsia="zh-CN"/>
        </w:rPr>
        <w:t xml:space="preserve">浙江新诚信工程咨询有限公司 </w:t>
      </w:r>
      <w:r>
        <w:rPr>
          <w:rFonts w:hint="eastAsia" w:ascii="仿宋" w:hAnsi="仿宋" w:eastAsia="仿宋" w:cs="仿宋"/>
          <w:color w:val="auto"/>
          <w:kern w:val="0"/>
          <w:sz w:val="24"/>
          <w:highlight w:val="none"/>
        </w:rPr>
        <w:t>受</w:t>
      </w:r>
      <w:r>
        <w:rPr>
          <w:rFonts w:hint="eastAsia" w:ascii="仿宋" w:hAnsi="仿宋" w:eastAsia="仿宋" w:cs="仿宋"/>
          <w:color w:val="auto"/>
          <w:sz w:val="24"/>
          <w:highlight w:val="none"/>
          <w:u w:val="single"/>
          <w:lang w:eastAsia="zh-CN"/>
        </w:rPr>
        <w:t>湖州市人民政府滨湖街道办事处</w:t>
      </w:r>
      <w:r>
        <w:rPr>
          <w:rFonts w:hint="eastAsia" w:ascii="仿宋" w:hAnsi="仿宋" w:eastAsia="仿宋" w:cs="仿宋"/>
          <w:color w:val="auto"/>
          <w:kern w:val="0"/>
          <w:sz w:val="24"/>
          <w:highlight w:val="none"/>
        </w:rPr>
        <w:t>的委托，就</w:t>
      </w:r>
      <w:r>
        <w:rPr>
          <w:rFonts w:hint="eastAsia" w:ascii="仿宋" w:hAnsi="仿宋" w:eastAsia="仿宋" w:cs="仿宋"/>
          <w:b/>
          <w:color w:val="auto"/>
          <w:sz w:val="24"/>
          <w:highlight w:val="none"/>
          <w:u w:val="single"/>
          <w:lang w:eastAsia="zh-CN"/>
        </w:rPr>
        <w:t>街道机关2024年度食堂食材第三方配送及食堂运维项目</w:t>
      </w:r>
      <w:r>
        <w:rPr>
          <w:rFonts w:hint="eastAsia" w:ascii="仿宋" w:hAnsi="仿宋" w:eastAsia="仿宋" w:cs="仿宋"/>
          <w:b/>
          <w:color w:val="auto"/>
          <w:sz w:val="24"/>
          <w:highlight w:val="none"/>
          <w:u w:val="single"/>
        </w:rPr>
        <w:t xml:space="preserve"> </w:t>
      </w:r>
      <w:r>
        <w:rPr>
          <w:rFonts w:hint="eastAsia" w:ascii="仿宋" w:hAnsi="仿宋" w:eastAsia="仿宋" w:cs="仿宋"/>
          <w:color w:val="auto"/>
          <w:kern w:val="0"/>
          <w:sz w:val="24"/>
          <w:highlight w:val="none"/>
        </w:rPr>
        <w:t>进行竞争性磋商，欢迎国内合格的供应商前来参加磋商。</w:t>
      </w:r>
    </w:p>
    <w:p>
      <w:pPr>
        <w:widowControl/>
        <w:tabs>
          <w:tab w:val="left" w:pos="8689"/>
        </w:tabs>
        <w:spacing w:line="500" w:lineRule="exact"/>
        <w:ind w:right="60" w:firstLine="482" w:firstLineChars="200"/>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一、磋商项目编号</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eastAsia="zh-CN"/>
        </w:rPr>
        <w:t>XCXHZ-202</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003</w:t>
      </w:r>
      <w:r>
        <w:rPr>
          <w:rFonts w:hint="eastAsia" w:ascii="仿宋" w:hAnsi="仿宋" w:eastAsia="仿宋" w:cs="仿宋"/>
          <w:color w:val="auto"/>
          <w:kern w:val="0"/>
          <w:sz w:val="24"/>
          <w:highlight w:val="none"/>
          <w:lang w:eastAsia="zh-CN"/>
        </w:rPr>
        <w:t xml:space="preserve">（CG） </w:t>
      </w:r>
      <w:r>
        <w:rPr>
          <w:rFonts w:hint="eastAsia" w:ascii="仿宋" w:hAnsi="仿宋" w:eastAsia="仿宋" w:cs="仿宋"/>
          <w:color w:val="auto"/>
          <w:kern w:val="0"/>
          <w:sz w:val="24"/>
          <w:highlight w:val="none"/>
        </w:rPr>
        <w:tab/>
      </w:r>
    </w:p>
    <w:p>
      <w:pPr>
        <w:snapToGrid w:val="0"/>
        <w:spacing w:line="500" w:lineRule="exact"/>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二、磋商项目概况（内容、用途、数量、简要技术要求等）</w:t>
      </w:r>
      <w:r>
        <w:rPr>
          <w:rFonts w:hint="eastAsia" w:ascii="仿宋" w:hAnsi="仿宋" w:eastAsia="仿宋" w:cs="仿宋"/>
          <w:color w:val="auto"/>
          <w:kern w:val="0"/>
          <w:sz w:val="24"/>
          <w:highlight w:val="none"/>
        </w:rPr>
        <w:t>：</w:t>
      </w:r>
      <w:bookmarkStart w:id="0" w:name="B09_招标内容"/>
    </w:p>
    <w:bookmarkEnd w:id="0"/>
    <w:tbl>
      <w:tblPr>
        <w:tblStyle w:val="17"/>
        <w:tblW w:w="8553" w:type="dxa"/>
        <w:jc w:val="center"/>
        <w:tblLayout w:type="fixed"/>
        <w:tblCellMar>
          <w:top w:w="0" w:type="dxa"/>
          <w:left w:w="10" w:type="dxa"/>
          <w:bottom w:w="0" w:type="dxa"/>
          <w:right w:w="10" w:type="dxa"/>
        </w:tblCellMar>
      </w:tblPr>
      <w:tblGrid>
        <w:gridCol w:w="4525"/>
        <w:gridCol w:w="724"/>
        <w:gridCol w:w="1559"/>
        <w:gridCol w:w="1745"/>
      </w:tblGrid>
      <w:tr>
        <w:tblPrEx>
          <w:tblCellMar>
            <w:top w:w="0" w:type="dxa"/>
            <w:left w:w="10" w:type="dxa"/>
            <w:bottom w:w="0" w:type="dxa"/>
            <w:right w:w="10" w:type="dxa"/>
          </w:tblCellMar>
        </w:tblPrEx>
        <w:trPr>
          <w:trHeight w:val="262" w:hRule="atLeast"/>
          <w:jc w:val="center"/>
        </w:trPr>
        <w:tc>
          <w:tcPr>
            <w:tcW w:w="4525" w:type="dxa"/>
            <w:tcBorders>
              <w:top w:val="single" w:color="auto" w:sz="6" w:space="0"/>
              <w:left w:val="single" w:color="auto" w:sz="6" w:space="0"/>
              <w:bottom w:val="single" w:color="auto" w:sz="6" w:space="0"/>
              <w:right w:val="single" w:color="auto" w:sz="6" w:space="0"/>
            </w:tcBorders>
            <w:noWrap/>
            <w:vAlign w:val="center"/>
          </w:tcPr>
          <w:p>
            <w:pPr>
              <w:widowControl/>
              <w:spacing w:line="500" w:lineRule="exact"/>
              <w:ind w:left="60" w:right="60"/>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采购内容</w:t>
            </w:r>
          </w:p>
        </w:tc>
        <w:tc>
          <w:tcPr>
            <w:tcW w:w="724" w:type="dxa"/>
            <w:tcBorders>
              <w:top w:val="single" w:color="auto" w:sz="6" w:space="0"/>
              <w:left w:val="single" w:color="auto" w:sz="4" w:space="0"/>
              <w:bottom w:val="single" w:color="auto" w:sz="6" w:space="0"/>
              <w:right w:val="single" w:color="auto" w:sz="4" w:space="0"/>
            </w:tcBorders>
            <w:noWrap/>
          </w:tcPr>
          <w:p>
            <w:pPr>
              <w:widowControl/>
              <w:spacing w:line="500" w:lineRule="exact"/>
              <w:ind w:left="60" w:right="60"/>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数量</w:t>
            </w:r>
          </w:p>
        </w:tc>
        <w:tc>
          <w:tcPr>
            <w:tcW w:w="1559" w:type="dxa"/>
            <w:tcBorders>
              <w:top w:val="single" w:color="auto" w:sz="6" w:space="0"/>
              <w:left w:val="single" w:color="auto" w:sz="4" w:space="0"/>
              <w:bottom w:val="single" w:color="auto" w:sz="6" w:space="0"/>
              <w:right w:val="single" w:color="auto" w:sz="4" w:space="0"/>
            </w:tcBorders>
            <w:noWrap/>
            <w:vAlign w:val="center"/>
          </w:tcPr>
          <w:p>
            <w:pPr>
              <w:widowControl/>
              <w:spacing w:line="500" w:lineRule="exact"/>
              <w:ind w:left="60" w:right="60"/>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预算金额</w:t>
            </w:r>
          </w:p>
          <w:p>
            <w:pPr>
              <w:widowControl/>
              <w:spacing w:line="500" w:lineRule="exact"/>
              <w:ind w:left="60" w:right="60"/>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745" w:type="dxa"/>
            <w:tcBorders>
              <w:top w:val="single" w:color="auto" w:sz="6" w:space="0"/>
              <w:left w:val="single" w:color="auto" w:sz="4" w:space="0"/>
              <w:bottom w:val="single" w:color="auto" w:sz="4" w:space="0"/>
              <w:right w:val="single" w:color="auto" w:sz="6" w:space="0"/>
            </w:tcBorders>
            <w:noWrap/>
            <w:vAlign w:val="center"/>
          </w:tcPr>
          <w:p>
            <w:pPr>
              <w:widowControl/>
              <w:spacing w:line="500" w:lineRule="exact"/>
              <w:ind w:left="60" w:right="60"/>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技术要求</w:t>
            </w:r>
          </w:p>
        </w:tc>
      </w:tr>
      <w:tr>
        <w:tblPrEx>
          <w:tblCellMar>
            <w:top w:w="0" w:type="dxa"/>
            <w:left w:w="10" w:type="dxa"/>
            <w:bottom w:w="0" w:type="dxa"/>
            <w:right w:w="10" w:type="dxa"/>
          </w:tblCellMar>
        </w:tblPrEx>
        <w:trPr>
          <w:trHeight w:val="828" w:hRule="atLeast"/>
          <w:jc w:val="center"/>
        </w:trPr>
        <w:tc>
          <w:tcPr>
            <w:tcW w:w="4525" w:type="dxa"/>
            <w:tcBorders>
              <w:top w:val="single" w:color="auto" w:sz="6" w:space="0"/>
              <w:left w:val="single" w:color="auto" w:sz="6" w:space="0"/>
              <w:bottom w:val="single" w:color="auto" w:sz="6" w:space="0"/>
              <w:right w:val="single" w:color="auto" w:sz="6" w:space="0"/>
            </w:tcBorders>
            <w:noWrap/>
            <w:vAlign w:val="center"/>
          </w:tcPr>
          <w:p>
            <w:pPr>
              <w:widowControl/>
              <w:spacing w:line="500" w:lineRule="exact"/>
              <w:ind w:left="60" w:right="60"/>
              <w:jc w:val="center"/>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eastAsia="zh-CN"/>
              </w:rPr>
              <w:t>湖州市人民政府滨湖街道办事处街道机关</w:t>
            </w:r>
            <w:r>
              <w:rPr>
                <w:rFonts w:hint="eastAsia" w:ascii="仿宋" w:hAnsi="仿宋" w:eastAsia="仿宋" w:cs="仿宋"/>
                <w:color w:val="auto"/>
                <w:kern w:val="0"/>
                <w:sz w:val="24"/>
                <w:highlight w:val="none"/>
                <w:lang w:val="en-US" w:eastAsia="zh-CN"/>
              </w:rPr>
              <w:t>2024</w:t>
            </w:r>
            <w:r>
              <w:rPr>
                <w:rFonts w:hint="eastAsia" w:ascii="仿宋" w:hAnsi="仿宋" w:eastAsia="仿宋" w:cs="仿宋"/>
                <w:color w:val="auto"/>
                <w:kern w:val="0"/>
                <w:sz w:val="24"/>
                <w:highlight w:val="none"/>
                <w:lang w:eastAsia="zh-CN"/>
              </w:rPr>
              <w:t>年度食堂食材第三方配送及食堂运维</w:t>
            </w:r>
          </w:p>
        </w:tc>
        <w:tc>
          <w:tcPr>
            <w:tcW w:w="724" w:type="dxa"/>
            <w:tcBorders>
              <w:top w:val="single" w:color="auto" w:sz="6" w:space="0"/>
              <w:left w:val="single" w:color="auto" w:sz="6" w:space="0"/>
              <w:bottom w:val="single" w:color="auto" w:sz="6" w:space="0"/>
              <w:right w:val="single" w:color="auto" w:sz="6" w:space="0"/>
            </w:tcBorders>
            <w:noWrap/>
            <w:vAlign w:val="center"/>
          </w:tcPr>
          <w:p>
            <w:pPr>
              <w:widowControl/>
              <w:spacing w:line="500" w:lineRule="exact"/>
              <w:ind w:left="60" w:right="60"/>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1项</w:t>
            </w:r>
          </w:p>
        </w:tc>
        <w:tc>
          <w:tcPr>
            <w:tcW w:w="1559" w:type="dxa"/>
            <w:tcBorders>
              <w:top w:val="single" w:color="auto" w:sz="6" w:space="0"/>
              <w:left w:val="single" w:color="auto" w:sz="6" w:space="0"/>
              <w:bottom w:val="single" w:color="auto" w:sz="6" w:space="0"/>
              <w:right w:val="single" w:color="auto" w:sz="4" w:space="0"/>
            </w:tcBorders>
            <w:noWrap/>
            <w:vAlign w:val="center"/>
          </w:tcPr>
          <w:p>
            <w:pPr>
              <w:widowControl/>
              <w:spacing w:line="500" w:lineRule="exact"/>
              <w:ind w:right="60"/>
              <w:jc w:val="center"/>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120</w:t>
            </w:r>
          </w:p>
        </w:tc>
        <w:tc>
          <w:tcPr>
            <w:tcW w:w="1745" w:type="dxa"/>
            <w:tcBorders>
              <w:top w:val="single" w:color="auto" w:sz="4" w:space="0"/>
              <w:left w:val="single" w:color="auto" w:sz="4" w:space="0"/>
              <w:bottom w:val="single" w:color="auto" w:sz="4" w:space="0"/>
              <w:right w:val="single" w:color="auto" w:sz="4" w:space="0"/>
            </w:tcBorders>
            <w:noWrap/>
            <w:vAlign w:val="center"/>
          </w:tcPr>
          <w:p>
            <w:pPr>
              <w:spacing w:line="500" w:lineRule="exact"/>
              <w:ind w:right="60"/>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详见磋商文件</w:t>
            </w:r>
          </w:p>
        </w:tc>
      </w:tr>
    </w:tbl>
    <w:p>
      <w:pPr>
        <w:widowControl/>
        <w:spacing w:line="500" w:lineRule="exact"/>
        <w:ind w:left="44" w:leftChars="21" w:right="60"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三、供应商资格要求</w:t>
      </w:r>
      <w:r>
        <w:rPr>
          <w:rFonts w:hint="eastAsia" w:ascii="仿宋" w:hAnsi="仿宋" w:eastAsia="仿宋" w:cs="仿宋"/>
          <w:color w:val="auto"/>
          <w:kern w:val="0"/>
          <w:sz w:val="24"/>
          <w:highlight w:val="none"/>
        </w:rPr>
        <w:t>：</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1、符合《中华人民共和国政府采购法》第二十二条规定和浙财采监【2013】24号《关于规范政府采购</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资格设定及资格审查的通知》第六条规定,且未被“信用中国”（www.creditchina.gov.cn）、“中国政府采购网”（www.ccgp.gov.cn）列入失信被执行人、重大税收违法案件当事人名单、政府采购严重违法失信行为记录名单。</w:t>
      </w:r>
    </w:p>
    <w:p>
      <w:pPr>
        <w:spacing w:line="5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2、本项目专门面向中小企业采购, 供应商需符合《政府采购促进中小企业发展管理办法》（财库【2020】46号）和</w:t>
      </w:r>
      <w:r>
        <w:rPr>
          <w:rFonts w:hint="eastAsia" w:ascii="仿宋" w:hAnsi="仿宋" w:eastAsia="仿宋" w:cs="仿宋"/>
          <w:color w:val="auto"/>
          <w:sz w:val="24"/>
          <w:highlight w:val="none"/>
          <w:lang w:val="en-US" w:eastAsia="zh-CN"/>
        </w:rPr>
        <w:t>提供</w:t>
      </w:r>
      <w:r>
        <w:rPr>
          <w:rFonts w:hint="eastAsia" w:ascii="仿宋" w:hAnsi="仿宋" w:eastAsia="仿宋" w:cs="仿宋"/>
          <w:color w:val="auto"/>
          <w:sz w:val="24"/>
          <w:highlight w:val="none"/>
        </w:rPr>
        <w:t>本采购文件规定的《中小企业声明函》(监狱企业参加</w:t>
      </w:r>
      <w:r>
        <w:rPr>
          <w:rFonts w:hint="eastAsia" w:ascii="仿宋" w:hAnsi="仿宋" w:eastAsia="仿宋" w:cs="仿宋"/>
          <w:color w:val="auto"/>
          <w:sz w:val="24"/>
          <w:highlight w:val="none"/>
          <w:lang w:val="en-US" w:eastAsia="zh-CN"/>
        </w:rPr>
        <w:t>投标</w:t>
      </w:r>
      <w:r>
        <w:rPr>
          <w:rFonts w:hint="eastAsia" w:ascii="仿宋" w:hAnsi="仿宋" w:eastAsia="仿宋" w:cs="仿宋"/>
          <w:color w:val="auto"/>
          <w:sz w:val="24"/>
          <w:highlight w:val="none"/>
        </w:rPr>
        <w:t>提供《监狱企业声明函》及其相关的证明材料、残疾人福利性单位参加</w:t>
      </w:r>
      <w:r>
        <w:rPr>
          <w:rFonts w:hint="eastAsia" w:ascii="仿宋" w:hAnsi="仿宋" w:eastAsia="仿宋" w:cs="仿宋"/>
          <w:color w:val="auto"/>
          <w:sz w:val="24"/>
          <w:highlight w:val="none"/>
          <w:lang w:val="en-US" w:eastAsia="zh-CN"/>
        </w:rPr>
        <w:t>投标提供</w:t>
      </w:r>
      <w:r>
        <w:rPr>
          <w:rFonts w:hint="eastAsia" w:ascii="仿宋" w:hAnsi="仿宋" w:eastAsia="仿宋" w:cs="仿宋"/>
          <w:color w:val="auto"/>
          <w:sz w:val="24"/>
          <w:highlight w:val="none"/>
        </w:rPr>
        <w:t>《残疾人福利性单位声明函》，视为小型、微型企业，享受小微企业政策扶持)。</w:t>
      </w:r>
    </w:p>
    <w:p>
      <w:pPr>
        <w:spacing w:line="560" w:lineRule="exact"/>
        <w:ind w:firstLine="480" w:firstLineChars="200"/>
        <w:rPr>
          <w:rFonts w:hint="eastAsia" w:ascii="仿宋" w:hAnsi="仿宋" w:eastAsia="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本项目不接受联合体</w:t>
      </w:r>
      <w:r>
        <w:rPr>
          <w:rFonts w:hint="eastAsia" w:ascii="仿宋" w:hAnsi="仿宋" w:eastAsia="仿宋" w:cs="仿宋"/>
          <w:color w:val="auto"/>
          <w:sz w:val="24"/>
          <w:highlight w:val="none"/>
          <w:lang w:val="en-US" w:eastAsia="zh-CN"/>
        </w:rPr>
        <w:t>磋商</w:t>
      </w:r>
      <w:r>
        <w:rPr>
          <w:rFonts w:hint="eastAsia" w:ascii="仿宋" w:hAnsi="仿宋" w:eastAsia="仿宋" w:cs="仿宋"/>
          <w:color w:val="auto"/>
          <w:sz w:val="24"/>
          <w:highlight w:val="none"/>
        </w:rPr>
        <w:t>。</w:t>
      </w:r>
    </w:p>
    <w:p>
      <w:pPr>
        <w:spacing w:line="500" w:lineRule="exact"/>
        <w:ind w:firstLine="482" w:firstLineChars="200"/>
        <w:rPr>
          <w:rFonts w:ascii="仿宋" w:hAnsi="仿宋" w:eastAsia="仿宋" w:cs="仿宋"/>
          <w:color w:val="auto"/>
          <w:sz w:val="24"/>
          <w:highlight w:val="none"/>
        </w:rPr>
      </w:pPr>
      <w:r>
        <w:rPr>
          <w:rFonts w:hint="eastAsia" w:ascii="仿宋" w:hAnsi="仿宋" w:eastAsia="仿宋" w:cs="仿宋"/>
          <w:b/>
          <w:color w:val="auto"/>
          <w:kern w:val="0"/>
          <w:sz w:val="24"/>
          <w:highlight w:val="none"/>
        </w:rPr>
        <w:t>四、报名及获取磋商文件时间:</w:t>
      </w:r>
    </w:p>
    <w:p>
      <w:pPr>
        <w:snapToGrid w:val="0"/>
        <w:spacing w:line="50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1、报名及获取磋商文件时间：</w:t>
      </w:r>
      <w:r>
        <w:rPr>
          <w:rFonts w:hint="eastAsia" w:ascii="仿宋" w:hAnsi="仿宋" w:eastAsia="仿宋" w:cs="仿宋"/>
          <w:color w:val="auto"/>
          <w:kern w:val="0"/>
          <w:sz w:val="24"/>
          <w:highlight w:val="none"/>
          <w:lang w:eastAsia="zh-CN"/>
        </w:rPr>
        <w:t>磋商公告发布</w:t>
      </w:r>
      <w:r>
        <w:rPr>
          <w:rFonts w:hint="eastAsia" w:ascii="仿宋" w:hAnsi="仿宋" w:eastAsia="仿宋" w:cs="仿宋"/>
          <w:color w:val="auto"/>
          <w:kern w:val="0"/>
          <w:sz w:val="24"/>
          <w:highlight w:val="none"/>
        </w:rPr>
        <w:t>至</w:t>
      </w:r>
      <w:r>
        <w:rPr>
          <w:rFonts w:hint="eastAsia" w:ascii="仿宋" w:hAnsi="仿宋" w:eastAsia="仿宋" w:cs="仿宋"/>
          <w:color w:val="auto"/>
          <w:kern w:val="0"/>
          <w:sz w:val="24"/>
          <w:highlight w:val="none"/>
          <w:lang w:eastAsia="zh-CN"/>
        </w:rPr>
        <w:t>磋商截止时间</w:t>
      </w:r>
      <w:r>
        <w:rPr>
          <w:rFonts w:hint="eastAsia" w:ascii="仿宋" w:hAnsi="仿宋" w:eastAsia="仿宋" w:cs="仿宋"/>
          <w:color w:val="auto"/>
          <w:kern w:val="0"/>
          <w:sz w:val="24"/>
          <w:highlight w:val="none"/>
        </w:rPr>
        <w:t>(潜在供应商报名及获取磋商文件前应当在政采云电子交易平台上注册账号并登录，截止时间后不再接受潜在供应商报名及获取磋商文件)。</w:t>
      </w:r>
    </w:p>
    <w:p>
      <w:pPr>
        <w:snapToGrid w:val="0"/>
        <w:spacing w:line="50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本次磋商文件实行网上获取，不接受供应商现场报名，供应商须登录浙江政府采购网（https://zfcg.czt.zj.gov.cn/）进入政采云系统“项目采购”模块“获取采购文件”菜单，进行网上获取磋商文件（“政采云”注册账号、密码登录系统后获取磋商文件）。</w:t>
      </w:r>
    </w:p>
    <w:p>
      <w:pPr>
        <w:snapToGrid w:val="0"/>
        <w:spacing w:line="50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3、免费注册网址：浙江政府采购网（供应商注册页面）：https://middle.zcygov.cn/settle-front/#/registry“政采云”，咨询电话：</w:t>
      </w:r>
      <w:r>
        <w:rPr>
          <w:rFonts w:hint="eastAsia" w:ascii="仿宋" w:hAnsi="仿宋" w:eastAsia="仿宋" w:cs="仿宋"/>
          <w:color w:val="auto"/>
          <w:kern w:val="0"/>
          <w:sz w:val="24"/>
          <w:highlight w:val="none"/>
          <w:lang w:val="en-US" w:eastAsia="zh-CN"/>
        </w:rPr>
        <w:t>95763</w:t>
      </w:r>
      <w:r>
        <w:rPr>
          <w:rFonts w:hint="eastAsia" w:ascii="仿宋" w:hAnsi="仿宋" w:eastAsia="仿宋" w:cs="仿宋"/>
          <w:color w:val="auto"/>
          <w:kern w:val="0"/>
          <w:sz w:val="24"/>
          <w:highlight w:val="none"/>
        </w:rPr>
        <w:t>。已经注册成功的供应商无需重复注册。</w:t>
      </w:r>
    </w:p>
    <w:p>
      <w:pPr>
        <w:snapToGrid w:val="0"/>
        <w:spacing w:line="500" w:lineRule="exact"/>
        <w:ind w:firstLine="472" w:firstLineChars="196"/>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五、响应文件的递交及相关事宜：</w:t>
      </w:r>
    </w:p>
    <w:p>
      <w:pPr>
        <w:snapToGrid w:val="0"/>
        <w:spacing w:line="50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1、响应文件递交的截止时间（磋商截止时间，下同）：202</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年</w:t>
      </w:r>
      <w:r>
        <w:rPr>
          <w:rFonts w:hint="eastAsia" w:ascii="仿宋" w:hAnsi="仿宋" w:eastAsia="仿宋" w:cs="仿宋"/>
          <w:color w:val="auto"/>
          <w:kern w:val="0"/>
          <w:sz w:val="24"/>
          <w:highlight w:val="none"/>
          <w:lang w:val="en-US" w:eastAsia="zh-CN"/>
        </w:rPr>
        <w:t>1月22日13</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lang w:eastAsia="zh-CN"/>
        </w:rPr>
        <w:t>0</w:t>
      </w:r>
      <w:r>
        <w:rPr>
          <w:rFonts w:hint="eastAsia" w:ascii="仿宋" w:hAnsi="仿宋" w:eastAsia="仿宋" w:cs="仿宋"/>
          <w:color w:val="auto"/>
          <w:kern w:val="0"/>
          <w:sz w:val="24"/>
          <w:highlight w:val="none"/>
        </w:rPr>
        <w:t>（北京时间）。</w:t>
      </w:r>
    </w:p>
    <w:p>
      <w:pPr>
        <w:snapToGrid w:val="0"/>
        <w:spacing w:line="50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2、响应文件的递交方式：</w:t>
      </w:r>
    </w:p>
    <w:p>
      <w:pPr>
        <w:snapToGrid w:val="0"/>
        <w:spacing w:line="50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2.1电子响应文件：按政采云平台项目采购-电子交易操作指南及本磋商文件要求制作、加密并递交。供应商应于202</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年</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月</w:t>
      </w:r>
      <w:r>
        <w:rPr>
          <w:rFonts w:hint="eastAsia" w:ascii="仿宋" w:hAnsi="仿宋" w:eastAsia="仿宋" w:cs="仿宋"/>
          <w:color w:val="auto"/>
          <w:kern w:val="0"/>
          <w:sz w:val="24"/>
          <w:highlight w:val="none"/>
          <w:lang w:val="en-US" w:eastAsia="zh-CN"/>
        </w:rPr>
        <w:t>22</w:t>
      </w:r>
      <w:r>
        <w:rPr>
          <w:rFonts w:hint="eastAsia" w:ascii="仿宋" w:hAnsi="仿宋" w:eastAsia="仿宋" w:cs="仿宋"/>
          <w:color w:val="auto"/>
          <w:kern w:val="0"/>
          <w:sz w:val="24"/>
          <w:highlight w:val="none"/>
        </w:rPr>
        <w:t>日</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lang w:eastAsia="zh-CN"/>
        </w:rPr>
        <w:t>0</w:t>
      </w:r>
      <w:r>
        <w:rPr>
          <w:rFonts w:hint="eastAsia" w:ascii="仿宋" w:hAnsi="仿宋" w:eastAsia="仿宋" w:cs="仿宋"/>
          <w:color w:val="auto"/>
          <w:kern w:val="0"/>
          <w:sz w:val="24"/>
          <w:highlight w:val="none"/>
        </w:rPr>
        <w:t>（北京时间）前将制作、加密的电子版响应文件上传到政采云系统中（未准时上传的视为放弃磋商资格，作未提交响应文件处理）；</w:t>
      </w:r>
    </w:p>
    <w:p>
      <w:pPr>
        <w:snapToGrid w:val="0"/>
        <w:spacing w:line="50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2.2数据电子备份响应文件（U盘）：以U盘形式提供的数据电子备份响应文件格式及内容须与政采云平台项目采购-电子交易操作指南中制作、加密并递交的电子响应文件格式及内容一致。递交方式：数据电子备份响应文件（U盘）应通过邮寄快递方式送达，邮寄地址为：浙江新诚信工程咨询有限公司[</w:t>
      </w:r>
      <w:r>
        <w:rPr>
          <w:rFonts w:hint="eastAsia" w:ascii="仿宋" w:hAnsi="仿宋" w:eastAsia="仿宋" w:cs="仿宋"/>
          <w:color w:val="auto"/>
          <w:sz w:val="24"/>
          <w:highlight w:val="none"/>
        </w:rPr>
        <w:t>湖州市太湖路1155号</w:t>
      </w: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rPr>
        <w:t>层</w:t>
      </w:r>
      <w:r>
        <w:rPr>
          <w:rFonts w:hint="eastAsia" w:ascii="仿宋" w:hAnsi="仿宋" w:eastAsia="仿宋" w:cs="仿宋"/>
          <w:color w:val="auto"/>
          <w:sz w:val="24"/>
          <w:highlight w:val="none"/>
          <w:lang w:val="en-US" w:eastAsia="zh-CN"/>
        </w:rPr>
        <w:t>1402</w:t>
      </w:r>
      <w:r>
        <w:rPr>
          <w:rFonts w:hint="eastAsia" w:ascii="仿宋" w:hAnsi="仿宋" w:eastAsia="仿宋" w:cs="仿宋"/>
          <w:color w:val="auto"/>
          <w:sz w:val="24"/>
          <w:highlight w:val="none"/>
        </w:rPr>
        <w:t>室</w:t>
      </w:r>
      <w:r>
        <w:rPr>
          <w:rFonts w:hint="eastAsia" w:ascii="仿宋" w:hAnsi="仿宋" w:eastAsia="仿宋" w:cs="仿宋"/>
          <w:color w:val="auto"/>
          <w:kern w:val="0"/>
          <w:sz w:val="24"/>
          <w:highlight w:val="none"/>
        </w:rPr>
        <w:t>]，联系电话：</w:t>
      </w:r>
      <w:r>
        <w:rPr>
          <w:rFonts w:hint="eastAsia" w:ascii="仿宋" w:hAnsi="仿宋" w:eastAsia="仿宋" w:cs="仿宋"/>
          <w:color w:val="auto"/>
          <w:kern w:val="0"/>
          <w:sz w:val="24"/>
          <w:highlight w:val="none"/>
          <w:lang w:val="en-US" w:eastAsia="zh-CN"/>
        </w:rPr>
        <w:t>18768247439</w:t>
      </w:r>
      <w:r>
        <w:rPr>
          <w:rFonts w:hint="eastAsia" w:ascii="仿宋" w:hAnsi="仿宋" w:eastAsia="仿宋" w:cs="仿宋"/>
          <w:color w:val="auto"/>
          <w:kern w:val="0"/>
          <w:sz w:val="24"/>
          <w:highlight w:val="none"/>
        </w:rPr>
        <w:t>。邮寄截止时间：供应商应于202</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年</w:t>
      </w:r>
      <w:r>
        <w:rPr>
          <w:rFonts w:hint="eastAsia" w:ascii="仿宋" w:hAnsi="仿宋" w:eastAsia="仿宋" w:cs="仿宋"/>
          <w:color w:val="auto"/>
          <w:kern w:val="0"/>
          <w:sz w:val="24"/>
          <w:highlight w:val="none"/>
          <w:lang w:val="en-US" w:eastAsia="zh-CN"/>
        </w:rPr>
        <w:t>1月19日</w:t>
      </w:r>
      <w:r>
        <w:rPr>
          <w:rFonts w:hint="eastAsia" w:ascii="仿宋" w:hAnsi="仿宋" w:eastAsia="仿宋" w:cs="仿宋"/>
          <w:color w:val="auto"/>
          <w:kern w:val="0"/>
          <w:sz w:val="24"/>
          <w:highlight w:val="none"/>
        </w:rPr>
        <w:t>17:00时前准时送达，逾期不予受理。供应商须留足响应文件邮寄时间,确保数据电子备份响应文件（U盘）于规定的时间前送达指定地点，未按时送达的，均按未提供处理。</w:t>
      </w:r>
    </w:p>
    <w:p>
      <w:pPr>
        <w:snapToGrid w:val="0"/>
        <w:spacing w:line="500" w:lineRule="exact"/>
        <w:ind w:firstLine="482" w:firstLineChars="200"/>
        <w:jc w:val="left"/>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注：</w:t>
      </w:r>
      <w:r>
        <w:rPr>
          <w:rFonts w:hint="eastAsia" w:ascii="仿宋" w:hAnsi="仿宋" w:eastAsia="仿宋" w:cs="仿宋"/>
          <w:b/>
          <w:color w:val="auto"/>
          <w:kern w:val="0"/>
          <w:sz w:val="24"/>
          <w:highlight w:val="none"/>
          <w:u w:val="single"/>
        </w:rPr>
        <w:t>1）供应商应权衡利弊考虑是否提供数据电子备份响应文件（U盘），采购人及采购代理机构不做强制性要求，若因下一条款（第3条）原因须启用数据电子备份响应文件（U盘）时，而供应商未提供的，视为放弃磋商资格，作无效标处理；2）供应商应对提供的数据电子备份响应文件（U盘）进行加密处理，若需要启用数据电子备份响应文件（U盘）时，再由供应商告知采购人及采购代理机构加密信息进行解密；3）若供应商未提供数据电子备份响应文件（U盘），磋商公告及磋商文件中关于数据电子备份响应文件（U盘）的要求及内容不再适用</w:t>
      </w:r>
      <w:r>
        <w:rPr>
          <w:rFonts w:hint="eastAsia" w:ascii="仿宋" w:hAnsi="仿宋" w:eastAsia="仿宋" w:cs="仿宋"/>
          <w:b/>
          <w:color w:val="auto"/>
          <w:kern w:val="0"/>
          <w:sz w:val="24"/>
          <w:highlight w:val="none"/>
        </w:rPr>
        <w:t>。</w:t>
      </w:r>
    </w:p>
    <w:p>
      <w:pPr>
        <w:snapToGrid w:val="0"/>
        <w:spacing w:line="50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3、CA锁解密时间为开标当日磋商截止时间后</w:t>
      </w:r>
      <w:r>
        <w:rPr>
          <w:rFonts w:hint="eastAsia" w:ascii="仿宋" w:hAnsi="仿宋" w:eastAsia="仿宋" w:cs="仿宋"/>
          <w:color w:val="auto"/>
          <w:kern w:val="0"/>
          <w:sz w:val="24"/>
          <w:highlight w:val="none"/>
          <w:lang w:val="en-US" w:eastAsia="zh-CN"/>
        </w:rPr>
        <w:t>30分钟内</w:t>
      </w:r>
      <w:r>
        <w:rPr>
          <w:rFonts w:hint="eastAsia" w:ascii="仿宋" w:hAnsi="仿宋" w:eastAsia="仿宋" w:cs="仿宋"/>
          <w:color w:val="auto"/>
          <w:kern w:val="0"/>
          <w:sz w:val="24"/>
          <w:highlight w:val="none"/>
        </w:rPr>
        <w:t>，各供应商须具备符合要求的CA加密后的电子响应文件、有效的CA锁进行解密，磋商截止时间止未完成上传的电子响应文件作未提交电子响应文件处理；未按磋商文件要求密封、包装的数据电子备份响应文件（U盘）将拒绝接收；整个磋商过程中若因供应商问题造成电子响应文件无法正常解密的，均认定为未提交电子响应文件；若因网络或者其他非供应商问题造成电子响应文件无法正常解密的，启用数据电子备份响应文件（U盘），因供应商自身原因造成数据电子备份响应文件（U盘）无法打开的，作无效标处理。若正常解密成功，则数据电子备份响应文件（U盘）不予开启。在下一顺位的响应文件启用时，前一顺位的响应文件自动失效。</w:t>
      </w:r>
    </w:p>
    <w:p>
      <w:pPr>
        <w:snapToGrid w:val="0"/>
        <w:spacing w:line="50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4、供应商须在线获取CA数字证书（</w:t>
      </w:r>
      <w:r>
        <w:rPr>
          <w:rFonts w:hint="eastAsia" w:ascii="仿宋" w:hAnsi="仿宋" w:eastAsia="仿宋" w:cs="仿宋"/>
          <w:b/>
          <w:color w:val="auto"/>
          <w:kern w:val="0"/>
          <w:sz w:val="24"/>
          <w:highlight w:val="none"/>
        </w:rPr>
        <w:t>完成CA数字证书办理预计一周左右，建议各供应商自行把握时间</w:t>
      </w:r>
      <w:r>
        <w:rPr>
          <w:rFonts w:hint="eastAsia" w:ascii="仿宋" w:hAnsi="仿宋" w:eastAsia="仿宋" w:cs="仿宋"/>
          <w:color w:val="auto"/>
          <w:kern w:val="0"/>
          <w:sz w:val="24"/>
          <w:highlight w:val="none"/>
        </w:rPr>
        <w:t>，申领流程请自行前往“浙江政府采购网-下载专区-电子交易客户端-CA驱动和申领流程”进行查阅），并登陆“浙江政府采购网”（https://zfcg.czt.zj.gov.cn/），进入“下载专区”下载“电子交易客户端”，制作响应文件。</w:t>
      </w:r>
    </w:p>
    <w:p>
      <w:pPr>
        <w:snapToGrid w:val="0"/>
        <w:spacing w:line="50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5、供应商须将制作、加密后的电子版响应文件于磋商截止时间前上传到政采云系统中，超过磋商截止时间上传的，均按无效标处理。</w:t>
      </w:r>
    </w:p>
    <w:p>
      <w:pPr>
        <w:snapToGrid w:val="0"/>
        <w:spacing w:line="50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6、供应商通过政采云平台电子投标工具制作响应文件，电子投标工具请供应商自行前往浙江省政府采购网下载并安装，供应商电子交易操作指南详见网址：</w:t>
      </w:r>
      <w:r>
        <w:rPr>
          <w:color w:val="auto"/>
          <w:highlight w:val="none"/>
        </w:rPr>
        <w:fldChar w:fldCharType="begin"/>
      </w:r>
      <w:r>
        <w:rPr>
          <w:color w:val="auto"/>
          <w:highlight w:val="none"/>
        </w:rPr>
        <w:instrText xml:space="preserve"> HYPERLINK "https://help.zcygov.cn/web/site_2/2018/12-28/2573.html" </w:instrText>
      </w:r>
      <w:r>
        <w:rPr>
          <w:color w:val="auto"/>
          <w:highlight w:val="none"/>
        </w:rPr>
        <w:fldChar w:fldCharType="separate"/>
      </w:r>
      <w:r>
        <w:rPr>
          <w:rStyle w:val="20"/>
          <w:rFonts w:hint="eastAsia" w:ascii="仿宋" w:hAnsi="仿宋" w:eastAsia="仿宋" w:cs="仿宋"/>
          <w:color w:val="auto"/>
          <w:kern w:val="0"/>
          <w:sz w:val="24"/>
          <w:highlight w:val="none"/>
        </w:rPr>
        <w:t>https://zfcg.czt.zj.gov.cn/</w:t>
      </w:r>
      <w:r>
        <w:rPr>
          <w:rStyle w:val="20"/>
          <w:rFonts w:hint="eastAsia" w:ascii="仿宋" w:hAnsi="仿宋" w:eastAsia="仿宋" w:cs="仿宋"/>
          <w:color w:val="auto"/>
          <w:kern w:val="0"/>
          <w:sz w:val="24"/>
          <w:highlight w:val="none"/>
        </w:rPr>
        <w:fldChar w:fldCharType="end"/>
      </w:r>
      <w:r>
        <w:rPr>
          <w:rFonts w:hint="eastAsia" w:ascii="仿宋" w:hAnsi="仿宋" w:eastAsia="仿宋" w:cs="仿宋"/>
          <w:color w:val="auto"/>
          <w:kern w:val="0"/>
          <w:sz w:val="24"/>
          <w:highlight w:val="none"/>
        </w:rPr>
        <w:t>。</w:t>
      </w:r>
    </w:p>
    <w:p>
      <w:pPr>
        <w:snapToGrid w:val="0"/>
        <w:spacing w:line="50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7、按照“不见面、少接触”的原则，本项目采取“不见面”形式进行开磋商活动,法定代表人或其授权代理人无须到场，在线响应即可。</w:t>
      </w:r>
    </w:p>
    <w:p>
      <w:pPr>
        <w:snapToGrid w:val="0"/>
        <w:spacing w:line="500" w:lineRule="exact"/>
        <w:ind w:firstLine="472" w:firstLineChars="196"/>
        <w:rPr>
          <w:rFonts w:ascii="仿宋" w:hAnsi="仿宋" w:eastAsia="仿宋" w:cs="仿宋"/>
          <w:color w:val="auto"/>
          <w:kern w:val="0"/>
          <w:sz w:val="24"/>
          <w:highlight w:val="none"/>
        </w:rPr>
      </w:pPr>
      <w:r>
        <w:rPr>
          <w:rFonts w:hint="eastAsia" w:ascii="仿宋" w:hAnsi="仿宋" w:eastAsia="仿宋" w:cs="仿宋"/>
          <w:b/>
          <w:bCs/>
          <w:color w:val="auto"/>
          <w:kern w:val="0"/>
          <w:sz w:val="24"/>
          <w:highlight w:val="none"/>
        </w:rPr>
        <w:t>六、响应文件提交地点：</w:t>
      </w:r>
      <w:r>
        <w:rPr>
          <w:rFonts w:hint="eastAsia" w:ascii="仿宋" w:hAnsi="仿宋" w:eastAsia="仿宋" w:cs="仿宋"/>
          <w:color w:val="auto"/>
          <w:sz w:val="24"/>
          <w:highlight w:val="none"/>
          <w:lang w:eastAsia="zh-CN"/>
        </w:rPr>
        <w:t>政采云平台（https://zfcg.czt.zj.gov.cn/）</w:t>
      </w:r>
      <w:r>
        <w:rPr>
          <w:rFonts w:hint="eastAsia" w:ascii="仿宋" w:hAnsi="仿宋" w:eastAsia="仿宋" w:cs="仿宋"/>
          <w:color w:val="auto"/>
          <w:sz w:val="24"/>
          <w:highlight w:val="none"/>
        </w:rPr>
        <w:t>。</w:t>
      </w:r>
    </w:p>
    <w:p>
      <w:pPr>
        <w:snapToGrid w:val="0"/>
        <w:spacing w:line="500" w:lineRule="exact"/>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七、磋商时间：</w:t>
      </w:r>
      <w:r>
        <w:rPr>
          <w:rFonts w:hint="eastAsia" w:ascii="仿宋" w:hAnsi="仿宋" w:eastAsia="仿宋" w:cs="仿宋"/>
          <w:color w:val="auto"/>
          <w:kern w:val="0"/>
          <w:sz w:val="24"/>
          <w:highlight w:val="none"/>
        </w:rPr>
        <w:t>202</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年</w:t>
      </w:r>
      <w:r>
        <w:rPr>
          <w:rFonts w:hint="eastAsia" w:ascii="仿宋" w:hAnsi="仿宋" w:eastAsia="仿宋" w:cs="仿宋"/>
          <w:color w:val="auto"/>
          <w:kern w:val="0"/>
          <w:sz w:val="24"/>
          <w:highlight w:val="none"/>
          <w:lang w:val="en-US" w:eastAsia="zh-CN"/>
        </w:rPr>
        <w:t>1月22日13：30</w:t>
      </w:r>
    </w:p>
    <w:p>
      <w:pPr>
        <w:snapToGrid w:val="0"/>
        <w:spacing w:line="500" w:lineRule="exact"/>
        <w:ind w:firstLine="472" w:firstLineChars="196"/>
        <w:rPr>
          <w:rFonts w:ascii="仿宋" w:hAnsi="仿宋" w:eastAsia="仿宋" w:cs="仿宋"/>
          <w:color w:val="auto"/>
          <w:kern w:val="0"/>
          <w:sz w:val="24"/>
          <w:highlight w:val="none"/>
        </w:rPr>
      </w:pPr>
      <w:r>
        <w:rPr>
          <w:rFonts w:hint="eastAsia" w:ascii="仿宋" w:hAnsi="仿宋" w:eastAsia="仿宋" w:cs="仿宋"/>
          <w:b/>
          <w:bCs/>
          <w:color w:val="auto"/>
          <w:kern w:val="0"/>
          <w:sz w:val="24"/>
          <w:highlight w:val="none"/>
        </w:rPr>
        <w:t>八、磋商地点：</w:t>
      </w:r>
      <w:r>
        <w:rPr>
          <w:rFonts w:hint="eastAsia" w:ascii="仿宋" w:hAnsi="仿宋" w:eastAsia="仿宋" w:cs="仿宋"/>
          <w:color w:val="auto"/>
          <w:sz w:val="24"/>
          <w:highlight w:val="none"/>
          <w:lang w:eastAsia="zh-CN"/>
        </w:rPr>
        <w:t>政采云平台（https://zfcg.czt.zj.gov.cn/）</w:t>
      </w:r>
      <w:r>
        <w:rPr>
          <w:rFonts w:hint="eastAsia" w:ascii="仿宋" w:hAnsi="仿宋" w:eastAsia="仿宋" w:cs="仿宋"/>
          <w:color w:val="auto"/>
          <w:sz w:val="24"/>
          <w:highlight w:val="none"/>
        </w:rPr>
        <w:t>。</w:t>
      </w:r>
    </w:p>
    <w:p>
      <w:pPr>
        <w:snapToGrid w:val="0"/>
        <w:spacing w:line="50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九、其他事项：</w:t>
      </w:r>
    </w:p>
    <w:p>
      <w:pPr>
        <w:snapToGrid w:val="0"/>
        <w:spacing w:line="5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本项目为电子磋商项目，实行网上磋商，应按照本磋商文件及政采云平台的要求编制、加密并要求供应商通过政采云系统在线响应，磋商截止时间前须完成电子响应文件的上传，同时供应商须使用制作在线磋商响应文件时所用的CA锁，供应商在使用系统进行磋商的过程中遇到涉及平台使用的任何问题，可致电政采云平台技术支持热线咨询，联系方式：</w:t>
      </w:r>
      <w:r>
        <w:rPr>
          <w:rFonts w:hint="eastAsia" w:ascii="仿宋" w:hAnsi="仿宋" w:eastAsia="仿宋" w:cs="仿宋"/>
          <w:color w:val="auto"/>
          <w:sz w:val="24"/>
          <w:highlight w:val="none"/>
          <w:lang w:val="en-US" w:eastAsia="zh-CN"/>
        </w:rPr>
        <w:t>95763</w:t>
      </w:r>
      <w:r>
        <w:rPr>
          <w:rFonts w:hint="eastAsia" w:ascii="仿宋" w:hAnsi="仿宋" w:eastAsia="仿宋" w:cs="仿宋"/>
          <w:color w:val="auto"/>
          <w:sz w:val="24"/>
          <w:highlight w:val="none"/>
        </w:rPr>
        <w:t>。其中数据电子备份响应文件（U盘）在磋商截止时间前以密封、包装的形式提供。</w:t>
      </w:r>
    </w:p>
    <w:p>
      <w:pPr>
        <w:snapToGrid w:val="0"/>
        <w:spacing w:line="5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2、潜在供应商已依法获取其可质疑的磋商文件的，可以对该文件提出质疑。未按照规定方式依法获取磋商文件的，不得对磋商文件提起质疑投诉。</w:t>
      </w:r>
    </w:p>
    <w:p>
      <w:pPr>
        <w:snapToGrid w:val="0"/>
        <w:spacing w:line="5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3、供应商对磋商文件有异议的，供应商须在法定质疑期内一次性提出针对同一采购程序环节的质疑。应当在202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rPr>
        <w:t>日17：00分前以书面（含传真）形式向采购代理机构一次性提出，采购人将在规定的时间内统一进行澄清和修改，并书面（含传真）通知所有认购磋商文件的供应商。供应商未按规定要求提出的，则视同认可磋商文件，但法律法规及规范性文件有明确规定的除外。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napToGrid w:val="0"/>
        <w:spacing w:line="5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4、答疑内容是磋商文件的组成部分，并将在网上发布补充（答疑、澄清）文件，潜在供应商应自行关注网站公告，采购人不再一一通知，供应商因自身贻误行为导致磋商失效的，责任自负。</w:t>
      </w:r>
    </w:p>
    <w:p>
      <w:pPr>
        <w:snapToGrid w:val="0"/>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5、参与政府采购项目的注册供应商，需登录浙江政府采购云平台（http://www.zcygov.cn）进行网上报名，尚未注册的供应商应当先在浙江政府采购云平台上申请注册，注册终审通过后再进行网上报名。</w:t>
      </w:r>
    </w:p>
    <w:p>
      <w:pPr>
        <w:snapToGrid w:val="0"/>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为有效破解当前中小微企业面临的“融资难、融资贵”困局，充分发挥好政府采购扶持小微企业发展的政策功能，本项目成交供应商可凭成交通知书等材料至“绿贷通平台”网页（www.lvdt.huzldt.com）或“政采贷”平台网页（www.zcygov.cn）申请相关融资产品。具体操作方式可在“绿贷通”或“政采贷”平台网站查询，也可向“绿贷通”或“政采贷”平台电话咨询（“绿贷通”联系电话：0572-2392590、“政采贷”联系电话：0572-2151055、18698580797）。</w:t>
      </w:r>
    </w:p>
    <w:p>
      <w:pPr>
        <w:snapToGrid w:val="0"/>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7、本项目是否专门面向中小企业采购：</w:t>
      </w:r>
      <w:r>
        <w:rPr>
          <w:rFonts w:hint="eastAsia" w:ascii="仿宋" w:hAnsi="仿宋" w:eastAsia="仿宋" w:cs="仿宋"/>
          <w:color w:val="auto"/>
          <w:sz w:val="24"/>
          <w:highlight w:val="none"/>
          <w:lang w:eastAsia="zh-CN"/>
        </w:rPr>
        <w:t>是</w:t>
      </w:r>
      <w:r>
        <w:rPr>
          <w:rFonts w:hint="eastAsia" w:ascii="仿宋" w:hAnsi="仿宋" w:eastAsia="仿宋" w:cs="仿宋"/>
          <w:color w:val="auto"/>
          <w:sz w:val="24"/>
          <w:highlight w:val="none"/>
        </w:rPr>
        <w:t>。</w:t>
      </w:r>
    </w:p>
    <w:p>
      <w:pPr>
        <w:snapToGrid w:val="0"/>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8、本次磋商有关信息刊登在：</w:t>
      </w:r>
    </w:p>
    <w:p>
      <w:pPr>
        <w:snapToGrid w:val="0"/>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8.1浙江政府采购网：https://zfcg.czt.zj.gov.cn/</w:t>
      </w:r>
    </w:p>
    <w:p>
      <w:pPr>
        <w:snapToGrid w:val="0"/>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8.2湖州市公共资源交易信息网：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"http://ggzyjy.huzhou.gov.cn/" </w:instrText>
      </w:r>
      <w:r>
        <w:rPr>
          <w:rFonts w:hint="eastAsia" w:ascii="仿宋" w:hAnsi="仿宋" w:eastAsia="仿宋" w:cs="仿宋"/>
          <w:color w:val="auto"/>
          <w:sz w:val="24"/>
          <w:highlight w:val="none"/>
        </w:rPr>
        <w:fldChar w:fldCharType="separate"/>
      </w:r>
      <w:r>
        <w:rPr>
          <w:rStyle w:val="20"/>
          <w:rFonts w:hint="eastAsia" w:ascii="仿宋" w:hAnsi="仿宋" w:eastAsia="仿宋" w:cs="仿宋"/>
          <w:color w:val="auto"/>
          <w:sz w:val="24"/>
          <w:highlight w:val="none"/>
        </w:rPr>
        <w:t>http://ggzyjy.huzhou.gov.cn/</w:t>
      </w:r>
      <w:r>
        <w:rPr>
          <w:rFonts w:hint="eastAsia" w:ascii="仿宋" w:hAnsi="仿宋" w:eastAsia="仿宋" w:cs="仿宋"/>
          <w:color w:val="auto"/>
          <w:sz w:val="24"/>
          <w:highlight w:val="none"/>
        </w:rPr>
        <w:fldChar w:fldCharType="end"/>
      </w:r>
    </w:p>
    <w:p>
      <w:pPr>
        <w:snapToGrid w:val="0"/>
        <w:spacing w:line="48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十、业务咨询：</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1、采购代理机构名称：浙江新诚信工程咨询有限公司</w:t>
      </w:r>
    </w:p>
    <w:p>
      <w:pPr>
        <w:spacing w:line="5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lang w:val="en-US" w:eastAsia="zh-CN"/>
        </w:rPr>
        <w:t>郭婷</w:t>
      </w:r>
      <w:r>
        <w:rPr>
          <w:rFonts w:hint="eastAsia" w:ascii="仿宋" w:hAnsi="仿宋" w:eastAsia="仿宋" w:cs="仿宋"/>
          <w:color w:val="auto"/>
          <w:sz w:val="24"/>
          <w:highlight w:val="none"/>
        </w:rPr>
        <w:t xml:space="preserve">            联系电话：</w:t>
      </w:r>
      <w:r>
        <w:rPr>
          <w:rFonts w:hint="eastAsia" w:ascii="仿宋" w:hAnsi="仿宋" w:eastAsia="仿宋" w:cs="仿宋"/>
          <w:color w:val="auto"/>
          <w:sz w:val="24"/>
          <w:highlight w:val="none"/>
          <w:lang w:val="en-US" w:eastAsia="zh-CN"/>
        </w:rPr>
        <w:t xml:space="preserve">18768247439 </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质疑函接收人：</w:t>
      </w:r>
      <w:r>
        <w:rPr>
          <w:rFonts w:hint="eastAsia" w:ascii="仿宋" w:hAnsi="仿宋" w:eastAsia="仿宋" w:cs="仿宋"/>
          <w:color w:val="auto"/>
          <w:sz w:val="24"/>
          <w:highlight w:val="none"/>
          <w:lang w:val="en-US" w:eastAsia="zh-CN"/>
        </w:rPr>
        <w:t>赵丽娅</w:t>
      </w:r>
      <w:r>
        <w:rPr>
          <w:rFonts w:hint="eastAsia" w:ascii="仿宋" w:hAnsi="仿宋" w:eastAsia="仿宋" w:cs="仿宋"/>
          <w:color w:val="auto"/>
          <w:sz w:val="24"/>
          <w:highlight w:val="none"/>
        </w:rPr>
        <w:t xml:space="preserve">      联系电话：0572-2051833</w:t>
      </w:r>
    </w:p>
    <w:p>
      <w:pPr>
        <w:snapToGrid w:val="0"/>
        <w:spacing w:line="56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2、采购人名称：</w:t>
      </w:r>
      <w:r>
        <w:rPr>
          <w:rFonts w:hint="eastAsia" w:ascii="仿宋" w:hAnsi="仿宋" w:eastAsia="仿宋" w:cs="仿宋"/>
          <w:color w:val="auto"/>
          <w:sz w:val="24"/>
          <w:highlight w:val="none"/>
          <w:lang w:eastAsia="zh-CN"/>
        </w:rPr>
        <w:t>湖州市人民政府滨湖街道办事处</w:t>
      </w:r>
    </w:p>
    <w:p>
      <w:pPr>
        <w:snapToGrid w:val="0"/>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联系人：张勇              联系电话：13706524128 </w:t>
      </w:r>
    </w:p>
    <w:p>
      <w:pPr>
        <w:snapToGrid w:val="0"/>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质疑函接收人：卢慧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联系电话：0572-2</w:t>
      </w:r>
      <w:r>
        <w:rPr>
          <w:rFonts w:hint="eastAsia" w:ascii="仿宋" w:hAnsi="仿宋" w:eastAsia="仿宋" w:cs="仿宋"/>
          <w:color w:val="auto"/>
          <w:sz w:val="24"/>
          <w:highlight w:val="none"/>
          <w:lang w:val="en-US" w:eastAsia="zh-CN"/>
        </w:rPr>
        <w:t>593135</w:t>
      </w:r>
      <w:r>
        <w:rPr>
          <w:rFonts w:hint="eastAsia" w:ascii="仿宋" w:hAnsi="仿宋" w:eastAsia="仿宋" w:cs="仿宋"/>
          <w:color w:val="auto"/>
          <w:sz w:val="24"/>
          <w:highlight w:val="none"/>
        </w:rPr>
        <w:t xml:space="preserve"> </w:t>
      </w:r>
    </w:p>
    <w:p>
      <w:pPr>
        <w:snapToGrid w:val="0"/>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3、政府采购行政监管及投诉受理部门：湖州市财政局政府采购监管处</w:t>
      </w:r>
    </w:p>
    <w:p>
      <w:pPr>
        <w:snapToGrid w:val="0"/>
        <w:spacing w:line="560" w:lineRule="exact"/>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lang w:val="en-US" w:eastAsia="zh-CN"/>
        </w:rPr>
        <w:t>程先生</w:t>
      </w:r>
      <w:r>
        <w:rPr>
          <w:rFonts w:hint="eastAsia" w:ascii="仿宋" w:hAnsi="仿宋" w:eastAsia="仿宋" w:cs="仿宋"/>
          <w:color w:val="auto"/>
          <w:sz w:val="24"/>
          <w:highlight w:val="none"/>
        </w:rPr>
        <w:t xml:space="preserve">         联系电话：0572-215</w:t>
      </w:r>
      <w:r>
        <w:rPr>
          <w:rFonts w:hint="eastAsia" w:ascii="仿宋" w:hAnsi="仿宋" w:eastAsia="仿宋" w:cs="仿宋"/>
          <w:color w:val="auto"/>
          <w:sz w:val="24"/>
          <w:highlight w:val="none"/>
          <w:lang w:val="en-US" w:eastAsia="zh-CN"/>
        </w:rPr>
        <w:t>0216</w:t>
      </w:r>
    </w:p>
    <w:p>
      <w:pPr>
        <w:snapToGrid w:val="0"/>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color w:val="auto"/>
          <w:sz w:val="24"/>
          <w:highlight w:val="none"/>
        </w:rPr>
        <w:t>地址：湖州市龙王山路518号</w:t>
      </w:r>
    </w:p>
    <w:p>
      <w:pPr>
        <w:snapToGrid w:val="0"/>
        <w:spacing w:line="560" w:lineRule="exact"/>
        <w:ind w:left="238" w:right="480"/>
        <w:jc w:val="right"/>
        <w:rPr>
          <w:rFonts w:hint="eastAsia" w:ascii="仿宋" w:hAnsi="仿宋" w:eastAsia="仿宋" w:cs="仿宋"/>
          <w:bCs/>
          <w:color w:val="auto"/>
          <w:sz w:val="24"/>
          <w:highlight w:val="none"/>
          <w:lang w:eastAsia="zh-CN"/>
        </w:rPr>
      </w:pPr>
    </w:p>
    <w:p>
      <w:pPr>
        <w:snapToGrid w:val="0"/>
        <w:spacing w:line="560" w:lineRule="exact"/>
        <w:ind w:left="238" w:right="480"/>
        <w:jc w:val="right"/>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lang w:eastAsia="zh-CN"/>
        </w:rPr>
        <w:t>湖州市人民政府滨湖街道办事处</w:t>
      </w:r>
    </w:p>
    <w:p>
      <w:pPr>
        <w:snapToGrid w:val="0"/>
        <w:spacing w:line="560" w:lineRule="exact"/>
        <w:ind w:left="238" w:right="480"/>
        <w:jc w:val="right"/>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lang w:eastAsia="zh-CN"/>
        </w:rPr>
        <w:t xml:space="preserve">浙江新诚信工程咨询有限公司 </w:t>
      </w:r>
    </w:p>
    <w:p>
      <w:pPr>
        <w:wordWrap w:val="0"/>
        <w:snapToGrid w:val="0"/>
        <w:spacing w:line="560" w:lineRule="exact"/>
        <w:ind w:left="238" w:right="480"/>
        <w:jc w:val="right"/>
        <w:rPr>
          <w:rFonts w:ascii="仿宋" w:hAnsi="仿宋" w:eastAsia="仿宋" w:cs="仿宋"/>
          <w:bCs/>
          <w:color w:val="auto"/>
          <w:sz w:val="30"/>
          <w:szCs w:val="30"/>
          <w:highlight w:val="none"/>
        </w:rPr>
        <w:sectPr>
          <w:headerReference r:id="rId3" w:type="default"/>
          <w:pgSz w:w="11906" w:h="16838"/>
          <w:pgMar w:top="1134" w:right="1247" w:bottom="1134" w:left="1247" w:header="113" w:footer="113" w:gutter="0"/>
          <w:pgNumType w:fmt="numberInDash"/>
          <w:cols w:space="720" w:num="1"/>
          <w:titlePg/>
          <w:docGrid w:linePitch="312" w:charSpace="0"/>
        </w:sectPr>
      </w:pPr>
      <w:r>
        <w:rPr>
          <w:rFonts w:hint="eastAsia" w:ascii="仿宋" w:hAnsi="仿宋" w:eastAsia="仿宋" w:cs="仿宋"/>
          <w:bCs/>
          <w:color w:val="auto"/>
          <w:sz w:val="24"/>
          <w:highlight w:val="none"/>
        </w:rPr>
        <w:t>202</w:t>
      </w:r>
      <w:r>
        <w:rPr>
          <w:rFonts w:hint="eastAsia" w:ascii="仿宋" w:hAnsi="仿宋" w:eastAsia="仿宋" w:cs="仿宋"/>
          <w:bCs/>
          <w:color w:val="auto"/>
          <w:sz w:val="24"/>
          <w:highlight w:val="none"/>
          <w:lang w:val="en-US" w:eastAsia="zh-CN"/>
        </w:rPr>
        <w:t>4</w:t>
      </w:r>
      <w:r>
        <w:rPr>
          <w:rFonts w:hint="eastAsia" w:ascii="仿宋" w:hAnsi="仿宋" w:eastAsia="仿宋" w:cs="仿宋"/>
          <w:bCs/>
          <w:color w:val="auto"/>
          <w:sz w:val="24"/>
          <w:highlight w:val="none"/>
        </w:rPr>
        <w:t>年</w:t>
      </w: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rPr>
        <w:t>月</w:t>
      </w:r>
      <w:r>
        <w:rPr>
          <w:rFonts w:hint="eastAsia" w:ascii="仿宋" w:hAnsi="仿宋" w:eastAsia="仿宋" w:cs="仿宋"/>
          <w:bCs/>
          <w:color w:val="auto"/>
          <w:sz w:val="24"/>
          <w:highlight w:val="none"/>
          <w:lang w:val="en-US" w:eastAsia="zh-CN"/>
        </w:rPr>
        <w:t>12</w:t>
      </w:r>
      <w:r>
        <w:rPr>
          <w:rFonts w:hint="eastAsia" w:ascii="仿宋" w:hAnsi="仿宋" w:eastAsia="仿宋" w:cs="仿宋"/>
          <w:bCs/>
          <w:color w:val="auto"/>
          <w:sz w:val="24"/>
          <w:highlight w:val="none"/>
        </w:rPr>
        <w:t>日</w:t>
      </w:r>
    </w:p>
    <w:p>
      <w:pPr>
        <w:pStyle w:val="2"/>
        <w:spacing w:line="460" w:lineRule="exact"/>
        <w:jc w:val="center"/>
        <w:rPr>
          <w:rFonts w:ascii="仿宋" w:hAnsi="仿宋" w:eastAsia="仿宋" w:cs="仿宋"/>
          <w:color w:val="auto"/>
          <w:sz w:val="36"/>
          <w:szCs w:val="36"/>
          <w:highlight w:val="none"/>
        </w:rPr>
      </w:pPr>
      <w:bookmarkStart w:id="1" w:name="_Toc452995894"/>
      <w:r>
        <w:rPr>
          <w:rFonts w:hint="eastAsia" w:ascii="仿宋" w:hAnsi="仿宋" w:eastAsia="仿宋" w:cs="仿宋"/>
          <w:color w:val="auto"/>
          <w:sz w:val="36"/>
          <w:szCs w:val="36"/>
          <w:highlight w:val="none"/>
        </w:rPr>
        <w:t>第二章  磋商项目采购需求</w:t>
      </w:r>
    </w:p>
    <w:p>
      <w:pPr>
        <w:spacing w:line="360" w:lineRule="auto"/>
        <w:rPr>
          <w:rFonts w:ascii="仿宋" w:hAnsi="仿宋" w:eastAsia="仿宋" w:cs="仿宋"/>
          <w:b/>
          <w:color w:val="auto"/>
          <w:sz w:val="24"/>
          <w:highlight w:val="none"/>
        </w:rPr>
      </w:pPr>
    </w:p>
    <w:p>
      <w:pPr>
        <w:spacing w:line="360" w:lineRule="auto"/>
        <w:rPr>
          <w:rFonts w:hint="eastAsia" w:ascii="仿宋" w:hAnsi="仿宋" w:eastAsia="仿宋" w:cs="仿宋"/>
          <w:b/>
          <w:bCs/>
          <w:color w:val="auto"/>
          <w:sz w:val="24"/>
          <w:highlight w:val="none"/>
          <w:lang w:eastAsia="zh-CN"/>
        </w:rPr>
      </w:pPr>
      <w:r>
        <w:rPr>
          <w:rFonts w:hint="eastAsia" w:ascii="仿宋" w:hAnsi="仿宋" w:eastAsia="仿宋" w:cs="仿宋"/>
          <w:b/>
          <w:color w:val="auto"/>
          <w:sz w:val="24"/>
          <w:highlight w:val="none"/>
        </w:rPr>
        <w:t>一、项目编号：</w:t>
      </w:r>
      <w:r>
        <w:rPr>
          <w:rFonts w:hint="eastAsia" w:ascii="仿宋" w:hAnsi="仿宋" w:eastAsia="仿宋" w:cs="仿宋"/>
          <w:b/>
          <w:bCs/>
          <w:color w:val="auto"/>
          <w:sz w:val="24"/>
          <w:highlight w:val="none"/>
          <w:lang w:eastAsia="zh-CN"/>
        </w:rPr>
        <w:t>XCXHZ-202</w:t>
      </w:r>
      <w:r>
        <w:rPr>
          <w:rFonts w:hint="eastAsia" w:ascii="仿宋" w:hAnsi="仿宋" w:eastAsia="仿宋" w:cs="仿宋"/>
          <w:b/>
          <w:bCs/>
          <w:color w:val="auto"/>
          <w:sz w:val="24"/>
          <w:highlight w:val="none"/>
          <w:lang w:val="en-US" w:eastAsia="zh-CN"/>
        </w:rPr>
        <w:t>4</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lang w:val="en-US" w:eastAsia="zh-CN"/>
        </w:rPr>
        <w:t>003</w:t>
      </w:r>
      <w:r>
        <w:rPr>
          <w:rFonts w:hint="eastAsia" w:ascii="仿宋" w:hAnsi="仿宋" w:eastAsia="仿宋" w:cs="仿宋"/>
          <w:b/>
          <w:bCs/>
          <w:color w:val="auto"/>
          <w:sz w:val="24"/>
          <w:highlight w:val="none"/>
          <w:lang w:eastAsia="zh-CN"/>
        </w:rPr>
        <w:t xml:space="preserve">（CG） </w:t>
      </w:r>
    </w:p>
    <w:p>
      <w:pPr>
        <w:spacing w:line="360" w:lineRule="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rPr>
        <w:t>二、采购人名称：</w:t>
      </w:r>
      <w:r>
        <w:rPr>
          <w:rFonts w:hint="eastAsia" w:ascii="仿宋" w:hAnsi="仿宋" w:eastAsia="仿宋" w:cs="仿宋"/>
          <w:b/>
          <w:color w:val="auto"/>
          <w:sz w:val="24"/>
          <w:highlight w:val="none"/>
          <w:lang w:eastAsia="zh-CN"/>
        </w:rPr>
        <w:t>湖州市人民政府滨湖街道办事处</w:t>
      </w: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三、采购项目：</w:t>
      </w:r>
      <w:r>
        <w:rPr>
          <w:rFonts w:hint="eastAsia" w:ascii="仿宋" w:hAnsi="仿宋" w:eastAsia="仿宋" w:cs="仿宋"/>
          <w:b/>
          <w:color w:val="auto"/>
          <w:sz w:val="24"/>
          <w:highlight w:val="none"/>
          <w:lang w:eastAsia="zh-CN"/>
        </w:rPr>
        <w:t xml:space="preserve">街道机关2024年度食堂食材第三方配送及食堂运维项目    </w:t>
      </w:r>
      <w:r>
        <w:rPr>
          <w:rFonts w:hint="eastAsia" w:ascii="仿宋" w:hAnsi="仿宋" w:eastAsia="仿宋" w:cs="仿宋"/>
          <w:b/>
          <w:color w:val="auto"/>
          <w:sz w:val="24"/>
          <w:highlight w:val="none"/>
        </w:rPr>
        <w:t xml:space="preserve"> </w:t>
      </w:r>
    </w:p>
    <w:p>
      <w:pPr>
        <w:spacing w:line="360" w:lineRule="auto"/>
        <w:rPr>
          <w:rFonts w:hint="default" w:ascii="仿宋" w:hAnsi="仿宋" w:eastAsia="仿宋" w:cs="仿宋"/>
          <w:b/>
          <w:color w:val="auto"/>
          <w:sz w:val="24"/>
          <w:highlight w:val="none"/>
          <w:shd w:val="pct10" w:color="auto" w:fill="FFFFFF"/>
          <w:lang w:val="en-US" w:eastAsia="zh-CN"/>
        </w:rPr>
      </w:pPr>
      <w:r>
        <w:rPr>
          <w:rFonts w:hint="eastAsia" w:ascii="仿宋" w:hAnsi="仿宋" w:eastAsia="仿宋" w:cs="仿宋"/>
          <w:b/>
          <w:color w:val="auto"/>
          <w:sz w:val="24"/>
          <w:highlight w:val="none"/>
        </w:rPr>
        <w:t xml:space="preserve">四、采购预算： </w:t>
      </w:r>
      <w:r>
        <w:rPr>
          <w:rFonts w:hint="eastAsia" w:ascii="仿宋" w:hAnsi="仿宋" w:eastAsia="仿宋" w:cs="仿宋"/>
          <w:b/>
          <w:color w:val="auto"/>
          <w:sz w:val="24"/>
          <w:highlight w:val="none"/>
          <w:lang w:val="en-US" w:eastAsia="zh-CN"/>
        </w:rPr>
        <w:t>120</w:t>
      </w:r>
      <w:r>
        <w:rPr>
          <w:rFonts w:hint="eastAsia" w:ascii="仿宋" w:hAnsi="仿宋" w:eastAsia="仿宋" w:cs="仿宋"/>
          <w:b/>
          <w:color w:val="auto"/>
          <w:sz w:val="24"/>
          <w:highlight w:val="none"/>
        </w:rPr>
        <w:t>万元</w:t>
      </w:r>
      <w:r>
        <w:rPr>
          <w:rFonts w:hint="eastAsia" w:ascii="仿宋" w:hAnsi="仿宋" w:eastAsia="仿宋" w:cs="仿宋"/>
          <w:b/>
          <w:color w:val="auto"/>
          <w:sz w:val="24"/>
          <w:highlight w:val="none"/>
          <w:lang w:eastAsia="zh-CN"/>
        </w:rPr>
        <w:t>，其中食堂食材配送部分按折扣报价，食堂运维费用</w:t>
      </w:r>
      <w:r>
        <w:rPr>
          <w:rFonts w:hint="eastAsia" w:ascii="仿宋" w:hAnsi="仿宋" w:eastAsia="仿宋" w:cs="仿宋"/>
          <w:b/>
          <w:color w:val="auto"/>
          <w:sz w:val="24"/>
          <w:highlight w:val="none"/>
          <w:lang w:val="en-US" w:eastAsia="zh-CN"/>
        </w:rPr>
        <w:t>最高限价40万元/年。</w:t>
      </w:r>
    </w:p>
    <w:p>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五、采购内容：</w:t>
      </w:r>
    </w:p>
    <w:p>
      <w:pPr>
        <w:spacing w:line="460" w:lineRule="exact"/>
        <w:ind w:firstLine="482" w:firstLineChars="200"/>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（一）食堂食材配送需求</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蔬菜、蛋类、肉类、豆制品、冻货、酱菜、水产、干货、调味品、大米（黑龙江产一级晚梗米及江苏产一级晚梗米）、食用油（一级非转基因压榨菜籽油）等</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1、蔬菜</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质量要求：</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（1）产品有该菜可食用时就有的特性，成熟度适中、新鲜、色泽良好、形态正常、外观清洁、无腐烂、无霉变、无异味、农药残留量不超过国家的有关标准。必须保证新鲜,且符合《食品安全法》要求。</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（2）叶菜：外形正常，叶梗光滑幼嫩，不干瘪凋萎，无过多黄叶，色泽正常。去除根须，不含土，无虫害，大白菜、卷心菜切开心不变黑，无腐烂情形，无明显浸水现象；农药残留不超标，损耗率低于5%。</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（3）根茎类（如香芋、土豆、莴笋等）：无虫咬、发芽、发霉现象，新鲜，形态大小与</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标准相当。农药残留不超标，破碎率低于5%。</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（4）花果类（如西兰花、白菜花）：无虫害，成熟度良好，新鲜固有色泽鲜明，无发霉发黄。农药残留不超标，损耗率低于5%。</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（5）姜蒜类：表皮干燥，蒜瓣硬实。新鲜、干净、外形完整，破碎率低于5%。</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（6）蔬菜必须经过农药残留检测后方可配送，随货附送检测报告。</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应做好 24 小时实物留样。</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退货依据：损耗率高于5%。</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（1）叶菜：味苦，鲜度嫩度明显不佳，含黄叶须根，泥土、虫害严重，萎捏严重，浸水后仍不可恢复；农药残留超标。</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（2）根茎类（如香芋、土豆、莴笋等）：发芽严重、发霉，新鲜度不佳，形态大小与</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自购标准存在较大负偏差。农药残留超标。</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（3）花果类（如西兰花、白菜花）：不新鲜，发霉，虫害过多。农药残留超标。</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（4）姜蒜类：表皮湿度大，蒜瓣蔫软，发芽，腐烂、泥土过多，冻伤。</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2、肉类</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质量要求：</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（1）必须具有动物检验检疫合格证明或“QS”食品质量认证标志</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（2）生猪食品必须是定点宰杀，盖有检验合格戳记，并有书面依据。</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（3）标准肉：皮质细腻，脂肪洁白，精肉红润鲜嫩，有弹性，手擦脂肪有油腻，无注水，无包囊，无异味。</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（4）仔排要求为薄型微冻产品，表面不带油膘，中间隔层油膘不得超过0.5公分.</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（5）条肉要求为中方产品（不带大排），中间隔层油膘不得超过1公分。</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（6）所供猪肉后腿净肉：不带碎骨、不带肥肉，肉色鲜艳，无病变、不打水；</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（7）猪肉：不带碎骨（一斤猪肉，三两肥肉七两瘦肉），肉色鲜艳，不打水；五花肉：要求中肋部分整方形，不带腩肉，带少量排骨，肉色鲜艳，层次分明；</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（8）冻禽肉：冻禽肉皮肤有光泽，呈淡黄、淡红、灰白色等，肌肉切面有光泽，指压后凹陷恢复得慢，且不能完全恢复。冻禽肉的配送到达日期，需要在生产日期后5天内。</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（9）畜肉品须色泽鲜亮、无任何异味、无毛、按压无水迹；禽肉类制品须肉面干净、无任何异味、无毛发、表皮处理清洁，大小统一、码放整齐。</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（10）所供货物不得以次充好，不得将病死猪肉、残剩猪肉、老母猪肉、注水猪肉等不合格品参杂其中。一经发现，取消其供货资格。</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（11）确保无病猪、死猪、老母猪、注水猪、黄膘等不合格猪肉混杂其中。一经发现，取消其供货资格。</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退货依据：与验收标准不符，病死或者死因不明的畜禽及其制品等。</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3、禽蛋：</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质量要求：</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（1）蛋类须保证3日内产品，必须保证新鲜,且符合《食品安全法》要求。</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退货依据：与验收标准不符，腐臭、破损率超过3%。</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4、水产、冻货：</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质量要求：</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（1）水产类须保证鲜活、大小基本统一，必须保证新鲜,且符合《食品安全法》要求鲜活类水产需要保证为3日内产品，冰鲜类需要保证为3个月内产品。</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鱼类需要具有鲜鱼固有的鲜明体色余光泽，粘度透明；鳞完整或稍有花鳞，紧贴鱼体不易剥落，有透明黏液；鳃盖紧合，鳃丝鲜红或紫红，色清晰，黏液透明无异味；鱼眼饱满，角膜光亮透明；腹部呈白色或淡玫瑰红色，破肚率小于等于5%；肌肉结实或富有弹性，无风干、异味现象（不破鱼选用这个）。</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（3）水产类净菜须保证处理干净、表面无鳞片、血迹、内脏清理彻底、无异味。</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（4）冰鲜需要为通过检验检疫依法销售的产品。</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退货依据：鲜活度低下，不符合验收标准，体表色暗淡无关黏液透明度较差、浑浊且有腐败味；鳞不完整松弛、易剥落；鳃盖松弛，鳃丝粘连，呈淡红暗红或灰红褐色，有显著腥味；眼球凹陷，角膜混沌或发糊；腹部膨胀或变软，表面发暗色或淡绿色斑点；肌肉松弛，弹性差。</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5、调味品类</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质量要求：</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根据</w:t>
      </w:r>
      <w:r>
        <w:rPr>
          <w:rFonts w:hint="eastAsia" w:ascii="仿宋" w:hAnsi="仿宋" w:eastAsia="仿宋" w:cs="仿宋"/>
          <w:color w:val="auto"/>
          <w:sz w:val="24"/>
          <w:highlight w:val="none"/>
          <w:lang w:val="en-US" w:eastAsia="zh-CN"/>
        </w:rPr>
        <w:t>采购</w:t>
      </w:r>
      <w:r>
        <w:rPr>
          <w:rFonts w:hint="eastAsia" w:ascii="仿宋" w:hAnsi="仿宋" w:eastAsia="仿宋" w:cs="仿宋"/>
          <w:color w:val="auto"/>
          <w:sz w:val="24"/>
          <w:highlight w:val="none"/>
        </w:rPr>
        <w:t>人要求提供各类货品（应为知名品牌，优质产品），保证新鲜度，外包装清洁卫生，完整坚固，且包装上的商品名称、厂址、规格等与内容物相符，标示清晰，批次清楚等。</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退货依据：</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（1）不符合验收标准的、无“QS”食品质量安全认证的产品。</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（2）无品名、产地、厂名、生产日期、保质期及中文标识及原料说明的定型包装食品。</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（3）超过保质期限或不符合食品标签规定的定型包装食品。</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（4）腐败变质,油脂酸败,霉变,生虫,污秽不洁,混有异物或者其他感官性状异常，含有毒、有害物质污染，可能对人体健康有害的食品。</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（5）、转基因产品。</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6、酱菜及其他</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质量要求：</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（1）必须为正规商品，保质期须在有效范围内且不超过国家规定范围的一半时间以上。</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（2）所供的商品必须从正规渠道购入，有明确的生产厂家、品牌、质保期、生产日期、批号、安全标识等，并能顺利追溯源头。</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（3）所供货物不得以次充好，不得将不合格品参杂其中。一经发现，取消其供货资格。</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（4）因产品质量问题发生的食物安全事故，由供应商承担经济赔偿责任以及其他法律责任，并取消供货资格且三年内不得参加此项项目。</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退货依据：</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（1）符合验收标准的、无“QS”食品质量安全认证的产品。</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（2）无品名、产地、厂名、生产日期、保质期及中文标识及原料说明的定型包装食品.</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（3）超过保质期限或不符合食品标签规定的定型包装食品. </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（4）腐败变质,油脂酸败,霉变,生虫,污秽不洁,混有异物或者其他感官性状异常，含有毒、有害物质污染，可能对人体健康有害的食品。</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7、大米供货要求：</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（1）严格按</w:t>
      </w:r>
      <w:r>
        <w:rPr>
          <w:rFonts w:hint="eastAsia" w:ascii="仿宋" w:hAnsi="仿宋" w:eastAsia="仿宋" w:cs="仿宋"/>
          <w:color w:val="auto"/>
          <w:sz w:val="24"/>
          <w:highlight w:val="none"/>
          <w:lang w:val="en-US" w:eastAsia="zh-CN"/>
        </w:rPr>
        <w:t>采购</w:t>
      </w:r>
      <w:r>
        <w:rPr>
          <w:rFonts w:hint="eastAsia" w:ascii="仿宋" w:hAnsi="仿宋" w:eastAsia="仿宋" w:cs="仿宋"/>
          <w:color w:val="auto"/>
          <w:sz w:val="24"/>
          <w:highlight w:val="none"/>
        </w:rPr>
        <w:t>人规定的时间、数量、品质要求准时配送至，经采购方人员验收合格并签字确认后方可入仓。每批次须随货附该批次质量检测报告。</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（2）所供的商品必须从正规渠道购入，有明确的生产厂家、品牌、质保期、生产日期、批号、安全标识等，并能顺利追溯源头。大米必须离墙离地存放，确保质量安全。</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（3）所供货物不得以次充好，不得将不合格品参杂其中。一经发现，取消其供货资格。</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（4）因产品质量问题发生的食物安全事故，由供应商承担经济赔偿责任以及其他法律责任，并取消供货资格且五年内不得参加此类项目。</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（5）大米必须使用无毒编织袋包装，不得缺斤短两。</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供应的大米必须是本年度或上一年度出产的稻谷生产的新米；大米必须符合GB1354-2009国家标准、GB7718-2011《食品安全国家标准预包装食品标签通则》、GB28050-2011《食品安全国家标准预包装食品营养标签通则》、GB2716-2011《食品安全国家标准食品中真菌毒素限量》，若国家有新标准的按新标准执行。</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8、食用油供货要求：</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食用油必须是国内大型、正规厂家生产的非转基因一级压榨菜籽油，符合国家相关强制性检验规定和类级标准（具体以国家标准为准）；无酸败、焦糊及其它异味，色泽透明均匀，不含异物。透明度澄清、透明；滋味无气味、口感好。每一批次油类采购要有质检报告。所供食用油为非积压产品。</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（1）严格按</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规定的时间、数量、品质要求准时配送，经采购方人员验收合格并签字确认后方可入仓。每批次须随货附该批次质量检测报告。</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（2）所供的商品必须从正规渠道购入，有明确的生产厂家、品牌、质保期、生产日期、批号、安全标识等，并能顺利追溯源头。食用油必须离墙离地存放，确保质量安全。</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（3）所供货物不得以次充好，不得将不合格品参杂其中。一经发现，取消其供货资格。</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（4）因产品质量问题发生的食物安全事故，由供应商承担经济赔偿责任以及其他法律责任，并取消供货资格且五年内不得参加此类项目。</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（5）食用油须为出厂原包装桶装，包装桶上须有质量安全标志“SC”，不得缺斤短两。</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（6）食用油必须符合GB/T1536-2004国家标准、GB7718-2011《食品安全国家标准 预包装食品标签通则》、GB28050-2011《食品安全国家标准 预包装食品营养标签通则》、GB2716-2011《食品安全国家标准 食品中真菌毒素限量》，若国家有新标准的按新标准执行。</w:t>
      </w:r>
    </w:p>
    <w:p>
      <w:pPr>
        <w:spacing w:line="460" w:lineRule="exact"/>
        <w:ind w:firstLine="482" w:firstLineChars="200"/>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（二）食堂运维需求</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eastAsia="zh-CN"/>
        </w:rPr>
        <w:t>采购</w:t>
      </w:r>
      <w:r>
        <w:rPr>
          <w:rFonts w:hint="eastAsia" w:ascii="仿宋" w:hAnsi="仿宋" w:eastAsia="仿宋" w:cs="仿宋"/>
          <w:color w:val="auto"/>
          <w:sz w:val="24"/>
          <w:highlight w:val="none"/>
        </w:rPr>
        <w:t>合作模式：</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和</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人双方联合经营湖州市人民政府滨湖街道办事处食堂。</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负责提供经营场所、厨房设备以及其他配套设施投入，</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人负责食堂日常的经营和管理。</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2、食堂运作机制：</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实行企业化管理，单独进行成本核算，在确保湖州市人民政府滨湖街道办事处承担着的后勤保障前提下实行自负盈亏。</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3、食堂日常工作内容：以厨房、餐厅、食品存放加工、食品安全卫生、就餐环境、卫生管理为主要服务内容。</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按照管理内容，编制检查表，每日检查，发现问题及时整改。</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各工作各岗位的服务质量随时进行抽查，发现问题，及时书面通知整改。</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4、所有岗位建立岗位责任制，与操作程序、工作质量标准。除</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人自行对服务人员的培训外，如有需要，须接受</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对服务人员的集中培训。</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5、餐饮服务日常管理细则必须按照</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要求规定执行。</w:t>
      </w:r>
    </w:p>
    <w:p>
      <w:pPr>
        <w:spacing w:line="46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lang w:eastAsia="zh-CN"/>
        </w:rPr>
        <w:t>、食堂共一个保障点，是湖州市人民政府滨湖街道办事处食堂。食堂共一楼，工作日中午日平均就餐人数约90人。</w:t>
      </w:r>
    </w:p>
    <w:p>
      <w:pPr>
        <w:spacing w:line="46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lang w:eastAsia="zh-CN"/>
        </w:rPr>
        <w:t>后的供应商须立即派遣各工种负责人进场，配合采购人进行食堂运行的前期准备工作，做好与前</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lang w:eastAsia="zh-CN"/>
        </w:rPr>
        <w:t>人的交接工作，原食堂工作人员优先安排用工，服从采购人的各项工作调配。供应商提前进场所产生的所有费用计入投标价。</w:t>
      </w:r>
    </w:p>
    <w:p>
      <w:pPr>
        <w:spacing w:line="460" w:lineRule="exact"/>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六、采购人提供的相关内容</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食堂的建筑主体、室内外装修、设备设施、工具材料等财产属采购人所有。如供应商为达到自我风格需要，须重新装修的须经采购人同意，费用自理，承包期结束后，装修财产归采购人所有。若政府监督部门因硬件不足提出改造要求或食堂保障条件不足，需对原有建筑及设备设施等进行改造添置的，由采购人负责落实。</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2、食堂所需的厨房设备、餐具用品、餐桌椅由采购人提供，并已具备；易耗餐具及厨房设备添置等需向采购人提出申请，经采购人同意，费用由采购人承担。</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3、在承包期内供应商对采购人提供的厨房设备设施拥有使用权，并负责在使用过程的相关维修并承担相应费用，维修过程中不得影响食堂的正常运作。</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4、卫生保洁费（室内及门前三包）、卫生部门的有关费用、排污费、消防部门的有关费用等其他相关费用均由供应商自理。食堂油烟管道清洗和检测、室外隔油池清理等由供应商负责，费用自理。</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5、供应商应严格落实节约能源措施，供应商须根据实际工作在投标文件中体现节约能源方案，燃料、水电由采购人承担。</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6、若发生采购人所辖人员在餐厅内有严重违纪违规行为，经供应商管理人员向采购人通报后，采购人应及时妥善处理。</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7、采购人有义务积极宣传后勤改革，做好与职员的沟通和联系工作。</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8、采购人有义务对食堂工作予以支持，参与对食堂日常工作的指导与监督，并及时指出食堂工作中的不足，以便供应商及时改进。</w:t>
      </w:r>
    </w:p>
    <w:p>
      <w:pPr>
        <w:spacing w:line="460" w:lineRule="exact"/>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七、经营方式</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1、采购人和成交人双方联合经营湖州市人民政府滨湖街道办事处食堂。采购人负责提供经营场所、厨房设备以及其他配套设施，成交人负责食堂日常的经营和管理。</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2、食堂运作机制：供应商实行企业化管理，单独进行成本核算，在确保湖州市人民政府滨湖街道办事处食堂承担着的后勤保障前提下实行自负盈亏。</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食堂就餐人员使用采购人统一制作的就餐卡通过刷卡及专用餐券向供应商购买饭菜，供应商不得擅自制作饭菜票及收取现金（如有特殊情况必须经采购人同意后方可实施）。就餐卡的挂失、补办、充值等业务由采购人审核供应商管理。</w:t>
      </w:r>
    </w:p>
    <w:p>
      <w:pPr>
        <w:spacing w:line="460" w:lineRule="exact"/>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八、服务质量要求</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（一）供应商必须达到的服务要求</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l、供应商须本着对企业品牌的延伸，以社会化效益为重的原则进行报价。</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2、供应商须在对现场、周边环境全面了解的情况下编制科学合理、切实可行的实施计划以及具体的保障措施、工作程序。</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3、供应商应制定具体的质量保证措施和相关服务承诺，如因服务质量未达到要求，供应商应因此承担责任和经济赔偿。</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4、供应商须按现代企业制度运行，发挥自身优势，以热心、爱心、专心、贴心的服务，提供全方位、一体化的专业服务保障，确保食堂正常运作，各项重大活动顺利完成。</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5、供应商达不到采购人要求或供应商的各项服务承诺，采购人有权要求其整改，直至扣款或终止合同。供应商所有的工作除应按照供应商的内部流程实施外，还应接受采购人或第三方的监督检查、考核。</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6、供应商应对食堂服务人员进行严格管理、降低消耗、节约成本，让利于消费者。</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7、重要岗位人员必须保持稳定；提供厨师（包括高级厨师）、面点师等专业人员的资格证书。</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8、供应商须提供每个员工的身份证、健康合格证等复印件（外来人员还须提供暂住证复印件）。</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9、从事餐饮服务的所有人员须穿戴清洁的工作服、帽（售菜人员、备餐人员、冷拼人员还须配备清洁的手套、口罩），每个工种服装样式需统一，所需费用计入投标价。</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10、供应商须对食堂工作人员进行专业培训并达到相关服务要求，具备良好的服务态度和业务水平，所需费用计入投标价。</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11、供应商应与原承包方做好交接工作，掌握厨房设备的使用与维护方法，演练食堂正式工作的流程。</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保证食品卫生，防止食品污染和有害因素对人体的危害。必须认真贯彻执行《中华人民共和国食品安全法》及本地相关部门的各项规章制度，对可能发生的各种卫生问题及处置方法负责。食品的卫生质量按《全国救灾防疫预案》的规定，不用来源不明的原料，不销售来源不明的食品。</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13、采购人对食堂的卫生、质量、价格、服务态度等方面拥有检查、监督、处罚的权力，供应商应无条件服从采购人的管理。</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14、卫生、工商、税务、食品药监等行政部门收取的有关费用由供应商负责。</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15、本次采购要求供应商配备的食堂工作人员必须按照现行《劳动合同法》的规定，全部参加国家法定的社会保险及达到国家对用人单位规定的各项福利要求，所须费用计入投标价。</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合同期内，食堂消防、安全、卫生由供应商负责。如因供应商责任发生火灾、食物中毒、环境污染、安全责任等事故，则采购人有权扣罚承包费并中止合同，所有损失由供应商承担，并依照相关法律追究供应商责任。</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17、供应商须选择合格的进货渠道定点采购物品。供应商须保证所采购的物品符合国家有关卫生防疫的规定，并承担相应责任。</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18、供应商须制定大型会议、接待、消防、抗台等应急预案的用餐方案，切实地培训到每个岗位员工，随时待命，接受采购人的调配；供应商须积极配合采购人完成政府接待过程中的礼仪（包括外交、政府级的接待）工作，供应商应预计以上服务所须的费用（除用餐费用），计入投标价。</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19、夜间、双休日、国家法定节假日期间，供应商应配备一定数量的值班人员保证该时间段政府机关工作人员的就餐，所需费用（除用餐费用）计入投标价。</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20、供应商应保持餐厅内的餐桌椅、墙柱面、地面等环境设施的消毒清洁，保持室内空气流通，严防各种污染；对各种餐具、饮具、食品容器等按规定进行洗涮消毒，确保清洁卫生，消毒设施和流程要符合国家现行标准的要求；厨房所有工作间应保持清洁卫生，厨房用具餐具应及时清洗、消毒，严格做到生熟分开；为每位就餐者提供符合卫生要求的独立餐具，包括：餐盘、餐碗、筷子、汤勺等。</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21、供应商负责采购日常清洁剂、消毒剂、垃圾袋、低值易耗品与口罩、手套等一次性用品和耗材，费用由供应商自理，计入投标价。</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22、供应商提供机关工作人员的早、中餐，要求菜肴丰富、品种多样、大众口味：</w:t>
      </w:r>
    </w:p>
    <w:p>
      <w:pPr>
        <w:spacing w:line="460" w:lineRule="exact"/>
        <w:ind w:firstLine="480" w:firstLineChars="200"/>
        <w:rPr>
          <w:rFonts w:hint="eastAsia" w:ascii="仿宋" w:hAnsi="仿宋" w:eastAsia="仿宋" w:cs="仿宋"/>
          <w:color w:val="auto"/>
          <w:sz w:val="24"/>
          <w:highlight w:val="none"/>
          <w:lang w:val="en-US" w:eastAsia="zh-CN"/>
        </w:rPr>
      </w:pPr>
      <w:bookmarkStart w:id="2" w:name="OLE_LINK12"/>
      <w:r>
        <w:rPr>
          <w:rFonts w:hint="eastAsia" w:ascii="仿宋" w:hAnsi="仿宋" w:eastAsia="仿宋" w:cs="仿宋"/>
          <w:color w:val="auto"/>
          <w:sz w:val="24"/>
          <w:highlight w:val="none"/>
          <w:lang w:val="en-US" w:eastAsia="zh-CN"/>
        </w:rPr>
        <w:t>①大餐厅工作日早点以本地常规早点为主，配以现有厨具可制作的其他可口花色早点。每日必备品种为：稀饭、面条、馄饨、鸡蛋、包子、馒头、豆浆、粗粮等；其中稀饭每日配以若干种小菜。湖州市人民政府滨湖街道办事处食堂中餐供应2荤2素，配1免费汤。节假日早中供应根据实际情况进行调整。各菜品、早点由采购人确定售价，如遇特殊情况由采购人进行适当调整。</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②供应商必须严格按照有关规定，供应量足、美味、安全的菜肴服务干部职工。</w:t>
      </w:r>
      <w:bookmarkEnd w:id="2"/>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供应商必须提前申报每周次早、中餐菜单，采购人可根据实际情况及就餐人员对菜肴的评价调整菜单的结构（包括荤素比例，海鲜、蛋禽菜的数量）及份量、质量，菜单必须经得采购人认可方可执行，并服从采购人的调整。供应商须根据就餐人数分布统计，饭菜安排合理，避免供应不足和浪费，尽量减少剩菜剩饭。剩菜剩饭当餐清净，不得过期保存，混入下一餐中。</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24、供应商不得转包或分包本食堂服务项目，一经发现，采购人有权中止合同且无须承担任何责任。</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25、供应商须每日对整个食堂场所（含大小餐厅）进行清扫、保洁，垃圾、杂物用袋装收集，存放在指定地点，采购人对此项工作拥有监督、管理权。</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26、本食堂只负责对本行政区域人员提供餐饮服务，不得对外经营。一经发现供应商有对外经营或供应商员工对外兼职，采购人有权中止合同，且无须承担任何责任。</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早餐服务时间为7:30-8:30，午餐服务时间为11:30－12：30。（根据机关具体作息时间调整）。</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27、针对食堂日常工作出现的问题，采购人发送‘整改通知书’给供应商，供应商必须在规定的时限内无条件整改到位，否则采购人可对供应商进行处罚。</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28、采购文件中未明确的采购人对供应商服务质量的奖、罚制度在具体签订合同及日常工作过程中确定。</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29、经评审成交的供应商，在接到成交通知书到合同结束这段时间内，不得以任何理由和任何形式转租、转让承包服务，但可以委托采购人所在地的分子公司与采购人签订服务合同。</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30、供应商与其他商家产生的账务、资金纠纷，均与采购人无关。</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31、食堂工作人员严禁与就餐人员发生争执，若有违反者，除当事人向就餐者赔礼道歉外，扣发当月奖金，情节严重者，按公司规章制度予以除名处理。</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供应商根据国家ISO22000食品安全管理体系和五常法的管理标准，加强科学规范化管理力度，不断提高合作食堂的伙食质量、服务质量、和工作效率，在硬件条件达标的情况下，确保食堂在量化分级管理中达到规定要求，并在湖州地区同类食堂各类评比中处于领先地位。</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33、严格卫生要求，在各级卫生职能部门检查中要求达到良好以上水平，如果在检查中发现违规而受到卫生监督部门的处罚，全部责任由供应商承担。</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承包方应采取切实有效措施，杜绝食物中毒事故，除权威部门检测属外部因素外，保证食堂内部用水用电安全。如在食堂内部发生以上事故，由供应商承担全部责任。承诺通过规范化管理、标准化流程，确保食堂食物中毒发生率0，火灾发生率0。</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35、餐厨废弃物处置管理要求与餐厨废弃物收集、运输服务企业签订餐厨废弃物收集、运输经营协议且需有保证书，安排专人负责餐厨废弃物的处置、收运、台账管理工作，供应商应实时监测单位餐厨废弃的处置管理，并对处置行为负责，要定期清理油污过滤池、管道，以防管网堵塞。</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（二）供应商须制定提供的方案</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1、供应商建立各种财务报表，对每日的收支作详细记录和每月财务报表,以备采购人查询。</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供应商针对采购人提供的现场建筑图纸、设备材料表及服务要求，编制服务内容的相关陈述说明（包括人员组成及管理方式；是否从事过类似服务的说明；各项服务工作计划、流程；各项服务的具体实施方法、技术措施及承诺；针对本项目的特点和难点分析及解决措施；将采取何种措施来确保工作人员的安全等）。</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供应商根据湖州市人民政府滨湖街道办事处食堂实际情况应配备不少于5人的员工队伍，其中必须配备1名管理人员、1名厨师长、1名面点师、其他须配备洗切、蒸菜、蒸饭、清卫、保洁、洗消、售卖、服务等人员。</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拟派人员男性要求60周岁以下，女性人员应在50周岁以下。供应商应承诺严格执行地方政府最低工资标准，按国家劳动和社会保障部门规定办理员工养老保险、医疗保险和失业、工伤、生育保险及人身意外伤害保险。【合同有效期内，有关费用*工资及五险一金】若遇政策调整采购单位不予调整，供应商应综合考虑到投标报价中】合同期间为工作人员购买人身意外保险，工作人员所发生一切意外伤害由供应商自行承担责任，均与采购人无关。</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5、建立餐厅用品消毒保管、员工教育培训、应对投诉等情况的计划表格并作好纪录，所有纪录至少应保存12个月，以备采购人查询。</w:t>
      </w:r>
    </w:p>
    <w:p>
      <w:pPr>
        <w:spacing w:line="460" w:lineRule="exact"/>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九、对</w:t>
      </w:r>
      <w:r>
        <w:rPr>
          <w:rFonts w:hint="eastAsia" w:ascii="仿宋" w:hAnsi="仿宋" w:eastAsia="仿宋" w:cs="仿宋"/>
          <w:b/>
          <w:bCs/>
          <w:color w:val="auto"/>
          <w:sz w:val="24"/>
          <w:highlight w:val="none"/>
          <w:lang w:val="en-US" w:eastAsia="zh-CN"/>
        </w:rPr>
        <w:t>成交</w:t>
      </w:r>
      <w:r>
        <w:rPr>
          <w:rFonts w:hint="eastAsia" w:ascii="仿宋" w:hAnsi="仿宋" w:eastAsia="仿宋" w:cs="仿宋"/>
          <w:b/>
          <w:bCs/>
          <w:color w:val="auto"/>
          <w:sz w:val="24"/>
          <w:highlight w:val="none"/>
          <w:lang w:eastAsia="zh-CN"/>
        </w:rPr>
        <w:t>供应商的管理</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1、对成交供应商实行动态管理。采购人将成立工作考评小组，对照采购文件要求，根据采购人使用人的反馈情况和日常监督、检查情况，对成交供应商的工作进行考核评估(综合评议) 。</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2、相关制度的建立</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建立食堂等后勤服务质量跟踪制度。为规范食堂管理，提升供应商服务质量，在合同履约过程中由采购人及用餐人综合评定对成交供应商进行每月绩效考核，在合同履约完毕后视履约情况及绩效考核情况返还，如未达到采购人要求，扣除相应的当月应付金额，具体以正式合同约定为准，一年内连续两个月满意率低于60分，自动解除合同。</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建立责任追究制度。采购人组织考评小组将定期或不定明地深入各食堂进行督查。对食堂管理不严，造成事故的，将追究成交供应商相关负责人的责任。对提供服务未达到采购要求的，按合同约定扣除相应当月应付金额，即:</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①成交供应商被查实有质量问题或其它违规行为的，一次给予通报批评，并从当月应付金额中扣除500-5000元，连续两个月满意率低于60分自动解除合同。</w:t>
      </w:r>
    </w:p>
    <w:p>
      <w:pPr>
        <w:spacing w:line="460" w:lineRule="exact"/>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②综合评定满意率低于80%，每次扣除当月应付金额5000元。</w:t>
      </w:r>
    </w:p>
    <w:p>
      <w:pPr>
        <w:spacing w:line="460" w:lineRule="exact"/>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十、供货要求</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（1）所供的商品必须从正规渠道（蔬菜生产基地、定点屠宰场等正规厂家）购入，有明确的生产厂家、品牌、质保期、生产日期、批号、安全标识等，并能顺利追溯源头。商品必须离墙离地存放。</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（2）所供货物不得以次充好，不得将不合格品参杂其中。一经发现，取消其供货资格，并扣其全部履约保证金。</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（3）因产品质量问题发生的食物安全事故，由供应商承担经济赔偿责任以及其他法律责任，并取消供货资格。</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（4）严格按采购人规定的时间、数量、品质、品牌（含调味品、酱菜等其他）要求准时配送，经验收合格并签字确认后方可入仓。</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1、售后服务：</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（1）供应商应具有完善的服务保障体系，也应就投标商品的品质和服务对采购人负责。</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采购人对供应商所供商品在销售过程中不满意或库存较大，只要不影响供应商第二次销售，并且不超过规定的退货期限，均由供应商负责处理。</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商品退货期限为商品保质期限届满前一个月以上。采购人对商品质量、价格、数量有疑问应及时与供应商联系，供应商在24小时内做出答复或处理。</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商品处理的方式主要采用退货或调换的方式。</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（2）供应商应明确说明此次投标的服务策略，提供此次应标货物的服务计划（售后服务内容、相关服务指标、售后服务组织机构及人员安排情况及其联络信息）。</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 2、供货时间：</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（1）收到订货通知后，在第二日早晨06:00至08:00时段完成供货。</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（2）临时急需用品供货、特殊任务供货须在接到供货通知后1小时内送达。</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（3）残次品的替换须在1小时内送达。</w:t>
      </w:r>
    </w:p>
    <w:p>
      <w:pPr>
        <w:spacing w:line="460" w:lineRule="exact"/>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十一、其他要求</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1、服务要求：合同供货期内及时提供采购人的订单需求。</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供应商接到用户采购计划后，</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供应商提供7×24小时服务支持。</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食材配送</w:t>
      </w:r>
      <w:r>
        <w:rPr>
          <w:rFonts w:hint="eastAsia" w:ascii="仿宋" w:hAnsi="仿宋" w:eastAsia="仿宋" w:cs="仿宋"/>
          <w:color w:val="auto"/>
          <w:sz w:val="24"/>
          <w:highlight w:val="none"/>
        </w:rPr>
        <w:t>投标价格包括：食材、用品、人工费、包装、运输、搬运、保险、税金等一切费用，即运送至各使用单位食品仓库内的包干价格。</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食堂运维</w:t>
      </w:r>
      <w:r>
        <w:rPr>
          <w:rFonts w:hint="eastAsia" w:ascii="仿宋" w:hAnsi="仿宋" w:eastAsia="仿宋" w:cs="仿宋"/>
          <w:color w:val="auto"/>
          <w:sz w:val="24"/>
          <w:highlight w:val="none"/>
        </w:rPr>
        <w:t>投标报价是履行合同的最终价格，应包括人员经费、职工福利、保险、工伤和意外伤害、劳务纠纷等乙方工作人员的一切费用，奖励基金、劳保用品、办公用品、低值易耗品、采购、财务费用、体检费管理费等各类费用按</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统一标准执行。主、副食品、调味品、燃料、低值易耗品、水电费等等以及工商管理、卫生部门、消防部门、环保部门等相关部门的费用，供应商对合同内容的所有费用、质量、安全、文明服务等实行全面承包，</w:t>
      </w:r>
      <w:r>
        <w:rPr>
          <w:rFonts w:hint="eastAsia" w:ascii="仿宋" w:hAnsi="仿宋" w:eastAsia="仿宋" w:cs="仿宋"/>
          <w:color w:val="auto"/>
          <w:sz w:val="24"/>
          <w:highlight w:val="none"/>
          <w:lang w:eastAsia="zh-CN"/>
        </w:rPr>
        <w:t>采购</w:t>
      </w:r>
      <w:r>
        <w:rPr>
          <w:rFonts w:hint="eastAsia" w:ascii="仿宋" w:hAnsi="仿宋" w:eastAsia="仿宋" w:cs="仿宋"/>
          <w:color w:val="auto"/>
          <w:sz w:val="24"/>
          <w:highlight w:val="none"/>
        </w:rPr>
        <w:t>范围内全部工作内容等一切费用。如有漏项，视同已包含在其总项目中，合同总价不作调整。</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▲3、投标价格按以下规定进行报价：</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b w:val="0"/>
          <w:bCs/>
          <w:color w:val="auto"/>
          <w:sz w:val="24"/>
          <w:highlight w:val="none"/>
          <w:lang w:eastAsia="zh-CN"/>
        </w:rPr>
        <w:t>（</w:t>
      </w:r>
      <w:r>
        <w:rPr>
          <w:rFonts w:hint="eastAsia" w:ascii="仿宋" w:hAnsi="仿宋" w:eastAsia="仿宋" w:cs="仿宋"/>
          <w:b w:val="0"/>
          <w:bCs/>
          <w:color w:val="auto"/>
          <w:sz w:val="24"/>
          <w:highlight w:val="none"/>
          <w:lang w:val="en-US" w:eastAsia="zh-CN"/>
        </w:rPr>
        <w:t>1</w:t>
      </w:r>
      <w:r>
        <w:rPr>
          <w:rFonts w:hint="eastAsia" w:ascii="仿宋" w:hAnsi="仿宋" w:eastAsia="仿宋" w:cs="仿宋"/>
          <w:b w:val="0"/>
          <w:bCs/>
          <w:color w:val="auto"/>
          <w:sz w:val="24"/>
          <w:highlight w:val="none"/>
          <w:lang w:eastAsia="zh-CN"/>
        </w:rPr>
        <w:t>）食堂食材配送部分以折扣报价（如：打95折，即报价为95%）</w:t>
      </w:r>
      <w:r>
        <w:rPr>
          <w:rFonts w:hint="eastAsia" w:ascii="仿宋" w:hAnsi="仿宋" w:eastAsia="仿宋" w:cs="仿宋"/>
          <w:b w:val="0"/>
          <w:bCs/>
          <w:color w:val="auto"/>
          <w:sz w:val="24"/>
          <w:highlight w:val="none"/>
        </w:rPr>
        <w:t>，</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报价时应充分考虑物价的涨跌风险。（具体折扣由</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自行考虑，但须包括运费等一切可能产生的所有费用）。</w:t>
      </w:r>
      <w:r>
        <w:rPr>
          <w:rFonts w:hint="eastAsia" w:ascii="仿宋" w:hAnsi="仿宋" w:eastAsia="仿宋" w:cs="仿宋"/>
          <w:color w:val="auto"/>
          <w:sz w:val="24"/>
          <w:highlight w:val="none"/>
          <w:lang w:val="en-US" w:eastAsia="zh-CN"/>
        </w:rPr>
        <w:t>结算时根据湖州市发改委网站发布的投标当月最后一期湖州市城区部分民生商品价格公示的平均价格，确定基准价，并根据磋商折扣报价定价（</w:t>
      </w:r>
      <w:r>
        <w:rPr>
          <w:rFonts w:hint="eastAsia" w:ascii="仿宋" w:hAnsi="仿宋" w:eastAsia="仿宋" w:cs="仿宋"/>
          <w:color w:val="auto"/>
          <w:sz w:val="24"/>
          <w:highlight w:val="none"/>
          <w:u w:val="single"/>
          <w:lang w:val="en-US" w:eastAsia="zh-CN"/>
        </w:rPr>
        <w:t>配送价格=发改委平均价格*折扣</w:t>
      </w:r>
      <w:r>
        <w:rPr>
          <w:rFonts w:hint="eastAsia" w:ascii="仿宋" w:hAnsi="仿宋" w:eastAsia="仿宋" w:cs="仿宋"/>
          <w:color w:val="auto"/>
          <w:sz w:val="24"/>
          <w:highlight w:val="none"/>
          <w:lang w:val="en-US" w:eastAsia="zh-CN"/>
        </w:rPr>
        <w:t>）</w:t>
      </w:r>
    </w:p>
    <w:p>
      <w:pPr>
        <w:spacing w:line="460" w:lineRule="exact"/>
        <w:ind w:firstLine="482" w:firstLineChars="200"/>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lang w:val="en-US" w:eastAsia="zh-CN"/>
        </w:rPr>
        <w:t>2</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食堂运维费用</w:t>
      </w:r>
      <w:r>
        <w:rPr>
          <w:rFonts w:hint="eastAsia" w:ascii="仿宋" w:hAnsi="仿宋" w:eastAsia="仿宋" w:cs="仿宋"/>
          <w:b/>
          <w:bCs/>
          <w:color w:val="auto"/>
          <w:sz w:val="24"/>
          <w:highlight w:val="none"/>
          <w:lang w:val="en-US" w:eastAsia="zh-CN"/>
        </w:rPr>
        <w:t>最高限价40</w:t>
      </w:r>
      <w:r>
        <w:rPr>
          <w:rFonts w:hint="eastAsia" w:ascii="仿宋" w:hAnsi="仿宋" w:eastAsia="仿宋" w:cs="仿宋"/>
          <w:b/>
          <w:bCs/>
          <w:color w:val="auto"/>
          <w:sz w:val="24"/>
          <w:highlight w:val="none"/>
        </w:rPr>
        <w:t>万元/年</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lang w:val="en-US" w:eastAsia="zh-CN"/>
        </w:rPr>
        <w:t>不能超过此限价报价</w:t>
      </w:r>
      <w:r>
        <w:rPr>
          <w:rFonts w:hint="eastAsia" w:ascii="仿宋" w:hAnsi="仿宋" w:eastAsia="仿宋" w:cs="仿宋"/>
          <w:b/>
          <w:bCs/>
          <w:color w:val="auto"/>
          <w:sz w:val="24"/>
          <w:highlight w:val="none"/>
          <w:lang w:eastAsia="zh-CN"/>
        </w:rPr>
        <w:t>。</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服务期内任何情况下均不予调整，以上所有品种须进行统一报价，请各供应商综合考虑产品成本及市场价格波动存在的合同风险。</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4、除清单内货品种类外，采购人可定期更新或更换采购品种、规格，</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供应商须无条件响应，如不能提供者须与采购人沟通并经采购人同意，通过同类及同档次产品进行替代，所有新增产品均按</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折扣进行实际结算（以湖州大型连锁超市零售价为基准价格）。</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5、供应商应充分考虑货物生产厂家的生产能力风险，应选择具备相应生产、供货能力的生产厂家，必须提供有品牌的货物。</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6、开始供货时，如采购人有部分存货的,</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供应商需待采购人存货食用完后,再由</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供应商组织配送。</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供货期间，若因货物生产厂商停产、减产等问题致使不能满足供货的，经采购人查实后，可以更换其它同类货物，但更换后的货物产地必须符合磋商要求，货物生产厂家的生产规模高于原生产厂商，货物品牌不低于原货物品牌，货物质量不低于原货物质量，货物价格按原货物价格。合同期内同种货物只能变更一次。</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8、供货期间，因</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原因不能及时供货，经采购人警告并责令调整后仍无法正常供货的，每出现一次扣罚款5000元，出现3次以上此类情况，立即终止配送资格并承担由此造成的全部经济损失及责任。拒绝供货的，采购人有权取消</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供应商的配送资格，并要求</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供应商赔偿因此造成的一切损失。</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9、采购人采用不通知式方式不定时抽查</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供应商提供的货品，抽检结果如发现</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供应商提供以次充好、假冒伪劣、降低产品标准的商品的，经采购人警告并责令调整后仍再出现，由采购人扣除罚款5000元，达到3次立即终止配送资格；若有投诉</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供应商未按要求的品种供货且证据确凿的，每发生一次，由扣除罚款3000元；达到5次立即终止配送资格。采购人有权要求</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供应商在指定时间内重新调换配送，若在</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供应商承诺时间范围内未能重新调换配送的，采购人有权取消</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供应商的配送资格，由此产生的一切责任和后果由</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供应商承担。</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10、若因</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供应商原因，造成公共性食品安全危机的，</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供应商应负全部责任，并立即终止配送资格并承担由此造成的全部经济损失及责任。</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、本次项目</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数量为1家，服务期限为1年。</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在签订合同时，若坚持提出附加条件和不合理要求，</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资格将被取消，该</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对由此产生的一切后果负责。</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13</w:t>
      </w:r>
      <w:r>
        <w:rPr>
          <w:rFonts w:hint="eastAsia" w:ascii="仿宋" w:hAnsi="仿宋" w:eastAsia="仿宋" w:cs="仿宋"/>
          <w:color w:val="auto"/>
          <w:sz w:val="24"/>
          <w:highlight w:val="none"/>
        </w:rPr>
        <w:t>、为方便干警，在条件允许的情况下，</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可为</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提供场所供</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提供卤味、净菜、水果等销售。</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rPr>
        <w:t>、为有效做好机关餐饮服务保障工作，确保承包商变更后不影响机关正常运转，</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在领取</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通知书后，需根据业主要求全部工作人员全部配备到位和有效业务培训，并确保服务质量。</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15</w:t>
      </w:r>
      <w:r>
        <w:rPr>
          <w:rFonts w:hint="eastAsia" w:ascii="仿宋" w:hAnsi="仿宋" w:eastAsia="仿宋" w:cs="仿宋"/>
          <w:color w:val="auto"/>
          <w:sz w:val="24"/>
          <w:highlight w:val="none"/>
        </w:rPr>
        <w:t>、若固定经营场所不在湖州的且投标单位承诺在成果公告发出后15天内在湖州本地设立服务机构的。在规定时间内未设立服务机构的，采购单位可取消其</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资格并将第二</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候选人作为</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人。</w:t>
      </w:r>
    </w:p>
    <w:p>
      <w:pPr>
        <w:spacing w:line="4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16</w:t>
      </w:r>
      <w:r>
        <w:rPr>
          <w:rFonts w:hint="eastAsia" w:ascii="仿宋" w:hAnsi="仿宋" w:eastAsia="仿宋" w:cs="仿宋"/>
          <w:color w:val="auto"/>
          <w:sz w:val="24"/>
          <w:highlight w:val="none"/>
        </w:rPr>
        <w:t>、采购人向</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供应商（服务期限内）无偿提供服务用水、用电和必需的办公用房及仓库。</w:t>
      </w:r>
    </w:p>
    <w:p>
      <w:pPr>
        <w:spacing w:line="46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17</w:t>
      </w:r>
      <w:r>
        <w:rPr>
          <w:rFonts w:hint="eastAsia" w:ascii="仿宋" w:hAnsi="仿宋" w:eastAsia="仿宋" w:cs="仿宋"/>
          <w:color w:val="auto"/>
          <w:sz w:val="24"/>
          <w:highlight w:val="none"/>
        </w:rPr>
        <w:t>、合同履行期间发生的安全责任事故由</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自行承担责任，均与采购人无关。</w:t>
      </w:r>
    </w:p>
    <w:p>
      <w:pPr>
        <w:spacing w:line="46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十二、</w:t>
      </w:r>
      <w:r>
        <w:rPr>
          <w:rFonts w:hint="eastAsia" w:ascii="仿宋" w:hAnsi="仿宋" w:eastAsia="仿宋" w:cs="仿宋"/>
          <w:b/>
          <w:bCs/>
          <w:color w:val="auto"/>
          <w:sz w:val="24"/>
          <w:highlight w:val="none"/>
        </w:rPr>
        <w:t>商务要求：</w:t>
      </w:r>
    </w:p>
    <w:p>
      <w:pPr>
        <w:spacing w:line="4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1、服务期限：</w:t>
      </w:r>
      <w:r>
        <w:rPr>
          <w:rFonts w:hint="eastAsia" w:ascii="仿宋" w:hAnsi="仿宋" w:eastAsia="仿宋" w:cs="仿宋"/>
          <w:color w:val="auto"/>
          <w:sz w:val="24"/>
          <w:highlight w:val="none"/>
          <w:lang w:eastAsia="zh-CN"/>
        </w:rPr>
        <w:t>自合同实施之日起一年</w:t>
      </w:r>
      <w:r>
        <w:rPr>
          <w:rFonts w:hint="eastAsia" w:ascii="仿宋" w:hAnsi="仿宋" w:eastAsia="仿宋" w:cs="仿宋"/>
          <w:color w:val="auto"/>
          <w:sz w:val="24"/>
          <w:highlight w:val="none"/>
        </w:rPr>
        <w:t>。</w:t>
      </w:r>
    </w:p>
    <w:p>
      <w:pPr>
        <w:spacing w:line="360" w:lineRule="auto"/>
        <w:ind w:firstLine="480" w:firstLineChars="200"/>
        <w:rPr>
          <w:rFonts w:ascii="仿宋" w:hAnsi="仿宋" w:eastAsia="仿宋" w:cs="仿宋"/>
          <w:b/>
          <w:bCs/>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b/>
          <w:bCs/>
          <w:color w:val="auto"/>
          <w:sz w:val="24"/>
          <w:highlight w:val="none"/>
        </w:rPr>
        <w:t>付款方式：</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①第一次付款：合同签订并具备实施条件后后7个工作日内支付合同总额的40%作为预付款；</w:t>
      </w:r>
    </w:p>
    <w:p>
      <w:pPr>
        <w:spacing w:line="460" w:lineRule="exact"/>
        <w:ind w:firstLine="480" w:firstLineChars="200"/>
        <w:rPr>
          <w:color w:val="auto"/>
          <w:highlight w:val="none"/>
        </w:rPr>
      </w:pPr>
      <w:r>
        <w:rPr>
          <w:rFonts w:hint="eastAsia" w:ascii="仿宋" w:hAnsi="仿宋" w:eastAsia="仿宋" w:cs="仿宋"/>
          <w:color w:val="auto"/>
          <w:sz w:val="24"/>
          <w:highlight w:val="none"/>
          <w:lang w:val="en-US" w:eastAsia="zh-CN"/>
        </w:rPr>
        <w:t>②第二次付款：（1）食材配送剩余款项每月按实际供货量支付货款。配送价格：由供应商和采购人根据湖州市发改委网站发布的投标当月最后一期湖州市城区部分民生商品价格公示的平均价格，确定基准价，并根据磋商折扣报价定价（</w:t>
      </w:r>
      <w:r>
        <w:rPr>
          <w:rFonts w:hint="eastAsia" w:ascii="仿宋" w:hAnsi="仿宋" w:eastAsia="仿宋" w:cs="仿宋"/>
          <w:color w:val="auto"/>
          <w:sz w:val="24"/>
          <w:highlight w:val="none"/>
          <w:u w:val="single"/>
          <w:lang w:val="en-US" w:eastAsia="zh-CN"/>
        </w:rPr>
        <w:t>配送价格=发改委平均价格*折扣</w:t>
      </w:r>
      <w:r>
        <w:rPr>
          <w:rFonts w:hint="eastAsia" w:ascii="仿宋" w:hAnsi="仿宋" w:eastAsia="仿宋" w:cs="仿宋"/>
          <w:color w:val="auto"/>
          <w:sz w:val="24"/>
          <w:highlight w:val="none"/>
          <w:lang w:val="en-US" w:eastAsia="zh-CN"/>
        </w:rPr>
        <w:t>）。定价后至下一期发改委检测表发布前均按此价格执行，供应商不得另外调高价格。基准价及定价按照每期发改委检测表进行浮动变化。（2）食堂运维费用按每季度结算。</w:t>
      </w:r>
    </w:p>
    <w:p>
      <w:pPr>
        <w:spacing w:line="360" w:lineRule="auto"/>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在签订合同时，供应商明确表示无需预付款或者主动要求降低预付款比例的，采购合同可不适用前述规定。采购人在向供应商支付预付款之前，有权要求供应商向采购人提供与预付款金额相对应的担保措施，担保措施可以是银行、保险公司等金融机构出具的预付款保函或其他担保措施。</w:t>
      </w:r>
    </w:p>
    <w:p>
      <w:pPr>
        <w:spacing w:line="460" w:lineRule="exact"/>
        <w:ind w:firstLine="482" w:firstLineChars="200"/>
        <w:rPr>
          <w:rFonts w:ascii="仿宋" w:hAnsi="仿宋" w:eastAsia="仿宋" w:cs="仿宋"/>
          <w:color w:val="auto"/>
          <w:highlight w:val="none"/>
        </w:rPr>
      </w:pPr>
      <w:r>
        <w:rPr>
          <w:rFonts w:hint="eastAsia" w:ascii="仿宋" w:hAnsi="仿宋" w:eastAsia="仿宋" w:cs="仿宋"/>
          <w:b/>
          <w:color w:val="auto"/>
          <w:sz w:val="24"/>
          <w:highlight w:val="none"/>
          <w:lang w:val="en-US" w:eastAsia="zh-CN"/>
        </w:rPr>
        <w:t>3</w:t>
      </w:r>
      <w:r>
        <w:rPr>
          <w:rFonts w:hint="eastAsia" w:ascii="仿宋" w:hAnsi="仿宋" w:eastAsia="仿宋" w:cs="仿宋"/>
          <w:b/>
          <w:color w:val="auto"/>
          <w:sz w:val="24"/>
          <w:highlight w:val="none"/>
        </w:rPr>
        <w:t>、履约保证金：</w:t>
      </w:r>
      <w:r>
        <w:rPr>
          <w:rFonts w:hint="eastAsia" w:ascii="仿宋" w:hAnsi="仿宋" w:eastAsia="仿宋" w:cs="仿宋"/>
          <w:bCs/>
          <w:color w:val="auto"/>
          <w:sz w:val="24"/>
          <w:highlight w:val="none"/>
        </w:rPr>
        <w:t>无。</w:t>
      </w:r>
    </w:p>
    <w:p>
      <w:pP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pPr>
        <w:widowControl/>
        <w:spacing w:line="440" w:lineRule="exact"/>
        <w:ind w:right="60"/>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第三章  供应商须知</w:t>
      </w:r>
      <w:bookmarkEnd w:id="1"/>
    </w:p>
    <w:p>
      <w:pPr>
        <w:pStyle w:val="3"/>
        <w:spacing w:line="440" w:lineRule="exact"/>
        <w:jc w:val="center"/>
        <w:rPr>
          <w:rFonts w:ascii="仿宋" w:hAnsi="仿宋" w:eastAsia="仿宋" w:cs="仿宋"/>
          <w:color w:val="auto"/>
          <w:sz w:val="24"/>
          <w:szCs w:val="24"/>
          <w:highlight w:val="none"/>
        </w:rPr>
      </w:pPr>
      <w:bookmarkStart w:id="3" w:name="_Toc452995895"/>
      <w:r>
        <w:rPr>
          <w:rFonts w:hint="eastAsia" w:ascii="仿宋" w:hAnsi="仿宋" w:eastAsia="仿宋" w:cs="仿宋"/>
          <w:color w:val="auto"/>
          <w:sz w:val="24"/>
          <w:szCs w:val="24"/>
          <w:highlight w:val="none"/>
        </w:rPr>
        <w:t>前 附 表</w:t>
      </w:r>
      <w:bookmarkEnd w:id="3"/>
    </w:p>
    <w:tbl>
      <w:tblPr>
        <w:tblStyle w:val="17"/>
        <w:tblW w:w="995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1736"/>
        <w:gridCol w:w="751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项  目</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内容与要求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8"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项目名称</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bCs/>
                <w:color w:val="auto"/>
                <w:spacing w:val="-4"/>
                <w:sz w:val="24"/>
                <w:highlight w:val="none"/>
              </w:rPr>
            </w:pPr>
            <w:r>
              <w:rPr>
                <w:rFonts w:hint="eastAsia" w:ascii="仿宋" w:hAnsi="仿宋" w:eastAsia="仿宋" w:cs="仿宋"/>
                <w:bCs/>
                <w:color w:val="auto"/>
                <w:sz w:val="24"/>
                <w:highlight w:val="none"/>
                <w:lang w:eastAsia="zh-CN"/>
              </w:rPr>
              <w:t xml:space="preserve">街道机关2024年度食堂食材第三方配送及食堂运维项目    </w:t>
            </w:r>
            <w:r>
              <w:rPr>
                <w:rFonts w:hint="eastAsia" w:ascii="仿宋" w:hAnsi="仿宋" w:eastAsia="仿宋" w:cs="仿宋"/>
                <w:bCs/>
                <w:color w:val="auto"/>
                <w:sz w:val="24"/>
                <w:highlight w:val="non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编号</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hint="eastAsia" w:ascii="仿宋" w:hAnsi="仿宋" w:eastAsia="仿宋" w:cs="仿宋"/>
                <w:bCs/>
                <w:color w:val="auto"/>
                <w:spacing w:val="-4"/>
                <w:sz w:val="24"/>
                <w:highlight w:val="none"/>
                <w:lang w:eastAsia="zh-CN"/>
              </w:rPr>
            </w:pPr>
            <w:r>
              <w:rPr>
                <w:rFonts w:hint="eastAsia" w:ascii="仿宋" w:hAnsi="仿宋" w:eastAsia="仿宋" w:cs="仿宋"/>
                <w:bCs/>
                <w:color w:val="auto"/>
                <w:spacing w:val="-4"/>
                <w:sz w:val="24"/>
                <w:highlight w:val="none"/>
              </w:rPr>
              <w:t>磋商文件编号：</w:t>
            </w:r>
            <w:r>
              <w:rPr>
                <w:rFonts w:hint="eastAsia" w:ascii="仿宋" w:hAnsi="仿宋" w:eastAsia="仿宋" w:cs="仿宋"/>
                <w:bCs/>
                <w:color w:val="auto"/>
                <w:spacing w:val="-4"/>
                <w:sz w:val="24"/>
                <w:highlight w:val="none"/>
                <w:lang w:eastAsia="zh-CN"/>
              </w:rPr>
              <w:t>XCXHZ-202</w:t>
            </w:r>
            <w:r>
              <w:rPr>
                <w:rFonts w:hint="eastAsia" w:ascii="仿宋" w:hAnsi="仿宋" w:eastAsia="仿宋" w:cs="仿宋"/>
                <w:bCs/>
                <w:color w:val="auto"/>
                <w:spacing w:val="-4"/>
                <w:sz w:val="24"/>
                <w:highlight w:val="none"/>
                <w:lang w:val="en-US" w:eastAsia="zh-CN"/>
              </w:rPr>
              <w:t>4</w:t>
            </w:r>
            <w:r>
              <w:rPr>
                <w:rFonts w:hint="eastAsia" w:ascii="仿宋" w:hAnsi="仿宋" w:eastAsia="仿宋" w:cs="仿宋"/>
                <w:bCs/>
                <w:color w:val="auto"/>
                <w:spacing w:val="-4"/>
                <w:sz w:val="24"/>
                <w:highlight w:val="none"/>
                <w:lang w:eastAsia="zh-CN"/>
              </w:rPr>
              <w:t>-</w:t>
            </w:r>
            <w:r>
              <w:rPr>
                <w:rFonts w:hint="eastAsia" w:ascii="仿宋" w:hAnsi="仿宋" w:eastAsia="仿宋" w:cs="仿宋"/>
                <w:bCs/>
                <w:color w:val="auto"/>
                <w:spacing w:val="-4"/>
                <w:sz w:val="24"/>
                <w:highlight w:val="none"/>
                <w:lang w:val="en-US" w:eastAsia="zh-CN"/>
              </w:rPr>
              <w:t>003</w:t>
            </w:r>
            <w:r>
              <w:rPr>
                <w:rFonts w:hint="eastAsia" w:ascii="仿宋" w:hAnsi="仿宋" w:eastAsia="仿宋" w:cs="仿宋"/>
                <w:bCs/>
                <w:color w:val="auto"/>
                <w:spacing w:val="-4"/>
                <w:sz w:val="24"/>
                <w:highlight w:val="none"/>
                <w:lang w:eastAsia="zh-CN"/>
              </w:rPr>
              <w:t xml:space="preserve">（CG） </w:t>
            </w:r>
          </w:p>
          <w:p>
            <w:pPr>
              <w:spacing w:line="530" w:lineRule="exact"/>
              <w:rPr>
                <w:rFonts w:hint="eastAsia" w:ascii="仿宋" w:hAnsi="仿宋" w:eastAsia="仿宋" w:cs="仿宋"/>
                <w:bCs/>
                <w:color w:val="auto"/>
                <w:spacing w:val="-4"/>
                <w:sz w:val="24"/>
                <w:highlight w:val="none"/>
                <w:lang w:eastAsia="zh-CN"/>
              </w:rPr>
            </w:pPr>
            <w:r>
              <w:rPr>
                <w:rFonts w:hint="eastAsia" w:ascii="仿宋" w:hAnsi="仿宋" w:eastAsia="仿宋" w:cs="仿宋"/>
                <w:bCs/>
                <w:color w:val="auto"/>
                <w:spacing w:val="-4"/>
                <w:sz w:val="24"/>
                <w:highlight w:val="none"/>
              </w:rPr>
              <w:t>财政审批编号：</w:t>
            </w:r>
            <w:r>
              <w:rPr>
                <w:rFonts w:hint="eastAsia" w:ascii="仿宋" w:hAnsi="仿宋" w:eastAsia="仿宋" w:cs="仿宋"/>
                <w:bCs/>
                <w:color w:val="auto"/>
                <w:spacing w:val="-4"/>
                <w:sz w:val="24"/>
                <w:highlight w:val="none"/>
                <w:lang w:eastAsia="zh-CN"/>
              </w:rPr>
              <w:t>南太湖新区财采确临[2024]19号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磋商内容</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bCs/>
                <w:color w:val="auto"/>
                <w:spacing w:val="-4"/>
                <w:sz w:val="24"/>
                <w:highlight w:val="none"/>
              </w:rPr>
            </w:pPr>
            <w:r>
              <w:rPr>
                <w:rFonts w:hint="eastAsia" w:ascii="仿宋" w:hAnsi="仿宋" w:eastAsia="仿宋" w:cs="仿宋"/>
                <w:bCs/>
                <w:color w:val="auto"/>
                <w:sz w:val="24"/>
                <w:highlight w:val="none"/>
                <w:lang w:eastAsia="zh-CN"/>
              </w:rPr>
              <w:t>湖州市人民政府滨湖街道办事处街道机关202</w:t>
            </w:r>
            <w:r>
              <w:rPr>
                <w:rFonts w:hint="eastAsia" w:ascii="仿宋" w:hAnsi="仿宋" w:eastAsia="仿宋" w:cs="仿宋"/>
                <w:bCs/>
                <w:color w:val="auto"/>
                <w:sz w:val="24"/>
                <w:highlight w:val="none"/>
                <w:lang w:val="en-US" w:eastAsia="zh-CN"/>
              </w:rPr>
              <w:t>4</w:t>
            </w:r>
            <w:r>
              <w:rPr>
                <w:rFonts w:hint="eastAsia" w:ascii="仿宋" w:hAnsi="仿宋" w:eastAsia="仿宋" w:cs="仿宋"/>
                <w:bCs/>
                <w:color w:val="auto"/>
                <w:sz w:val="24"/>
                <w:highlight w:val="none"/>
                <w:lang w:eastAsia="zh-CN"/>
              </w:rPr>
              <w:t>年度食堂食材第三方配送及食堂运维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2"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项目实施地点</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bCs/>
                <w:color w:val="auto"/>
                <w:spacing w:val="-4"/>
                <w:sz w:val="24"/>
                <w:highlight w:val="none"/>
              </w:rPr>
            </w:pPr>
            <w:r>
              <w:rPr>
                <w:rFonts w:hint="eastAsia" w:ascii="仿宋" w:hAnsi="仿宋" w:eastAsia="仿宋" w:cs="仿宋"/>
                <w:color w:val="auto"/>
                <w:sz w:val="24"/>
                <w:highlight w:val="none"/>
              </w:rPr>
              <w:t>根据采购人指定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05"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5</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答疑时间</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color w:val="auto"/>
                <w:sz w:val="24"/>
                <w:highlight w:val="none"/>
              </w:rPr>
            </w:pPr>
            <w:r>
              <w:rPr>
                <w:rFonts w:hint="eastAsia" w:ascii="仿宋" w:hAnsi="仿宋" w:eastAsia="仿宋" w:cs="仿宋"/>
                <w:color w:val="auto"/>
                <w:sz w:val="24"/>
                <w:highlight w:val="none"/>
              </w:rPr>
              <w:t>供应商对磋商文件有异议的，应当在202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1月19日17</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rPr>
              <w:t>0分前以书面（含传真）形式一次性提出针对同一采购程序环节向采购代理机构提出质疑，否则采购代理机构有权拒绝第一次质疑以外其他所有质疑。采购代理机构将在规定的时间内统一进行澄清和修改，并书面（含传真）通知所有认购磋商文件的供应商。供应商未按规定要求提出的，则视同认可磋商文件，但法律法规及规范性文件有明确规定的除外。答疑内容是磋商文件的组成部分，并将在网上发布补充（答疑、澄清）文件，潜在供应商应自行关注网站公告，采购人不再一一通知，供应商因自身贻误行为导致磋商失效的，责任自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2"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6</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响应文件要求</w:t>
            </w:r>
          </w:p>
        </w:tc>
        <w:tc>
          <w:tcPr>
            <w:tcW w:w="7512" w:type="dxa"/>
            <w:tcBorders>
              <w:top w:val="single" w:color="auto" w:sz="4" w:space="0"/>
              <w:left w:val="single" w:color="auto" w:sz="4" w:space="0"/>
              <w:bottom w:val="single" w:color="auto" w:sz="4" w:space="0"/>
              <w:right w:val="single" w:color="auto" w:sz="4" w:space="0"/>
            </w:tcBorders>
            <w:noWrap/>
            <w:vAlign w:val="center"/>
          </w:tcPr>
          <w:p>
            <w:pPr>
              <w:numPr>
                <w:ilvl w:val="0"/>
                <w:numId w:val="2"/>
              </w:numPr>
              <w:spacing w:line="530" w:lineRule="exact"/>
              <w:rPr>
                <w:rFonts w:ascii="仿宋" w:hAnsi="仿宋" w:eastAsia="仿宋" w:cs="仿宋"/>
                <w:color w:val="auto"/>
                <w:sz w:val="24"/>
                <w:highlight w:val="none"/>
              </w:rPr>
            </w:pPr>
            <w:r>
              <w:rPr>
                <w:rFonts w:hint="eastAsia" w:ascii="仿宋" w:hAnsi="仿宋" w:eastAsia="仿宋" w:cs="仿宋"/>
                <w:color w:val="auto"/>
                <w:sz w:val="24"/>
                <w:highlight w:val="none"/>
              </w:rPr>
              <w:t>响应文件的制作：本项目实行电子磋商。</w:t>
            </w:r>
          </w:p>
          <w:p>
            <w:pPr>
              <w:spacing w:line="53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2、供应商应按要求提供电子响应文件及数据电子备份响应文件（U盘），具体内容如下： </w:t>
            </w:r>
          </w:p>
          <w:p>
            <w:pPr>
              <w:spacing w:line="530" w:lineRule="exact"/>
              <w:rPr>
                <w:rFonts w:ascii="仿宋" w:hAnsi="仿宋" w:eastAsia="仿宋" w:cs="仿宋"/>
                <w:color w:val="auto"/>
                <w:sz w:val="24"/>
                <w:highlight w:val="none"/>
              </w:rPr>
            </w:pPr>
            <w:r>
              <w:rPr>
                <w:rFonts w:hint="eastAsia" w:ascii="仿宋" w:hAnsi="仿宋" w:eastAsia="仿宋" w:cs="仿宋"/>
                <w:color w:val="auto"/>
                <w:sz w:val="24"/>
                <w:highlight w:val="none"/>
              </w:rPr>
              <w:t>2.1电子响应文件：按政采云平台项目采购-电子交易操作指南及本磋商文件要求制作、加密并递交，超过上传时间的视为放弃磋商资格，作无效标处理；</w:t>
            </w:r>
          </w:p>
          <w:p>
            <w:pPr>
              <w:spacing w:line="530" w:lineRule="exact"/>
              <w:rPr>
                <w:rFonts w:ascii="仿宋" w:hAnsi="仿宋" w:eastAsia="仿宋" w:cs="仿宋"/>
                <w:color w:val="auto"/>
                <w:sz w:val="24"/>
                <w:highlight w:val="none"/>
              </w:rPr>
            </w:pPr>
            <w:r>
              <w:rPr>
                <w:rFonts w:hint="eastAsia" w:ascii="仿宋" w:hAnsi="仿宋" w:eastAsia="仿宋" w:cs="仿宋"/>
                <w:color w:val="auto"/>
                <w:sz w:val="24"/>
                <w:highlight w:val="none"/>
              </w:rPr>
              <w:t>2.2数据电子备份响应文件（U盘）：以U盘形式提供的数据电子备份响应文件格式及内容须与政采云平台项目采购-电子交易操作指南中制作、加密并递交的电子响应文件格式及内容一致。数据电子备份响应文件应加密，允许制作成一个U盘，但须密封、包装，不按此规定密封、包装的数据电子备份响应文件（U盘）均按未提供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2"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7</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color w:val="auto"/>
                <w:sz w:val="24"/>
                <w:highlight w:val="none"/>
              </w:rPr>
            </w:pPr>
            <w:r>
              <w:rPr>
                <w:rFonts w:hint="eastAsia" w:ascii="仿宋" w:hAnsi="仿宋" w:eastAsia="仿宋" w:cs="仿宋"/>
                <w:color w:val="auto"/>
                <w:sz w:val="24"/>
                <w:highlight w:val="none"/>
              </w:rPr>
              <w:t>响应截止时间</w:t>
            </w:r>
          </w:p>
        </w:tc>
        <w:tc>
          <w:tcPr>
            <w:tcW w:w="7512" w:type="dxa"/>
            <w:tcBorders>
              <w:top w:val="single" w:color="auto" w:sz="4" w:space="0"/>
              <w:left w:val="single" w:color="auto" w:sz="4" w:space="0"/>
              <w:bottom w:val="single" w:color="auto" w:sz="4" w:space="0"/>
              <w:right w:val="single" w:color="auto" w:sz="4" w:space="0"/>
            </w:tcBorders>
            <w:noWrap/>
            <w:vAlign w:val="center"/>
          </w:tcPr>
          <w:p>
            <w:pPr>
              <w:snapToGrid w:val="0"/>
              <w:spacing w:line="530" w:lineRule="exact"/>
              <w:rPr>
                <w:rFonts w:ascii="仿宋" w:hAnsi="仿宋" w:eastAsia="仿宋" w:cs="仿宋"/>
                <w:color w:val="auto"/>
                <w:sz w:val="24"/>
                <w:highlight w:val="none"/>
              </w:rPr>
            </w:pPr>
            <w:r>
              <w:rPr>
                <w:rFonts w:hint="eastAsia" w:ascii="仿宋" w:hAnsi="仿宋" w:eastAsia="仿宋" w:cs="仿宋"/>
                <w:color w:val="auto"/>
                <w:kern w:val="0"/>
                <w:sz w:val="24"/>
                <w:highlight w:val="none"/>
              </w:rPr>
              <w:t>202</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年</w:t>
            </w:r>
            <w:r>
              <w:rPr>
                <w:rFonts w:hint="eastAsia" w:ascii="仿宋" w:hAnsi="仿宋" w:eastAsia="仿宋" w:cs="仿宋"/>
                <w:color w:val="auto"/>
                <w:kern w:val="0"/>
                <w:sz w:val="24"/>
                <w:highlight w:val="none"/>
                <w:lang w:val="en-US" w:eastAsia="zh-CN"/>
              </w:rPr>
              <w:t>1月22日13</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lang w:eastAsia="zh-CN"/>
              </w:rPr>
              <w:t>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8</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响应文件</w:t>
            </w:r>
            <w:r>
              <w:rPr>
                <w:rFonts w:hint="eastAsia" w:ascii="仿宋" w:hAnsi="仿宋" w:eastAsia="仿宋" w:cs="仿宋"/>
                <w:bCs/>
                <w:color w:val="auto"/>
                <w:sz w:val="24"/>
                <w:highlight w:val="none"/>
              </w:rPr>
              <w:t>提交</w:t>
            </w:r>
            <w:r>
              <w:rPr>
                <w:rFonts w:hint="eastAsia" w:ascii="仿宋" w:hAnsi="仿宋" w:eastAsia="仿宋" w:cs="仿宋"/>
                <w:color w:val="auto"/>
                <w:sz w:val="24"/>
                <w:highlight w:val="none"/>
              </w:rPr>
              <w:t>地点</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磋商时间：</w:t>
            </w:r>
            <w:r>
              <w:rPr>
                <w:rFonts w:hint="eastAsia" w:ascii="仿宋" w:hAnsi="仿宋" w:eastAsia="仿宋" w:cs="仿宋"/>
                <w:color w:val="auto"/>
                <w:kern w:val="0"/>
                <w:sz w:val="24"/>
                <w:highlight w:val="none"/>
              </w:rPr>
              <w:t>202</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年</w:t>
            </w:r>
            <w:r>
              <w:rPr>
                <w:rFonts w:hint="eastAsia" w:ascii="仿宋" w:hAnsi="仿宋" w:eastAsia="仿宋" w:cs="仿宋"/>
                <w:color w:val="auto"/>
                <w:kern w:val="0"/>
                <w:sz w:val="24"/>
                <w:highlight w:val="none"/>
                <w:lang w:val="en-US" w:eastAsia="zh-CN"/>
              </w:rPr>
              <w:t>1月22日13</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lang w:eastAsia="zh-CN"/>
              </w:rPr>
              <w:t>0</w:t>
            </w:r>
          </w:p>
          <w:p>
            <w:pPr>
              <w:spacing w:line="530" w:lineRule="exact"/>
              <w:rPr>
                <w:rFonts w:ascii="仿宋" w:hAnsi="仿宋" w:eastAsia="仿宋" w:cs="仿宋"/>
                <w:color w:val="auto"/>
                <w:sz w:val="24"/>
                <w:highlight w:val="none"/>
              </w:rPr>
            </w:pPr>
            <w:r>
              <w:rPr>
                <w:rFonts w:hint="eastAsia" w:ascii="仿宋" w:hAnsi="仿宋" w:eastAsia="仿宋" w:cs="仿宋"/>
                <w:color w:val="auto"/>
                <w:sz w:val="24"/>
                <w:highlight w:val="none"/>
              </w:rPr>
              <w:t>磋商地点：湖州市公共资源交易中心2号楼二楼开标室（湖州市仁皇山片区金盖山路66号），具体详见二楼休息区电子显示屏。</w:t>
            </w:r>
          </w:p>
          <w:p>
            <w:pPr>
              <w:spacing w:line="530" w:lineRule="exact"/>
              <w:rPr>
                <w:rFonts w:ascii="仿宋" w:hAnsi="仿宋" w:eastAsia="仿宋" w:cs="仿宋"/>
                <w:color w:val="auto"/>
                <w:sz w:val="24"/>
                <w:highlight w:val="none"/>
              </w:rPr>
            </w:pPr>
            <w:r>
              <w:rPr>
                <w:rFonts w:hint="eastAsia" w:ascii="仿宋" w:hAnsi="仿宋" w:eastAsia="仿宋" w:cs="仿宋"/>
                <w:color w:val="auto"/>
                <w:sz w:val="24"/>
                <w:highlight w:val="none"/>
              </w:rPr>
              <w:t>1、供应商应当在磋商截止时间前完成电子响应文件的传输递交，磋商截止时间前可以补充、修改或者撤回电子响应文件。补充或者修改电子响应文件的，应当先行撤回原文件，补充、修改后重新传输递交。磋商截止时间止未完成传输的，视为放弃磋商资格，作无效标处理。</w:t>
            </w:r>
          </w:p>
          <w:p>
            <w:pPr>
              <w:spacing w:line="530" w:lineRule="exact"/>
              <w:rPr>
                <w:rFonts w:ascii="仿宋" w:hAnsi="仿宋" w:eastAsia="仿宋" w:cs="仿宋"/>
                <w:color w:val="auto"/>
                <w:sz w:val="24"/>
                <w:highlight w:val="none"/>
              </w:rPr>
            </w:pPr>
            <w:r>
              <w:rPr>
                <w:rFonts w:hint="eastAsia" w:ascii="仿宋" w:hAnsi="仿宋" w:eastAsia="仿宋" w:cs="仿宋"/>
                <w:color w:val="auto"/>
                <w:sz w:val="24"/>
                <w:highlight w:val="none"/>
              </w:rPr>
              <w:t>2、数据电子备份响应文件（U盘）：以U盘形式提供的数据电子备份响应文件格式及内容须与政采云平台项目采购-电子交易操作指南中制作、加密并递交的电子响应文件格式及内容一致。递交方式：数据电子备份响应文件（U盘）应通过邮寄快递方式送达，邮寄地址为：浙江新诚信工程咨询有限公司[湖州市太湖路1155号</w:t>
            </w: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rPr>
              <w:t>层</w:t>
            </w:r>
            <w:r>
              <w:rPr>
                <w:rFonts w:hint="eastAsia" w:ascii="仿宋" w:hAnsi="仿宋" w:eastAsia="仿宋" w:cs="仿宋"/>
                <w:color w:val="auto"/>
                <w:sz w:val="24"/>
                <w:highlight w:val="none"/>
                <w:lang w:val="en-US" w:eastAsia="zh-CN"/>
              </w:rPr>
              <w:t>1402</w:t>
            </w:r>
            <w:r>
              <w:rPr>
                <w:rFonts w:hint="eastAsia" w:ascii="仿宋" w:hAnsi="仿宋" w:eastAsia="仿宋" w:cs="仿宋"/>
                <w:color w:val="auto"/>
                <w:sz w:val="24"/>
                <w:highlight w:val="none"/>
              </w:rPr>
              <w:t>室]，联系电话：</w:t>
            </w:r>
            <w:r>
              <w:rPr>
                <w:rFonts w:hint="eastAsia" w:ascii="仿宋" w:hAnsi="仿宋" w:eastAsia="仿宋" w:cs="仿宋"/>
                <w:color w:val="auto"/>
                <w:sz w:val="24"/>
                <w:highlight w:val="none"/>
                <w:lang w:val="en-US" w:eastAsia="zh-CN"/>
              </w:rPr>
              <w:t>18768247439</w:t>
            </w:r>
            <w:r>
              <w:rPr>
                <w:rFonts w:hint="eastAsia" w:ascii="仿宋" w:hAnsi="仿宋" w:eastAsia="仿宋" w:cs="仿宋"/>
                <w:color w:val="auto"/>
                <w:sz w:val="24"/>
                <w:highlight w:val="none"/>
              </w:rPr>
              <w:t>。邮寄截止时间：供应商应于20</w:t>
            </w: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1月19日</w:t>
            </w:r>
            <w:r>
              <w:rPr>
                <w:rFonts w:hint="eastAsia" w:ascii="仿宋" w:hAnsi="仿宋" w:eastAsia="仿宋" w:cs="仿宋"/>
                <w:color w:val="auto"/>
                <w:sz w:val="24"/>
                <w:highlight w:val="none"/>
              </w:rPr>
              <w:t>17:00时前准时送达，逾期不予受理。未按时送达的，均按未提供处理。</w:t>
            </w:r>
          </w:p>
          <w:p>
            <w:pPr>
              <w:spacing w:line="530" w:lineRule="exact"/>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3、整个磋商过程中若因供应商问题造成电子响应文件无法正常解密的，均认定为未提交电子响应文件，作无效标处理。若因网络或者其他非供应商问题造成电子响应文件无法正常解密的，启用数据电子备份响应文件（U盘），因供应商自身原因造成数据电子备份响应文件（U盘）无法打开的，作无效标处理。若正常解密成功，则数据电子备份响应文件（U盘）不予开启。在下一顺位的响应文件启用时，前一顺位的响应文件自动失效。</w:t>
            </w:r>
          </w:p>
          <w:p>
            <w:pPr>
              <w:spacing w:line="530" w:lineRule="exact"/>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4、供应商仅提供其中一种形式的备份响应文件。造成项目开评标活动</w:t>
            </w:r>
          </w:p>
          <w:p>
            <w:pPr>
              <w:spacing w:line="530" w:lineRule="exact"/>
              <w:rPr>
                <w:rFonts w:ascii="仿宋" w:hAnsi="仿宋" w:eastAsia="仿宋" w:cs="仿宋"/>
                <w:b/>
                <w:color w:val="auto"/>
                <w:sz w:val="24"/>
                <w:highlight w:val="none"/>
              </w:rPr>
            </w:pPr>
            <w:r>
              <w:rPr>
                <w:rFonts w:hint="eastAsia" w:ascii="仿宋" w:hAnsi="仿宋" w:eastAsia="仿宋" w:cs="仿宋"/>
                <w:b w:val="0"/>
                <w:bCs/>
                <w:color w:val="auto"/>
                <w:sz w:val="24"/>
                <w:highlight w:val="none"/>
              </w:rPr>
              <w:t>无法进行下去的，相关风险由供应商自行承担。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9"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9</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磋商时间</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color w:val="auto"/>
                <w:sz w:val="24"/>
                <w:highlight w:val="none"/>
              </w:rPr>
            </w:pPr>
            <w:r>
              <w:rPr>
                <w:rFonts w:hint="eastAsia" w:ascii="仿宋" w:hAnsi="仿宋" w:eastAsia="仿宋" w:cs="仿宋"/>
                <w:color w:val="auto"/>
                <w:kern w:val="0"/>
                <w:sz w:val="24"/>
                <w:highlight w:val="none"/>
              </w:rPr>
              <w:t>202</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年</w:t>
            </w:r>
            <w:r>
              <w:rPr>
                <w:rFonts w:hint="eastAsia" w:ascii="仿宋" w:hAnsi="仿宋" w:eastAsia="仿宋" w:cs="仿宋"/>
                <w:color w:val="auto"/>
                <w:kern w:val="0"/>
                <w:sz w:val="24"/>
                <w:highlight w:val="none"/>
                <w:lang w:val="en-US" w:eastAsia="zh-CN"/>
              </w:rPr>
              <w:t>1月22日13</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lang w:eastAsia="zh-CN"/>
              </w:rPr>
              <w:t>0</w:t>
            </w:r>
            <w:r>
              <w:rPr>
                <w:rFonts w:hint="eastAsia" w:ascii="仿宋" w:hAnsi="仿宋" w:eastAsia="仿宋" w:cs="仿宋"/>
                <w:color w:val="auto"/>
                <w:sz w:val="24"/>
                <w:highlight w:val="none"/>
              </w:rPr>
              <w:t>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1"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10</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color w:val="auto"/>
                <w:sz w:val="24"/>
                <w:highlight w:val="none"/>
              </w:rPr>
            </w:pPr>
            <w:r>
              <w:rPr>
                <w:rFonts w:hint="eastAsia" w:ascii="仿宋" w:hAnsi="仿宋" w:eastAsia="仿宋" w:cs="仿宋"/>
                <w:color w:val="auto"/>
                <w:sz w:val="24"/>
                <w:highlight w:val="none"/>
              </w:rPr>
              <w:t>磋商地点</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color w:val="auto"/>
                <w:sz w:val="24"/>
                <w:highlight w:val="none"/>
              </w:rPr>
            </w:pPr>
            <w:r>
              <w:rPr>
                <w:rFonts w:hint="eastAsia" w:ascii="仿宋" w:hAnsi="仿宋" w:eastAsia="仿宋" w:cs="仿宋"/>
                <w:color w:val="auto"/>
                <w:sz w:val="24"/>
                <w:highlight w:val="none"/>
              </w:rPr>
              <w:t>湖州市公共资源交易中心（湖州市仁皇山片区金盖山路66号2号楼，届时详见二楼休息区电子显示屏），未按时上传电子响应文件的将拒绝接收，作无效标处理。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2"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11</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履约保证金</w:t>
            </w:r>
          </w:p>
        </w:tc>
        <w:tc>
          <w:tcPr>
            <w:tcW w:w="7512" w:type="dxa"/>
            <w:tcBorders>
              <w:top w:val="single" w:color="auto" w:sz="4" w:space="0"/>
              <w:left w:val="single" w:color="auto" w:sz="4" w:space="0"/>
              <w:bottom w:val="single" w:color="auto" w:sz="4" w:space="0"/>
              <w:right w:val="single" w:color="auto" w:sz="4" w:space="0"/>
            </w:tcBorders>
            <w:noWrap/>
            <w:vAlign w:val="center"/>
          </w:tcPr>
          <w:p>
            <w:pPr>
              <w:snapToGrid w:val="0"/>
              <w:spacing w:line="273" w:lineRule="auto"/>
              <w:jc w:val="left"/>
              <w:rPr>
                <w:rFonts w:ascii="仿宋" w:hAnsi="仿宋" w:eastAsia="仿宋" w:cs="仿宋"/>
                <w:color w:val="auto"/>
                <w:sz w:val="24"/>
                <w:highlight w:val="none"/>
              </w:rPr>
            </w:pPr>
            <w:r>
              <w:rPr>
                <w:rFonts w:hint="eastAsia" w:ascii="仿宋" w:hAnsi="仿宋" w:eastAsia="仿宋" w:cs="仿宋"/>
                <w:bCs/>
                <w:color w:val="auto"/>
                <w:sz w:val="24"/>
                <w:highlight w:val="none"/>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2"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12</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color w:val="auto"/>
                <w:sz w:val="24"/>
                <w:highlight w:val="none"/>
              </w:rPr>
            </w:pPr>
            <w:r>
              <w:rPr>
                <w:rFonts w:hint="eastAsia" w:ascii="仿宋" w:hAnsi="仿宋" w:eastAsia="仿宋" w:cs="仿宋"/>
                <w:color w:val="auto"/>
                <w:sz w:val="24"/>
                <w:highlight w:val="none"/>
              </w:rPr>
              <w:t>磋商</w:t>
            </w:r>
            <w:r>
              <w:rPr>
                <w:rFonts w:hint="eastAsia" w:ascii="仿宋" w:hAnsi="仿宋" w:eastAsia="仿宋" w:cs="仿宋"/>
                <w:bCs/>
                <w:color w:val="auto"/>
                <w:sz w:val="24"/>
                <w:highlight w:val="none"/>
              </w:rPr>
              <w:t>有效期</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color w:val="auto"/>
                <w:sz w:val="24"/>
                <w:highlight w:val="none"/>
              </w:rPr>
            </w:pPr>
            <w:r>
              <w:rPr>
                <w:rFonts w:hint="eastAsia" w:ascii="仿宋" w:hAnsi="仿宋" w:eastAsia="仿宋" w:cs="仿宋"/>
                <w:color w:val="auto"/>
                <w:sz w:val="24"/>
                <w:highlight w:val="none"/>
              </w:rPr>
              <w:t>60天（日历天）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2"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13</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磋商办法及评分标准</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bCs/>
                <w:color w:val="auto"/>
                <w:sz w:val="24"/>
                <w:highlight w:val="none"/>
              </w:rPr>
            </w:pPr>
            <w:r>
              <w:rPr>
                <w:rFonts w:hint="eastAsia" w:ascii="仿宋" w:hAnsi="仿宋" w:eastAsia="仿宋" w:cs="仿宋"/>
                <w:bCs/>
                <w:color w:val="auto"/>
                <w:sz w:val="24"/>
                <w:highlight w:val="none"/>
              </w:rPr>
              <w:t>详见磋商文件第六章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4"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14</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采购人</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lang w:eastAsia="zh-CN"/>
              </w:rPr>
              <w:t>湖州市人民政府滨湖街道办事处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3"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15</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其他</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bCs/>
                <w:color w:val="auto"/>
                <w:sz w:val="24"/>
                <w:highlight w:val="none"/>
              </w:rPr>
            </w:pPr>
            <w:r>
              <w:rPr>
                <w:rFonts w:hint="eastAsia" w:ascii="仿宋" w:hAnsi="仿宋" w:eastAsia="仿宋" w:cs="仿宋"/>
                <w:bCs/>
                <w:color w:val="auto"/>
                <w:sz w:val="24"/>
                <w:highlight w:val="none"/>
              </w:rPr>
              <w:t>在确定成交供应商后，签订合同前，成交供应商须提供二份完整的纸质响应文件</w:t>
            </w:r>
            <w:r>
              <w:rPr>
                <w:rFonts w:hint="eastAsia" w:ascii="仿宋" w:hAnsi="仿宋" w:eastAsia="仿宋" w:cs="仿宋"/>
                <w:b/>
                <w:bCs/>
                <w:color w:val="auto"/>
                <w:sz w:val="24"/>
                <w:highlight w:val="none"/>
              </w:rPr>
              <w:t>（包括最后报价文件）</w:t>
            </w:r>
            <w:r>
              <w:rPr>
                <w:rFonts w:hint="eastAsia" w:ascii="仿宋" w:hAnsi="仿宋" w:eastAsia="仿宋" w:cs="仿宋"/>
                <w:bCs/>
                <w:color w:val="auto"/>
                <w:sz w:val="24"/>
                <w:highlight w:val="none"/>
              </w:rPr>
              <w:t>给采购人，纸质响应文件须与电子响应文件格式及内容一致。</w:t>
            </w:r>
          </w:p>
        </w:tc>
      </w:tr>
    </w:tbl>
    <w:p>
      <w:pPr>
        <w:pStyle w:val="3"/>
        <w:spacing w:line="560" w:lineRule="exact"/>
        <w:jc w:val="center"/>
        <w:rPr>
          <w:rFonts w:ascii="仿宋" w:hAnsi="仿宋" w:eastAsia="仿宋" w:cs="仿宋"/>
          <w:color w:val="auto"/>
          <w:sz w:val="28"/>
          <w:szCs w:val="28"/>
          <w:highlight w:val="none"/>
        </w:rPr>
      </w:pPr>
      <w:bookmarkStart w:id="4" w:name="_Toc113441587"/>
      <w:bookmarkStart w:id="5" w:name="_Toc452995896"/>
      <w:r>
        <w:rPr>
          <w:rFonts w:hint="eastAsia" w:ascii="仿宋" w:hAnsi="仿宋" w:eastAsia="仿宋" w:cs="仿宋"/>
          <w:color w:val="auto"/>
          <w:sz w:val="28"/>
          <w:szCs w:val="28"/>
          <w:highlight w:val="none"/>
        </w:rPr>
        <w:t>一、</w:t>
      </w:r>
      <w:bookmarkEnd w:id="4"/>
      <w:r>
        <w:rPr>
          <w:rFonts w:hint="eastAsia" w:ascii="仿宋" w:hAnsi="仿宋" w:eastAsia="仿宋" w:cs="仿宋"/>
          <w:color w:val="auto"/>
          <w:sz w:val="28"/>
          <w:szCs w:val="28"/>
          <w:highlight w:val="none"/>
        </w:rPr>
        <w:t>总  则</w:t>
      </w:r>
      <w:bookmarkEnd w:id="5"/>
    </w:p>
    <w:p>
      <w:pPr>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1．概况</w:t>
      </w:r>
    </w:p>
    <w:p>
      <w:pPr>
        <w:tabs>
          <w:tab w:val="left" w:pos="90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1.1项目名称：</w:t>
      </w:r>
      <w:r>
        <w:rPr>
          <w:rFonts w:hint="eastAsia" w:ascii="仿宋" w:hAnsi="仿宋" w:eastAsia="仿宋" w:cs="仿宋"/>
          <w:color w:val="auto"/>
          <w:sz w:val="24"/>
          <w:highlight w:val="none"/>
          <w:lang w:eastAsia="zh-CN"/>
        </w:rPr>
        <w:t>街道机关2024年度食堂食材第三方配送及食堂运维项目</w:t>
      </w:r>
      <w:r>
        <w:rPr>
          <w:rFonts w:hint="eastAsia" w:ascii="仿宋" w:hAnsi="仿宋" w:eastAsia="仿宋" w:cs="仿宋"/>
          <w:color w:val="auto"/>
          <w:sz w:val="24"/>
          <w:highlight w:val="none"/>
        </w:rPr>
        <w:t>；</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1.2采购人：</w:t>
      </w:r>
      <w:r>
        <w:rPr>
          <w:rFonts w:hint="eastAsia" w:ascii="仿宋" w:hAnsi="仿宋" w:eastAsia="仿宋" w:cs="仿宋"/>
          <w:bCs/>
          <w:color w:val="auto"/>
          <w:sz w:val="24"/>
          <w:highlight w:val="none"/>
          <w:lang w:eastAsia="zh-CN"/>
        </w:rPr>
        <w:t>湖州市人民政府滨湖街道办事处</w:t>
      </w:r>
      <w:r>
        <w:rPr>
          <w:rFonts w:hint="eastAsia" w:ascii="仿宋" w:hAnsi="仿宋" w:eastAsia="仿宋" w:cs="仿宋"/>
          <w:color w:val="auto"/>
          <w:sz w:val="24"/>
          <w:highlight w:val="none"/>
        </w:rPr>
        <w:t>；</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1.3监管部门: 湖州市财政局政府采购监管处；</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1.4项目资金来源：已得到政府有关部门的批准，其资金来源已落实；</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1.5采购方式:竞争性磋商；</w:t>
      </w:r>
    </w:p>
    <w:p>
      <w:pPr>
        <w:spacing w:line="560" w:lineRule="exact"/>
        <w:ind w:firstLine="480" w:firstLineChars="200"/>
        <w:rPr>
          <w:rFonts w:ascii="仿宋" w:hAnsi="仿宋" w:eastAsia="仿宋" w:cs="仿宋"/>
          <w:b/>
          <w:bCs/>
          <w:color w:val="auto"/>
          <w:sz w:val="24"/>
          <w:highlight w:val="none"/>
        </w:rPr>
      </w:pPr>
      <w:r>
        <w:rPr>
          <w:rFonts w:hint="eastAsia" w:ascii="仿宋" w:hAnsi="仿宋" w:eastAsia="仿宋" w:cs="仿宋"/>
          <w:color w:val="auto"/>
          <w:sz w:val="24"/>
          <w:highlight w:val="none"/>
        </w:rPr>
        <w:t>1.6采购项目服务地点：</w:t>
      </w:r>
      <w:r>
        <w:rPr>
          <w:rFonts w:hint="eastAsia" w:ascii="仿宋" w:hAnsi="仿宋" w:eastAsia="仿宋" w:cs="仿宋"/>
          <w:bCs/>
          <w:color w:val="auto"/>
          <w:sz w:val="24"/>
          <w:highlight w:val="none"/>
        </w:rPr>
        <w:t>根据采购人指令</w:t>
      </w:r>
      <w:r>
        <w:rPr>
          <w:rFonts w:hint="eastAsia" w:ascii="仿宋" w:hAnsi="仿宋" w:eastAsia="仿宋" w:cs="仿宋"/>
          <w:color w:val="auto"/>
          <w:sz w:val="24"/>
          <w:highlight w:val="none"/>
        </w:rPr>
        <w:t>；</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bCs/>
          <w:color w:val="auto"/>
          <w:sz w:val="24"/>
          <w:highlight w:val="none"/>
        </w:rPr>
        <w:t>1.7</w:t>
      </w:r>
      <w:r>
        <w:rPr>
          <w:rFonts w:hint="eastAsia" w:ascii="仿宋" w:hAnsi="仿宋" w:eastAsia="仿宋" w:cs="仿宋"/>
          <w:color w:val="auto"/>
          <w:sz w:val="24"/>
          <w:highlight w:val="none"/>
        </w:rPr>
        <w:t>采购代理机构：</w:t>
      </w:r>
      <w:r>
        <w:rPr>
          <w:rFonts w:hint="eastAsia" w:ascii="仿宋" w:hAnsi="仿宋" w:eastAsia="仿宋" w:cs="仿宋"/>
          <w:color w:val="auto"/>
          <w:sz w:val="24"/>
          <w:highlight w:val="none"/>
          <w:lang w:eastAsia="zh-CN"/>
        </w:rPr>
        <w:t>浙江新诚信工程咨询有限公司</w:t>
      </w:r>
      <w:r>
        <w:rPr>
          <w:rFonts w:hint="eastAsia" w:ascii="仿宋" w:hAnsi="仿宋" w:eastAsia="仿宋" w:cs="仿宋"/>
          <w:color w:val="auto"/>
          <w:sz w:val="24"/>
          <w:highlight w:val="none"/>
        </w:rPr>
        <w:t>；</w:t>
      </w:r>
    </w:p>
    <w:p>
      <w:pPr>
        <w:tabs>
          <w:tab w:val="left" w:pos="90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1.8本磋商文件适用于</w:t>
      </w:r>
      <w:r>
        <w:rPr>
          <w:rFonts w:hint="eastAsia" w:ascii="仿宋" w:hAnsi="仿宋" w:eastAsia="仿宋" w:cs="仿宋"/>
          <w:bCs/>
          <w:color w:val="auto"/>
          <w:sz w:val="24"/>
          <w:highlight w:val="none"/>
        </w:rPr>
        <w:t>本</w:t>
      </w:r>
      <w:r>
        <w:rPr>
          <w:rFonts w:hint="eastAsia" w:ascii="仿宋" w:hAnsi="仿宋" w:eastAsia="仿宋" w:cs="仿宋"/>
          <w:color w:val="auto"/>
          <w:sz w:val="24"/>
          <w:highlight w:val="none"/>
        </w:rPr>
        <w:t>项目的磋商、成交、验收、合同履约、付款等（如法律、法规或省级以上规范性文件另有规定的，从其规定）。</w:t>
      </w:r>
    </w:p>
    <w:p>
      <w:pPr>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2．供应商的资格条件</w:t>
      </w:r>
    </w:p>
    <w:p>
      <w:pPr>
        <w:spacing w:line="560" w:lineRule="exact"/>
        <w:ind w:firstLine="480" w:firstLineChars="200"/>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2.1符合《中华人民共和国政府采购法》第二十二条规定和浙财采监【2013】24号《关于规范政府采购供应商资格设定及资格审查的通知》第六条规定,且未被“信用中国”（www.creditchina.gov.cn）、“中国政府采购网”（www.ccgp.gov.cn）列入失信被执行人、重大税收违法案件当事人名单、政府采购严重违法失信行为记录名单。</w:t>
      </w:r>
    </w:p>
    <w:p>
      <w:pPr>
        <w:spacing w:line="5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bCs/>
          <w:color w:val="auto"/>
          <w:sz w:val="24"/>
          <w:highlight w:val="none"/>
          <w:lang w:val="en-US" w:eastAsia="zh-CN"/>
        </w:rPr>
        <w:t>2.2</w:t>
      </w:r>
      <w:r>
        <w:rPr>
          <w:rFonts w:hint="eastAsia" w:ascii="仿宋" w:hAnsi="仿宋" w:eastAsia="仿宋" w:cs="仿宋"/>
          <w:color w:val="auto"/>
          <w:sz w:val="24"/>
          <w:highlight w:val="none"/>
        </w:rPr>
        <w:t>本项目专门面向中小企业采购, 供应商需符合《政府采购促进中小企业发展管理办法》（财库【2020】46号）和</w:t>
      </w:r>
      <w:r>
        <w:rPr>
          <w:rFonts w:hint="eastAsia" w:ascii="仿宋" w:hAnsi="仿宋" w:eastAsia="仿宋" w:cs="仿宋"/>
          <w:color w:val="auto"/>
          <w:sz w:val="24"/>
          <w:highlight w:val="none"/>
          <w:lang w:val="en-US" w:eastAsia="zh-CN"/>
        </w:rPr>
        <w:t>提供</w:t>
      </w:r>
      <w:r>
        <w:rPr>
          <w:rFonts w:hint="eastAsia" w:ascii="仿宋" w:hAnsi="仿宋" w:eastAsia="仿宋" w:cs="仿宋"/>
          <w:color w:val="auto"/>
          <w:sz w:val="24"/>
          <w:highlight w:val="none"/>
        </w:rPr>
        <w:t>本采购文件规定的《中小企业声明函》(监狱企业参加</w:t>
      </w:r>
      <w:r>
        <w:rPr>
          <w:rFonts w:hint="eastAsia" w:ascii="仿宋" w:hAnsi="仿宋" w:eastAsia="仿宋" w:cs="仿宋"/>
          <w:color w:val="auto"/>
          <w:sz w:val="24"/>
          <w:highlight w:val="none"/>
          <w:lang w:val="en-US" w:eastAsia="zh-CN"/>
        </w:rPr>
        <w:t>投标</w:t>
      </w:r>
      <w:r>
        <w:rPr>
          <w:rFonts w:hint="eastAsia" w:ascii="仿宋" w:hAnsi="仿宋" w:eastAsia="仿宋" w:cs="仿宋"/>
          <w:color w:val="auto"/>
          <w:sz w:val="24"/>
          <w:highlight w:val="none"/>
        </w:rPr>
        <w:t>提供《监狱企业声明函》及其相关的证明材料、残疾人福利性单位参加</w:t>
      </w:r>
      <w:r>
        <w:rPr>
          <w:rFonts w:hint="eastAsia" w:ascii="仿宋" w:hAnsi="仿宋" w:eastAsia="仿宋" w:cs="仿宋"/>
          <w:color w:val="auto"/>
          <w:sz w:val="24"/>
          <w:highlight w:val="none"/>
          <w:lang w:val="en-US" w:eastAsia="zh-CN"/>
        </w:rPr>
        <w:t>投标提供</w:t>
      </w:r>
      <w:r>
        <w:rPr>
          <w:rFonts w:hint="eastAsia" w:ascii="仿宋" w:hAnsi="仿宋" w:eastAsia="仿宋" w:cs="仿宋"/>
          <w:color w:val="auto"/>
          <w:sz w:val="24"/>
          <w:highlight w:val="none"/>
        </w:rPr>
        <w:t>《残疾人福利性单位声明函》，视为小型、微型企业，享受小微企业政策扶持)。</w:t>
      </w:r>
    </w:p>
    <w:p>
      <w:pPr>
        <w:spacing w:line="560" w:lineRule="exact"/>
        <w:ind w:firstLine="480" w:firstLineChars="200"/>
        <w:rPr>
          <w:rFonts w:hint="eastAsia" w:ascii="仿宋" w:hAnsi="仿宋" w:eastAsia="仿宋" w:cs="仿宋"/>
          <w:bCs/>
          <w:color w:val="auto"/>
          <w:sz w:val="24"/>
          <w:highlight w:val="none"/>
          <w:lang w:val="en-US" w:eastAsia="zh-CN"/>
        </w:rPr>
      </w:pPr>
      <w:r>
        <w:rPr>
          <w:rFonts w:hint="eastAsia" w:ascii="仿宋" w:hAnsi="仿宋" w:eastAsia="仿宋" w:cs="仿宋"/>
          <w:color w:val="auto"/>
          <w:sz w:val="24"/>
          <w:highlight w:val="none"/>
          <w:lang w:val="en-US" w:eastAsia="zh-CN"/>
        </w:rPr>
        <w:t>2.3</w:t>
      </w:r>
      <w:r>
        <w:rPr>
          <w:rFonts w:hint="eastAsia" w:ascii="仿宋" w:hAnsi="仿宋" w:eastAsia="仿宋" w:cs="仿宋"/>
          <w:color w:val="auto"/>
          <w:sz w:val="24"/>
          <w:highlight w:val="none"/>
        </w:rPr>
        <w:t>本项目</w:t>
      </w:r>
      <w:r>
        <w:rPr>
          <w:rFonts w:hint="eastAsia" w:ascii="仿宋" w:hAnsi="仿宋" w:eastAsia="仿宋" w:cs="仿宋"/>
          <w:color w:val="auto"/>
          <w:sz w:val="24"/>
          <w:highlight w:val="none"/>
          <w:lang w:eastAsia="zh-CN"/>
        </w:rPr>
        <w:t>不</w:t>
      </w:r>
      <w:r>
        <w:rPr>
          <w:rFonts w:hint="eastAsia" w:ascii="仿宋" w:hAnsi="仿宋" w:eastAsia="仿宋" w:cs="仿宋"/>
          <w:color w:val="auto"/>
          <w:sz w:val="24"/>
          <w:highlight w:val="none"/>
        </w:rPr>
        <w:t>接受联合体</w:t>
      </w:r>
      <w:r>
        <w:rPr>
          <w:rFonts w:hint="eastAsia" w:ascii="仿宋" w:hAnsi="仿宋" w:eastAsia="仿宋" w:cs="仿宋"/>
          <w:color w:val="auto"/>
          <w:sz w:val="24"/>
          <w:highlight w:val="none"/>
          <w:lang w:val="en-US" w:eastAsia="zh-CN"/>
        </w:rPr>
        <w:t>磋商</w:t>
      </w:r>
      <w:r>
        <w:rPr>
          <w:rFonts w:hint="eastAsia" w:ascii="仿宋" w:hAnsi="仿宋" w:eastAsia="仿宋" w:cs="仿宋"/>
          <w:color w:val="auto"/>
          <w:sz w:val="24"/>
          <w:highlight w:val="none"/>
        </w:rPr>
        <w:t>。</w:t>
      </w:r>
    </w:p>
    <w:p>
      <w:pPr>
        <w:spacing w:line="560" w:lineRule="exact"/>
        <w:rPr>
          <w:rFonts w:ascii="仿宋" w:hAnsi="仿宋" w:eastAsia="仿宋" w:cs="仿宋"/>
          <w:bCs/>
          <w:color w:val="auto"/>
          <w:sz w:val="24"/>
          <w:highlight w:val="none"/>
        </w:rPr>
      </w:pPr>
      <w:r>
        <w:rPr>
          <w:rFonts w:hint="eastAsia" w:ascii="仿宋" w:hAnsi="仿宋" w:eastAsia="仿宋" w:cs="仿宋"/>
          <w:bCs/>
          <w:color w:val="auto"/>
          <w:sz w:val="24"/>
          <w:highlight w:val="none"/>
        </w:rPr>
        <w:t>3．磋商费用</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bCs/>
          <w:color w:val="auto"/>
          <w:sz w:val="24"/>
          <w:highlight w:val="none"/>
        </w:rPr>
        <w:t>3.1无论磋商采购结果如何，供应商均应自行承担所有与参加本次磋商采购有关的全部费用。</w:t>
      </w:r>
      <w:r>
        <w:rPr>
          <w:rFonts w:hint="eastAsia" w:ascii="仿宋" w:hAnsi="仿宋" w:eastAsia="仿宋" w:cs="仿宋"/>
          <w:color w:val="auto"/>
          <w:sz w:val="24"/>
          <w:highlight w:val="none"/>
        </w:rPr>
        <w:t>不论磋商结果如何，采购代理机构对上述费用不负任何责任；</w:t>
      </w:r>
    </w:p>
    <w:p>
      <w:pPr>
        <w:spacing w:line="560" w:lineRule="exact"/>
        <w:ind w:firstLine="480" w:firstLineChars="200"/>
        <w:rPr>
          <w:rFonts w:ascii="仿宋" w:hAnsi="仿宋" w:eastAsia="仿宋" w:cs="仿宋"/>
          <w:b/>
          <w:color w:val="auto"/>
          <w:sz w:val="44"/>
          <w:szCs w:val="44"/>
          <w:highlight w:val="none"/>
        </w:rPr>
      </w:pPr>
      <w:r>
        <w:rPr>
          <w:rFonts w:hint="eastAsia" w:ascii="仿宋" w:hAnsi="仿宋" w:eastAsia="仿宋" w:cs="仿宋"/>
          <w:bCs/>
          <w:color w:val="auto"/>
          <w:sz w:val="24"/>
          <w:highlight w:val="none"/>
        </w:rPr>
        <w:t>3.2本项目磋商代理费按人民币</w:t>
      </w:r>
      <w:r>
        <w:rPr>
          <w:rFonts w:hint="eastAsia" w:ascii="仿宋" w:hAnsi="仿宋" w:eastAsia="仿宋" w:cs="仿宋"/>
          <w:b/>
          <w:color w:val="auto"/>
          <w:sz w:val="24"/>
          <w:highlight w:val="none"/>
          <w:u w:val="single"/>
          <w:lang w:eastAsia="zh-CN"/>
        </w:rPr>
        <w:t>壹万</w:t>
      </w:r>
      <w:r>
        <w:rPr>
          <w:rFonts w:hint="eastAsia" w:ascii="仿宋" w:hAnsi="仿宋" w:eastAsia="仿宋" w:cs="仿宋"/>
          <w:b/>
          <w:color w:val="auto"/>
          <w:sz w:val="24"/>
          <w:highlight w:val="none"/>
          <w:u w:val="single"/>
          <w:lang w:val="en-US" w:eastAsia="zh-CN"/>
        </w:rPr>
        <w:t>陆</w:t>
      </w:r>
      <w:r>
        <w:rPr>
          <w:rFonts w:hint="eastAsia" w:ascii="仿宋" w:hAnsi="仿宋" w:eastAsia="仿宋" w:cs="仿宋"/>
          <w:b/>
          <w:color w:val="auto"/>
          <w:sz w:val="24"/>
          <w:highlight w:val="none"/>
          <w:u w:val="single"/>
          <w:lang w:eastAsia="zh-CN"/>
        </w:rPr>
        <w:t>仟</w:t>
      </w:r>
      <w:r>
        <w:rPr>
          <w:rFonts w:hint="eastAsia" w:ascii="仿宋" w:hAnsi="仿宋" w:eastAsia="仿宋" w:cs="仿宋"/>
          <w:b/>
          <w:color w:val="auto"/>
          <w:sz w:val="24"/>
          <w:highlight w:val="none"/>
          <w:u w:val="single"/>
          <w:lang w:val="en-US" w:eastAsia="zh-CN"/>
        </w:rPr>
        <w:t>陆</w:t>
      </w:r>
      <w:r>
        <w:rPr>
          <w:rFonts w:hint="eastAsia" w:ascii="仿宋" w:hAnsi="仿宋" w:eastAsia="仿宋" w:cs="仿宋"/>
          <w:b/>
          <w:color w:val="auto"/>
          <w:sz w:val="24"/>
          <w:highlight w:val="none"/>
          <w:u w:val="single"/>
          <w:lang w:eastAsia="zh-CN"/>
        </w:rPr>
        <w:t>佰元</w:t>
      </w:r>
      <w:r>
        <w:rPr>
          <w:rFonts w:hint="eastAsia" w:ascii="仿宋" w:hAnsi="仿宋" w:eastAsia="仿宋" w:cs="仿宋"/>
          <w:bCs/>
          <w:color w:val="auto"/>
          <w:sz w:val="24"/>
          <w:highlight w:val="none"/>
        </w:rPr>
        <w:t>计取，由成交供应商在领取成交通知书前一次性支付给采购代理机构，该费用请综合考虑在响应报价中。</w:t>
      </w:r>
    </w:p>
    <w:p>
      <w:pPr>
        <w:pStyle w:val="3"/>
        <w:spacing w:line="560" w:lineRule="exact"/>
        <w:jc w:val="center"/>
        <w:rPr>
          <w:rFonts w:ascii="仿宋" w:hAnsi="仿宋" w:eastAsia="仿宋" w:cs="仿宋"/>
          <w:color w:val="auto"/>
          <w:kern w:val="44"/>
          <w:sz w:val="28"/>
          <w:szCs w:val="28"/>
          <w:highlight w:val="none"/>
        </w:rPr>
      </w:pPr>
      <w:bookmarkStart w:id="6" w:name="_Toc452995897"/>
      <w:r>
        <w:rPr>
          <w:rFonts w:hint="eastAsia" w:ascii="仿宋" w:hAnsi="仿宋" w:eastAsia="仿宋" w:cs="仿宋"/>
          <w:color w:val="auto"/>
          <w:kern w:val="44"/>
          <w:sz w:val="28"/>
          <w:szCs w:val="28"/>
          <w:highlight w:val="none"/>
        </w:rPr>
        <w:t>二、磋商文件的说明</w:t>
      </w:r>
      <w:bookmarkEnd w:id="6"/>
    </w:p>
    <w:p>
      <w:pPr>
        <w:spacing w:line="560" w:lineRule="exact"/>
        <w:rPr>
          <w:rFonts w:ascii="仿宋" w:hAnsi="仿宋" w:eastAsia="仿宋" w:cs="仿宋"/>
          <w:color w:val="auto"/>
          <w:kern w:val="44"/>
          <w:sz w:val="24"/>
          <w:highlight w:val="none"/>
        </w:rPr>
      </w:pPr>
      <w:bookmarkStart w:id="7" w:name="_Toc113441589"/>
      <w:r>
        <w:rPr>
          <w:rFonts w:hint="eastAsia" w:ascii="仿宋" w:hAnsi="仿宋" w:eastAsia="仿宋" w:cs="仿宋"/>
          <w:color w:val="auto"/>
          <w:kern w:val="44"/>
          <w:sz w:val="24"/>
          <w:highlight w:val="none"/>
        </w:rPr>
        <w:t>4．磋商文件</w:t>
      </w:r>
      <w:bookmarkEnd w:id="7"/>
      <w:r>
        <w:rPr>
          <w:rFonts w:hint="eastAsia" w:ascii="仿宋" w:hAnsi="仿宋" w:eastAsia="仿宋" w:cs="仿宋"/>
          <w:color w:val="auto"/>
          <w:kern w:val="44"/>
          <w:sz w:val="24"/>
          <w:highlight w:val="none"/>
        </w:rPr>
        <w:t>的组成</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color w:val="auto"/>
          <w:sz w:val="24"/>
          <w:highlight w:val="none"/>
        </w:rPr>
        <w:t>4.1</w:t>
      </w:r>
      <w:r>
        <w:rPr>
          <w:rFonts w:hint="eastAsia" w:ascii="仿宋" w:hAnsi="仿宋" w:eastAsia="仿宋" w:cs="仿宋"/>
          <w:bCs/>
          <w:color w:val="auto"/>
          <w:sz w:val="24"/>
          <w:highlight w:val="none"/>
        </w:rPr>
        <w:t>磋商文件为本次采购人发出的竞争性磋商文件；响应文件为参加磋商的供应商提交的磋商响应文件。</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4.2磋商文件包括以下内容：</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4.2.1第一章  竞争性磋商公告</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4.2.2第二章  磋商项目采购需求</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4.2.3第三章  供应商须知</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4.2.4第四章  合同主要条款</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4.2.5第五章  响应文件格式</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4.2.6第六章  磋商办法及评分标准</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 采购代理机构在磋商截止时间前，以书面形式发出的对磋商文件的澄清或修改内容，均为磋商文件的组成部分，对采购人和供应商起约束作用；</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color w:val="auto"/>
          <w:sz w:val="24"/>
          <w:highlight w:val="none"/>
        </w:rPr>
        <w:t>4.4供应商获取磋商文件后，应仔细检查磋商文件的所有内容，如有残缺等问题，均应在获得磋商文件后</w:t>
      </w:r>
      <w:r>
        <w:rPr>
          <w:rFonts w:hint="eastAsia" w:ascii="仿宋" w:hAnsi="仿宋" w:eastAsia="仿宋" w:cs="仿宋"/>
          <w:b/>
          <w:color w:val="auto"/>
          <w:sz w:val="24"/>
          <w:highlight w:val="none"/>
        </w:rPr>
        <w:t>在1个工作日</w:t>
      </w:r>
      <w:r>
        <w:rPr>
          <w:rFonts w:hint="eastAsia" w:ascii="仿宋" w:hAnsi="仿宋" w:eastAsia="仿宋" w:cs="仿宋"/>
          <w:color w:val="auto"/>
          <w:sz w:val="24"/>
          <w:highlight w:val="none"/>
        </w:rPr>
        <w:t>内向采购代理机构书面提出，否则，由此引起的损失由供应商自己承担。供应商同时应认真审阅竞争性磋商文件中所有的事项、格式、条款和规范要求（包括补充内容）等所有内容，若供应商的响应文件没有按磋商文件要求提交全部资料，或响应文件没有对磋商文件做出实质性响应，其风险由供应商自行承担，并根据有关条款规定，该响应文件有可能被拒绝。</w:t>
      </w:r>
    </w:p>
    <w:p>
      <w:pPr>
        <w:spacing w:line="560" w:lineRule="exact"/>
        <w:rPr>
          <w:rFonts w:ascii="仿宋" w:hAnsi="仿宋" w:eastAsia="仿宋" w:cs="仿宋"/>
          <w:color w:val="auto"/>
          <w:sz w:val="24"/>
          <w:highlight w:val="none"/>
        </w:rPr>
      </w:pPr>
      <w:r>
        <w:rPr>
          <w:rFonts w:hint="eastAsia" w:ascii="仿宋" w:hAnsi="仿宋" w:eastAsia="仿宋" w:cs="仿宋"/>
          <w:bCs/>
          <w:color w:val="auto"/>
          <w:sz w:val="24"/>
          <w:highlight w:val="none"/>
        </w:rPr>
        <w:t>5.</w:t>
      </w:r>
      <w:r>
        <w:rPr>
          <w:rFonts w:hint="eastAsia" w:ascii="仿宋" w:hAnsi="仿宋" w:eastAsia="仿宋" w:cs="仿宋"/>
          <w:color w:val="auto"/>
          <w:sz w:val="24"/>
          <w:highlight w:val="none"/>
        </w:rPr>
        <w:t>磋商文件的答疑</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5.1供应商如认为磋商文件表述不清晰、存在歧视性或者其他违法内容的，应当在202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rPr>
        <w:t>日</w:t>
      </w:r>
      <w:r>
        <w:rPr>
          <w:rFonts w:hint="eastAsia" w:ascii="仿宋" w:hAnsi="仿宋" w:eastAsia="仿宋" w:cs="仿宋"/>
          <w:color w:val="auto"/>
          <w:sz w:val="24"/>
          <w:highlight w:val="none"/>
          <w:lang w:val="en-US" w:eastAsia="zh-CN"/>
        </w:rPr>
        <w:t>17</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rPr>
        <w:t>0分前以书面（含传真）形式向采购代理机构一次性提出，采购人将在规定的时间内统一进行澄清和修改，并书面（含传真）通知所有认购磋商文件的供应商。供应商未按规定要求提出的，则视同认可磋商文件，但法律法规及规范性文件有明确规定的除外；</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5.2答疑内容是磋商文件的组成部分，并将在网上发布补充（答疑、澄清）文件，潜在供应商应自行关注网站公告，采购人不再一一通知，供应商因自身贻误行为导致磋商失效的，责任自负。</w:t>
      </w:r>
    </w:p>
    <w:p>
      <w:pPr>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6.磋商文件的澄清、修改</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color w:val="auto"/>
          <w:sz w:val="24"/>
          <w:highlight w:val="none"/>
        </w:rPr>
        <w:t>6.1</w:t>
      </w:r>
      <w:r>
        <w:rPr>
          <w:rFonts w:hint="eastAsia" w:ascii="仿宋" w:hAnsi="仿宋" w:eastAsia="仿宋" w:cs="仿宋"/>
          <w:bCs/>
          <w:color w:val="auto"/>
          <w:sz w:val="24"/>
          <w:highlight w:val="none"/>
        </w:rPr>
        <w:t>在磋商截止时间前，采购人及采购代理机构无论出于自己的考虑，还是出于对供应商提问的澄清，均可对磋商文件用补充文件的方式进行修改</w:t>
      </w:r>
      <w:r>
        <w:rPr>
          <w:rFonts w:hint="eastAsia" w:ascii="仿宋" w:hAnsi="仿宋" w:eastAsia="仿宋" w:cs="仿宋"/>
          <w:color w:val="auto"/>
          <w:sz w:val="24"/>
          <w:highlight w:val="none"/>
        </w:rPr>
        <w:t>；</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color w:val="auto"/>
          <w:sz w:val="24"/>
          <w:highlight w:val="none"/>
        </w:rPr>
        <w:t>6.2</w:t>
      </w:r>
      <w:r>
        <w:rPr>
          <w:rFonts w:hint="eastAsia" w:ascii="仿宋" w:hAnsi="仿宋" w:eastAsia="仿宋" w:cs="仿宋"/>
          <w:bCs/>
          <w:color w:val="auto"/>
          <w:sz w:val="24"/>
          <w:highlight w:val="none"/>
        </w:rPr>
        <w:t>对磋商文件的修改，将以书面、或传真的形式通知已购买同一磋商文件的每一供应商。补充文件将作为磋商文件的组成部分，对所有供应商有约束力。供应商在收到该补充文件后，应以书面方式予以确认</w:t>
      </w:r>
      <w:r>
        <w:rPr>
          <w:rFonts w:hint="eastAsia" w:ascii="仿宋" w:hAnsi="仿宋" w:eastAsia="仿宋" w:cs="仿宋"/>
          <w:color w:val="auto"/>
          <w:sz w:val="24"/>
          <w:highlight w:val="none"/>
        </w:rPr>
        <w:t>。</w:t>
      </w:r>
    </w:p>
    <w:p>
      <w:pPr>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7.供应商应当按照磋商文件的要求编制响应文件。响应文件应对磋商文件提出的要求和条件作出实质性响应（如对服务期限、售后服务、合同主要条款及其它要求等内容作出满足或者优于磋商文件要求和条件的承诺）。</w:t>
      </w:r>
    </w:p>
    <w:p>
      <w:pPr>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8.响应文件的签署</w:t>
      </w:r>
    </w:p>
    <w:p>
      <w:pPr>
        <w:spacing w:line="56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8.1响应文件的形式与效力：</w:t>
      </w:r>
    </w:p>
    <w:p>
      <w:pPr>
        <w:tabs>
          <w:tab w:val="left" w:pos="3870"/>
          <w:tab w:val="left" w:pos="4085"/>
        </w:tabs>
        <w:snapToGrid w:val="0"/>
        <w:spacing w:line="560" w:lineRule="exact"/>
        <w:ind w:firstLine="240" w:firstLineChars="100"/>
        <w:jc w:val="left"/>
        <w:rPr>
          <w:rFonts w:ascii="仿宋" w:hAnsi="仿宋" w:eastAsia="仿宋" w:cs="仿宋"/>
          <w:color w:val="auto"/>
          <w:sz w:val="24"/>
          <w:highlight w:val="none"/>
        </w:rPr>
      </w:pPr>
      <w:r>
        <w:rPr>
          <w:rFonts w:hint="eastAsia" w:ascii="仿宋" w:hAnsi="仿宋" w:eastAsia="仿宋" w:cs="仿宋"/>
          <w:color w:val="auto"/>
          <w:sz w:val="24"/>
          <w:highlight w:val="none"/>
        </w:rPr>
        <w:t>（一）响应文件分为电子响应文件及数据电子备份响应文件（U盘），具体内容如下：</w:t>
      </w:r>
    </w:p>
    <w:p>
      <w:pPr>
        <w:tabs>
          <w:tab w:val="left" w:pos="3870"/>
          <w:tab w:val="left" w:pos="4085"/>
        </w:tabs>
        <w:snapToGrid w:val="0"/>
        <w:spacing w:line="5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（1）电子响应文件：按政采云平台项目采购-电子交易操作指南及本磋商文件要求制作、加密并递交，供应商电子交易操作指南详见网址：https://zfcg.czt.zj.gov.cn/）。</w:t>
      </w:r>
    </w:p>
    <w:p>
      <w:pPr>
        <w:tabs>
          <w:tab w:val="left" w:pos="3870"/>
          <w:tab w:val="left" w:pos="4085"/>
        </w:tabs>
        <w:snapToGrid w:val="0"/>
        <w:spacing w:line="5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数据电子备份响应文件（U盘）：以U盘形式提供的数据电子备份响应文件格式及内容须与政采云平台项目采购-电子交易操作指南中制作、加密并递交的电子响应文件格式及内容一致。数据电子备份响应文件应加密，允许制作成一个U盘，但须密封、包装，不按此规定密封、包装的数据电子备份响应文件（U盘）均按未提供处理</w:t>
      </w:r>
    </w:p>
    <w:p>
      <w:pPr>
        <w:tabs>
          <w:tab w:val="left" w:pos="3870"/>
          <w:tab w:val="left" w:pos="4085"/>
        </w:tabs>
        <w:snapToGrid w:val="0"/>
        <w:spacing w:line="56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（二）响应文件的效力：</w:t>
      </w:r>
    </w:p>
    <w:p>
      <w:pPr>
        <w:tabs>
          <w:tab w:val="left" w:pos="3870"/>
          <w:tab w:val="left" w:pos="4085"/>
        </w:tabs>
        <w:snapToGrid w:val="0"/>
        <w:spacing w:line="56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响应文件的启用：按先后顺位分别为电子响应文件、数据电子备份响应文件（U盘）。整个磋商过程中若因供应商问题造成电子响应文件无法正常解密的，均认定为未提交电子响应文件，作无效标处理。若因网络或者其他非供应商问题造成电子响应文件无法正常解密的，启用数据电子备份响应文件（U盘），因供应商自身原因造成数据电子备份响应文件（U盘）无法打开的，作无效标处理。若正常解密成功，则数据电子备份响应文件（U盘）不予开启。在下一顺位的响应文件启用时，前一顺位的响应文件自动失效。</w:t>
      </w:r>
    </w:p>
    <w:p>
      <w:pPr>
        <w:tabs>
          <w:tab w:val="left" w:pos="3870"/>
          <w:tab w:val="left" w:pos="4085"/>
        </w:tabs>
        <w:snapToGrid w:val="0"/>
        <w:spacing w:line="56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8.2响应文件的组成（如无格式、格式自拟）</w:t>
      </w:r>
    </w:p>
    <w:p>
      <w:pPr>
        <w:tabs>
          <w:tab w:val="left" w:pos="3870"/>
          <w:tab w:val="left" w:pos="4085"/>
        </w:tabs>
        <w:snapToGrid w:val="0"/>
        <w:spacing w:line="5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响应文件（包括电子响应文件及数据电子备份响应文件（U盘））由</w:t>
      </w:r>
      <w:bookmarkStart w:id="8" w:name="_Hlk69030389"/>
      <w:r>
        <w:rPr>
          <w:rFonts w:hint="eastAsia" w:ascii="仿宋" w:hAnsi="仿宋" w:eastAsia="仿宋" w:cs="仿宋"/>
          <w:color w:val="auto"/>
          <w:sz w:val="24"/>
          <w:highlight w:val="none"/>
        </w:rPr>
        <w:t>《技术、商务、资信及其他文件》</w:t>
      </w:r>
      <w:bookmarkEnd w:id="8"/>
      <w:r>
        <w:rPr>
          <w:rFonts w:hint="eastAsia" w:ascii="仿宋" w:hAnsi="仿宋" w:eastAsia="仿宋" w:cs="仿宋"/>
          <w:color w:val="auto"/>
          <w:sz w:val="24"/>
          <w:highlight w:val="none"/>
        </w:rPr>
        <w:t>和《首次报价文件》两部分组成，其中电子响应文件中所须加盖公章部分均采用CA签章。</w:t>
      </w:r>
    </w:p>
    <w:p>
      <w:pPr>
        <w:tabs>
          <w:tab w:val="left" w:pos="3870"/>
          <w:tab w:val="left" w:pos="4085"/>
        </w:tabs>
        <w:snapToGrid w:val="0"/>
        <w:spacing w:line="560" w:lineRule="exact"/>
        <w:jc w:val="left"/>
        <w:rPr>
          <w:rFonts w:ascii="仿宋" w:hAnsi="仿宋" w:eastAsia="仿宋" w:cs="仿宋"/>
          <w:b/>
          <w:bCs/>
          <w:color w:val="auto"/>
          <w:sz w:val="24"/>
          <w:highlight w:val="none"/>
        </w:rPr>
      </w:pPr>
      <w:bookmarkStart w:id="9" w:name="_Hlk69030881"/>
      <w:r>
        <w:rPr>
          <w:rFonts w:hint="eastAsia" w:ascii="仿宋" w:hAnsi="仿宋" w:eastAsia="仿宋" w:cs="仿宋"/>
          <w:b/>
          <w:bCs/>
          <w:color w:val="auto"/>
          <w:sz w:val="24"/>
          <w:highlight w:val="none"/>
        </w:rPr>
        <w:t>（一）《技术、商务、资信及其他文件</w:t>
      </w:r>
      <w:bookmarkEnd w:id="9"/>
      <w:r>
        <w:rPr>
          <w:rFonts w:hint="eastAsia" w:ascii="仿宋" w:hAnsi="仿宋" w:eastAsia="仿宋" w:cs="仿宋"/>
          <w:b/>
          <w:bCs/>
          <w:color w:val="auto"/>
          <w:sz w:val="24"/>
          <w:highlight w:val="none"/>
        </w:rPr>
        <w:t>》</w:t>
      </w:r>
    </w:p>
    <w:p>
      <w:pPr>
        <w:tabs>
          <w:tab w:val="left" w:pos="3870"/>
          <w:tab w:val="left" w:pos="4085"/>
        </w:tabs>
        <w:snapToGrid w:val="0"/>
        <w:spacing w:line="56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（1）供应商自评分索引表</w:t>
      </w:r>
      <w:r>
        <w:rPr>
          <w:rFonts w:hint="eastAsia" w:ascii="仿宋" w:hAnsi="仿宋" w:eastAsia="仿宋" w:cs="仿宋"/>
          <w:color w:val="auto"/>
          <w:sz w:val="24"/>
          <w:highlight w:val="none"/>
          <w:lang w:eastAsia="zh-CN"/>
        </w:rPr>
        <w:t>（格式见第五章）；</w:t>
      </w:r>
    </w:p>
    <w:p>
      <w:pPr>
        <w:tabs>
          <w:tab w:val="left" w:pos="3870"/>
          <w:tab w:val="left" w:pos="4085"/>
        </w:tabs>
        <w:snapToGrid w:val="0"/>
        <w:spacing w:line="560" w:lineRule="exact"/>
        <w:jc w:val="left"/>
        <w:rPr>
          <w:rFonts w:ascii="仿宋" w:hAnsi="仿宋" w:eastAsia="仿宋" w:cs="仿宋"/>
          <w:color w:val="auto"/>
          <w:sz w:val="24"/>
          <w:highlight w:val="none"/>
        </w:rPr>
      </w:pPr>
      <w:r>
        <w:rPr>
          <w:rFonts w:hint="eastAsia" w:ascii="仿宋" w:hAnsi="仿宋" w:eastAsia="仿宋" w:cs="仿宋"/>
          <w:b/>
          <w:color w:val="auto"/>
          <w:sz w:val="24"/>
          <w:highlight w:val="none"/>
        </w:rPr>
        <w:t>（2）技术部分：</w:t>
      </w:r>
    </w:p>
    <w:p>
      <w:pPr>
        <w:tabs>
          <w:tab w:val="left" w:pos="3870"/>
          <w:tab w:val="left" w:pos="4085"/>
        </w:tabs>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①</w:t>
      </w:r>
      <w:r>
        <w:rPr>
          <w:rFonts w:hint="eastAsia" w:ascii="仿宋" w:hAnsi="仿宋" w:eastAsia="仿宋" w:cs="仿宋"/>
          <w:color w:val="auto"/>
          <w:sz w:val="24"/>
          <w:highlight w:val="none"/>
        </w:rPr>
        <w:t>项目</w:t>
      </w:r>
      <w:r>
        <w:rPr>
          <w:rFonts w:hint="eastAsia" w:ascii="仿宋" w:hAnsi="仿宋" w:eastAsia="仿宋" w:cs="仿宋"/>
          <w:color w:val="auto"/>
          <w:sz w:val="24"/>
          <w:highlight w:val="none"/>
          <w:lang w:eastAsia="zh-CN"/>
        </w:rPr>
        <w:t>服务方案</w:t>
      </w:r>
      <w:r>
        <w:rPr>
          <w:rFonts w:hint="eastAsia" w:ascii="仿宋" w:hAnsi="仿宋" w:eastAsia="仿宋" w:cs="仿宋"/>
          <w:color w:val="auto"/>
          <w:sz w:val="24"/>
          <w:highlight w:val="none"/>
        </w:rPr>
        <w:t>；</w:t>
      </w:r>
    </w:p>
    <w:p>
      <w:pPr>
        <w:tabs>
          <w:tab w:val="left" w:pos="3870"/>
          <w:tab w:val="left" w:pos="4085"/>
        </w:tabs>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②</w:t>
      </w:r>
      <w:r>
        <w:rPr>
          <w:rFonts w:hint="eastAsia" w:ascii="仿宋" w:hAnsi="仿宋" w:eastAsia="仿宋" w:cs="仿宋"/>
          <w:color w:val="auto"/>
          <w:sz w:val="24"/>
          <w:highlight w:val="none"/>
          <w:lang w:eastAsia="zh-CN"/>
        </w:rPr>
        <w:t>技术方案与措施</w:t>
      </w:r>
      <w:r>
        <w:rPr>
          <w:rFonts w:hint="eastAsia" w:ascii="仿宋" w:hAnsi="仿宋" w:eastAsia="仿宋" w:cs="仿宋"/>
          <w:color w:val="auto"/>
          <w:sz w:val="24"/>
          <w:highlight w:val="none"/>
        </w:rPr>
        <w:t>；</w:t>
      </w:r>
    </w:p>
    <w:p>
      <w:pPr>
        <w:tabs>
          <w:tab w:val="left" w:pos="3870"/>
          <w:tab w:val="left" w:pos="4085"/>
        </w:tabs>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③</w:t>
      </w:r>
      <w:r>
        <w:rPr>
          <w:rFonts w:hint="eastAsia" w:ascii="仿宋" w:hAnsi="仿宋" w:eastAsia="仿宋" w:cs="仿宋"/>
          <w:color w:val="auto"/>
          <w:sz w:val="24"/>
          <w:highlight w:val="none"/>
          <w:lang w:eastAsia="zh-CN"/>
        </w:rPr>
        <w:t>人员投入（</w:t>
      </w:r>
      <w:r>
        <w:rPr>
          <w:rFonts w:hint="eastAsia" w:ascii="仿宋" w:hAnsi="仿宋" w:eastAsia="仿宋" w:cs="仿宋"/>
          <w:color w:val="auto"/>
          <w:sz w:val="24"/>
          <w:highlight w:val="none"/>
          <w:lang w:val="en-US" w:eastAsia="zh-CN"/>
        </w:rPr>
        <w:t>填写《</w:t>
      </w:r>
      <w:r>
        <w:rPr>
          <w:rFonts w:hint="eastAsia" w:ascii="仿宋" w:hAnsi="仿宋" w:eastAsia="仿宋" w:cs="仿宋"/>
          <w:color w:val="auto"/>
          <w:sz w:val="24"/>
          <w:highlight w:val="none"/>
        </w:rPr>
        <w:t>项目实施人员配备表</w:t>
      </w:r>
      <w:r>
        <w:rPr>
          <w:rFonts w:hint="eastAsia" w:ascii="仿宋" w:hAnsi="仿宋" w:eastAsia="仿宋" w:cs="仿宋"/>
          <w:color w:val="auto"/>
          <w:sz w:val="24"/>
          <w:highlight w:val="none"/>
          <w:lang w:eastAsia="zh-CN"/>
        </w:rPr>
        <w:t>》，格式见第五章）</w:t>
      </w:r>
      <w:r>
        <w:rPr>
          <w:rFonts w:hint="eastAsia" w:ascii="仿宋" w:hAnsi="仿宋" w:eastAsia="仿宋" w:cs="仿宋"/>
          <w:color w:val="auto"/>
          <w:sz w:val="24"/>
          <w:highlight w:val="none"/>
        </w:rPr>
        <w:t>；</w:t>
      </w:r>
    </w:p>
    <w:p>
      <w:pPr>
        <w:tabs>
          <w:tab w:val="left" w:pos="3870"/>
          <w:tab w:val="left" w:pos="4085"/>
        </w:tabs>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④</w:t>
      </w:r>
      <w:r>
        <w:rPr>
          <w:rFonts w:hint="eastAsia" w:ascii="仿宋" w:hAnsi="仿宋" w:eastAsia="仿宋" w:cs="仿宋"/>
          <w:color w:val="auto"/>
          <w:sz w:val="24"/>
          <w:highlight w:val="none"/>
          <w:lang w:eastAsia="zh-CN"/>
        </w:rPr>
        <w:t>设备投入</w:t>
      </w:r>
      <w:r>
        <w:rPr>
          <w:rFonts w:hint="eastAsia" w:ascii="仿宋" w:hAnsi="仿宋" w:eastAsia="仿宋" w:cs="仿宋"/>
          <w:color w:val="auto"/>
          <w:sz w:val="24"/>
          <w:highlight w:val="none"/>
        </w:rPr>
        <w:t>；</w:t>
      </w:r>
    </w:p>
    <w:p>
      <w:pPr>
        <w:tabs>
          <w:tab w:val="left" w:pos="3870"/>
          <w:tab w:val="left" w:pos="4085"/>
        </w:tabs>
        <w:snapToGrid w:val="0"/>
        <w:spacing w:line="560" w:lineRule="exact"/>
        <w:jc w:val="left"/>
        <w:rPr>
          <w:rFonts w:ascii="仿宋" w:hAnsi="仿宋" w:eastAsia="仿宋" w:cs="仿宋"/>
          <w:color w:val="auto"/>
          <w:sz w:val="24"/>
          <w:highlight w:val="none"/>
        </w:rPr>
      </w:pPr>
      <w:r>
        <w:rPr>
          <w:rFonts w:hint="eastAsia" w:ascii="仿宋" w:hAnsi="仿宋" w:eastAsia="仿宋" w:cs="仿宋"/>
          <w:b/>
          <w:color w:val="auto"/>
          <w:sz w:val="24"/>
          <w:highlight w:val="none"/>
        </w:rPr>
        <w:t>（3）商务部分：</w:t>
      </w:r>
    </w:p>
    <w:p>
      <w:pPr>
        <w:tabs>
          <w:tab w:val="left" w:pos="3870"/>
          <w:tab w:val="left" w:pos="4085"/>
        </w:tabs>
        <w:snapToGrid w:val="0"/>
        <w:spacing w:line="5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①</w:t>
      </w:r>
      <w:r>
        <w:rPr>
          <w:rFonts w:hint="eastAsia" w:ascii="仿宋" w:hAnsi="仿宋" w:eastAsia="仿宋" w:cs="仿宋"/>
          <w:color w:val="auto"/>
          <w:sz w:val="24"/>
          <w:highlight w:val="none"/>
        </w:rPr>
        <w:t>商务响应表</w:t>
      </w:r>
      <w:r>
        <w:rPr>
          <w:rFonts w:hint="eastAsia" w:ascii="仿宋" w:hAnsi="仿宋" w:eastAsia="仿宋" w:cs="仿宋"/>
          <w:color w:val="auto"/>
          <w:sz w:val="24"/>
          <w:highlight w:val="none"/>
          <w:lang w:eastAsia="zh-CN"/>
        </w:rPr>
        <w:t>（格式见第五章）</w:t>
      </w:r>
      <w:r>
        <w:rPr>
          <w:rFonts w:hint="eastAsia" w:ascii="仿宋" w:hAnsi="仿宋" w:eastAsia="仿宋" w:cs="仿宋"/>
          <w:color w:val="auto"/>
          <w:sz w:val="24"/>
          <w:highlight w:val="none"/>
        </w:rPr>
        <w:t>；</w:t>
      </w:r>
    </w:p>
    <w:p>
      <w:pPr>
        <w:tabs>
          <w:tab w:val="left" w:pos="3870"/>
          <w:tab w:val="left" w:pos="4085"/>
        </w:tabs>
        <w:snapToGrid w:val="0"/>
        <w:spacing w:line="5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②</w:t>
      </w:r>
      <w:r>
        <w:rPr>
          <w:rFonts w:hint="eastAsia" w:ascii="仿宋" w:hAnsi="仿宋" w:eastAsia="仿宋" w:cs="仿宋"/>
          <w:color w:val="auto"/>
          <w:sz w:val="24"/>
          <w:highlight w:val="none"/>
        </w:rPr>
        <w:t>服务承诺和服务保障；</w:t>
      </w:r>
    </w:p>
    <w:p>
      <w:pPr>
        <w:tabs>
          <w:tab w:val="left" w:pos="3870"/>
          <w:tab w:val="left" w:pos="4085"/>
        </w:tabs>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③</w:t>
      </w:r>
      <w:r>
        <w:rPr>
          <w:rFonts w:hint="eastAsia" w:ascii="仿宋" w:hAnsi="仿宋" w:eastAsia="仿宋" w:cs="仿宋"/>
          <w:color w:val="auto"/>
          <w:sz w:val="24"/>
          <w:highlight w:val="none"/>
        </w:rPr>
        <w:t>优惠承诺和特色服务情况；</w:t>
      </w:r>
    </w:p>
    <w:p>
      <w:pPr>
        <w:snapToGrid w:val="0"/>
        <w:spacing w:line="560" w:lineRule="exact"/>
        <w:ind w:firstLine="470" w:firstLineChars="19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④</w:t>
      </w:r>
      <w:r>
        <w:rPr>
          <w:rFonts w:hint="eastAsia" w:ascii="仿宋" w:hAnsi="仿宋" w:eastAsia="仿宋" w:cs="仿宋"/>
          <w:color w:val="auto"/>
          <w:sz w:val="24"/>
          <w:highlight w:val="none"/>
        </w:rPr>
        <w:t>企业</w:t>
      </w:r>
      <w:r>
        <w:rPr>
          <w:rFonts w:hint="eastAsia" w:ascii="仿宋" w:hAnsi="仿宋" w:eastAsia="仿宋" w:cs="仿宋"/>
          <w:color w:val="auto"/>
          <w:sz w:val="24"/>
          <w:highlight w:val="none"/>
          <w:lang w:eastAsia="zh-CN"/>
        </w:rPr>
        <w:t>业绩（格式见第五章）</w:t>
      </w:r>
      <w:r>
        <w:rPr>
          <w:rFonts w:hint="eastAsia" w:ascii="仿宋" w:hAnsi="仿宋" w:eastAsia="仿宋" w:cs="仿宋"/>
          <w:color w:val="auto"/>
          <w:sz w:val="24"/>
          <w:highlight w:val="none"/>
        </w:rPr>
        <w:t>；</w:t>
      </w:r>
    </w:p>
    <w:p>
      <w:pPr>
        <w:spacing w:line="5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⑤企业荣誉；</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⑥企业认证；</w:t>
      </w:r>
    </w:p>
    <w:p>
      <w:pPr>
        <w:spacing w:line="56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（4）资信及其他部分：</w:t>
      </w:r>
    </w:p>
    <w:p>
      <w:pPr>
        <w:snapToGrid w:val="0"/>
        <w:spacing w:line="560" w:lineRule="exact"/>
        <w:ind w:firstLine="470" w:firstLineChars="196"/>
        <w:jc w:val="left"/>
        <w:rPr>
          <w:rFonts w:ascii="仿宋" w:hAnsi="仿宋" w:eastAsia="仿宋" w:cs="仿宋"/>
          <w:b/>
          <w:color w:val="auto"/>
          <w:sz w:val="24"/>
          <w:highlight w:val="none"/>
        </w:rPr>
      </w:pPr>
      <w:r>
        <w:rPr>
          <w:rFonts w:hint="eastAsia" w:ascii="仿宋" w:hAnsi="仿宋" w:eastAsia="仿宋" w:cs="仿宋"/>
          <w:color w:val="auto"/>
          <w:sz w:val="24"/>
          <w:highlight w:val="none"/>
          <w:lang w:val="en-US" w:eastAsia="zh-CN"/>
        </w:rPr>
        <w:t>①</w:t>
      </w:r>
      <w:r>
        <w:rPr>
          <w:rFonts w:hint="eastAsia" w:ascii="仿宋" w:hAnsi="仿宋" w:eastAsia="仿宋" w:cs="仿宋"/>
          <w:color w:val="auto"/>
          <w:sz w:val="24"/>
          <w:highlight w:val="none"/>
        </w:rPr>
        <w:t>有效的营业执照、税务登记证、组织机构代码证或“三证合一”的营业执照或“五证合一”的营业执照；</w:t>
      </w:r>
      <w:r>
        <w:rPr>
          <w:rFonts w:hint="eastAsia" w:ascii="仿宋" w:hAnsi="仿宋" w:eastAsia="仿宋" w:cs="仿宋"/>
          <w:b/>
          <w:color w:val="auto"/>
          <w:sz w:val="24"/>
          <w:highlight w:val="none"/>
        </w:rPr>
        <w:t>（资格审查条款）</w:t>
      </w:r>
    </w:p>
    <w:p>
      <w:pPr>
        <w:snapToGrid w:val="0"/>
        <w:spacing w:line="560" w:lineRule="exact"/>
        <w:ind w:firstLine="470" w:firstLineChars="196"/>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②</w:t>
      </w:r>
      <w:r>
        <w:rPr>
          <w:rFonts w:hint="eastAsia" w:ascii="仿宋" w:hAnsi="仿宋" w:eastAsia="仿宋" w:cs="仿宋"/>
          <w:color w:val="auto"/>
          <w:sz w:val="24"/>
          <w:highlight w:val="none"/>
        </w:rPr>
        <w:t>法定代表人有效身份证明书及身份证（法定代表人参加磋商提供）或法定代表人授权书及</w:t>
      </w:r>
      <w:r>
        <w:rPr>
          <w:rFonts w:hint="eastAsia" w:ascii="仿宋" w:hAnsi="仿宋" w:eastAsia="仿宋" w:cs="仿宋"/>
          <w:color w:val="auto"/>
          <w:sz w:val="24"/>
          <w:highlight w:val="none"/>
          <w:lang w:eastAsia="zh-CN"/>
        </w:rPr>
        <w:t>授权委托人</w:t>
      </w:r>
      <w:r>
        <w:rPr>
          <w:rFonts w:hint="eastAsia" w:ascii="仿宋" w:hAnsi="仿宋" w:eastAsia="仿宋" w:cs="仿宋"/>
          <w:color w:val="auto"/>
          <w:sz w:val="24"/>
          <w:highlight w:val="none"/>
        </w:rPr>
        <w:t>身份证、</w:t>
      </w:r>
      <w:r>
        <w:rPr>
          <w:rFonts w:hint="eastAsia" w:ascii="仿宋" w:hAnsi="仿宋" w:eastAsia="仿宋" w:cs="仿宋"/>
          <w:color w:val="auto"/>
          <w:sz w:val="24"/>
          <w:highlight w:val="none"/>
          <w:lang w:eastAsia="zh-CN"/>
        </w:rPr>
        <w:t>授权委托人</w:t>
      </w:r>
      <w:r>
        <w:rPr>
          <w:rFonts w:hint="eastAsia" w:ascii="仿宋" w:hAnsi="仿宋" w:eastAsia="仿宋" w:cs="仿宋"/>
          <w:color w:val="auto"/>
          <w:sz w:val="24"/>
          <w:highlight w:val="none"/>
        </w:rPr>
        <w:t>最近1个月个人社保缴纳证明文件（法定代表人授权委托人参加磋商提供）；</w:t>
      </w:r>
      <w:r>
        <w:rPr>
          <w:rFonts w:hint="eastAsia" w:ascii="仿宋" w:hAnsi="仿宋" w:eastAsia="仿宋" w:cs="仿宋"/>
          <w:b/>
          <w:bCs w:val="0"/>
          <w:color w:val="auto"/>
          <w:sz w:val="24"/>
          <w:highlight w:val="none"/>
        </w:rPr>
        <w:t>（</w:t>
      </w:r>
      <w:r>
        <w:rPr>
          <w:rFonts w:hint="eastAsia" w:ascii="仿宋" w:hAnsi="仿宋" w:eastAsia="仿宋" w:cs="仿宋"/>
          <w:b/>
          <w:bCs w:val="0"/>
          <w:color w:val="auto"/>
          <w:sz w:val="24"/>
          <w:highlight w:val="none"/>
          <w:lang w:eastAsia="zh-CN"/>
        </w:rPr>
        <w:t>格式见第五章，</w:t>
      </w:r>
      <w:r>
        <w:rPr>
          <w:rFonts w:hint="eastAsia" w:ascii="仿宋" w:hAnsi="仿宋" w:eastAsia="仿宋" w:cs="仿宋"/>
          <w:b/>
          <w:bCs w:val="0"/>
          <w:color w:val="auto"/>
          <w:sz w:val="24"/>
          <w:highlight w:val="none"/>
        </w:rPr>
        <w:t>资格审查条款）</w:t>
      </w:r>
    </w:p>
    <w:p>
      <w:pPr>
        <w:keepNext w:val="0"/>
        <w:keepLines w:val="0"/>
        <w:pageBreakBefore w:val="0"/>
        <w:widowControl w:val="0"/>
        <w:kinsoku/>
        <w:wordWrap/>
        <w:overflowPunct/>
        <w:topLinePunct w:val="0"/>
        <w:bidi w:val="0"/>
        <w:adjustRightInd/>
        <w:snapToGrid w:val="0"/>
        <w:spacing w:line="5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③</w:t>
      </w:r>
      <w:r>
        <w:rPr>
          <w:rFonts w:hint="eastAsia" w:ascii="仿宋" w:hAnsi="仿宋" w:eastAsia="仿宋" w:cs="仿宋"/>
          <w:color w:val="auto"/>
          <w:kern w:val="0"/>
          <w:sz w:val="24"/>
          <w:highlight w:val="none"/>
        </w:rPr>
        <w:t>承诺书</w:t>
      </w:r>
      <w:r>
        <w:rPr>
          <w:rFonts w:hint="eastAsia" w:ascii="仿宋" w:hAnsi="仿宋" w:eastAsia="仿宋" w:cs="仿宋"/>
          <w:color w:val="auto"/>
          <w:sz w:val="24"/>
          <w:highlight w:val="none"/>
        </w:rPr>
        <w:t>；</w:t>
      </w:r>
      <w:r>
        <w:rPr>
          <w:rFonts w:hint="eastAsia" w:ascii="仿宋" w:hAnsi="仿宋" w:eastAsia="仿宋" w:cs="仿宋"/>
          <w:b/>
          <w:bCs w:val="0"/>
          <w:color w:val="auto"/>
          <w:sz w:val="24"/>
          <w:highlight w:val="none"/>
        </w:rPr>
        <w:t>（</w:t>
      </w:r>
      <w:r>
        <w:rPr>
          <w:rFonts w:hint="eastAsia" w:ascii="仿宋" w:hAnsi="仿宋" w:eastAsia="仿宋" w:cs="仿宋"/>
          <w:b/>
          <w:bCs w:val="0"/>
          <w:color w:val="auto"/>
          <w:sz w:val="24"/>
          <w:highlight w:val="none"/>
          <w:lang w:eastAsia="zh-CN"/>
        </w:rPr>
        <w:t>格式见第五章，</w:t>
      </w:r>
      <w:r>
        <w:rPr>
          <w:rFonts w:hint="eastAsia" w:ascii="仿宋" w:hAnsi="仿宋" w:eastAsia="仿宋" w:cs="仿宋"/>
          <w:b/>
          <w:bCs w:val="0"/>
          <w:color w:val="auto"/>
          <w:sz w:val="24"/>
          <w:highlight w:val="none"/>
        </w:rPr>
        <w:t>资格审查条款）</w:t>
      </w:r>
    </w:p>
    <w:p>
      <w:pPr>
        <w:snapToGrid w:val="0"/>
        <w:spacing w:line="560" w:lineRule="exact"/>
        <w:ind w:firstLine="470" w:firstLineChars="196"/>
        <w:jc w:val="left"/>
        <w:rPr>
          <w:rFonts w:hint="eastAsia" w:ascii="仿宋" w:hAnsi="仿宋" w:eastAsia="仿宋" w:cs="仿宋"/>
          <w:b/>
          <w:bCs w:val="0"/>
          <w:color w:val="auto"/>
          <w:sz w:val="24"/>
          <w:highlight w:val="none"/>
        </w:rPr>
      </w:pPr>
      <w:r>
        <w:rPr>
          <w:rFonts w:hint="eastAsia" w:ascii="仿宋" w:hAnsi="仿宋" w:eastAsia="仿宋" w:cs="仿宋"/>
          <w:color w:val="auto"/>
          <w:sz w:val="24"/>
          <w:highlight w:val="none"/>
          <w:lang w:val="en-US" w:eastAsia="zh-CN"/>
        </w:rPr>
        <w:t>④</w:t>
      </w:r>
      <w:r>
        <w:rPr>
          <w:rFonts w:hint="eastAsia" w:ascii="仿宋" w:hAnsi="仿宋" w:eastAsia="仿宋" w:cs="仿宋"/>
          <w:color w:val="auto"/>
          <w:sz w:val="24"/>
          <w:highlight w:val="none"/>
        </w:rPr>
        <w:t>信用承诺书；</w:t>
      </w:r>
      <w:r>
        <w:rPr>
          <w:rFonts w:hint="eastAsia" w:ascii="仿宋" w:hAnsi="仿宋" w:eastAsia="仿宋" w:cs="仿宋"/>
          <w:b/>
          <w:bCs w:val="0"/>
          <w:color w:val="auto"/>
          <w:sz w:val="24"/>
          <w:highlight w:val="none"/>
        </w:rPr>
        <w:t>（</w:t>
      </w:r>
      <w:r>
        <w:rPr>
          <w:rFonts w:hint="eastAsia" w:ascii="仿宋" w:hAnsi="仿宋" w:eastAsia="仿宋" w:cs="仿宋"/>
          <w:b/>
          <w:bCs w:val="0"/>
          <w:color w:val="auto"/>
          <w:sz w:val="24"/>
          <w:highlight w:val="none"/>
          <w:lang w:eastAsia="zh-CN"/>
        </w:rPr>
        <w:t>格式见第五章，</w:t>
      </w:r>
      <w:r>
        <w:rPr>
          <w:rFonts w:hint="eastAsia" w:ascii="仿宋" w:hAnsi="仿宋" w:eastAsia="仿宋" w:cs="仿宋"/>
          <w:b/>
          <w:bCs w:val="0"/>
          <w:color w:val="auto"/>
          <w:sz w:val="24"/>
          <w:highlight w:val="none"/>
        </w:rPr>
        <w:t>资格审查条款）</w:t>
      </w:r>
    </w:p>
    <w:p>
      <w:pPr>
        <w:snapToGrid w:val="0"/>
        <w:spacing w:line="560" w:lineRule="exact"/>
        <w:ind w:firstLine="470" w:firstLineChars="196"/>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⑤</w:t>
      </w:r>
      <w:r>
        <w:rPr>
          <w:rFonts w:hint="eastAsia" w:ascii="仿宋" w:hAnsi="仿宋" w:eastAsia="仿宋" w:cs="仿宋"/>
          <w:color w:val="auto"/>
          <w:sz w:val="24"/>
          <w:highlight w:val="none"/>
        </w:rPr>
        <w:t>中小企业声明函（本项目属于《关于印发中小企业划型标准规定的通知》中规定的其他未列明行业）；</w:t>
      </w:r>
      <w:r>
        <w:rPr>
          <w:rFonts w:hint="eastAsia" w:ascii="仿宋" w:hAnsi="仿宋" w:eastAsia="仿宋" w:cs="仿宋"/>
          <w:b/>
          <w:bCs w:val="0"/>
          <w:color w:val="auto"/>
          <w:sz w:val="24"/>
          <w:highlight w:val="none"/>
        </w:rPr>
        <w:t>（</w:t>
      </w:r>
      <w:r>
        <w:rPr>
          <w:rFonts w:hint="eastAsia" w:ascii="仿宋" w:hAnsi="仿宋" w:eastAsia="仿宋" w:cs="仿宋"/>
          <w:b/>
          <w:bCs w:val="0"/>
          <w:color w:val="auto"/>
          <w:sz w:val="24"/>
          <w:highlight w:val="none"/>
          <w:lang w:eastAsia="zh-CN"/>
        </w:rPr>
        <w:t>格式见第五章，</w:t>
      </w:r>
      <w:r>
        <w:rPr>
          <w:rFonts w:hint="eastAsia" w:ascii="仿宋" w:hAnsi="仿宋" w:eastAsia="仿宋" w:cs="仿宋"/>
          <w:b/>
          <w:bCs w:val="0"/>
          <w:color w:val="auto"/>
          <w:sz w:val="24"/>
          <w:highlight w:val="none"/>
        </w:rPr>
        <w:t>资格审查条款）</w:t>
      </w:r>
    </w:p>
    <w:p>
      <w:pPr>
        <w:snapToGrid w:val="0"/>
        <w:spacing w:line="560" w:lineRule="exact"/>
        <w:ind w:firstLine="470" w:firstLineChars="196"/>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⑥</w:t>
      </w:r>
      <w:r>
        <w:rPr>
          <w:rFonts w:hint="eastAsia" w:ascii="仿宋" w:hAnsi="仿宋" w:eastAsia="仿宋" w:cs="仿宋"/>
          <w:color w:val="auto"/>
          <w:sz w:val="24"/>
          <w:highlight w:val="none"/>
        </w:rPr>
        <w:t>监狱企业声明函</w:t>
      </w:r>
      <w:r>
        <w:rPr>
          <w:rFonts w:hint="eastAsia" w:ascii="仿宋" w:hAnsi="仿宋" w:eastAsia="仿宋" w:cs="仿宋"/>
          <w:b/>
          <w:bCs/>
          <w:color w:val="auto"/>
          <w:sz w:val="24"/>
          <w:highlight w:val="none"/>
        </w:rPr>
        <w:t>（如有</w:t>
      </w:r>
      <w:r>
        <w:rPr>
          <w:rFonts w:hint="eastAsia" w:ascii="仿宋" w:hAnsi="仿宋" w:eastAsia="仿宋" w:cs="仿宋"/>
          <w:b/>
          <w:bCs/>
          <w:color w:val="auto"/>
          <w:sz w:val="24"/>
          <w:highlight w:val="none"/>
          <w:lang w:eastAsia="zh-CN"/>
        </w:rPr>
        <w:t>，格式见第五章，</w:t>
      </w:r>
      <w:r>
        <w:rPr>
          <w:rFonts w:hint="eastAsia" w:ascii="仿宋" w:hAnsi="仿宋" w:eastAsia="仿宋" w:cs="仿宋"/>
          <w:b/>
          <w:bCs/>
          <w:color w:val="auto"/>
          <w:sz w:val="24"/>
          <w:highlight w:val="none"/>
        </w:rPr>
        <w:t>资格审查条款）</w:t>
      </w:r>
      <w:r>
        <w:rPr>
          <w:rFonts w:hint="eastAsia" w:ascii="仿宋" w:hAnsi="仿宋" w:eastAsia="仿宋" w:cs="仿宋"/>
          <w:color w:val="auto"/>
          <w:sz w:val="24"/>
          <w:highlight w:val="none"/>
        </w:rPr>
        <w:t>；</w:t>
      </w:r>
    </w:p>
    <w:p>
      <w:pPr>
        <w:snapToGrid w:val="0"/>
        <w:spacing w:line="5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⑦</w:t>
      </w:r>
      <w:r>
        <w:rPr>
          <w:rFonts w:hint="eastAsia" w:ascii="仿宋" w:hAnsi="仿宋" w:eastAsia="仿宋" w:cs="仿宋"/>
          <w:color w:val="auto"/>
          <w:sz w:val="24"/>
          <w:highlight w:val="none"/>
        </w:rPr>
        <w:t>残疾人福利性单位声明函</w:t>
      </w:r>
      <w:r>
        <w:rPr>
          <w:rFonts w:hint="eastAsia" w:ascii="仿宋" w:hAnsi="仿宋" w:eastAsia="仿宋" w:cs="仿宋"/>
          <w:b/>
          <w:bCs/>
          <w:color w:val="auto"/>
          <w:sz w:val="24"/>
          <w:highlight w:val="none"/>
        </w:rPr>
        <w:t>（如有</w:t>
      </w:r>
      <w:r>
        <w:rPr>
          <w:rFonts w:hint="eastAsia" w:ascii="仿宋" w:hAnsi="仿宋" w:eastAsia="仿宋" w:cs="仿宋"/>
          <w:b/>
          <w:bCs/>
          <w:color w:val="auto"/>
          <w:sz w:val="24"/>
          <w:highlight w:val="none"/>
          <w:lang w:eastAsia="zh-CN"/>
        </w:rPr>
        <w:t>，格式见第五章，</w:t>
      </w:r>
      <w:r>
        <w:rPr>
          <w:rFonts w:hint="eastAsia" w:ascii="仿宋" w:hAnsi="仿宋" w:eastAsia="仿宋" w:cs="仿宋"/>
          <w:b/>
          <w:bCs/>
          <w:color w:val="auto"/>
          <w:sz w:val="24"/>
          <w:highlight w:val="none"/>
        </w:rPr>
        <w:t>资格审查条款）</w:t>
      </w:r>
      <w:r>
        <w:rPr>
          <w:rFonts w:hint="eastAsia" w:ascii="仿宋" w:hAnsi="仿宋" w:eastAsia="仿宋" w:cs="仿宋"/>
          <w:color w:val="auto"/>
          <w:sz w:val="24"/>
          <w:highlight w:val="none"/>
        </w:rPr>
        <w:t>；</w:t>
      </w:r>
    </w:p>
    <w:p>
      <w:pPr>
        <w:spacing w:line="560" w:lineRule="exact"/>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其他磋商文件要求提供的或供应商认为需要说明的技术、商务、资信及其他文件内容。</w:t>
      </w:r>
    </w:p>
    <w:p>
      <w:pPr>
        <w:spacing w:line="56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（二）《首次报价文件》：</w:t>
      </w:r>
    </w:p>
    <w:p>
      <w:pPr>
        <w:snapToGrid w:val="0"/>
        <w:spacing w:line="5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（1）响应函</w:t>
      </w:r>
      <w:r>
        <w:rPr>
          <w:rFonts w:hint="eastAsia" w:ascii="仿宋" w:hAnsi="仿宋" w:eastAsia="仿宋" w:cs="仿宋"/>
          <w:b/>
          <w:bCs w:val="0"/>
          <w:color w:val="auto"/>
          <w:sz w:val="24"/>
          <w:highlight w:val="none"/>
        </w:rPr>
        <w:t>（</w:t>
      </w:r>
      <w:r>
        <w:rPr>
          <w:rFonts w:hint="eastAsia" w:ascii="仿宋" w:hAnsi="仿宋" w:eastAsia="仿宋" w:cs="仿宋"/>
          <w:b/>
          <w:bCs w:val="0"/>
          <w:color w:val="auto"/>
          <w:sz w:val="24"/>
          <w:highlight w:val="none"/>
          <w:lang w:eastAsia="zh-CN"/>
        </w:rPr>
        <w:t>格式见第五章）</w:t>
      </w:r>
      <w:r>
        <w:rPr>
          <w:rFonts w:hint="eastAsia" w:ascii="仿宋" w:hAnsi="仿宋" w:eastAsia="仿宋" w:cs="仿宋"/>
          <w:color w:val="auto"/>
          <w:sz w:val="24"/>
          <w:highlight w:val="none"/>
        </w:rPr>
        <w:t>；</w:t>
      </w:r>
    </w:p>
    <w:p>
      <w:pPr>
        <w:snapToGrid w:val="0"/>
        <w:spacing w:line="5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（2）磋商报价表（首次报价）</w:t>
      </w:r>
      <w:r>
        <w:rPr>
          <w:rFonts w:hint="eastAsia" w:ascii="仿宋" w:hAnsi="仿宋" w:eastAsia="仿宋" w:cs="仿宋"/>
          <w:b/>
          <w:bCs w:val="0"/>
          <w:color w:val="auto"/>
          <w:sz w:val="24"/>
          <w:highlight w:val="none"/>
        </w:rPr>
        <w:t>（</w:t>
      </w:r>
      <w:r>
        <w:rPr>
          <w:rFonts w:hint="eastAsia" w:ascii="仿宋" w:hAnsi="仿宋" w:eastAsia="仿宋" w:cs="仿宋"/>
          <w:b/>
          <w:bCs w:val="0"/>
          <w:color w:val="auto"/>
          <w:sz w:val="24"/>
          <w:highlight w:val="none"/>
          <w:lang w:eastAsia="zh-CN"/>
        </w:rPr>
        <w:t>格式见第五章）</w:t>
      </w:r>
      <w:r>
        <w:rPr>
          <w:rFonts w:hint="eastAsia" w:ascii="仿宋" w:hAnsi="仿宋" w:eastAsia="仿宋" w:cs="仿宋"/>
          <w:color w:val="auto"/>
          <w:sz w:val="24"/>
          <w:highlight w:val="none"/>
        </w:rPr>
        <w:t>；</w:t>
      </w:r>
    </w:p>
    <w:p>
      <w:pPr>
        <w:snapToGrid w:val="0"/>
        <w:spacing w:line="560" w:lineRule="exact"/>
        <w:ind w:firstLine="480" w:firstLineChars="200"/>
        <w:jc w:val="left"/>
        <w:rPr>
          <w:rFonts w:ascii="仿宋" w:hAnsi="仿宋" w:eastAsia="仿宋" w:cs="仿宋"/>
          <w:color w:val="auto"/>
          <w:highlight w:val="none"/>
        </w:rPr>
      </w:pPr>
      <w:r>
        <w:rPr>
          <w:rFonts w:hint="eastAsia" w:ascii="仿宋" w:hAnsi="仿宋" w:eastAsia="仿宋" w:cs="仿宋"/>
          <w:color w:val="auto"/>
          <w:sz w:val="24"/>
          <w:highlight w:val="none"/>
        </w:rPr>
        <w:t>（3）磋商代理服务费承诺函</w:t>
      </w:r>
      <w:r>
        <w:rPr>
          <w:rFonts w:hint="eastAsia" w:ascii="仿宋" w:hAnsi="仿宋" w:eastAsia="仿宋" w:cs="仿宋"/>
          <w:b/>
          <w:bCs w:val="0"/>
          <w:color w:val="auto"/>
          <w:sz w:val="24"/>
          <w:highlight w:val="none"/>
        </w:rPr>
        <w:t>（</w:t>
      </w:r>
      <w:r>
        <w:rPr>
          <w:rFonts w:hint="eastAsia" w:ascii="仿宋" w:hAnsi="仿宋" w:eastAsia="仿宋" w:cs="仿宋"/>
          <w:b/>
          <w:bCs w:val="0"/>
          <w:color w:val="auto"/>
          <w:sz w:val="24"/>
          <w:highlight w:val="none"/>
          <w:lang w:eastAsia="zh-CN"/>
        </w:rPr>
        <w:t>格式见第五章）</w:t>
      </w:r>
      <w:r>
        <w:rPr>
          <w:rFonts w:hint="eastAsia" w:ascii="仿宋" w:hAnsi="仿宋" w:eastAsia="仿宋" w:cs="仿宋"/>
          <w:color w:val="auto"/>
          <w:sz w:val="24"/>
          <w:highlight w:val="none"/>
        </w:rPr>
        <w:t>；</w:t>
      </w:r>
    </w:p>
    <w:p>
      <w:pPr>
        <w:tabs>
          <w:tab w:val="left" w:pos="810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）供应商针对报价需要说明的其他材料（格式自拟）。</w:t>
      </w:r>
    </w:p>
    <w:p>
      <w:pPr>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9.磋商报价说明</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9.1响应报价应按采购文件中相关附表格式填写；</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9.2供应商应按本磋商文件提供相应的报价，不得缺项和漏项，每一项目只允许有一个报价，任何有选择性的报价，将不予接受；</w:t>
      </w:r>
    </w:p>
    <w:p>
      <w:pPr>
        <w:spacing w:line="5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9.3供应商的报价应是完成本磋商文件规定内容所需发生的全部费用（包含税金、运输、保险、服务及其他应由供应商承担的费用），应为履行合同的最终价格，凡未列入表达清楚的，将被视为均已包含在投标总报价中；</w:t>
      </w:r>
    </w:p>
    <w:p>
      <w:pPr>
        <w:spacing w:line="5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9.4如实际服务中发生服务内容的调整须经采购人同意，增减服务内容的结算按相应成交价格计算；</w:t>
      </w:r>
    </w:p>
    <w:p>
      <w:pPr>
        <w:spacing w:line="5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9.5供应商的最后报价由供应商自担全部风险责任，成交后不得以任何理由调报价或追加任何费用；</w:t>
      </w:r>
    </w:p>
    <w:p>
      <w:pPr>
        <w:spacing w:line="5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9.6各供应商拟采取的竞争措施和提供给采购人的优惠条件应在响应文件中列明，开标后提出的优惠条件一律不予考虑；</w:t>
      </w:r>
    </w:p>
    <w:p>
      <w:pPr>
        <w:spacing w:line="5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9.7供应商所有优惠条件和优惠费用不得降低和影响本采购项目质量；</w:t>
      </w:r>
    </w:p>
    <w:p>
      <w:pPr>
        <w:spacing w:line="5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9.8供应商对磋商文件里有关响应报价的全部内容应仔细确认，若有个别异议，应在开标前五天提出修改意见，否则视同全部确认；</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9.9</w:t>
      </w:r>
      <w:r>
        <w:rPr>
          <w:rFonts w:hint="eastAsia" w:ascii="仿宋" w:hAnsi="仿宋" w:eastAsia="仿宋" w:cs="仿宋"/>
          <w:bCs/>
          <w:color w:val="auto"/>
          <w:sz w:val="24"/>
          <w:highlight w:val="none"/>
        </w:rPr>
        <w:t>供应商要按磋商项目内容、数量及服务要求，就采购事项按格式要求规范填写，并由法定代表人或授权代理人签署，未经采购人书面同意，</w:t>
      </w:r>
      <w:r>
        <w:rPr>
          <w:rFonts w:hint="eastAsia" w:ascii="仿宋" w:hAnsi="仿宋" w:eastAsia="仿宋" w:cs="仿宋"/>
          <w:color w:val="auto"/>
          <w:sz w:val="24"/>
          <w:highlight w:val="none"/>
        </w:rPr>
        <w:t>不得随意更改项目名称、计量单位，否则有可能被视为无效磋商；</w:t>
      </w:r>
    </w:p>
    <w:p>
      <w:pPr>
        <w:spacing w:line="560" w:lineRule="exact"/>
        <w:ind w:firstLine="482" w:firstLineChars="200"/>
        <w:rPr>
          <w:rFonts w:ascii="仿宋" w:hAnsi="仿宋" w:eastAsia="仿宋" w:cs="仿宋"/>
          <w:b/>
          <w:bCs/>
          <w:color w:val="auto"/>
          <w:sz w:val="24"/>
          <w:highlight w:val="none"/>
        </w:rPr>
      </w:pPr>
      <w:r>
        <w:rPr>
          <w:rFonts w:hint="eastAsia" w:ascii="仿宋" w:hAnsi="仿宋" w:eastAsia="仿宋" w:cs="仿宋"/>
          <w:b/>
          <w:color w:val="auto"/>
          <w:sz w:val="24"/>
          <w:highlight w:val="none"/>
        </w:rPr>
        <w:t>9.10</w:t>
      </w:r>
      <w:r>
        <w:rPr>
          <w:rFonts w:hint="eastAsia" w:ascii="仿宋" w:hAnsi="仿宋" w:eastAsia="仿宋" w:cs="仿宋"/>
          <w:b/>
          <w:bCs/>
          <w:color w:val="auto"/>
          <w:sz w:val="24"/>
          <w:highlight w:val="none"/>
        </w:rPr>
        <w:t>磋商分二轮进行，首次报价在响应文件中体现；</w:t>
      </w:r>
    </w:p>
    <w:p>
      <w:pPr>
        <w:spacing w:line="56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9.11最后报价应通过政采云系统进行在线磋商、报价，若因系统原因无法在线磋商、报价时，可通过如下方式：代理机构通过电子邮箱（</w:t>
      </w:r>
      <w:r>
        <w:rPr>
          <w:rFonts w:hint="eastAsia" w:ascii="仿宋" w:hAnsi="仿宋" w:eastAsia="仿宋" w:cs="仿宋"/>
          <w:b/>
          <w:bCs/>
          <w:color w:val="auto"/>
          <w:sz w:val="24"/>
          <w:highlight w:val="none"/>
          <w:lang w:val="en-US" w:eastAsia="zh-CN"/>
        </w:rPr>
        <w:t>2756977296</w:t>
      </w:r>
      <w:r>
        <w:rPr>
          <w:rFonts w:hint="eastAsia" w:ascii="仿宋" w:hAnsi="仿宋" w:eastAsia="仿宋" w:cs="仿宋"/>
          <w:b/>
          <w:bCs/>
          <w:color w:val="auto"/>
          <w:sz w:val="24"/>
          <w:highlight w:val="none"/>
        </w:rPr>
        <w:t>@qq.com）向各供应商指定的电子邮箱发送最后报价的通知函，供应商在收到此函后30分钟内通过指定的电子邮箱进行最后报价，最后报价应按照本磋商文件规定的格式并以邮件的形式提供，且由法定代表人或其授权代理人签字确认并加盖公章，最后报价由代理机构统一提交至磋商小组，并宣读最后报价，采购人及监督人在最后报价表上签字确认；</w:t>
      </w:r>
    </w:p>
    <w:p>
      <w:pPr>
        <w:spacing w:line="56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9.12各供应商应事先做好充足准备，如未能在规定的时间内进行最后报价，作自动放弃处理；</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color w:val="auto"/>
          <w:sz w:val="24"/>
          <w:highlight w:val="none"/>
        </w:rPr>
        <w:t>9.13</w:t>
      </w:r>
      <w:r>
        <w:rPr>
          <w:rFonts w:hint="eastAsia" w:ascii="仿宋" w:hAnsi="仿宋" w:eastAsia="仿宋" w:cs="仿宋"/>
          <w:bCs/>
          <w:color w:val="auto"/>
          <w:sz w:val="24"/>
          <w:highlight w:val="none"/>
        </w:rPr>
        <w:t>响应文件中</w:t>
      </w:r>
      <w:r>
        <w:rPr>
          <w:rFonts w:hint="eastAsia" w:ascii="仿宋" w:hAnsi="仿宋" w:eastAsia="仿宋" w:cs="仿宋"/>
          <w:bCs/>
          <w:color w:val="auto"/>
          <w:sz w:val="24"/>
          <w:highlight w:val="none"/>
          <w:lang w:eastAsia="zh-CN"/>
        </w:rPr>
        <w:t>按折扣报价</w:t>
      </w:r>
      <w:r>
        <w:rPr>
          <w:rFonts w:hint="eastAsia" w:ascii="仿宋" w:hAnsi="仿宋" w:eastAsia="仿宋" w:cs="仿宋"/>
          <w:bCs/>
          <w:color w:val="auto"/>
          <w:sz w:val="24"/>
          <w:highlight w:val="none"/>
        </w:rPr>
        <w:t>；</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color w:val="auto"/>
          <w:sz w:val="24"/>
          <w:highlight w:val="none"/>
        </w:rPr>
        <w:t>9.14采购人不接受备选方案。</w:t>
      </w:r>
    </w:p>
    <w:p>
      <w:pPr>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10.磋商有效期</w:t>
      </w:r>
    </w:p>
    <w:p>
      <w:pPr>
        <w:tabs>
          <w:tab w:val="left" w:pos="1440"/>
          <w:tab w:val="left" w:pos="1620"/>
        </w:tabs>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color w:val="auto"/>
          <w:sz w:val="24"/>
          <w:highlight w:val="none"/>
        </w:rPr>
        <w:t>10.1</w:t>
      </w:r>
      <w:r>
        <w:rPr>
          <w:rFonts w:hint="eastAsia" w:ascii="仿宋" w:hAnsi="仿宋" w:eastAsia="仿宋" w:cs="仿宋"/>
          <w:bCs/>
          <w:color w:val="auto"/>
          <w:sz w:val="24"/>
          <w:highlight w:val="none"/>
        </w:rPr>
        <w:t>自磋商开始之日起60天内。有效期短于这个规定期限的响应文件，将被拒绝；</w:t>
      </w:r>
    </w:p>
    <w:p>
      <w:pPr>
        <w:tabs>
          <w:tab w:val="left" w:pos="1440"/>
          <w:tab w:val="left" w:pos="162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10.2在特殊情况下，采购代理机构在原定磋商有效期内，可以根据需要以书面形式向供应商提出延长磋商有效期的要求，供应商须以书面形式予以答复。供应商可以拒绝采购代理机构的这种要求。同意延长磋商有效期的供应商既不能要求也不允许修改其响应文件。</w:t>
      </w:r>
    </w:p>
    <w:p>
      <w:pPr>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11.响应文件的签署和份数</w:t>
      </w:r>
    </w:p>
    <w:p>
      <w:pPr>
        <w:tabs>
          <w:tab w:val="left" w:pos="1440"/>
          <w:tab w:val="left" w:pos="1620"/>
        </w:tabs>
        <w:spacing w:line="56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11.1电子响应文件：</w:t>
      </w:r>
    </w:p>
    <w:p>
      <w:pPr>
        <w:tabs>
          <w:tab w:val="left" w:pos="1440"/>
          <w:tab w:val="left" w:pos="162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供应商应根据“政采云供应商项目采购-电子招投标操作指南”及本磋商文件规定的格式和顺序编制电子响应文件并进行关联定位，若因响应文件内容不完整、编排混乱导致响应文件被误读、漏读或者查找不到相关内容的，是供应商的责任。</w:t>
      </w:r>
    </w:p>
    <w:p>
      <w:pPr>
        <w:tabs>
          <w:tab w:val="left" w:pos="1440"/>
          <w:tab w:val="left" w:pos="1620"/>
        </w:tabs>
        <w:spacing w:line="56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11.2数据电子备份响应文件（U盘）：</w:t>
      </w:r>
    </w:p>
    <w:p>
      <w:pPr>
        <w:tabs>
          <w:tab w:val="left" w:pos="1440"/>
          <w:tab w:val="left" w:pos="162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电子响应文件的备份文件以U盘形式存储。数据电子备份响应文件格式及内容须与政采云平台项目采购-电子交易操作指南中制作、加密并递交的电子响应文件格式及内容一致。数据电子备份响应文件（U盘）须密封、包装，不按此规定密封、包装的数据电子备份响应文件（U盘）均按未提供处理；</w:t>
      </w:r>
    </w:p>
    <w:p>
      <w:pPr>
        <w:autoSpaceDE w:val="0"/>
        <w:autoSpaceDN w:val="0"/>
        <w:spacing w:line="56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11.3</w:t>
      </w:r>
      <w:r>
        <w:rPr>
          <w:rFonts w:hint="eastAsia" w:ascii="仿宋" w:hAnsi="仿宋" w:eastAsia="仿宋" w:cs="仿宋"/>
          <w:color w:val="auto"/>
          <w:kern w:val="0"/>
          <w:sz w:val="24"/>
          <w:highlight w:val="none"/>
        </w:rPr>
        <w:t>响应文件需按磋商文件要求的格式填写，未按规定格式填写将有可能视为无效响应文件；</w:t>
      </w:r>
    </w:p>
    <w:p>
      <w:pPr>
        <w:spacing w:line="56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sz w:val="24"/>
          <w:highlight w:val="none"/>
        </w:rPr>
        <w:t>11.4</w:t>
      </w:r>
      <w:r>
        <w:rPr>
          <w:rFonts w:hint="eastAsia" w:ascii="仿宋" w:hAnsi="仿宋" w:eastAsia="仿宋" w:cs="仿宋"/>
          <w:color w:val="auto"/>
          <w:kern w:val="0"/>
          <w:sz w:val="24"/>
          <w:highlight w:val="none"/>
        </w:rPr>
        <w:t>除供应商对错处做必要修改外，响应文件不得行间插字、涂改和增删，如有修改错漏处，应由供应商加盖校对章。</w:t>
      </w:r>
    </w:p>
    <w:p>
      <w:pPr>
        <w:pStyle w:val="3"/>
        <w:spacing w:line="560" w:lineRule="exact"/>
        <w:jc w:val="center"/>
        <w:rPr>
          <w:rFonts w:ascii="仿宋" w:hAnsi="仿宋" w:eastAsia="仿宋" w:cs="仿宋"/>
          <w:color w:val="auto"/>
          <w:kern w:val="44"/>
          <w:sz w:val="28"/>
          <w:szCs w:val="28"/>
          <w:highlight w:val="none"/>
        </w:rPr>
      </w:pPr>
      <w:bookmarkStart w:id="10" w:name="_Toc452995898"/>
      <w:r>
        <w:rPr>
          <w:rFonts w:hint="eastAsia" w:ascii="仿宋" w:hAnsi="仿宋" w:eastAsia="仿宋" w:cs="仿宋"/>
          <w:color w:val="auto"/>
          <w:kern w:val="44"/>
          <w:sz w:val="28"/>
          <w:szCs w:val="28"/>
          <w:highlight w:val="none"/>
        </w:rPr>
        <w:t>三、响应文件的提交</w:t>
      </w:r>
      <w:bookmarkEnd w:id="10"/>
    </w:p>
    <w:p>
      <w:pPr>
        <w:tabs>
          <w:tab w:val="left" w:pos="720"/>
        </w:tabs>
        <w:spacing w:line="560" w:lineRule="exact"/>
        <w:rPr>
          <w:rFonts w:ascii="仿宋" w:hAnsi="仿宋" w:eastAsia="仿宋" w:cs="仿宋"/>
          <w:bCs/>
          <w:color w:val="auto"/>
          <w:sz w:val="24"/>
          <w:highlight w:val="none"/>
        </w:rPr>
      </w:pPr>
      <w:r>
        <w:rPr>
          <w:rFonts w:hint="eastAsia" w:ascii="仿宋" w:hAnsi="仿宋" w:eastAsia="仿宋" w:cs="仿宋"/>
          <w:color w:val="auto"/>
          <w:sz w:val="24"/>
          <w:highlight w:val="none"/>
        </w:rPr>
        <w:t>12</w:t>
      </w:r>
      <w:r>
        <w:rPr>
          <w:rFonts w:hint="eastAsia" w:ascii="仿宋" w:hAnsi="仿宋" w:eastAsia="仿宋" w:cs="仿宋"/>
          <w:bCs/>
          <w:color w:val="auto"/>
          <w:sz w:val="24"/>
          <w:highlight w:val="none"/>
        </w:rPr>
        <w:t>.数据电子备份响应文件（U盘）的密封及标记</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12.1供应商在数据电子备份响应文件（U盘）包封上应注明项目名称、项目编号、供应商名称并加盖供应商盖章；</w:t>
      </w:r>
    </w:p>
    <w:p>
      <w:pPr>
        <w:spacing w:line="560" w:lineRule="exact"/>
        <w:ind w:firstLine="480" w:firstLineChars="200"/>
        <w:rPr>
          <w:rFonts w:ascii="仿宋" w:hAnsi="仿宋" w:eastAsia="仿宋" w:cs="仿宋"/>
          <w:b/>
          <w:bCs/>
          <w:color w:val="auto"/>
          <w:sz w:val="24"/>
          <w:highlight w:val="none"/>
        </w:rPr>
      </w:pPr>
      <w:r>
        <w:rPr>
          <w:rFonts w:hint="eastAsia" w:ascii="仿宋" w:hAnsi="仿宋" w:eastAsia="仿宋" w:cs="仿宋"/>
          <w:color w:val="auto"/>
          <w:sz w:val="24"/>
          <w:highlight w:val="none"/>
        </w:rPr>
        <w:t>12.2</w:t>
      </w:r>
      <w:r>
        <w:rPr>
          <w:rFonts w:hint="eastAsia" w:ascii="仿宋" w:hAnsi="仿宋" w:eastAsia="仿宋" w:cs="仿宋"/>
          <w:b/>
          <w:bCs/>
          <w:color w:val="auto"/>
          <w:sz w:val="24"/>
          <w:highlight w:val="none"/>
        </w:rPr>
        <w:t>如果数据电子备份响应文件（U盘）未按上述要求密封和加写标记，采购人有权予以拒绝此响应文件，视为未提供，并退回供应商；</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12.3如果因密封不严、标记不明而造成过早启封、失密等情况，</w:t>
      </w:r>
      <w:r>
        <w:rPr>
          <w:rFonts w:hint="eastAsia" w:ascii="仿宋" w:hAnsi="仿宋" w:eastAsia="仿宋" w:cs="仿宋"/>
          <w:bCs/>
          <w:color w:val="auto"/>
          <w:sz w:val="24"/>
          <w:highlight w:val="none"/>
        </w:rPr>
        <w:t>采购代理机构</w:t>
      </w:r>
      <w:r>
        <w:rPr>
          <w:rFonts w:hint="eastAsia" w:ascii="仿宋" w:hAnsi="仿宋" w:eastAsia="仿宋" w:cs="仿宋"/>
          <w:color w:val="auto"/>
          <w:sz w:val="24"/>
          <w:highlight w:val="none"/>
        </w:rPr>
        <w:t>概不负责。</w:t>
      </w:r>
    </w:p>
    <w:p>
      <w:pPr>
        <w:tabs>
          <w:tab w:val="left" w:pos="720"/>
        </w:tabs>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13.响应文件的递交及磋商截止时间：</w:t>
      </w:r>
    </w:p>
    <w:p>
      <w:pPr>
        <w:tabs>
          <w:tab w:val="left" w:pos="72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13.1供应商应当在磋商截止时间前完成电子响应文件的传输递交，磋商截止时间前可以补充、修改或者撤回电子响应文件。补充或者修改电子响应文件的，应当先行撤回原文件，补充、修改后重新传输递交。磋商截止时间止未完成传输的，视为放弃磋商资格，作无效标处理；</w:t>
      </w:r>
    </w:p>
    <w:p>
      <w:pPr>
        <w:tabs>
          <w:tab w:val="left" w:pos="72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13.2数据电子备份响应文件（U盘）：以U盘形式提供的数据电子备份响应文件格式及内容须与政采云平台项目采购-电子交易操作指南中制作、加密并递交的电子响应文件格式及内容一致。递交方式：数据电子备份响应文件（U盘）应通过邮寄快递方式送达，邮寄地址为：</w:t>
      </w:r>
      <w:r>
        <w:rPr>
          <w:rFonts w:hint="eastAsia" w:ascii="仿宋" w:hAnsi="仿宋" w:eastAsia="仿宋" w:cs="仿宋"/>
          <w:color w:val="auto"/>
          <w:sz w:val="24"/>
          <w:highlight w:val="none"/>
          <w:lang w:eastAsia="zh-CN"/>
        </w:rPr>
        <w:t xml:space="preserve">浙江新诚信工程咨询有限公司 </w:t>
      </w:r>
      <w:r>
        <w:rPr>
          <w:rFonts w:hint="eastAsia" w:ascii="仿宋" w:hAnsi="仿宋" w:eastAsia="仿宋" w:cs="仿宋"/>
          <w:color w:val="auto"/>
          <w:sz w:val="24"/>
          <w:highlight w:val="none"/>
        </w:rPr>
        <w:t xml:space="preserve"> [湖州市太湖路1155号</w:t>
      </w: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rPr>
        <w:t>层</w:t>
      </w:r>
      <w:r>
        <w:rPr>
          <w:rFonts w:hint="eastAsia" w:ascii="仿宋" w:hAnsi="仿宋" w:eastAsia="仿宋" w:cs="仿宋"/>
          <w:color w:val="auto"/>
          <w:sz w:val="24"/>
          <w:highlight w:val="none"/>
          <w:lang w:val="en-US" w:eastAsia="zh-CN"/>
        </w:rPr>
        <w:t>1402</w:t>
      </w:r>
      <w:r>
        <w:rPr>
          <w:rFonts w:hint="eastAsia" w:ascii="仿宋" w:hAnsi="仿宋" w:eastAsia="仿宋" w:cs="仿宋"/>
          <w:color w:val="auto"/>
          <w:sz w:val="24"/>
          <w:highlight w:val="none"/>
        </w:rPr>
        <w:t>室]，联系电话：</w:t>
      </w:r>
      <w:r>
        <w:rPr>
          <w:rFonts w:hint="eastAsia" w:ascii="仿宋" w:hAnsi="仿宋" w:eastAsia="仿宋" w:cs="仿宋"/>
          <w:color w:val="auto"/>
          <w:sz w:val="24"/>
          <w:highlight w:val="none"/>
          <w:lang w:val="en-US" w:eastAsia="zh-CN"/>
        </w:rPr>
        <w:t>18768247439</w:t>
      </w:r>
      <w:r>
        <w:rPr>
          <w:rFonts w:hint="eastAsia" w:ascii="仿宋" w:hAnsi="仿宋" w:eastAsia="仿宋" w:cs="仿宋"/>
          <w:color w:val="auto"/>
          <w:sz w:val="24"/>
          <w:highlight w:val="none"/>
        </w:rPr>
        <w:t>。邮寄截止时间：供应商应于202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1月19日</w:t>
      </w:r>
      <w:r>
        <w:rPr>
          <w:rFonts w:hint="eastAsia" w:ascii="仿宋" w:hAnsi="仿宋" w:eastAsia="仿宋" w:cs="仿宋"/>
          <w:color w:val="auto"/>
          <w:sz w:val="24"/>
          <w:highlight w:val="none"/>
        </w:rPr>
        <w:t>17:00时前准时送达，逾期不予受理。截止开标时间前，采购人由二名人员（一名接收人、一名监督人员）统一负责接收并送至专门的监控室，与磋商资料一并归档。供应商须留足响应文件邮寄时间,确保数据电子备份响应文件（U盘）于规定的时间前送达指定地点，未按时送达的，均按未提供处理；</w:t>
      </w:r>
    </w:p>
    <w:p>
      <w:pPr>
        <w:tabs>
          <w:tab w:val="left" w:pos="720"/>
        </w:tabs>
        <w:spacing w:line="56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13.3整个磋商过程中若因供应商问题造成电子响应文件无法正常解密的，均认定为未提交电子响应文件，作无效标处理。若因网络或者其他非供应商问题造成电子响应文件无法正常解密的，启用数据电子备份响应文件（U盘），因供应商自身原因造成数据电子备份响应文件（U盘）无法打开的，作无效标处理。若正常解密成功，则数据电子备份响应文件（U盘）不予开启。在下一顺位的响应文件启用时，前一顺位的响应文件自动失效；</w:t>
      </w:r>
    </w:p>
    <w:p>
      <w:pPr>
        <w:tabs>
          <w:tab w:val="left" w:pos="72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13.4采购代理机构可通过修改磋商文件酌情延长递交响应文件的截止时间，在此情况下，供应商的所有权利和义务以及供应商的磋商截止时间均应以延长后新的截止时间为准；</w:t>
      </w:r>
    </w:p>
    <w:p>
      <w:pPr>
        <w:tabs>
          <w:tab w:val="left" w:pos="72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13.5供应商的修改书和撤回通知应在规定的磋商截止日期前按规定的时间及方式（邮箱或传真等）送达；</w:t>
      </w:r>
    </w:p>
    <w:p>
      <w:pPr>
        <w:tabs>
          <w:tab w:val="left" w:pos="72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13.6采购代理机构收到供应商的响应文件或修改撤回通知书后，应当出具签收单（或收回签收单），通过邮箱或传真等方式送达；</w:t>
      </w:r>
    </w:p>
    <w:p>
      <w:pPr>
        <w:tabs>
          <w:tab w:val="left" w:pos="720"/>
        </w:tabs>
        <w:spacing w:line="56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13.7因网络或其他非供应商问题造成电子响应文件未成功解密，且供应商提供了数据电子备份响应文件（U盘）的，以数据电子备份响应文件（U盘）作为评审依据，否则视为电子响应文件撤回，作无效标处理。电子响应文件已成功解密的，数据电子备份响应文件（U盘）自动失效，不予启封。</w:t>
      </w:r>
    </w:p>
    <w:p>
      <w:pPr>
        <w:tabs>
          <w:tab w:val="left" w:pos="720"/>
        </w:tabs>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14.迟交的响应文件</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采购人将不接受在规定的磋商截止时间后收到的任何响应文件。</w:t>
      </w:r>
    </w:p>
    <w:p>
      <w:pPr>
        <w:tabs>
          <w:tab w:val="left" w:pos="720"/>
        </w:tabs>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15.响应文件的修改和撤回</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15.1供应商在提交响应文件后，可以修改或撤回其响应文件，但这种修改和撤回通知，必须在规定的磋商截止时间前，以书面形式（包括邮箱或传真等方式）通知采购代理机构；</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15.2在磋商截止时间至规定的磋商有效期满之间的这段时间，供应商不得撤回其响应文件。</w:t>
      </w:r>
    </w:p>
    <w:p>
      <w:pPr>
        <w:tabs>
          <w:tab w:val="left" w:pos="720"/>
        </w:tabs>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16.出现以下情形，导致电子交易平台无法正常进行，或者无法保证电子交易的公平、公正和安全时，中止电子交易活动：</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16.1电子交易平台发生故障而无法登录访问的；</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16.2电子交易平台应用或数据库出现错误，不能进行正常操作的；</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16.3电子交易平台发现严重安全漏洞，有潜在泄密危险的；</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16.4病毒发作导致不能进行正常操作的；</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16.5其他无法保证电子交易的公平、公正和安全的情况。</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出现以上规定情形，不影响采购公平、公正性的，采购代理机构可以待上述情形消除后继续组织电子交易活动，也可以决定某些环节以其他形式（数据备份响应文件（U盘））进行；影响或可能影响采购公平、公正性的，重新采购。</w:t>
      </w:r>
    </w:p>
    <w:p>
      <w:pPr>
        <w:pStyle w:val="3"/>
        <w:spacing w:line="560" w:lineRule="exact"/>
        <w:jc w:val="center"/>
        <w:rPr>
          <w:rFonts w:ascii="仿宋" w:hAnsi="仿宋" w:eastAsia="仿宋" w:cs="仿宋"/>
          <w:color w:val="auto"/>
          <w:sz w:val="28"/>
          <w:szCs w:val="28"/>
          <w:highlight w:val="none"/>
        </w:rPr>
      </w:pPr>
      <w:bookmarkStart w:id="11" w:name="_Toc452995899"/>
      <w:r>
        <w:rPr>
          <w:rFonts w:hint="eastAsia" w:ascii="仿宋" w:hAnsi="仿宋" w:eastAsia="仿宋" w:cs="仿宋"/>
          <w:color w:val="auto"/>
          <w:kern w:val="44"/>
          <w:sz w:val="28"/>
          <w:szCs w:val="28"/>
          <w:highlight w:val="none"/>
        </w:rPr>
        <w:t>四、</w:t>
      </w:r>
      <w:r>
        <w:rPr>
          <w:rFonts w:hint="eastAsia" w:ascii="仿宋" w:hAnsi="仿宋" w:eastAsia="仿宋" w:cs="仿宋"/>
          <w:color w:val="auto"/>
          <w:sz w:val="28"/>
          <w:szCs w:val="28"/>
          <w:highlight w:val="none"/>
        </w:rPr>
        <w:t>磋商</w:t>
      </w:r>
      <w:r>
        <w:rPr>
          <w:rFonts w:hint="eastAsia" w:ascii="仿宋" w:hAnsi="仿宋" w:eastAsia="仿宋" w:cs="仿宋"/>
          <w:color w:val="auto"/>
          <w:spacing w:val="14"/>
          <w:sz w:val="28"/>
          <w:szCs w:val="28"/>
          <w:highlight w:val="none"/>
        </w:rPr>
        <w:t>规则、</w:t>
      </w:r>
      <w:r>
        <w:rPr>
          <w:rFonts w:hint="eastAsia" w:ascii="仿宋" w:hAnsi="仿宋" w:eastAsia="仿宋" w:cs="仿宋"/>
          <w:color w:val="auto"/>
          <w:sz w:val="28"/>
          <w:szCs w:val="28"/>
          <w:highlight w:val="none"/>
        </w:rPr>
        <w:t>程序</w:t>
      </w:r>
      <w:bookmarkEnd w:id="11"/>
    </w:p>
    <w:p>
      <w:pPr>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17.磋商规则</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17.1采购代理机构将于本须知前附表规定的时间和地点召开磋商会，所有供应商均应准时参加磋商会。参加磋商会的供应商的法定代表人或其授权代理人应出具其有效身份证明、授权委托书，供应商的法定代表人或其授权代理人未参加磋商会或迟到的，事后不得对采购相关人员、开标过程和开标结果提出异议；</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17.2磋商会由采购代理机构主持。</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17.3对供应商的磋商文件出现下列情况之一的，按照无效响应文件处理：</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17.3.1电子响应文件逾期未上传、传输的将拒绝接收；</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17.3.2不具备磋商文件中规定的资格条件要求的；</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17.3.3供应商提交两份或两份以上内容不同的响应文件，或在一份响应文件中对同一采购项目有两个或两个以上报价的；</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17.3.4响应文件载明的采购项目完成期限超过磋商文件规定的期限，采购人不能接受的；</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17.3.5响应文件载明的采购项目磋商有效期、服务期少于磋商文件规定期限的；</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17.3.6响应文件未响应磋商文件规定的付款方式的；</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17.3.7响应货物或服务的技术规范、技术标准明显不符合国家强制性要求的；</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17.3.8响应货物或服务载明的验收标准和方法等不符合国家规定及竞争性磋商文件要求的；</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17.3.9响应文件字迹模糊辨认不清的（磋商小组一致认为难以确认）；</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17.3.10未改变磋商文件采购需求的情况下，供应商二次报价高于首次报价或最后报价高于首次报价或二次报价的；</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17.3.11提供不真实资料的；</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17.3.12不符合法律、法规和磋商文件规定的其他实质性要求（磋商小组一致认定）的；</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17.3.13磋商服务的服务指标、参数等存在实质性偏离（磋商小组一致认定）的；</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17.3.14二分之一以上的磋商小组认为供应商报价明显高于市场平均价的；</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17.3.15未在浙江政府采购网（政采云平台）完成本项目网上报名的；</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17.3.16法律、法规、规章及省级以上规范性文件等规定的其他情形；</w:t>
      </w:r>
    </w:p>
    <w:p>
      <w:pPr>
        <w:spacing w:line="56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17.3.17未响应磋商文件中“▲”实质性条款。</w:t>
      </w:r>
    </w:p>
    <w:p>
      <w:pPr>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18.磋商小组与磋商原则</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磋商小组由采购代理机构依法组建，负责磋商活动。磋商小组遵循公开、公平、公正、科学合理，竞争择优的原则。</w:t>
      </w:r>
    </w:p>
    <w:p>
      <w:pPr>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19.磋商过程的保密</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19.1磋商会开始后，直至授予成交供应商合同为止，凡属于对响应文件的审查、澄清、评判和比较的有关资料、成交候选供应商的推荐情况及与磋商有关的其他任何情况均依法严格保密；</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19.2在响应文件的评判和比较、成交候选供应商推荐以及授予合同的过程中，供应商向采购人和磋商小组施加影响的任何行为，都将会导致其磋商被拒绝；</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19.3磋商小组通过政采云系统分别与各供应商进行技术、商务、资信及价格磋商，在磋商过程中，磋商小组成员不得透露其他供应商的磋商信息，严守商业秘密；</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19.4供应商有下列情形之一的，视为供应商串通磋商，其磋商无效：</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19.4.1不同供应商的响应文件由同一单位或者个人编制；</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19.4.2不同供应商委托同一单位或者个人办理磋商事宜；</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19.4.3不同供应商的响应文件载明的项目管理成员或者联系人员为同一人；</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19.4.4不同供应商的响应文件异常一致或者响应报价呈规律性差异；</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19.4.5不同供应商的数据电子备份响应文件（U盘）相互混装。</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19.5供应商有下列情形之一的，属于恶意串通，其磋商无效：</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19.5.1供应商直接或者间接从采购人或者采购代理机构处获得其他供应商的相关情况并修改其响应文件；</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19.5.2供应商按照采购人或者采购代理机构的授意撤换、修改响应文件；</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19.5.3供应商之间协商报价、技术方案等响应文件的实质性内容；</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19.5.4属于同一集团、协会、商会等组织成员的供应商按照该组织要求协同参加政府采购活动；</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19.5.5供应商之间事先约定由某一特定供应商成交；</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19.5.6供应商之间商定部分供应商放弃参加政府采购活动或者放弃成交；</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19.5.7供应商与采购人或者采购代理机构之间、供应商相互之间，为谋求特定供应商成交或者排斥其他供应商的其他串通行为。</w:t>
      </w:r>
    </w:p>
    <w:p>
      <w:pPr>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20.响应文件的澄清</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为有助于响应文件的审查、评判和比较，磋商小组可以要求供应商对响应文件含义不明确的内容作必要的澄清或说明，供应商应通过政采云系统采用书面形式进行必要的澄清、说明或承诺。</w:t>
      </w:r>
    </w:p>
    <w:p>
      <w:pPr>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pacing w:val="14"/>
          <w:sz w:val="24"/>
          <w:highlight w:val="none"/>
        </w:rPr>
        <w:t>磋商程序与方法</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21.1资格性审查</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磋商小组依据法律、法规和磋商文件规定，对响应文件中的资格证明等进行审查，以确定供应商是否具备磋商资格。</w:t>
      </w:r>
      <w:r>
        <w:rPr>
          <w:rFonts w:hint="eastAsia" w:ascii="仿宋" w:hAnsi="仿宋" w:eastAsia="仿宋" w:cs="仿宋"/>
          <w:b/>
          <w:color w:val="auto"/>
          <w:sz w:val="24"/>
          <w:highlight w:val="none"/>
          <w:u w:val="single"/>
        </w:rPr>
        <w:t>审查内容详见响应文件组成中资格审查条款1-</w:t>
      </w:r>
      <w:r>
        <w:rPr>
          <w:rFonts w:hint="eastAsia" w:ascii="仿宋" w:hAnsi="仿宋" w:eastAsia="仿宋" w:cs="仿宋"/>
          <w:b/>
          <w:color w:val="auto"/>
          <w:sz w:val="24"/>
          <w:highlight w:val="none"/>
          <w:u w:val="single"/>
          <w:lang w:val="en-US" w:eastAsia="zh-CN"/>
        </w:rPr>
        <w:t>5</w:t>
      </w:r>
      <w:r>
        <w:rPr>
          <w:rFonts w:hint="eastAsia" w:ascii="仿宋" w:hAnsi="仿宋" w:eastAsia="仿宋" w:cs="仿宋"/>
          <w:color w:val="auto"/>
          <w:sz w:val="24"/>
          <w:highlight w:val="none"/>
        </w:rPr>
        <w:t>。</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21.2初步审查</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磋商小组对通过资格性检查的供应商进行</w:t>
      </w:r>
      <w:r>
        <w:rPr>
          <w:rFonts w:hint="eastAsia" w:ascii="仿宋" w:hAnsi="仿宋" w:eastAsia="仿宋" w:cs="仿宋"/>
          <w:bCs/>
          <w:color w:val="auto"/>
          <w:sz w:val="24"/>
          <w:highlight w:val="none"/>
        </w:rPr>
        <w:t>符合性</w:t>
      </w:r>
      <w:r>
        <w:rPr>
          <w:rFonts w:hint="eastAsia" w:ascii="仿宋" w:hAnsi="仿宋" w:eastAsia="仿宋" w:cs="仿宋"/>
          <w:color w:val="auto"/>
          <w:sz w:val="24"/>
          <w:highlight w:val="none"/>
        </w:rPr>
        <w:t>检查。依据磋商文件的规定，从响应文件的有效性、完整性和对磋商文件的响应程度进行初步审查，以确定是否对磋商文件的实质性要求作出响应。</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21.3通过政采云系统，磋商小组根据磋商文件的内容与各供应商分别进行磋商，各供应商在线答复的同时，须对磋商中所涉及的澄清、修改、承诺等补充资料等在规定的时间内以书面文件形式通过系统提交至磋商小组，其书面文件必须由供应商的法定代表人或其授权代理人签字（或签章），作为响应文件的补充。如该供应商成为成交供应商，则该供应商的响应文件（含所有补充资料）将作为合同的组成部分。</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21.4响应文件计算错误的修正</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21.4.1响应文件中磋商报价一览表内容与响应文件中磋商分项报价表内容不一致的，以磋商报价一览表为准；</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21.4.2响应文件的大写金额和小写金额不一致的，以大写金额为准；</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21.4.3总</w:t>
      </w:r>
      <w:r>
        <w:rPr>
          <w:rFonts w:hint="eastAsia" w:ascii="仿宋" w:hAnsi="仿宋" w:eastAsia="仿宋" w:cs="仿宋"/>
          <w:color w:val="auto"/>
          <w:spacing w:val="-8"/>
          <w:sz w:val="24"/>
          <w:highlight w:val="none"/>
        </w:rPr>
        <w:t>价金额与按单价汇总金额不一致的，以单价金额计算结果为准</w:t>
      </w:r>
      <w:r>
        <w:rPr>
          <w:rFonts w:hint="eastAsia" w:ascii="仿宋" w:hAnsi="仿宋" w:eastAsia="仿宋" w:cs="仿宋"/>
          <w:color w:val="auto"/>
          <w:sz w:val="24"/>
          <w:highlight w:val="none"/>
        </w:rPr>
        <w:t>。</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21.4.4单价金额小数点有明显错位的，应以总价为准，并修改单价；</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21.4.5对不同文字文本响应文件的解释发生异议的，以中文文本为准。</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21.5技术、商务、资信及其他部分磋商结束后，所有供应商须按磋商小组要求，在规定时间内通过政采云系统进行最后报价，并提交至磋商小组。</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color w:val="auto"/>
          <w:sz w:val="24"/>
          <w:highlight w:val="none"/>
        </w:rPr>
        <w:t>21.6</w:t>
      </w:r>
      <w:r>
        <w:rPr>
          <w:rFonts w:hint="eastAsia" w:ascii="仿宋" w:hAnsi="仿宋" w:eastAsia="仿宋" w:cs="仿宋"/>
          <w:bCs/>
          <w:color w:val="auto"/>
          <w:sz w:val="24"/>
          <w:highlight w:val="none"/>
        </w:rPr>
        <w:t>确定成交供应商</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21.6.1在全部满足磋商文件实质性要求的前提下，按综合得分高低确定成交供应商。</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21.6.2采购代理机构应当在磋商结束后二个工作日内将磋商评审报告送采购人确认。</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21.6.3采购人应当在收到磋商评审报告后五个工作日内，按照磋商评审报告中推荐的排列顺序依法确定成交供应商。</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21.6.4替补候选人的设定与使用：第一成交候选供应商放弃成交或者因不可抗力提出不能履行合同，采购人可以确定第二成交候选供应商为成交供应商或重新组织采购活动，排名第二的成交候选供应商因前款同样的原因不能签订合同，采购人可以确定排名第三的成交候选供应商为成交供应商或重新组织采购活动。</w:t>
      </w:r>
    </w:p>
    <w:p>
      <w:pPr>
        <w:spacing w:line="560" w:lineRule="exact"/>
        <w:rPr>
          <w:rFonts w:ascii="仿宋" w:hAnsi="仿宋" w:eastAsia="仿宋" w:cs="仿宋"/>
          <w:bCs/>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bCs/>
          <w:color w:val="auto"/>
          <w:sz w:val="24"/>
          <w:highlight w:val="none"/>
        </w:rPr>
        <w:t>成交公告</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color w:val="auto"/>
          <w:sz w:val="24"/>
          <w:highlight w:val="none"/>
        </w:rPr>
        <w:t>采购代理机构应当在收到采购人书面确定的成交供应商通知后将成交结果在原发布磋商公告的媒体上予以公告。公告期按有关规定执行。</w:t>
      </w:r>
    </w:p>
    <w:p>
      <w:pPr>
        <w:spacing w:line="560" w:lineRule="exact"/>
        <w:rPr>
          <w:rFonts w:ascii="仿宋" w:hAnsi="仿宋" w:eastAsia="仿宋" w:cs="仿宋"/>
          <w:bCs/>
          <w:color w:val="auto"/>
          <w:sz w:val="24"/>
          <w:highlight w:val="none"/>
        </w:rPr>
      </w:pPr>
      <w:r>
        <w:rPr>
          <w:rFonts w:hint="eastAsia" w:ascii="仿宋" w:hAnsi="仿宋" w:eastAsia="仿宋" w:cs="仿宋"/>
          <w:color w:val="auto"/>
          <w:sz w:val="24"/>
          <w:highlight w:val="none"/>
        </w:rPr>
        <w:t>23.成交通知</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color w:val="auto"/>
          <w:sz w:val="24"/>
          <w:highlight w:val="none"/>
        </w:rPr>
        <w:t>23.1</w:t>
      </w:r>
      <w:r>
        <w:rPr>
          <w:rFonts w:hint="eastAsia" w:ascii="仿宋" w:hAnsi="仿宋" w:eastAsia="仿宋" w:cs="仿宋"/>
          <w:bCs/>
          <w:color w:val="auto"/>
          <w:sz w:val="24"/>
          <w:highlight w:val="none"/>
        </w:rPr>
        <w:t>在磋商有效期内，</w:t>
      </w:r>
      <w:r>
        <w:rPr>
          <w:rFonts w:hint="eastAsia" w:ascii="仿宋" w:hAnsi="仿宋" w:eastAsia="仿宋" w:cs="仿宋"/>
          <w:color w:val="auto"/>
          <w:sz w:val="24"/>
          <w:highlight w:val="none"/>
        </w:rPr>
        <w:t>采购代理机构</w:t>
      </w:r>
      <w:r>
        <w:rPr>
          <w:rFonts w:hint="eastAsia" w:ascii="仿宋" w:hAnsi="仿宋" w:eastAsia="仿宋" w:cs="仿宋"/>
          <w:bCs/>
          <w:color w:val="auto"/>
          <w:sz w:val="24"/>
          <w:highlight w:val="none"/>
        </w:rPr>
        <w:t>可以书面形式通知所选定的成交供应商。通知也可以传真、信函的形式，但需要以书面确认，</w:t>
      </w:r>
      <w:r>
        <w:rPr>
          <w:rFonts w:hint="eastAsia" w:ascii="仿宋" w:hAnsi="仿宋" w:eastAsia="仿宋" w:cs="仿宋"/>
          <w:color w:val="auto"/>
          <w:sz w:val="24"/>
          <w:highlight w:val="none"/>
        </w:rPr>
        <w:t>领取成交通知书前须完成以下事项：</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23.2成交通知书为双方签订合同的依据；</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color w:val="auto"/>
          <w:sz w:val="24"/>
          <w:highlight w:val="none"/>
        </w:rPr>
        <w:t>23.3成交供应商应根据成交通知书中规定的时间内，由法定代表人或其授权代理人与采购人签订合同。</w:t>
      </w:r>
    </w:p>
    <w:p>
      <w:pPr>
        <w:spacing w:line="560" w:lineRule="exact"/>
        <w:rPr>
          <w:rFonts w:ascii="仿宋" w:hAnsi="仿宋" w:eastAsia="仿宋" w:cs="仿宋"/>
          <w:bCs/>
          <w:color w:val="auto"/>
          <w:sz w:val="24"/>
          <w:highlight w:val="none"/>
        </w:rPr>
      </w:pPr>
      <w:r>
        <w:rPr>
          <w:rFonts w:hint="eastAsia" w:ascii="仿宋" w:hAnsi="仿宋" w:eastAsia="仿宋" w:cs="仿宋"/>
          <w:color w:val="auto"/>
          <w:sz w:val="24"/>
          <w:highlight w:val="none"/>
        </w:rPr>
        <w:t>24.</w:t>
      </w:r>
      <w:r>
        <w:rPr>
          <w:rFonts w:hint="eastAsia" w:ascii="仿宋" w:hAnsi="仿宋" w:eastAsia="仿宋" w:cs="仿宋"/>
          <w:bCs/>
          <w:color w:val="auto"/>
          <w:sz w:val="24"/>
          <w:highlight w:val="none"/>
        </w:rPr>
        <w:t>废标</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在磋商中，出现下列情形之一的，应予废标：</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24.1出现影响采购公正的违法、违规行为的；</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24.2因重大变故，采购任务取消的；</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24.3供应商的报价均超采购预算的，采购人不能支付的；</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bCs/>
          <w:color w:val="auto"/>
          <w:sz w:val="24"/>
          <w:highlight w:val="none"/>
        </w:rPr>
        <w:t>24.4</w:t>
      </w:r>
      <w:r>
        <w:rPr>
          <w:rFonts w:hint="eastAsia" w:ascii="仿宋" w:hAnsi="仿宋" w:eastAsia="仿宋" w:cs="仿宋"/>
          <w:bCs/>
          <w:snapToGrid w:val="0"/>
          <w:color w:val="auto"/>
          <w:sz w:val="24"/>
          <w:highlight w:val="none"/>
        </w:rPr>
        <w:t>法律、法规、规章等规定的其他情形除外。</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废标后，采购代理机构将废标理由通知所有供应商。</w:t>
      </w:r>
    </w:p>
    <w:p>
      <w:pPr>
        <w:spacing w:line="560" w:lineRule="exact"/>
        <w:ind w:firstLine="536" w:firstLineChars="200"/>
        <w:rPr>
          <w:rFonts w:ascii="仿宋" w:hAnsi="仿宋" w:eastAsia="仿宋" w:cs="仿宋"/>
          <w:b/>
          <w:bCs/>
          <w:color w:val="auto"/>
          <w:spacing w:val="14"/>
          <w:sz w:val="24"/>
          <w:highlight w:val="none"/>
          <w:u w:val="single"/>
        </w:rPr>
      </w:pPr>
      <w:r>
        <w:rPr>
          <w:rFonts w:hint="eastAsia" w:ascii="仿宋" w:hAnsi="仿宋" w:eastAsia="仿宋" w:cs="仿宋"/>
          <w:bCs/>
          <w:color w:val="auto"/>
          <w:spacing w:val="14"/>
          <w:sz w:val="24"/>
          <w:highlight w:val="none"/>
        </w:rPr>
        <w:t>本磋商规则及</w:t>
      </w:r>
      <w:r>
        <w:rPr>
          <w:rFonts w:hint="eastAsia" w:ascii="仿宋" w:hAnsi="仿宋" w:eastAsia="仿宋" w:cs="仿宋"/>
          <w:bCs/>
          <w:color w:val="auto"/>
          <w:sz w:val="24"/>
          <w:highlight w:val="none"/>
        </w:rPr>
        <w:t>程序</w:t>
      </w:r>
      <w:r>
        <w:rPr>
          <w:rFonts w:hint="eastAsia" w:ascii="仿宋" w:hAnsi="仿宋" w:eastAsia="仿宋" w:cs="仿宋"/>
          <w:bCs/>
          <w:color w:val="auto"/>
          <w:spacing w:val="14"/>
          <w:sz w:val="24"/>
          <w:highlight w:val="none"/>
        </w:rPr>
        <w:t>只适用于</w:t>
      </w:r>
      <w:r>
        <w:rPr>
          <w:rFonts w:hint="eastAsia" w:ascii="仿宋" w:hAnsi="仿宋" w:eastAsia="仿宋" w:cs="仿宋"/>
          <w:b/>
          <w:bCs/>
          <w:color w:val="auto"/>
          <w:spacing w:val="14"/>
          <w:sz w:val="24"/>
          <w:highlight w:val="none"/>
          <w:u w:val="single"/>
        </w:rPr>
        <w:t>“</w:t>
      </w:r>
      <w:r>
        <w:rPr>
          <w:rFonts w:hint="eastAsia" w:ascii="仿宋" w:hAnsi="仿宋" w:eastAsia="仿宋" w:cs="仿宋"/>
          <w:b/>
          <w:bCs/>
          <w:color w:val="auto"/>
          <w:spacing w:val="14"/>
          <w:sz w:val="24"/>
          <w:highlight w:val="none"/>
          <w:u w:val="single"/>
          <w:lang w:eastAsia="zh-CN"/>
        </w:rPr>
        <w:t>街道机关2024年度食堂食材第三方配送及食堂运维项目</w:t>
      </w:r>
      <w:r>
        <w:rPr>
          <w:rFonts w:hint="eastAsia" w:ascii="仿宋" w:hAnsi="仿宋" w:eastAsia="仿宋" w:cs="仿宋"/>
          <w:b/>
          <w:bCs/>
          <w:color w:val="auto"/>
          <w:spacing w:val="-4"/>
          <w:sz w:val="24"/>
          <w:szCs w:val="21"/>
          <w:highlight w:val="none"/>
          <w:u w:val="single"/>
        </w:rPr>
        <w:t>（</w:t>
      </w:r>
      <w:r>
        <w:rPr>
          <w:rFonts w:hint="eastAsia" w:ascii="仿宋" w:hAnsi="仿宋" w:eastAsia="仿宋" w:cs="仿宋"/>
          <w:b/>
          <w:color w:val="auto"/>
          <w:spacing w:val="14"/>
          <w:sz w:val="24"/>
          <w:highlight w:val="none"/>
          <w:u w:val="single"/>
        </w:rPr>
        <w:t>编号：</w:t>
      </w:r>
      <w:r>
        <w:rPr>
          <w:rFonts w:hint="eastAsia" w:ascii="仿宋" w:hAnsi="仿宋" w:eastAsia="仿宋" w:cs="仿宋"/>
          <w:b/>
          <w:color w:val="auto"/>
          <w:spacing w:val="14"/>
          <w:sz w:val="24"/>
          <w:highlight w:val="none"/>
          <w:u w:val="single"/>
          <w:lang w:eastAsia="zh-CN"/>
        </w:rPr>
        <w:t>XCXHZ-202</w:t>
      </w:r>
      <w:r>
        <w:rPr>
          <w:rFonts w:hint="eastAsia" w:ascii="仿宋" w:hAnsi="仿宋" w:eastAsia="仿宋" w:cs="仿宋"/>
          <w:b/>
          <w:color w:val="auto"/>
          <w:spacing w:val="14"/>
          <w:sz w:val="24"/>
          <w:highlight w:val="none"/>
          <w:u w:val="single"/>
          <w:lang w:val="en-US" w:eastAsia="zh-CN"/>
        </w:rPr>
        <w:t>4</w:t>
      </w:r>
      <w:r>
        <w:rPr>
          <w:rFonts w:hint="eastAsia" w:ascii="仿宋" w:hAnsi="仿宋" w:eastAsia="仿宋" w:cs="仿宋"/>
          <w:b/>
          <w:color w:val="auto"/>
          <w:spacing w:val="14"/>
          <w:sz w:val="24"/>
          <w:highlight w:val="none"/>
          <w:u w:val="single"/>
          <w:lang w:eastAsia="zh-CN"/>
        </w:rPr>
        <w:t>-</w:t>
      </w:r>
      <w:r>
        <w:rPr>
          <w:rFonts w:hint="eastAsia" w:ascii="仿宋" w:hAnsi="仿宋" w:eastAsia="仿宋" w:cs="仿宋"/>
          <w:b/>
          <w:color w:val="auto"/>
          <w:spacing w:val="14"/>
          <w:sz w:val="24"/>
          <w:highlight w:val="none"/>
          <w:u w:val="single"/>
          <w:lang w:val="en-US" w:eastAsia="zh-CN"/>
        </w:rPr>
        <w:t>003</w:t>
      </w:r>
      <w:r>
        <w:rPr>
          <w:rFonts w:hint="eastAsia" w:ascii="仿宋" w:hAnsi="仿宋" w:eastAsia="仿宋" w:cs="仿宋"/>
          <w:b/>
          <w:color w:val="auto"/>
          <w:spacing w:val="14"/>
          <w:sz w:val="24"/>
          <w:highlight w:val="none"/>
          <w:u w:val="single"/>
          <w:lang w:eastAsia="zh-CN"/>
        </w:rPr>
        <w:t xml:space="preserve">（CG） </w:t>
      </w:r>
      <w:r>
        <w:rPr>
          <w:rFonts w:hint="eastAsia" w:ascii="仿宋" w:hAnsi="仿宋" w:eastAsia="仿宋" w:cs="仿宋"/>
          <w:b/>
          <w:color w:val="auto"/>
          <w:spacing w:val="14"/>
          <w:sz w:val="24"/>
          <w:highlight w:val="none"/>
          <w:u w:val="single"/>
        </w:rPr>
        <w:t xml:space="preserve"> )”</w:t>
      </w:r>
      <w:r>
        <w:rPr>
          <w:rFonts w:hint="eastAsia" w:ascii="仿宋" w:hAnsi="仿宋" w:eastAsia="仿宋" w:cs="仿宋"/>
          <w:bCs/>
          <w:color w:val="auto"/>
          <w:spacing w:val="14"/>
          <w:sz w:val="24"/>
          <w:highlight w:val="none"/>
        </w:rPr>
        <w:t>磋商文件。</w:t>
      </w:r>
    </w:p>
    <w:p>
      <w:pPr>
        <w:pStyle w:val="3"/>
        <w:spacing w:line="560" w:lineRule="exact"/>
        <w:jc w:val="center"/>
        <w:rPr>
          <w:rFonts w:ascii="仿宋" w:hAnsi="仿宋" w:eastAsia="仿宋" w:cs="仿宋"/>
          <w:color w:val="auto"/>
          <w:spacing w:val="14"/>
          <w:sz w:val="28"/>
          <w:szCs w:val="28"/>
          <w:highlight w:val="none"/>
        </w:rPr>
      </w:pPr>
      <w:bookmarkStart w:id="12" w:name="_Toc452995900"/>
      <w:r>
        <w:rPr>
          <w:rFonts w:hint="eastAsia" w:ascii="仿宋" w:hAnsi="仿宋" w:eastAsia="仿宋" w:cs="仿宋"/>
          <w:color w:val="auto"/>
          <w:spacing w:val="14"/>
          <w:sz w:val="28"/>
          <w:szCs w:val="28"/>
          <w:highlight w:val="none"/>
        </w:rPr>
        <w:t>五、授予合同</w:t>
      </w:r>
      <w:bookmarkEnd w:id="12"/>
    </w:p>
    <w:p>
      <w:pPr>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25.授予合同的依据</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25</w:t>
      </w:r>
      <w:r>
        <w:rPr>
          <w:rFonts w:hint="eastAsia" w:ascii="仿宋" w:hAnsi="仿宋" w:eastAsia="仿宋" w:cs="仿宋"/>
          <w:bCs/>
          <w:color w:val="auto"/>
          <w:sz w:val="24"/>
          <w:highlight w:val="none"/>
        </w:rPr>
        <w:t>.1</w:t>
      </w:r>
      <w:r>
        <w:rPr>
          <w:rFonts w:hint="eastAsia" w:ascii="仿宋" w:hAnsi="仿宋" w:eastAsia="仿宋" w:cs="仿宋"/>
          <w:color w:val="auto"/>
          <w:sz w:val="24"/>
          <w:highlight w:val="none"/>
        </w:rPr>
        <w:t>采购代理机构签发的成交通知书；</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25</w:t>
      </w:r>
      <w:r>
        <w:rPr>
          <w:rFonts w:hint="eastAsia" w:ascii="仿宋" w:hAnsi="仿宋" w:eastAsia="仿宋" w:cs="仿宋"/>
          <w:bCs/>
          <w:color w:val="auto"/>
          <w:sz w:val="24"/>
          <w:highlight w:val="none"/>
        </w:rPr>
        <w:t>.2</w:t>
      </w:r>
      <w:r>
        <w:rPr>
          <w:rFonts w:hint="eastAsia" w:ascii="仿宋" w:hAnsi="仿宋" w:eastAsia="仿宋" w:cs="仿宋"/>
          <w:color w:val="auto"/>
          <w:sz w:val="24"/>
          <w:highlight w:val="none"/>
        </w:rPr>
        <w:t>磋商文件、磋商文件的修改及补充通知（函）；</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25</w:t>
      </w:r>
      <w:r>
        <w:rPr>
          <w:rFonts w:hint="eastAsia" w:ascii="仿宋" w:hAnsi="仿宋" w:eastAsia="仿宋" w:cs="仿宋"/>
          <w:bCs/>
          <w:color w:val="auto"/>
          <w:sz w:val="24"/>
          <w:highlight w:val="none"/>
        </w:rPr>
        <w:t>.3</w:t>
      </w:r>
      <w:r>
        <w:rPr>
          <w:rFonts w:hint="eastAsia" w:ascii="仿宋" w:hAnsi="仿宋" w:eastAsia="仿宋" w:cs="仿宋"/>
          <w:color w:val="auto"/>
          <w:sz w:val="24"/>
          <w:highlight w:val="none"/>
        </w:rPr>
        <w:t>响应文件和磋商时供应商作出的书面澄清、说明、纠正、承诺等；</w:t>
      </w:r>
    </w:p>
    <w:p>
      <w:pPr>
        <w:spacing w:line="560" w:lineRule="exact"/>
        <w:rPr>
          <w:rFonts w:ascii="仿宋" w:hAnsi="仿宋" w:eastAsia="仿宋" w:cs="仿宋"/>
          <w:bCs/>
          <w:color w:val="auto"/>
          <w:sz w:val="24"/>
          <w:highlight w:val="none"/>
        </w:rPr>
      </w:pPr>
      <w:r>
        <w:rPr>
          <w:rFonts w:hint="eastAsia" w:ascii="仿宋" w:hAnsi="仿宋" w:eastAsia="仿宋" w:cs="仿宋"/>
          <w:bCs/>
          <w:color w:val="auto"/>
          <w:sz w:val="24"/>
          <w:highlight w:val="none"/>
        </w:rPr>
        <w:t>26</w:t>
      </w:r>
      <w:r>
        <w:rPr>
          <w:rFonts w:hint="eastAsia" w:ascii="仿宋" w:hAnsi="仿宋" w:eastAsia="仿宋" w:cs="仿宋"/>
          <w:color w:val="auto"/>
          <w:sz w:val="24"/>
          <w:highlight w:val="none"/>
        </w:rPr>
        <w:t>.</w:t>
      </w:r>
      <w:r>
        <w:rPr>
          <w:rFonts w:hint="eastAsia" w:ascii="仿宋" w:hAnsi="仿宋" w:eastAsia="仿宋" w:cs="仿宋"/>
          <w:bCs/>
          <w:color w:val="auto"/>
          <w:sz w:val="24"/>
          <w:highlight w:val="none"/>
        </w:rPr>
        <w:t>合同签订</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26.1成交供应商与采购人应按成交通知书中规定的时间、地点签订合同，否则应承担相应的法律责任。</w:t>
      </w:r>
    </w:p>
    <w:p>
      <w:pPr>
        <w:spacing w:line="560" w:lineRule="exact"/>
        <w:ind w:firstLine="480" w:firstLineChars="200"/>
        <w:rPr>
          <w:rFonts w:ascii="仿宋" w:hAnsi="仿宋" w:eastAsia="仿宋" w:cs="仿宋"/>
          <w:b/>
          <w:bCs/>
          <w:color w:val="auto"/>
          <w:sz w:val="24"/>
          <w:highlight w:val="none"/>
        </w:rPr>
      </w:pPr>
      <w:r>
        <w:rPr>
          <w:rFonts w:hint="eastAsia" w:ascii="仿宋" w:hAnsi="仿宋" w:eastAsia="仿宋" w:cs="仿宋"/>
          <w:bCs/>
          <w:color w:val="auto"/>
          <w:sz w:val="24"/>
          <w:highlight w:val="none"/>
        </w:rPr>
        <w:t>26.2磋商文件、成交供应商的响应文件及磋商过程中有关澄清文件和承诺均为合同附件。</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26.3</w:t>
      </w:r>
      <w:r>
        <w:rPr>
          <w:rFonts w:hint="eastAsia" w:ascii="仿宋" w:hAnsi="仿宋" w:eastAsia="仿宋" w:cs="仿宋"/>
          <w:snapToGrid w:val="0"/>
          <w:color w:val="auto"/>
          <w:sz w:val="24"/>
          <w:highlight w:val="none"/>
        </w:rPr>
        <w:t>采购人与成交供应商将根据《</w:t>
      </w:r>
      <w:r>
        <w:rPr>
          <w:rFonts w:hint="eastAsia" w:ascii="仿宋" w:hAnsi="仿宋" w:eastAsia="仿宋" w:cs="仿宋"/>
          <w:snapToGrid w:val="0"/>
          <w:color w:val="auto"/>
          <w:sz w:val="24"/>
          <w:highlight w:val="none"/>
          <w:lang w:eastAsia="zh-CN"/>
        </w:rPr>
        <w:t>中华人民共和国民法典</w:t>
      </w:r>
      <w:r>
        <w:rPr>
          <w:rFonts w:hint="eastAsia" w:ascii="仿宋" w:hAnsi="仿宋" w:eastAsia="仿宋" w:cs="仿宋"/>
          <w:snapToGrid w:val="0"/>
          <w:color w:val="auto"/>
          <w:sz w:val="24"/>
          <w:highlight w:val="none"/>
        </w:rPr>
        <w:t>》的规定，依据磋商文件和成交供应商的响应文件签订书面合同。</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26.4采购人如不与</w:t>
      </w:r>
      <w:r>
        <w:rPr>
          <w:rFonts w:hint="eastAsia" w:ascii="仿宋" w:hAnsi="仿宋" w:eastAsia="仿宋" w:cs="仿宋"/>
          <w:snapToGrid w:val="0"/>
          <w:color w:val="auto"/>
          <w:sz w:val="24"/>
          <w:highlight w:val="none"/>
        </w:rPr>
        <w:t>成交</w:t>
      </w:r>
      <w:r>
        <w:rPr>
          <w:rFonts w:hint="eastAsia" w:ascii="仿宋" w:hAnsi="仿宋" w:eastAsia="仿宋" w:cs="仿宋"/>
          <w:color w:val="auto"/>
          <w:sz w:val="24"/>
          <w:highlight w:val="none"/>
        </w:rPr>
        <w:t>供应商订立合同，或者采购人、</w:t>
      </w:r>
      <w:r>
        <w:rPr>
          <w:rFonts w:hint="eastAsia" w:ascii="仿宋" w:hAnsi="仿宋" w:eastAsia="仿宋" w:cs="仿宋"/>
          <w:snapToGrid w:val="0"/>
          <w:color w:val="auto"/>
          <w:sz w:val="24"/>
          <w:highlight w:val="none"/>
        </w:rPr>
        <w:t>成交</w:t>
      </w:r>
      <w:r>
        <w:rPr>
          <w:rFonts w:hint="eastAsia" w:ascii="仿宋" w:hAnsi="仿宋" w:eastAsia="仿宋" w:cs="仿宋"/>
          <w:color w:val="auto"/>
          <w:sz w:val="24"/>
          <w:highlight w:val="none"/>
        </w:rPr>
        <w:t>供应商订立背离合同实质性内容的协议，由政府有关部门责令改正，同时依法承担相应法律责任；</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26.5</w:t>
      </w:r>
      <w:r>
        <w:rPr>
          <w:rFonts w:hint="eastAsia" w:ascii="仿宋" w:hAnsi="仿宋" w:eastAsia="仿宋" w:cs="仿宋"/>
          <w:snapToGrid w:val="0"/>
          <w:color w:val="auto"/>
          <w:sz w:val="24"/>
          <w:highlight w:val="none"/>
        </w:rPr>
        <w:t>成交</w:t>
      </w:r>
      <w:r>
        <w:rPr>
          <w:rFonts w:hint="eastAsia" w:ascii="仿宋" w:hAnsi="仿宋" w:eastAsia="仿宋" w:cs="仿宋"/>
          <w:color w:val="auto"/>
          <w:sz w:val="24"/>
          <w:highlight w:val="none"/>
        </w:rPr>
        <w:t>供应商如不按规定与采购人订立合同，则采购代理机构将废除授标，保证金不予退还，给采购人造成的损失超过响应担保数额的，还应当对超过部分予以赔偿，同时依法承担相应法律责任。</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26.6</w:t>
      </w:r>
      <w:r>
        <w:rPr>
          <w:rFonts w:hint="eastAsia" w:ascii="仿宋" w:hAnsi="仿宋" w:eastAsia="仿宋" w:cs="仿宋"/>
          <w:snapToGrid w:val="0"/>
          <w:color w:val="auto"/>
          <w:sz w:val="24"/>
          <w:highlight w:val="none"/>
        </w:rPr>
        <w:t>成交</w:t>
      </w:r>
      <w:r>
        <w:rPr>
          <w:rFonts w:hint="eastAsia" w:ascii="仿宋" w:hAnsi="仿宋" w:eastAsia="仿宋" w:cs="仿宋"/>
          <w:color w:val="auto"/>
          <w:sz w:val="24"/>
          <w:highlight w:val="none"/>
        </w:rPr>
        <w:t>供应商应当按照合同约定履行义务，完成</w:t>
      </w:r>
      <w:r>
        <w:rPr>
          <w:rFonts w:hint="eastAsia" w:ascii="仿宋" w:hAnsi="仿宋" w:eastAsia="仿宋" w:cs="仿宋"/>
          <w:snapToGrid w:val="0"/>
          <w:color w:val="auto"/>
          <w:sz w:val="24"/>
          <w:highlight w:val="none"/>
        </w:rPr>
        <w:t>成交</w:t>
      </w:r>
      <w:r>
        <w:rPr>
          <w:rFonts w:hint="eastAsia" w:ascii="仿宋" w:hAnsi="仿宋" w:eastAsia="仿宋" w:cs="仿宋"/>
          <w:color w:val="auto"/>
          <w:sz w:val="24"/>
          <w:highlight w:val="none"/>
        </w:rPr>
        <w:t>项目各项工作，不得将</w:t>
      </w:r>
      <w:r>
        <w:rPr>
          <w:rFonts w:hint="eastAsia" w:ascii="仿宋" w:hAnsi="仿宋" w:eastAsia="仿宋" w:cs="仿宋"/>
          <w:snapToGrid w:val="0"/>
          <w:color w:val="auto"/>
          <w:sz w:val="24"/>
          <w:highlight w:val="none"/>
        </w:rPr>
        <w:t>成交</w:t>
      </w:r>
      <w:r>
        <w:rPr>
          <w:rFonts w:hint="eastAsia" w:ascii="仿宋" w:hAnsi="仿宋" w:eastAsia="仿宋" w:cs="仿宋"/>
          <w:color w:val="auto"/>
          <w:sz w:val="24"/>
          <w:highlight w:val="none"/>
        </w:rPr>
        <w:t>项目违法转让（转包）给他人；</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26.7如果</w:t>
      </w:r>
      <w:r>
        <w:rPr>
          <w:rFonts w:hint="eastAsia" w:ascii="仿宋" w:hAnsi="仿宋" w:eastAsia="仿宋" w:cs="仿宋"/>
          <w:snapToGrid w:val="0"/>
          <w:color w:val="auto"/>
          <w:sz w:val="24"/>
          <w:highlight w:val="none"/>
        </w:rPr>
        <w:t>成交</w:t>
      </w:r>
      <w:r>
        <w:rPr>
          <w:rFonts w:hint="eastAsia" w:ascii="仿宋" w:hAnsi="仿宋" w:eastAsia="仿宋" w:cs="仿宋"/>
          <w:color w:val="auto"/>
          <w:sz w:val="24"/>
          <w:highlight w:val="none"/>
        </w:rPr>
        <w:t>供应商未能遵守本须知第26.6条的规定，则可取消其</w:t>
      </w:r>
      <w:r>
        <w:rPr>
          <w:rFonts w:hint="eastAsia" w:ascii="仿宋" w:hAnsi="仿宋" w:eastAsia="仿宋" w:cs="仿宋"/>
          <w:snapToGrid w:val="0"/>
          <w:color w:val="auto"/>
          <w:sz w:val="24"/>
          <w:highlight w:val="none"/>
        </w:rPr>
        <w:t>成交</w:t>
      </w:r>
      <w:r>
        <w:rPr>
          <w:rFonts w:hint="eastAsia" w:ascii="仿宋" w:hAnsi="仿宋" w:eastAsia="仿宋" w:cs="仿宋"/>
          <w:color w:val="auto"/>
          <w:sz w:val="24"/>
          <w:highlight w:val="none"/>
        </w:rPr>
        <w:t>资格。在此情况下，可将合同授予排序在</w:t>
      </w:r>
      <w:r>
        <w:rPr>
          <w:rFonts w:hint="eastAsia" w:ascii="仿宋" w:hAnsi="仿宋" w:eastAsia="仿宋" w:cs="仿宋"/>
          <w:snapToGrid w:val="0"/>
          <w:color w:val="auto"/>
          <w:sz w:val="24"/>
          <w:highlight w:val="none"/>
        </w:rPr>
        <w:t>成交</w:t>
      </w:r>
      <w:r>
        <w:rPr>
          <w:rFonts w:hint="eastAsia" w:ascii="仿宋" w:hAnsi="仿宋" w:eastAsia="仿宋" w:cs="仿宋"/>
          <w:color w:val="auto"/>
          <w:sz w:val="24"/>
          <w:highlight w:val="none"/>
        </w:rPr>
        <w:t>供应商之后的第一位</w:t>
      </w:r>
      <w:r>
        <w:rPr>
          <w:rFonts w:hint="eastAsia" w:ascii="仿宋" w:hAnsi="仿宋" w:eastAsia="仿宋" w:cs="仿宋"/>
          <w:snapToGrid w:val="0"/>
          <w:color w:val="auto"/>
          <w:sz w:val="24"/>
          <w:highlight w:val="none"/>
        </w:rPr>
        <w:t>成交</w:t>
      </w:r>
      <w:r>
        <w:rPr>
          <w:rFonts w:hint="eastAsia" w:ascii="仿宋" w:hAnsi="仿宋" w:eastAsia="仿宋" w:cs="仿宋"/>
          <w:color w:val="auto"/>
          <w:sz w:val="24"/>
          <w:highlight w:val="none"/>
        </w:rPr>
        <w:t>候选供应商。</w:t>
      </w:r>
    </w:p>
    <w:p>
      <w:pPr>
        <w:spacing w:line="56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26.8自合同签订之日起七个工作日内，成交供应商需将合同副本分别送</w:t>
      </w:r>
      <w:r>
        <w:rPr>
          <w:rFonts w:hint="eastAsia" w:ascii="仿宋" w:hAnsi="仿宋" w:eastAsia="仿宋" w:cs="仿宋"/>
          <w:color w:val="auto"/>
          <w:sz w:val="24"/>
          <w:highlight w:val="none"/>
        </w:rPr>
        <w:t>湖州市财政局政府采购监管处</w:t>
      </w:r>
      <w:r>
        <w:rPr>
          <w:rFonts w:hint="eastAsia" w:ascii="仿宋" w:hAnsi="仿宋" w:eastAsia="仿宋" w:cs="仿宋"/>
          <w:bCs/>
          <w:color w:val="auto"/>
          <w:sz w:val="24"/>
          <w:highlight w:val="none"/>
        </w:rPr>
        <w:t>和采购代理机构备案。</w:t>
      </w:r>
    </w:p>
    <w:p>
      <w:pPr>
        <w:spacing w:line="560" w:lineRule="exact"/>
        <w:rPr>
          <w:rFonts w:ascii="仿宋" w:hAnsi="仿宋" w:eastAsia="仿宋" w:cs="仿宋"/>
          <w:bCs/>
          <w:color w:val="auto"/>
          <w:sz w:val="24"/>
          <w:highlight w:val="none"/>
        </w:rPr>
      </w:pPr>
    </w:p>
    <w:p>
      <w:pPr>
        <w:pStyle w:val="3"/>
        <w:spacing w:line="560" w:lineRule="exact"/>
        <w:jc w:val="center"/>
        <w:rPr>
          <w:rFonts w:ascii="仿宋" w:hAnsi="仿宋" w:eastAsia="仿宋" w:cs="仿宋"/>
          <w:color w:val="auto"/>
          <w:spacing w:val="14"/>
          <w:sz w:val="28"/>
          <w:szCs w:val="28"/>
          <w:highlight w:val="none"/>
        </w:rPr>
      </w:pPr>
      <w:r>
        <w:rPr>
          <w:rFonts w:hint="eastAsia" w:ascii="仿宋" w:hAnsi="仿宋" w:eastAsia="仿宋" w:cs="仿宋"/>
          <w:color w:val="auto"/>
          <w:spacing w:val="14"/>
          <w:sz w:val="28"/>
          <w:szCs w:val="28"/>
          <w:highlight w:val="none"/>
        </w:rPr>
        <w:t>六、其他内容</w:t>
      </w:r>
    </w:p>
    <w:p>
      <w:pPr>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27.发生下列情况之一，供应商自愿接受取消磋商资格、记入信用档案、媒体通报、1-3年内禁止参与政府采购等处罚；如已成交的，自动放弃成交资格，并承担全部法律责任；给采购人造成损失的，依法承担赔偿责任：</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27.1供应商在提交磋商（响应）文件截止时间后撤回磋商（响应）文件的；</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27.2供应商在磋商（响应）文件中提交虚假材料的；</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27.3除因不可抗力或磋商文件认可的情形以外，成交供应商不与采购人签订合同的；</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27.4供应商与采购人、其他供应商或者采购代理机构恶意串通的；</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27.5成交供应商拒绝缴纳磋商代理服务费的；</w:t>
      </w:r>
    </w:p>
    <w:p>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27.6磋商文件规定的其他情形。</w:t>
      </w:r>
    </w:p>
    <w:p>
      <w:pP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pPr>
        <w:tabs>
          <w:tab w:val="left" w:pos="8100"/>
        </w:tabs>
        <w:spacing w:line="560" w:lineRule="exact"/>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第四章 合同主要条款</w:t>
      </w:r>
    </w:p>
    <w:p>
      <w:pPr>
        <w:pStyle w:val="2"/>
        <w:spacing w:line="500" w:lineRule="exact"/>
        <w:jc w:val="center"/>
        <w:rPr>
          <w:rFonts w:ascii="仿宋" w:hAnsi="仿宋" w:eastAsia="仿宋" w:cs="仿宋"/>
          <w:b w:val="0"/>
          <w:bCs w:val="0"/>
          <w:snapToGrid w:val="0"/>
          <w:color w:val="auto"/>
          <w:sz w:val="36"/>
          <w:szCs w:val="36"/>
          <w:highlight w:val="none"/>
        </w:rPr>
      </w:pPr>
      <w:r>
        <w:rPr>
          <w:rFonts w:hint="eastAsia" w:ascii="仿宋" w:hAnsi="仿宋" w:eastAsia="仿宋" w:cs="仿宋"/>
          <w:color w:val="auto"/>
          <w:sz w:val="28"/>
          <w:szCs w:val="28"/>
          <w:highlight w:val="none"/>
        </w:rPr>
        <w:t>（仅供参考，以正式合同为准）</w:t>
      </w:r>
    </w:p>
    <w:p>
      <w:pPr>
        <w:spacing w:line="360" w:lineRule="auto"/>
        <w:jc w:val="both"/>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财政审批编号: </w:t>
      </w:r>
      <w:r>
        <w:rPr>
          <w:rFonts w:hint="eastAsia" w:ascii="仿宋" w:hAnsi="仿宋" w:eastAsia="仿宋" w:cs="仿宋"/>
          <w:color w:val="auto"/>
          <w:sz w:val="24"/>
          <w:highlight w:val="none"/>
          <w:lang w:eastAsia="zh-CN"/>
        </w:rPr>
        <w:t>南太湖新区财采确临[202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19号</w:t>
      </w:r>
      <w:r>
        <w:rPr>
          <w:rFonts w:hint="eastAsia" w:ascii="仿宋" w:hAnsi="仿宋" w:eastAsia="仿宋" w:cs="仿宋"/>
          <w:color w:val="auto"/>
          <w:sz w:val="24"/>
          <w:highlight w:val="none"/>
        </w:rPr>
        <w:t xml:space="preserve">  采购文件编号: </w:t>
      </w:r>
      <w:r>
        <w:rPr>
          <w:rFonts w:hint="eastAsia" w:ascii="仿宋" w:hAnsi="仿宋" w:eastAsia="仿宋" w:cs="仿宋"/>
          <w:color w:val="auto"/>
          <w:sz w:val="24"/>
          <w:highlight w:val="none"/>
          <w:lang w:eastAsia="zh-CN"/>
        </w:rPr>
        <w:t>XCXHZ-202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003</w:t>
      </w:r>
      <w:r>
        <w:rPr>
          <w:rFonts w:hint="eastAsia" w:ascii="仿宋" w:hAnsi="仿宋" w:eastAsia="仿宋" w:cs="仿宋"/>
          <w:color w:val="auto"/>
          <w:sz w:val="24"/>
          <w:highlight w:val="none"/>
          <w:lang w:eastAsia="zh-CN"/>
        </w:rPr>
        <w:t xml:space="preserve">（CG） </w:t>
      </w:r>
    </w:p>
    <w:p>
      <w:pPr>
        <w:snapToGrid w:val="0"/>
        <w:spacing w:line="40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甲方（采购人）：</w:t>
      </w:r>
    </w:p>
    <w:p>
      <w:pPr>
        <w:snapToGrid w:val="0"/>
        <w:spacing w:line="40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乙方（成交人）：</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甲、乙双方根据</w:t>
      </w:r>
      <w:r>
        <w:rPr>
          <w:rFonts w:hint="eastAsia" w:ascii="仿宋" w:hAnsi="仿宋" w:eastAsia="仿宋" w:cs="仿宋"/>
          <w:color w:val="auto"/>
          <w:sz w:val="24"/>
          <w:highlight w:val="none"/>
          <w:u w:val="single"/>
          <w:lang w:eastAsia="zh-CN"/>
        </w:rPr>
        <w:t xml:space="preserve">浙江新诚信工程咨询有限公司 </w:t>
      </w:r>
      <w:r>
        <w:rPr>
          <w:rFonts w:hint="eastAsia" w:ascii="仿宋" w:hAnsi="仿宋" w:eastAsia="仿宋" w:cs="仿宋"/>
          <w:color w:val="auto"/>
          <w:sz w:val="24"/>
          <w:highlight w:val="none"/>
        </w:rPr>
        <w:t>关于</w:t>
      </w:r>
      <w:r>
        <w:rPr>
          <w:rFonts w:hint="eastAsia" w:ascii="仿宋" w:hAnsi="仿宋" w:eastAsia="仿宋" w:cs="仿宋"/>
          <w:color w:val="auto"/>
          <w:sz w:val="24"/>
          <w:highlight w:val="none"/>
          <w:u w:val="single"/>
          <w:lang w:eastAsia="zh-CN"/>
        </w:rPr>
        <w:t xml:space="preserve">街道机关2024年度食堂食材第三方配送及食堂运维项目 </w:t>
      </w:r>
      <w:r>
        <w:rPr>
          <w:rFonts w:hint="eastAsia" w:ascii="仿宋" w:hAnsi="仿宋" w:eastAsia="仿宋" w:cs="仿宋"/>
          <w:color w:val="auto"/>
          <w:sz w:val="24"/>
          <w:highlight w:val="none"/>
        </w:rPr>
        <w:t>竞争性磋商的结果，签署本合同。</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1.定义</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本合同中的下列术语应解释为：</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1.1“合同”系指供需双方签署的、合同格式中载明的供需双方所达成的协议，包括所有的附件、附录和构成合同的所有文件；</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1.2“合同价”系指根据合同规定，甲方在供应商完全履行合同义务后应付给的价格；</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1.3“货物”系指乙方根据合同规定向采购人提供的一切货物、质量保证书和其他技术资料及技术参数；</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1.4“服务”系指根据合同规定乙方承担与供货有关的辅助服务，如运输、装卸、安装、保险以及其他的服务，例如安装、调试提供技术援助、培训和其他类似的义务；</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1.5“甲方”系指具体使用货物和接受服务的使用单位；</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1.6“乙方”系指根据合同规定提供采购项目货物和服务的具有法人资格的公司、企业或实体；</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2.合同项目与内容</w:t>
      </w:r>
    </w:p>
    <w:p>
      <w:pPr>
        <w:snapToGrid w:val="0"/>
        <w:spacing w:line="400" w:lineRule="exact"/>
        <w:ind w:firstLine="480" w:firstLineChars="200"/>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2.1合同项目：</w:t>
      </w:r>
      <w:r>
        <w:rPr>
          <w:rFonts w:hint="eastAsia" w:ascii="仿宋" w:hAnsi="仿宋" w:eastAsia="仿宋" w:cs="仿宋"/>
          <w:color w:val="auto"/>
          <w:sz w:val="24"/>
          <w:highlight w:val="none"/>
          <w:lang w:eastAsia="zh-CN"/>
        </w:rPr>
        <w:t xml:space="preserve">街道机关2024年度食堂食材第三方配送及食堂运维项目    </w:t>
      </w:r>
    </w:p>
    <w:p>
      <w:pPr>
        <w:snapToGrid w:val="0"/>
        <w:spacing w:line="400" w:lineRule="exact"/>
        <w:ind w:firstLine="480" w:firstLineChars="200"/>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2.2内容：</w:t>
      </w:r>
      <w:r>
        <w:rPr>
          <w:rFonts w:hint="eastAsia" w:ascii="仿宋" w:hAnsi="仿宋" w:eastAsia="仿宋" w:cs="仿宋"/>
          <w:color w:val="auto"/>
          <w:sz w:val="24"/>
          <w:highlight w:val="none"/>
          <w:lang w:eastAsia="zh-CN"/>
        </w:rPr>
        <w:t>湖州市人民政府滨湖街道办事处街道机关202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年度食堂食材第三方配送及食堂运维</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3.服务期限与服务地点</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服务期限：</w:t>
      </w:r>
      <w:r>
        <w:rPr>
          <w:rFonts w:hint="eastAsia" w:ascii="仿宋" w:hAnsi="仿宋" w:eastAsia="仿宋" w:cs="仿宋"/>
          <w:color w:val="auto"/>
          <w:sz w:val="24"/>
          <w:highlight w:val="none"/>
          <w:lang w:val="en-US" w:eastAsia="zh-CN"/>
        </w:rPr>
        <w:t xml:space="preserve">    年 月 日至    年 月 日</w:t>
      </w:r>
      <w:r>
        <w:rPr>
          <w:rFonts w:hint="eastAsia" w:ascii="仿宋" w:hAnsi="仿宋" w:eastAsia="仿宋" w:cs="仿宋"/>
          <w:color w:val="auto"/>
          <w:sz w:val="24"/>
          <w:highlight w:val="none"/>
        </w:rPr>
        <w:t>。</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服务地点：由甲方指定。</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4.签署合同的要求</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4.1、乙方必须按照磋商文件和询标过程中承诺的条款以及成交通知书中规定的时间、地点与甲方签订合同；</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4.2、所签订的合同内容不得对磋商文件和乙方的磋商文件作实质性修改；</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4.3、甲方不得向供应商提出任何不合理的要求，作为签订合同的条件，不得与乙方私下订立背离合同实质性内容的协议；</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5.技术规范</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本合同执行国家及本省、市现行项目实施及验收规范及有关条例、实施办法等。</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提供和交付的服务技术规范应与磋商文件规定的技术规范相一致。</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6.知识产权</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乙方保证所提供的服务及货物均不存在知识产权纠纷。乙方应保证甲方在使用时不受第三方提出侵犯其专利权、商标权等知识产权的诉讼。</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7.工作考核及付款方式</w:t>
      </w:r>
    </w:p>
    <w:p>
      <w:pPr>
        <w:spacing w:line="46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①第一次付款：合同签订并具备实施条件后后7个工作日内支付合同总额的40%作为预付款；</w:t>
      </w:r>
    </w:p>
    <w:p>
      <w:pPr>
        <w:spacing w:line="460" w:lineRule="exact"/>
        <w:ind w:firstLine="480" w:firstLineChars="200"/>
        <w:rPr>
          <w:color w:val="auto"/>
          <w:highlight w:val="none"/>
        </w:rPr>
      </w:pPr>
      <w:r>
        <w:rPr>
          <w:rFonts w:hint="eastAsia" w:ascii="仿宋" w:hAnsi="仿宋" w:eastAsia="仿宋" w:cs="仿宋"/>
          <w:color w:val="auto"/>
          <w:sz w:val="24"/>
          <w:highlight w:val="none"/>
          <w:lang w:val="en-US" w:eastAsia="zh-CN"/>
        </w:rPr>
        <w:t>②第二次付款：（1）食材配送剩余款项每月按实际供货量支付货款。配送价格：由乙方和甲方根据湖州市发改委网站发布的投标当月最后一期湖州市城区部分民生商品价格公示的平均价格，确定基准价，并根据磋商折扣报价定价（</w:t>
      </w:r>
      <w:r>
        <w:rPr>
          <w:rFonts w:hint="eastAsia" w:ascii="仿宋" w:hAnsi="仿宋" w:eastAsia="仿宋" w:cs="仿宋"/>
          <w:color w:val="auto"/>
          <w:sz w:val="24"/>
          <w:highlight w:val="none"/>
          <w:u w:val="single"/>
          <w:lang w:val="en-US" w:eastAsia="zh-CN"/>
        </w:rPr>
        <w:t>配送价格=发改委平均价格*折扣</w:t>
      </w:r>
      <w:r>
        <w:rPr>
          <w:rFonts w:hint="eastAsia" w:ascii="仿宋" w:hAnsi="仿宋" w:eastAsia="仿宋" w:cs="仿宋"/>
          <w:color w:val="auto"/>
          <w:sz w:val="24"/>
          <w:highlight w:val="none"/>
          <w:lang w:val="en-US" w:eastAsia="zh-CN"/>
        </w:rPr>
        <w:t>）。定价后至下一期发改委检测表发布前均按此价格执行，乙方不得另外调高价格。基准价及定价按照每期发改委检测表进行浮动变化。（2）食堂运维费用按每季度结算。</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甲方应自收到乙方开具的发票后15日内将上述相关款项支付到合同约定的乙方账户。</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在签订合同时，乙方明确表示无需预付款或者主动要求降低预付款比例的，采购合同可不适用前述规定。甲方在向乙方支付预付款之前，有权要求乙方向甲方提供与预付款金额相对应的担保措施，担保措施可以是银行、保险公司等金融机构出具的预付款保函或其他担保措施。</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8.支付：支付应使用人民币；</w:t>
      </w:r>
    </w:p>
    <w:p>
      <w:pPr>
        <w:snapToGrid w:val="0"/>
        <w:spacing w:line="400" w:lineRule="exact"/>
        <w:ind w:firstLine="480" w:firstLineChars="200"/>
        <w:jc w:val="lef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9.技术服务</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10.售后服务及承诺</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10.1乙方应明确承诺售后服务各项内容和措施，提供详细的服务地点、联系人、电话等有关资料；</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11.履约保证及后续服务</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11.1 本项目无项目履约保证金。</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11.2乙方应按磋商文件规定的服务标准向采购人提供服务。</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11.3 如甲方检查发现供应商提供的服务服务不符合标准要求，乙方应立即进行整改，直到符合要求为止。甲方可根据考核标准中扣除供应商因检查不合格而应该扣罚的款项（扣罚款项在签订合同时明确）。</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11.4乙方提供的服务人员不符合本合同约定的数额，乙方应当自接到甲方通知之日起2日内予以补足，甲方有权按照缺岗天数及缺岗人数扣除相应的违约金。</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11.5 由于乙方服务人员原因在服务工作中给甲方的设施、材料造成损失，供应商应负责赔偿。</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11.6 在使用过程中发生问题，乙方在接到甲方通知后在</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小时内到达采购人现场。</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11.7 在服务质量保证期内，乙方应对出现的服务质量及安全问题负责处理解决并承担一切费用。</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12.违约责任</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12.1 甲方无正当理由拒收接受服务的，甲方向供应商偿付合同款项百分之五作为违约金。</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12.2 甲方无故逾期验收和办理款项支付手续的,甲方应按逾期付款总额每日万分之五向乙方支付违约金。</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12.3 乙方不按约定提供服务的，每日向甲方支付千分之六违约金。逾期提供服务超过约定日期10个工作日的，甲方可解除本合同。乙方因逾期提供服务或因其他违约行为导致甲方解除合同的，乙方应向甲方支付合同总值5%的违约金，如造成甲方损失超过违约金的，超出部分由乙方继续承担赔偿责任。</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12.4如乙方提供的服务或与服务相关的物品存在知识产权纠纷而导致本合同无法继续履行，在甲方发函要求解决相关知识产权问题后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日内仍未解决的，则甲方有权单方终止本合同的履行，并要求乙方承担相应赔偿责任。</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13.不可抗力事件处理</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13.1 在合同有效期内，任何一方因不可抗力事件导致不能履行合同，则合同履行期可延长，其延长期与不可抗力影响期相同。</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13.2 不可抗力事件发生后，应立即通知对方，并寄送有关权威机构出具的证明。</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13.3 不可抗力事件延续120天以上，双方应通过友好协商，确定是否继续履行合同。</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14.争议解决</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14.1在执行本合同中所发生的或与本合同有关的一切争端，合同双方应通过友好协商解决，经过协商仍不能解决，双方选择通过下列第x种方式解决：</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（1）将争端提交湖州仲裁委员会仲裁</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（2）直接向采购人所在地有管辖权的人民法院起诉。</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14.2仲裁费用或诉讼费用应由败诉方负担。</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14.3在仲裁或诉讼期间，除进行仲裁或诉讼的部分外，本合同其它部分应继续执行。</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15.转让或分包</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15.1本合同范围的服务，应由乙方提供，不得转让他人供应；</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15.2除非得到甲方的书面同意后，乙方可以将其中部分依法分包给他人供应和实施。甲方有绝对权力阻止分包。虽然甲方之前未有阻止分包，甲方仍有权在任何时候拒绝任何分包人，有权要求任何分包人脱离本货物的供应和服务，并不承担任何赔偿责任。</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15.3本合同全部或部分的分包不能减轻乙方承担的责任，乙方仍须将分包人的任何行动、错误或疏忽当作是自己完成的并负全责；</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15.4在任何分包合同中，须注明分包人按分包合同的范围履行，在乙方按本合同的履行终止时（不论任何原因），亦同时一并终止；</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15.5如有转让和未经甲方同意的分包行为，甲方有权给予终止合同。</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16.适用法律</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合同适用法律有《中华人民共和国民法典》、《中华人民共和国产品质量法》和浙江省有关条例等。</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17、合同生效及其它</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1.合同经双方法定代表人或授权代理人签字并加盖单位公章后生效。</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2.合同执行中涉及采购资金和采购内容修改或补充的，须经财政部门审批，并签书面补充协议报政府采购监督管理部门备案，方可作为主合同不可分割的一部分。</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3.本合同未尽事宜，遵照《中华人民共和国民法典》有关条文执行。</w:t>
      </w:r>
    </w:p>
    <w:p>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4.本合同一式六份，其中甲乙双方各执三份。</w:t>
      </w:r>
    </w:p>
    <w:p>
      <w:pPr>
        <w:spacing w:line="440" w:lineRule="exact"/>
        <w:ind w:firstLine="480" w:firstLineChars="200"/>
        <w:rPr>
          <w:rFonts w:ascii="仿宋" w:hAnsi="仿宋" w:eastAsia="仿宋" w:cs="仿宋"/>
          <w:bCs/>
          <w:color w:val="auto"/>
          <w:sz w:val="24"/>
          <w:highlight w:val="none"/>
        </w:rPr>
      </w:pPr>
    </w:p>
    <w:p>
      <w:pPr>
        <w:spacing w:line="44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 xml:space="preserve">采购人：                                 供应商： </w:t>
      </w:r>
    </w:p>
    <w:p>
      <w:pPr>
        <w:spacing w:line="440" w:lineRule="exact"/>
        <w:ind w:firstLine="480" w:firstLineChars="200"/>
        <w:rPr>
          <w:rFonts w:ascii="仿宋" w:hAnsi="仿宋" w:eastAsia="仿宋" w:cs="仿宋"/>
          <w:bCs/>
          <w:color w:val="auto"/>
          <w:sz w:val="24"/>
          <w:highlight w:val="none"/>
        </w:rPr>
      </w:pPr>
    </w:p>
    <w:p>
      <w:pPr>
        <w:spacing w:line="44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 xml:space="preserve">地址：                                   地址： </w:t>
      </w:r>
    </w:p>
    <w:p>
      <w:pPr>
        <w:spacing w:line="440" w:lineRule="exact"/>
        <w:ind w:firstLine="480" w:firstLineChars="200"/>
        <w:rPr>
          <w:rFonts w:ascii="仿宋" w:hAnsi="仿宋" w:eastAsia="仿宋" w:cs="仿宋"/>
          <w:bCs/>
          <w:color w:val="auto"/>
          <w:sz w:val="24"/>
          <w:highlight w:val="none"/>
        </w:rPr>
      </w:pPr>
    </w:p>
    <w:p>
      <w:pPr>
        <w:spacing w:line="44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法定（或授权）代表人：                   法定（或授权）代表人：</w:t>
      </w:r>
    </w:p>
    <w:p>
      <w:pPr>
        <w:pStyle w:val="16"/>
        <w:rPr>
          <w:rFonts w:ascii="仿宋" w:hAnsi="仿宋" w:eastAsia="仿宋" w:cs="仿宋"/>
          <w:color w:val="auto"/>
          <w:highlight w:val="none"/>
        </w:rPr>
      </w:pPr>
    </w:p>
    <w:p>
      <w:pPr>
        <w:spacing w:line="44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签字日期：年  月  日                     签字日期：年  月  日</w:t>
      </w:r>
    </w:p>
    <w:p>
      <w:pPr>
        <w:autoSpaceDE w:val="0"/>
        <w:autoSpaceDN w:val="0"/>
        <w:adjustRightInd w:val="0"/>
        <w:spacing w:line="540" w:lineRule="exact"/>
        <w:contextualSpacing/>
        <w:jc w:val="center"/>
        <w:outlineLvl w:val="0"/>
        <w:rPr>
          <w:rFonts w:ascii="仿宋" w:hAnsi="仿宋" w:eastAsia="仿宋" w:cs="仿宋"/>
          <w:b/>
          <w:color w:val="auto"/>
          <w:sz w:val="36"/>
          <w:szCs w:val="36"/>
          <w:highlight w:val="none"/>
        </w:rPr>
      </w:pPr>
      <w:r>
        <w:rPr>
          <w:rFonts w:hint="eastAsia" w:ascii="仿宋" w:hAnsi="仿宋" w:eastAsia="仿宋" w:cs="仿宋"/>
          <w:color w:val="auto"/>
          <w:sz w:val="28"/>
          <w:szCs w:val="28"/>
          <w:highlight w:val="none"/>
        </w:rPr>
        <w:br w:type="page"/>
      </w:r>
      <w:r>
        <w:rPr>
          <w:rFonts w:hint="eastAsia" w:ascii="仿宋" w:hAnsi="仿宋" w:eastAsia="仿宋" w:cs="仿宋"/>
          <w:b/>
          <w:color w:val="auto"/>
          <w:sz w:val="36"/>
          <w:szCs w:val="36"/>
          <w:highlight w:val="none"/>
        </w:rPr>
        <w:t>第五章  响应文件格式</w:t>
      </w:r>
    </w:p>
    <w:p>
      <w:pPr>
        <w:autoSpaceDE w:val="0"/>
        <w:autoSpaceDN w:val="0"/>
        <w:adjustRightInd w:val="0"/>
        <w:spacing w:line="540" w:lineRule="exact"/>
        <w:contextualSpacing/>
        <w:jc w:val="center"/>
        <w:rPr>
          <w:rFonts w:ascii="仿宋" w:hAnsi="仿宋" w:eastAsia="仿宋" w:cs="仿宋"/>
          <w:b/>
          <w:color w:val="auto"/>
          <w:sz w:val="36"/>
          <w:szCs w:val="36"/>
          <w:highlight w:val="none"/>
        </w:rPr>
      </w:pPr>
    </w:p>
    <w:p>
      <w:pPr>
        <w:snapToGrid w:val="0"/>
        <w:spacing w:before="50" w:after="50" w:line="360" w:lineRule="auto"/>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1、技术、商务、资信及其他文件目录（具体参考第三章供应商须知“响应文件的组成”）</w:t>
      </w:r>
    </w:p>
    <w:p>
      <w:pPr>
        <w:snapToGrid w:val="0"/>
        <w:spacing w:before="50" w:after="50" w:line="360" w:lineRule="auto"/>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w:t>
      </w:r>
    </w:p>
    <w:p>
      <w:pPr>
        <w:snapToGrid w:val="0"/>
        <w:spacing w:before="50" w:after="50" w:line="360" w:lineRule="auto"/>
        <w:rPr>
          <w:rFonts w:ascii="仿宋" w:hAnsi="仿宋" w:eastAsia="仿宋" w:cs="仿宋"/>
          <w:color w:val="auto"/>
          <w:sz w:val="24"/>
          <w:szCs w:val="28"/>
          <w:highlight w:val="none"/>
        </w:rPr>
      </w:pPr>
    </w:p>
    <w:p>
      <w:pPr>
        <w:snapToGrid w:val="0"/>
        <w:spacing w:before="50" w:after="50" w:line="360" w:lineRule="auto"/>
        <w:rPr>
          <w:rFonts w:ascii="仿宋" w:hAnsi="仿宋" w:eastAsia="仿宋" w:cs="仿宋"/>
          <w:color w:val="auto"/>
          <w:szCs w:val="28"/>
          <w:highlight w:val="none"/>
        </w:rPr>
      </w:pPr>
    </w:p>
    <w:p>
      <w:pPr>
        <w:snapToGrid w:val="0"/>
        <w:spacing w:before="50" w:after="50" w:line="360" w:lineRule="auto"/>
        <w:rPr>
          <w:rFonts w:ascii="仿宋" w:hAnsi="仿宋" w:eastAsia="仿宋" w:cs="仿宋"/>
          <w:color w:val="auto"/>
          <w:sz w:val="24"/>
          <w:szCs w:val="28"/>
          <w:highlight w:val="none"/>
        </w:rPr>
      </w:pPr>
      <w:r>
        <w:rPr>
          <w:rFonts w:hint="eastAsia" w:ascii="仿宋" w:hAnsi="仿宋" w:eastAsia="仿宋" w:cs="仿宋"/>
          <w:color w:val="auto"/>
          <w:szCs w:val="28"/>
          <w:highlight w:val="none"/>
        </w:rPr>
        <w:t>2、</w:t>
      </w:r>
      <w:r>
        <w:rPr>
          <w:rFonts w:hint="eastAsia" w:ascii="仿宋" w:hAnsi="仿宋" w:eastAsia="仿宋" w:cs="仿宋"/>
          <w:color w:val="auto"/>
          <w:sz w:val="24"/>
          <w:szCs w:val="28"/>
          <w:highlight w:val="none"/>
        </w:rPr>
        <w:t>首次报价文件目录（具体参考第三章供应商须知“响应文件的组成”）</w:t>
      </w:r>
    </w:p>
    <w:p>
      <w:pPr>
        <w:snapToGrid w:val="0"/>
        <w:spacing w:before="50" w:after="156" w:afterLines="50" w:line="360" w:lineRule="auto"/>
        <w:jc w:val="left"/>
        <w:rPr>
          <w:rFonts w:ascii="仿宋" w:hAnsi="仿宋" w:eastAsia="仿宋" w:cs="仿宋"/>
          <w:color w:val="auto"/>
          <w:szCs w:val="28"/>
          <w:highlight w:val="none"/>
        </w:rPr>
      </w:pPr>
    </w:p>
    <w:p>
      <w:pPr>
        <w:snapToGrid w:val="0"/>
        <w:spacing w:before="50" w:after="156" w:afterLines="50" w:line="360" w:lineRule="auto"/>
        <w:jc w:val="left"/>
        <w:rPr>
          <w:rFonts w:ascii="仿宋" w:hAnsi="仿宋" w:eastAsia="仿宋" w:cs="仿宋"/>
          <w:color w:val="auto"/>
          <w:szCs w:val="28"/>
          <w:highlight w:val="none"/>
        </w:rPr>
      </w:pPr>
    </w:p>
    <w:p>
      <w:pPr>
        <w:snapToGrid w:val="0"/>
        <w:spacing w:before="50" w:after="156" w:afterLines="50" w:line="360" w:lineRule="auto"/>
        <w:jc w:val="left"/>
        <w:rPr>
          <w:rFonts w:ascii="仿宋" w:hAnsi="仿宋" w:eastAsia="仿宋" w:cs="仿宋"/>
          <w:color w:val="auto"/>
          <w:szCs w:val="28"/>
          <w:highlight w:val="none"/>
        </w:rPr>
      </w:pPr>
    </w:p>
    <w:p>
      <w:pPr>
        <w:snapToGrid w:val="0"/>
        <w:spacing w:before="50" w:after="156" w:afterLines="50"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（本章仅提供部分标准通用表格，具体格式内容请参照本磋商文件中对响应文件编制要求）</w:t>
      </w:r>
    </w:p>
    <w:p>
      <w:pPr>
        <w:snapToGrid w:val="0"/>
        <w:spacing w:before="50" w:after="156" w:afterLines="50" w:line="360" w:lineRule="auto"/>
        <w:jc w:val="left"/>
        <w:rPr>
          <w:rFonts w:ascii="仿宋" w:hAnsi="仿宋" w:eastAsia="仿宋" w:cs="仿宋"/>
          <w:color w:val="auto"/>
          <w:sz w:val="24"/>
          <w:highlight w:val="none"/>
        </w:rPr>
      </w:pPr>
    </w:p>
    <w:p>
      <w:pPr>
        <w:snapToGrid w:val="0"/>
        <w:spacing w:before="50" w:after="156" w:afterLines="50" w:line="360" w:lineRule="auto"/>
        <w:jc w:val="left"/>
        <w:rPr>
          <w:rFonts w:ascii="仿宋" w:hAnsi="仿宋" w:eastAsia="仿宋" w:cs="仿宋"/>
          <w:color w:val="auto"/>
          <w:sz w:val="24"/>
          <w:highlight w:val="none"/>
        </w:rPr>
      </w:pPr>
    </w:p>
    <w:p>
      <w:pPr>
        <w:snapToGrid w:val="0"/>
        <w:spacing w:before="50" w:after="156" w:afterLines="50" w:line="360" w:lineRule="auto"/>
        <w:jc w:val="left"/>
        <w:rPr>
          <w:rFonts w:ascii="仿宋" w:hAnsi="仿宋" w:eastAsia="仿宋" w:cs="仿宋"/>
          <w:color w:val="auto"/>
          <w:sz w:val="24"/>
          <w:highlight w:val="none"/>
        </w:rPr>
      </w:pPr>
    </w:p>
    <w:p>
      <w:pPr>
        <w:snapToGrid w:val="0"/>
        <w:spacing w:before="50" w:after="156" w:afterLines="50" w:line="360" w:lineRule="auto"/>
        <w:jc w:val="left"/>
        <w:rPr>
          <w:rFonts w:ascii="仿宋" w:hAnsi="仿宋" w:eastAsia="仿宋" w:cs="仿宋"/>
          <w:color w:val="auto"/>
          <w:sz w:val="24"/>
          <w:highlight w:val="none"/>
        </w:rPr>
      </w:pPr>
    </w:p>
    <w:p>
      <w:pPr>
        <w:snapToGrid w:val="0"/>
        <w:spacing w:before="50" w:after="156" w:afterLines="50" w:line="360" w:lineRule="auto"/>
        <w:jc w:val="left"/>
        <w:rPr>
          <w:rFonts w:ascii="仿宋" w:hAnsi="仿宋" w:eastAsia="仿宋" w:cs="仿宋"/>
          <w:color w:val="auto"/>
          <w:sz w:val="24"/>
          <w:highlight w:val="none"/>
        </w:rPr>
      </w:pPr>
    </w:p>
    <w:p>
      <w:pPr>
        <w:snapToGrid w:val="0"/>
        <w:spacing w:before="50" w:after="156" w:afterLines="50" w:line="360" w:lineRule="auto"/>
        <w:jc w:val="left"/>
        <w:rPr>
          <w:rFonts w:ascii="仿宋" w:hAnsi="仿宋" w:eastAsia="仿宋" w:cs="仿宋"/>
          <w:color w:val="auto"/>
          <w:sz w:val="24"/>
          <w:highlight w:val="none"/>
        </w:rPr>
      </w:pPr>
    </w:p>
    <w:p>
      <w:pPr>
        <w:snapToGrid w:val="0"/>
        <w:spacing w:before="50" w:after="156" w:afterLines="50" w:line="360" w:lineRule="auto"/>
        <w:jc w:val="left"/>
        <w:rPr>
          <w:rFonts w:ascii="仿宋" w:hAnsi="仿宋" w:eastAsia="仿宋" w:cs="仿宋"/>
          <w:color w:val="auto"/>
          <w:sz w:val="24"/>
          <w:highlight w:val="none"/>
        </w:rPr>
      </w:pPr>
    </w:p>
    <w:p>
      <w:pPr>
        <w:snapToGrid w:val="0"/>
        <w:spacing w:before="50" w:after="156" w:afterLines="50" w:line="360" w:lineRule="auto"/>
        <w:jc w:val="left"/>
        <w:rPr>
          <w:rFonts w:ascii="仿宋" w:hAnsi="仿宋" w:eastAsia="仿宋" w:cs="仿宋"/>
          <w:color w:val="auto"/>
          <w:sz w:val="24"/>
          <w:highlight w:val="none"/>
        </w:rPr>
      </w:pPr>
    </w:p>
    <w:p>
      <w:pPr>
        <w:snapToGrid w:val="0"/>
        <w:spacing w:before="50" w:after="156" w:afterLines="50" w:line="360" w:lineRule="auto"/>
        <w:jc w:val="left"/>
        <w:rPr>
          <w:rFonts w:ascii="仿宋" w:hAnsi="仿宋" w:eastAsia="仿宋" w:cs="仿宋"/>
          <w:color w:val="auto"/>
          <w:sz w:val="24"/>
          <w:highlight w:val="none"/>
        </w:rPr>
      </w:pPr>
    </w:p>
    <w:p>
      <w:pPr>
        <w:snapToGrid w:val="0"/>
        <w:spacing w:before="50" w:after="156" w:afterLines="50" w:line="360" w:lineRule="auto"/>
        <w:jc w:val="left"/>
        <w:rPr>
          <w:rFonts w:ascii="仿宋" w:hAnsi="仿宋" w:eastAsia="仿宋" w:cs="仿宋"/>
          <w:color w:val="auto"/>
          <w:sz w:val="24"/>
          <w:highlight w:val="none"/>
        </w:rPr>
      </w:pPr>
    </w:p>
    <w:p>
      <w:pPr>
        <w:snapToGrid w:val="0"/>
        <w:spacing w:before="50" w:after="156" w:afterLines="50" w:line="360" w:lineRule="auto"/>
        <w:jc w:val="left"/>
        <w:rPr>
          <w:rFonts w:ascii="仿宋" w:hAnsi="仿宋" w:eastAsia="仿宋" w:cs="仿宋"/>
          <w:color w:val="auto"/>
          <w:sz w:val="24"/>
          <w:highlight w:val="none"/>
        </w:rPr>
      </w:pPr>
    </w:p>
    <w:p>
      <w:pPr>
        <w:snapToGrid w:val="0"/>
        <w:spacing w:before="50" w:after="50" w:line="480" w:lineRule="auto"/>
        <w:rPr>
          <w:rFonts w:ascii="仿宋" w:hAnsi="仿宋" w:eastAsia="仿宋" w:cs="仿宋"/>
          <w:color w:val="auto"/>
          <w:sz w:val="24"/>
          <w:highlight w:val="none"/>
        </w:rPr>
      </w:pPr>
    </w:p>
    <w:p>
      <w:pPr>
        <w:jc w:val="left"/>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pPr>
        <w:snapToGrid w:val="0"/>
        <w:spacing w:before="50" w:after="50"/>
        <w:jc w:val="center"/>
        <w:outlineLvl w:val="1"/>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供应商自评分索引表</w:t>
      </w:r>
    </w:p>
    <w:p>
      <w:pPr>
        <w:snapToGrid w:val="0"/>
        <w:spacing w:before="50"/>
        <w:jc w:val="center"/>
        <w:rPr>
          <w:rFonts w:ascii="仿宋" w:hAnsi="仿宋" w:eastAsia="仿宋" w:cs="仿宋"/>
          <w:b/>
          <w:color w:val="auto"/>
          <w:szCs w:val="28"/>
          <w:highlight w:val="none"/>
        </w:rPr>
      </w:pPr>
    </w:p>
    <w:p>
      <w:pPr>
        <w:pStyle w:val="5"/>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供应商全称（加盖公章）：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tbl>
      <w:tblPr>
        <w:tblStyle w:val="17"/>
        <w:tblW w:w="891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243"/>
        <w:gridCol w:w="2552"/>
        <w:gridCol w:w="1134"/>
        <w:gridCol w:w="198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r>
              <w:rPr>
                <w:rFonts w:hint="eastAsia" w:ascii="仿宋" w:hAnsi="仿宋" w:eastAsia="仿宋" w:cs="仿宋"/>
                <w:color w:val="auto"/>
                <w:sz w:val="24"/>
                <w:highlight w:val="none"/>
              </w:rPr>
              <w:t>评分项目</w:t>
            </w: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r>
              <w:rPr>
                <w:rFonts w:hint="eastAsia" w:ascii="仿宋" w:hAnsi="仿宋" w:eastAsia="仿宋" w:cs="仿宋"/>
                <w:color w:val="auto"/>
                <w:sz w:val="24"/>
                <w:highlight w:val="none"/>
              </w:rPr>
              <w:t>响应文件对应资料</w:t>
            </w: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r>
              <w:rPr>
                <w:rFonts w:hint="eastAsia" w:ascii="仿宋" w:hAnsi="仿宋" w:eastAsia="仿宋" w:cs="仿宋"/>
                <w:color w:val="auto"/>
                <w:sz w:val="24"/>
                <w:highlight w:val="none"/>
              </w:rPr>
              <w:t>自评分</w:t>
            </w: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r>
              <w:rPr>
                <w:rFonts w:hint="eastAsia" w:ascii="仿宋" w:hAnsi="仿宋" w:eastAsia="仿宋" w:cs="仿宋"/>
                <w:color w:val="auto"/>
                <w:sz w:val="24"/>
                <w:highlight w:val="none"/>
              </w:rPr>
              <w:t>响应文件页码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对应第六章评分办法及评分标准（报价除外）</w:t>
            </w: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w:t>
            </w: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ind w:left="43"/>
              <w:jc w:val="center"/>
              <w:rPr>
                <w:rFonts w:ascii="仿宋" w:hAnsi="仿宋" w:eastAsia="仿宋" w:cs="仿宋"/>
                <w:color w:val="auto"/>
                <w:sz w:val="24"/>
                <w:highlight w:val="none"/>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ind w:left="43"/>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ind w:left="43"/>
              <w:jc w:val="center"/>
              <w:rPr>
                <w:rFonts w:ascii="仿宋" w:hAnsi="仿宋" w:eastAsia="仿宋" w:cs="仿宋"/>
                <w:color w:val="auto"/>
                <w:sz w:val="24"/>
                <w:highlight w:val="none"/>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ind w:left="43"/>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ind w:left="43"/>
              <w:jc w:val="center"/>
              <w:rPr>
                <w:rFonts w:ascii="仿宋" w:hAnsi="仿宋" w:eastAsia="仿宋" w:cs="仿宋"/>
                <w:color w:val="auto"/>
                <w:sz w:val="24"/>
                <w:highlight w:val="none"/>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ind w:left="43"/>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color w:val="auto"/>
                <w:sz w:val="24"/>
                <w:highlight w:val="none"/>
              </w:rPr>
            </w:pPr>
          </w:p>
        </w:tc>
      </w:tr>
    </w:tbl>
    <w:p>
      <w:pPr>
        <w:snapToGrid w:val="0"/>
        <w:spacing w:line="460" w:lineRule="exact"/>
        <w:ind w:firstLine="240" w:firstLineChars="100"/>
        <w:rPr>
          <w:rFonts w:ascii="仿宋" w:hAnsi="仿宋" w:eastAsia="仿宋" w:cs="仿宋"/>
          <w:color w:val="auto"/>
          <w:sz w:val="24"/>
          <w:highlight w:val="none"/>
        </w:rPr>
      </w:pPr>
    </w:p>
    <w:p>
      <w:pPr>
        <w:snapToGrid w:val="0"/>
        <w:spacing w:line="460" w:lineRule="exact"/>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法定代表人或其授权代理人签字或盖章：</w:t>
      </w:r>
    </w:p>
    <w:p>
      <w:pPr>
        <w:snapToGrid w:val="0"/>
        <w:spacing w:line="460" w:lineRule="exact"/>
        <w:jc w:val="right"/>
        <w:rPr>
          <w:rFonts w:ascii="仿宋" w:hAnsi="仿宋" w:eastAsia="仿宋" w:cs="仿宋"/>
          <w:b/>
          <w:color w:val="auto"/>
          <w:sz w:val="28"/>
          <w:szCs w:val="28"/>
          <w:highlight w:val="none"/>
        </w:rPr>
      </w:pPr>
      <w:r>
        <w:rPr>
          <w:rFonts w:hint="eastAsia" w:ascii="仿宋" w:hAnsi="仿宋" w:eastAsia="仿宋" w:cs="仿宋"/>
          <w:color w:val="auto"/>
          <w:sz w:val="24"/>
          <w:highlight w:val="none"/>
        </w:rPr>
        <w:t>日期：    年  月   日</w:t>
      </w:r>
    </w:p>
    <w:p>
      <w:pPr>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rPr>
        <w:br w:type="page"/>
      </w:r>
    </w:p>
    <w:p>
      <w:pPr>
        <w:spacing w:line="560" w:lineRule="exact"/>
        <w:jc w:val="center"/>
        <w:outlineLvl w:val="1"/>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rPr>
        <w:t>商务响应表</w:t>
      </w:r>
    </w:p>
    <w:p>
      <w:pPr>
        <w:pStyle w:val="22"/>
        <w:spacing w:line="460" w:lineRule="exact"/>
        <w:rPr>
          <w:rFonts w:ascii="仿宋" w:hAnsi="仿宋" w:eastAsia="仿宋" w:cs="仿宋"/>
          <w:color w:val="auto"/>
          <w:highlight w:val="none"/>
        </w:rPr>
      </w:pPr>
      <w:r>
        <w:rPr>
          <w:rFonts w:hint="eastAsia" w:ascii="仿宋" w:hAnsi="仿宋" w:eastAsia="仿宋" w:cs="仿宋"/>
          <w:color w:val="auto"/>
          <w:highlight w:val="none"/>
        </w:rPr>
        <w:t>供应商全称（加盖公章）：</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 xml:space="preserve">          </w:t>
      </w:r>
    </w:p>
    <w:p>
      <w:pPr>
        <w:spacing w:line="46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项目名称： </w:t>
      </w:r>
      <w:r>
        <w:rPr>
          <w:rFonts w:hint="eastAsia" w:ascii="仿宋" w:hAnsi="仿宋" w:eastAsia="仿宋" w:cs="仿宋"/>
          <w:color w:val="auto"/>
          <w:sz w:val="24"/>
          <w:highlight w:val="none"/>
          <w:lang w:eastAsia="zh-CN"/>
        </w:rPr>
        <w:t xml:space="preserve">街道机关2024年度食堂食材第三方配送及食堂运维项目    </w:t>
      </w:r>
      <w:r>
        <w:rPr>
          <w:rFonts w:hint="eastAsia" w:ascii="仿宋" w:hAnsi="仿宋" w:eastAsia="仿宋" w:cs="仿宋"/>
          <w:color w:val="auto"/>
          <w:sz w:val="24"/>
          <w:highlight w:val="none"/>
        </w:rPr>
        <w:t xml:space="preserve"> </w:t>
      </w:r>
    </w:p>
    <w:tbl>
      <w:tblPr>
        <w:tblStyle w:val="17"/>
        <w:tblW w:w="87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8"/>
        <w:gridCol w:w="2409"/>
        <w:gridCol w:w="1843"/>
        <w:gridCol w:w="2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8" w:type="dxa"/>
            <w:vAlign w:val="center"/>
          </w:tcPr>
          <w:p>
            <w:pPr>
              <w:spacing w:line="4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项目</w:t>
            </w:r>
          </w:p>
        </w:tc>
        <w:tc>
          <w:tcPr>
            <w:tcW w:w="2409" w:type="dxa"/>
            <w:vAlign w:val="center"/>
          </w:tcPr>
          <w:p>
            <w:pPr>
              <w:spacing w:line="4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磋商文件要求</w:t>
            </w:r>
          </w:p>
        </w:tc>
        <w:tc>
          <w:tcPr>
            <w:tcW w:w="1843" w:type="dxa"/>
            <w:vAlign w:val="center"/>
          </w:tcPr>
          <w:p>
            <w:pPr>
              <w:spacing w:line="4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是否响应</w:t>
            </w:r>
          </w:p>
        </w:tc>
        <w:tc>
          <w:tcPr>
            <w:tcW w:w="2801" w:type="dxa"/>
            <w:vAlign w:val="center"/>
          </w:tcPr>
          <w:p>
            <w:pPr>
              <w:spacing w:line="4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供应商的承诺或说明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8" w:type="dxa"/>
            <w:vAlign w:val="center"/>
          </w:tcPr>
          <w:p>
            <w:pPr>
              <w:spacing w:line="4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服务期</w:t>
            </w:r>
          </w:p>
        </w:tc>
        <w:tc>
          <w:tcPr>
            <w:tcW w:w="2409" w:type="dxa"/>
            <w:vAlign w:val="center"/>
          </w:tcPr>
          <w:p>
            <w:pPr>
              <w:spacing w:line="460" w:lineRule="exact"/>
              <w:jc w:val="center"/>
              <w:rPr>
                <w:rFonts w:ascii="仿宋" w:hAnsi="仿宋" w:eastAsia="仿宋" w:cs="仿宋"/>
                <w:color w:val="auto"/>
                <w:kern w:val="0"/>
                <w:sz w:val="24"/>
                <w:highlight w:val="none"/>
              </w:rPr>
            </w:pPr>
          </w:p>
        </w:tc>
        <w:tc>
          <w:tcPr>
            <w:tcW w:w="1843" w:type="dxa"/>
            <w:vAlign w:val="center"/>
          </w:tcPr>
          <w:p>
            <w:pPr>
              <w:spacing w:line="460" w:lineRule="exact"/>
              <w:jc w:val="center"/>
              <w:rPr>
                <w:rFonts w:ascii="仿宋" w:hAnsi="仿宋" w:eastAsia="仿宋" w:cs="仿宋"/>
                <w:color w:val="auto"/>
                <w:kern w:val="0"/>
                <w:sz w:val="24"/>
                <w:highlight w:val="none"/>
              </w:rPr>
            </w:pPr>
          </w:p>
        </w:tc>
        <w:tc>
          <w:tcPr>
            <w:tcW w:w="2801" w:type="dxa"/>
            <w:vAlign w:val="center"/>
          </w:tcPr>
          <w:p>
            <w:pPr>
              <w:spacing w:line="460" w:lineRule="exact"/>
              <w:jc w:val="center"/>
              <w:rPr>
                <w:rFonts w:ascii="仿宋" w:hAnsi="仿宋" w:eastAsia="仿宋" w:cs="仿宋"/>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8" w:type="dxa"/>
            <w:vAlign w:val="center"/>
          </w:tcPr>
          <w:p>
            <w:pPr>
              <w:spacing w:line="4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付款方式</w:t>
            </w:r>
          </w:p>
        </w:tc>
        <w:tc>
          <w:tcPr>
            <w:tcW w:w="2409" w:type="dxa"/>
            <w:vAlign w:val="center"/>
          </w:tcPr>
          <w:p>
            <w:pPr>
              <w:spacing w:line="460" w:lineRule="exact"/>
              <w:jc w:val="center"/>
              <w:rPr>
                <w:rFonts w:ascii="仿宋" w:hAnsi="仿宋" w:eastAsia="仿宋" w:cs="仿宋"/>
                <w:color w:val="auto"/>
                <w:kern w:val="0"/>
                <w:sz w:val="24"/>
                <w:highlight w:val="none"/>
              </w:rPr>
            </w:pPr>
          </w:p>
        </w:tc>
        <w:tc>
          <w:tcPr>
            <w:tcW w:w="1843" w:type="dxa"/>
            <w:vAlign w:val="center"/>
          </w:tcPr>
          <w:p>
            <w:pPr>
              <w:spacing w:line="460" w:lineRule="exact"/>
              <w:jc w:val="center"/>
              <w:rPr>
                <w:rFonts w:ascii="仿宋" w:hAnsi="仿宋" w:eastAsia="仿宋" w:cs="仿宋"/>
                <w:color w:val="auto"/>
                <w:kern w:val="0"/>
                <w:sz w:val="24"/>
                <w:highlight w:val="none"/>
              </w:rPr>
            </w:pPr>
          </w:p>
        </w:tc>
        <w:tc>
          <w:tcPr>
            <w:tcW w:w="2801" w:type="dxa"/>
            <w:vAlign w:val="center"/>
          </w:tcPr>
          <w:p>
            <w:pPr>
              <w:spacing w:line="460" w:lineRule="exact"/>
              <w:jc w:val="center"/>
              <w:rPr>
                <w:rFonts w:ascii="仿宋" w:hAnsi="仿宋" w:eastAsia="仿宋" w:cs="仿宋"/>
                <w:color w:val="auto"/>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8" w:type="dxa"/>
            <w:vAlign w:val="center"/>
          </w:tcPr>
          <w:p>
            <w:pPr>
              <w:spacing w:line="4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其他要求</w:t>
            </w:r>
          </w:p>
        </w:tc>
        <w:tc>
          <w:tcPr>
            <w:tcW w:w="2409" w:type="dxa"/>
            <w:vAlign w:val="center"/>
          </w:tcPr>
          <w:p>
            <w:pPr>
              <w:spacing w:line="460" w:lineRule="exact"/>
              <w:jc w:val="center"/>
              <w:rPr>
                <w:rFonts w:ascii="仿宋" w:hAnsi="仿宋" w:eastAsia="仿宋" w:cs="仿宋"/>
                <w:color w:val="auto"/>
                <w:kern w:val="0"/>
                <w:sz w:val="24"/>
                <w:highlight w:val="none"/>
              </w:rPr>
            </w:pPr>
          </w:p>
        </w:tc>
        <w:tc>
          <w:tcPr>
            <w:tcW w:w="1843" w:type="dxa"/>
            <w:vAlign w:val="center"/>
          </w:tcPr>
          <w:p>
            <w:pPr>
              <w:spacing w:line="460" w:lineRule="exact"/>
              <w:jc w:val="center"/>
              <w:rPr>
                <w:rFonts w:ascii="仿宋" w:hAnsi="仿宋" w:eastAsia="仿宋" w:cs="仿宋"/>
                <w:color w:val="auto"/>
                <w:kern w:val="0"/>
                <w:sz w:val="24"/>
                <w:highlight w:val="none"/>
              </w:rPr>
            </w:pPr>
          </w:p>
        </w:tc>
        <w:tc>
          <w:tcPr>
            <w:tcW w:w="2801" w:type="dxa"/>
            <w:vAlign w:val="center"/>
          </w:tcPr>
          <w:p>
            <w:pPr>
              <w:spacing w:line="460" w:lineRule="exact"/>
              <w:jc w:val="center"/>
              <w:rPr>
                <w:rFonts w:ascii="仿宋" w:hAnsi="仿宋" w:eastAsia="仿宋" w:cs="仿宋"/>
                <w:color w:val="auto"/>
                <w:kern w:val="0"/>
                <w:sz w:val="24"/>
                <w:highlight w:val="none"/>
              </w:rPr>
            </w:pPr>
          </w:p>
        </w:tc>
      </w:tr>
    </w:tbl>
    <w:p>
      <w:pPr>
        <w:spacing w:line="460" w:lineRule="exact"/>
        <w:jc w:val="left"/>
        <w:rPr>
          <w:rFonts w:ascii="仿宋" w:hAnsi="仿宋" w:eastAsia="仿宋" w:cs="仿宋"/>
          <w:color w:val="auto"/>
          <w:kern w:val="0"/>
          <w:sz w:val="24"/>
          <w:highlight w:val="none"/>
        </w:rPr>
      </w:pPr>
    </w:p>
    <w:p>
      <w:pPr>
        <w:spacing w:line="46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法定代表人或其授权代理人签字：</w:t>
      </w:r>
    </w:p>
    <w:p>
      <w:pPr>
        <w:spacing w:line="46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日期： 年 月 日</w:t>
      </w:r>
    </w:p>
    <w:p>
      <w:pPr>
        <w:rPr>
          <w:rFonts w:ascii="仿宋" w:hAnsi="仿宋" w:eastAsia="仿宋" w:cs="仿宋"/>
          <w:b/>
          <w:color w:val="auto"/>
          <w:sz w:val="24"/>
          <w:highlight w:val="none"/>
        </w:rPr>
      </w:pPr>
    </w:p>
    <w:p>
      <w:pPr>
        <w:snapToGrid w:val="0"/>
        <w:spacing w:before="50" w:after="156" w:afterLines="50"/>
        <w:jc w:val="left"/>
        <w:rPr>
          <w:rFonts w:ascii="仿宋" w:hAnsi="仿宋" w:eastAsia="仿宋" w:cs="仿宋"/>
          <w:b/>
          <w:color w:val="auto"/>
          <w:sz w:val="24"/>
          <w:highlight w:val="none"/>
        </w:rPr>
      </w:pPr>
    </w:p>
    <w:p>
      <w:pPr>
        <w:snapToGrid w:val="0"/>
        <w:spacing w:before="50" w:after="156" w:afterLines="50"/>
        <w:jc w:val="left"/>
        <w:rPr>
          <w:rFonts w:ascii="仿宋" w:hAnsi="仿宋" w:eastAsia="仿宋" w:cs="仿宋"/>
          <w:b/>
          <w:color w:val="auto"/>
          <w:sz w:val="24"/>
          <w:highlight w:val="none"/>
        </w:rPr>
      </w:pPr>
    </w:p>
    <w:p>
      <w:pPr>
        <w:snapToGrid w:val="0"/>
        <w:spacing w:before="50" w:after="156" w:afterLines="50"/>
        <w:jc w:val="left"/>
        <w:rPr>
          <w:rFonts w:ascii="仿宋" w:hAnsi="仿宋" w:eastAsia="仿宋" w:cs="仿宋"/>
          <w:b/>
          <w:color w:val="auto"/>
          <w:sz w:val="24"/>
          <w:highlight w:val="none"/>
        </w:rPr>
      </w:pPr>
    </w:p>
    <w:p>
      <w:pPr>
        <w:snapToGrid w:val="0"/>
        <w:spacing w:before="50" w:after="156" w:afterLines="50"/>
        <w:jc w:val="left"/>
        <w:rPr>
          <w:rFonts w:ascii="仿宋" w:hAnsi="仿宋" w:eastAsia="仿宋" w:cs="仿宋"/>
          <w:b/>
          <w:color w:val="auto"/>
          <w:sz w:val="24"/>
          <w:highlight w:val="none"/>
        </w:rPr>
      </w:pPr>
    </w:p>
    <w:p>
      <w:pPr>
        <w:snapToGrid w:val="0"/>
        <w:spacing w:before="50" w:after="156" w:afterLines="50"/>
        <w:jc w:val="left"/>
        <w:rPr>
          <w:rFonts w:ascii="仿宋" w:hAnsi="仿宋" w:eastAsia="仿宋" w:cs="仿宋"/>
          <w:b/>
          <w:color w:val="auto"/>
          <w:szCs w:val="28"/>
          <w:highlight w:val="none"/>
        </w:rPr>
      </w:pPr>
    </w:p>
    <w:p>
      <w:pPr>
        <w:rPr>
          <w:rFonts w:ascii="仿宋" w:hAnsi="仿宋" w:eastAsia="仿宋" w:cs="仿宋"/>
          <w:b/>
          <w:bCs/>
          <w:color w:val="auto"/>
          <w:spacing w:val="24"/>
          <w:sz w:val="28"/>
          <w:szCs w:val="28"/>
          <w:highlight w:val="none"/>
        </w:rPr>
      </w:pPr>
      <w:r>
        <w:rPr>
          <w:rFonts w:hint="eastAsia" w:ascii="仿宋" w:hAnsi="仿宋" w:eastAsia="仿宋" w:cs="仿宋"/>
          <w:b/>
          <w:bCs/>
          <w:color w:val="auto"/>
          <w:spacing w:val="24"/>
          <w:sz w:val="28"/>
          <w:szCs w:val="28"/>
          <w:highlight w:val="none"/>
        </w:rPr>
        <w:br w:type="page"/>
      </w:r>
    </w:p>
    <w:p>
      <w:pPr>
        <w:spacing w:line="560" w:lineRule="exact"/>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法定代表人有效身份证明书</w:t>
      </w:r>
    </w:p>
    <w:p>
      <w:pPr>
        <w:pStyle w:val="4"/>
        <w:spacing w:line="360" w:lineRule="auto"/>
        <w:ind w:firstLine="513" w:firstLineChars="156"/>
        <w:jc w:val="center"/>
        <w:rPr>
          <w:rFonts w:ascii="仿宋" w:hAnsi="仿宋" w:eastAsia="仿宋" w:cs="仿宋"/>
          <w:b/>
          <w:bCs/>
          <w:color w:val="auto"/>
          <w:spacing w:val="24"/>
          <w:sz w:val="28"/>
          <w:szCs w:val="28"/>
          <w:highlight w:val="none"/>
        </w:rPr>
      </w:pPr>
    </w:p>
    <w:p>
      <w:pPr>
        <w:pStyle w:val="4"/>
        <w:spacing w:line="480" w:lineRule="auto"/>
        <w:ind w:firstLine="840" w:firstLineChars="3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（姓名）</w:t>
      </w:r>
      <w:r>
        <w:rPr>
          <w:rFonts w:hint="eastAsia" w:ascii="仿宋" w:hAnsi="仿宋" w:eastAsia="仿宋" w:cs="仿宋"/>
          <w:color w:val="auto"/>
          <w:sz w:val="24"/>
          <w:szCs w:val="24"/>
          <w:highlight w:val="none"/>
        </w:rPr>
        <w:t>是</w:t>
      </w:r>
      <w:r>
        <w:rPr>
          <w:rFonts w:hint="eastAsia" w:ascii="仿宋" w:hAnsi="仿宋" w:eastAsia="仿宋" w:cs="仿宋"/>
          <w:color w:val="auto"/>
          <w:sz w:val="24"/>
          <w:szCs w:val="24"/>
          <w:highlight w:val="none"/>
          <w:u w:val="single"/>
        </w:rPr>
        <w:t>（单位全称）</w:t>
      </w:r>
      <w:r>
        <w:rPr>
          <w:rFonts w:hint="eastAsia" w:ascii="仿宋" w:hAnsi="仿宋" w:eastAsia="仿宋" w:cs="仿宋"/>
          <w:color w:val="auto"/>
          <w:sz w:val="24"/>
          <w:szCs w:val="24"/>
          <w:highlight w:val="none"/>
        </w:rPr>
        <w:t>的法定代表人，身份证号码为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pPr>
        <w:pStyle w:val="4"/>
        <w:spacing w:line="480" w:lineRule="auto"/>
        <w:ind w:firstLine="374" w:firstLineChars="156"/>
        <w:rPr>
          <w:rFonts w:ascii="仿宋" w:hAnsi="仿宋" w:eastAsia="仿宋" w:cs="仿宋"/>
          <w:color w:val="auto"/>
          <w:sz w:val="24"/>
          <w:szCs w:val="24"/>
          <w:highlight w:val="none"/>
        </w:rPr>
      </w:pPr>
    </w:p>
    <w:p>
      <w:pPr>
        <w:pStyle w:val="4"/>
        <w:spacing w:line="480" w:lineRule="auto"/>
        <w:ind w:firstLine="374" w:firstLineChars="156"/>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特此证明</w:t>
      </w:r>
    </w:p>
    <w:p>
      <w:pPr>
        <w:pStyle w:val="4"/>
        <w:spacing w:line="480" w:lineRule="auto"/>
        <w:ind w:firstLine="0"/>
        <w:rPr>
          <w:rFonts w:ascii="仿宋" w:hAnsi="仿宋" w:eastAsia="仿宋" w:cs="仿宋"/>
          <w:color w:val="auto"/>
          <w:sz w:val="24"/>
          <w:szCs w:val="24"/>
          <w:highlight w:val="none"/>
        </w:rPr>
      </w:pPr>
    </w:p>
    <w:p>
      <w:pPr>
        <w:pStyle w:val="4"/>
        <w:spacing w:line="480" w:lineRule="auto"/>
        <w:ind w:firstLine="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供应商：（盖章）                  </w:t>
      </w:r>
    </w:p>
    <w:p>
      <w:pPr>
        <w:pStyle w:val="4"/>
        <w:spacing w:line="480" w:lineRule="auto"/>
        <w:ind w:firstLine="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法定代表人或其授权代理人（签名或盖章）</w:t>
      </w:r>
    </w:p>
    <w:p>
      <w:pPr>
        <w:pStyle w:val="4"/>
        <w:spacing w:line="480" w:lineRule="auto"/>
        <w:ind w:firstLine="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日期：    年   月   日</w:t>
      </w:r>
    </w:p>
    <w:p>
      <w:pPr>
        <w:pStyle w:val="4"/>
        <w:spacing w:line="480" w:lineRule="auto"/>
        <w:ind w:firstLine="0"/>
        <w:rPr>
          <w:rFonts w:ascii="仿宋" w:hAnsi="仿宋" w:eastAsia="仿宋" w:cs="仿宋"/>
          <w:color w:val="auto"/>
          <w:sz w:val="24"/>
          <w:szCs w:val="24"/>
          <w:highlight w:val="none"/>
        </w:rPr>
      </w:pPr>
    </w:p>
    <w:p>
      <w:pPr>
        <w:pStyle w:val="4"/>
        <w:spacing w:line="480" w:lineRule="auto"/>
        <w:ind w:firstLine="0"/>
        <w:rPr>
          <w:rFonts w:ascii="仿宋" w:hAnsi="仿宋" w:eastAsia="仿宋" w:cs="仿宋"/>
          <w:color w:val="auto"/>
          <w:sz w:val="24"/>
          <w:szCs w:val="24"/>
          <w:highlight w:val="none"/>
        </w:rPr>
      </w:pPr>
    </w:p>
    <w:p>
      <w:pPr>
        <w:pStyle w:val="4"/>
        <w:pBdr>
          <w:bottom w:val="single" w:color="auto" w:sz="6" w:space="1"/>
        </w:pBdr>
        <w:spacing w:line="480" w:lineRule="auto"/>
        <w:ind w:firstLine="0"/>
        <w:rPr>
          <w:rFonts w:ascii="仿宋" w:hAnsi="仿宋" w:eastAsia="仿宋" w:cs="仿宋"/>
          <w:color w:val="auto"/>
          <w:sz w:val="24"/>
          <w:szCs w:val="24"/>
          <w:highlight w:val="none"/>
        </w:rPr>
      </w:pPr>
    </w:p>
    <w:p>
      <w:pPr>
        <w:pStyle w:val="4"/>
        <w:spacing w:line="480" w:lineRule="auto"/>
        <w:ind w:firstLine="0"/>
        <w:rPr>
          <w:rFonts w:ascii="仿宋" w:hAnsi="仿宋" w:eastAsia="仿宋" w:cs="仿宋"/>
          <w:color w:val="auto"/>
          <w:sz w:val="24"/>
          <w:szCs w:val="24"/>
          <w:highlight w:val="none"/>
        </w:rPr>
      </w:pPr>
    </w:p>
    <w:p>
      <w:pPr>
        <w:pStyle w:val="4"/>
        <w:spacing w:line="480" w:lineRule="auto"/>
        <w:ind w:firstLine="0"/>
        <w:rPr>
          <w:rFonts w:ascii="仿宋" w:hAnsi="仿宋" w:eastAsia="仿宋" w:cs="仿宋"/>
          <w:color w:val="auto"/>
          <w:sz w:val="24"/>
          <w:szCs w:val="24"/>
          <w:highlight w:val="none"/>
        </w:rPr>
      </w:pPr>
    </w:p>
    <w:p>
      <w:pPr>
        <w:pStyle w:val="4"/>
        <w:spacing w:line="480" w:lineRule="auto"/>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有效身份证明复印件粘贴处</w:t>
      </w:r>
    </w:p>
    <w:p>
      <w:pPr>
        <w:pStyle w:val="4"/>
        <w:spacing w:line="360" w:lineRule="auto"/>
        <w:ind w:firstLine="545" w:firstLineChars="156"/>
        <w:jc w:val="center"/>
        <w:rPr>
          <w:rFonts w:ascii="仿宋" w:hAnsi="仿宋" w:eastAsia="仿宋" w:cs="仿宋"/>
          <w:b/>
          <w:bCs/>
          <w:color w:val="auto"/>
          <w:spacing w:val="24"/>
          <w:sz w:val="30"/>
          <w:highlight w:val="none"/>
        </w:rPr>
      </w:pPr>
    </w:p>
    <w:p>
      <w:pPr>
        <w:pStyle w:val="4"/>
        <w:spacing w:line="360" w:lineRule="auto"/>
        <w:ind w:firstLine="0"/>
        <w:jc w:val="center"/>
        <w:rPr>
          <w:rFonts w:ascii="仿宋" w:hAnsi="仿宋" w:eastAsia="仿宋" w:cs="仿宋"/>
          <w:b/>
          <w:bCs/>
          <w:color w:val="auto"/>
          <w:spacing w:val="24"/>
          <w:sz w:val="30"/>
          <w:highlight w:val="none"/>
        </w:rPr>
      </w:pPr>
    </w:p>
    <w:p>
      <w:pPr>
        <w:pStyle w:val="4"/>
        <w:spacing w:line="360" w:lineRule="auto"/>
        <w:ind w:firstLine="0"/>
        <w:jc w:val="center"/>
        <w:rPr>
          <w:rFonts w:ascii="仿宋" w:hAnsi="仿宋" w:eastAsia="仿宋" w:cs="仿宋"/>
          <w:b/>
          <w:bCs/>
          <w:color w:val="auto"/>
          <w:spacing w:val="24"/>
          <w:sz w:val="30"/>
          <w:highlight w:val="none"/>
        </w:rPr>
      </w:pPr>
    </w:p>
    <w:p>
      <w:pPr>
        <w:pStyle w:val="4"/>
        <w:spacing w:line="360" w:lineRule="auto"/>
        <w:ind w:firstLine="0"/>
        <w:jc w:val="center"/>
        <w:rPr>
          <w:rFonts w:ascii="仿宋" w:hAnsi="仿宋" w:eastAsia="仿宋" w:cs="仿宋"/>
          <w:b/>
          <w:bCs/>
          <w:color w:val="auto"/>
          <w:spacing w:val="24"/>
          <w:sz w:val="30"/>
          <w:highlight w:val="none"/>
        </w:rPr>
      </w:pPr>
    </w:p>
    <w:p>
      <w:pPr>
        <w:pStyle w:val="4"/>
        <w:spacing w:line="360" w:lineRule="auto"/>
        <w:ind w:firstLine="0"/>
        <w:jc w:val="center"/>
        <w:rPr>
          <w:rFonts w:ascii="仿宋" w:hAnsi="仿宋" w:eastAsia="仿宋" w:cs="仿宋"/>
          <w:b/>
          <w:bCs/>
          <w:color w:val="auto"/>
          <w:spacing w:val="24"/>
          <w:sz w:val="30"/>
          <w:highlight w:val="none"/>
        </w:rPr>
      </w:pPr>
    </w:p>
    <w:p>
      <w:pPr>
        <w:pStyle w:val="4"/>
        <w:spacing w:line="360" w:lineRule="auto"/>
        <w:ind w:firstLine="0"/>
        <w:jc w:val="center"/>
        <w:rPr>
          <w:rFonts w:ascii="仿宋" w:hAnsi="仿宋" w:eastAsia="仿宋" w:cs="仿宋"/>
          <w:b/>
          <w:bCs/>
          <w:color w:val="auto"/>
          <w:spacing w:val="24"/>
          <w:sz w:val="28"/>
          <w:szCs w:val="28"/>
          <w:highlight w:val="none"/>
        </w:rPr>
      </w:pPr>
    </w:p>
    <w:p>
      <w:pPr>
        <w:rPr>
          <w:rFonts w:ascii="仿宋" w:hAnsi="仿宋" w:eastAsia="仿宋" w:cs="仿宋"/>
          <w:b/>
          <w:bCs/>
          <w:color w:val="auto"/>
          <w:spacing w:val="24"/>
          <w:sz w:val="28"/>
          <w:szCs w:val="28"/>
          <w:highlight w:val="none"/>
        </w:rPr>
      </w:pPr>
      <w:r>
        <w:rPr>
          <w:rFonts w:hint="eastAsia" w:ascii="仿宋" w:hAnsi="仿宋" w:eastAsia="仿宋" w:cs="仿宋"/>
          <w:b/>
          <w:bCs/>
          <w:color w:val="auto"/>
          <w:spacing w:val="24"/>
          <w:sz w:val="28"/>
          <w:szCs w:val="28"/>
          <w:highlight w:val="none"/>
        </w:rPr>
        <w:br w:type="page"/>
      </w:r>
    </w:p>
    <w:p>
      <w:pPr>
        <w:spacing w:line="560" w:lineRule="exact"/>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法定代表人授权委托书</w:t>
      </w:r>
    </w:p>
    <w:p>
      <w:pPr>
        <w:spacing w:line="360" w:lineRule="auto"/>
        <w:ind w:firstLine="600" w:firstLineChars="200"/>
        <w:rPr>
          <w:rFonts w:ascii="仿宋" w:hAnsi="仿宋" w:eastAsia="仿宋" w:cs="仿宋"/>
          <w:color w:val="auto"/>
          <w:sz w:val="30"/>
          <w:highlight w:val="none"/>
        </w:rPr>
      </w:pPr>
    </w:p>
    <w:p>
      <w:pPr>
        <w:spacing w:line="48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（供应商名称）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（姓名）</w:t>
      </w:r>
      <w:r>
        <w:rPr>
          <w:rFonts w:hint="eastAsia" w:ascii="仿宋" w:hAnsi="仿宋" w:eastAsia="仿宋" w:cs="仿宋"/>
          <w:color w:val="auto"/>
          <w:sz w:val="24"/>
          <w:highlight w:val="none"/>
        </w:rPr>
        <w:t>为我单位授权代理人，以本单位的名义参加</w:t>
      </w:r>
      <w:r>
        <w:rPr>
          <w:rFonts w:hint="eastAsia" w:ascii="仿宋" w:hAnsi="仿宋" w:eastAsia="仿宋" w:cs="仿宋"/>
          <w:color w:val="auto"/>
          <w:sz w:val="24"/>
          <w:highlight w:val="none"/>
          <w:u w:val="single"/>
        </w:rPr>
        <w:t>（采购代理机构名称）</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w:t>
      </w:r>
      <w:r>
        <w:rPr>
          <w:rFonts w:hint="eastAsia" w:ascii="仿宋" w:hAnsi="仿宋" w:eastAsia="仿宋" w:cs="仿宋"/>
          <w:color w:val="auto"/>
          <w:sz w:val="24"/>
          <w:highlight w:val="none"/>
        </w:rPr>
        <w:t>的磋商活动。授权代理人在投标、开标、磋商、合同谈判过程中所签署的一切文件和处理与之有关的一切事务，我均予以承认。</w:t>
      </w:r>
    </w:p>
    <w:p>
      <w:pPr>
        <w:spacing w:line="48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授权代理人无转委托权，特此委托。</w:t>
      </w:r>
    </w:p>
    <w:p>
      <w:pPr>
        <w:spacing w:after="156" w:line="480" w:lineRule="auto"/>
        <w:rPr>
          <w:rFonts w:ascii="仿宋" w:hAnsi="仿宋" w:eastAsia="仿宋" w:cs="仿宋"/>
          <w:b/>
          <w:color w:val="auto"/>
          <w:sz w:val="24"/>
          <w:highlight w:val="none"/>
        </w:rPr>
      </w:pPr>
    </w:p>
    <w:p>
      <w:pPr>
        <w:spacing w:line="480" w:lineRule="auto"/>
        <w:ind w:left="2699"/>
        <w:rPr>
          <w:rFonts w:ascii="仿宋" w:hAnsi="仿宋" w:eastAsia="仿宋" w:cs="仿宋"/>
          <w:color w:val="auto"/>
          <w:sz w:val="24"/>
          <w:highlight w:val="none"/>
          <w:u w:val="single"/>
        </w:rPr>
      </w:pPr>
      <w:r>
        <w:rPr>
          <w:rFonts w:hint="eastAsia" w:ascii="仿宋" w:hAnsi="仿宋" w:eastAsia="仿宋" w:cs="仿宋"/>
          <w:color w:val="auto"/>
          <w:sz w:val="24"/>
          <w:highlight w:val="none"/>
        </w:rPr>
        <w:t>授权代理人：</w:t>
      </w:r>
      <w:r>
        <w:rPr>
          <w:rFonts w:hint="eastAsia" w:ascii="仿宋" w:hAnsi="仿宋" w:eastAsia="仿宋" w:cs="仿宋"/>
          <w:color w:val="auto"/>
          <w:sz w:val="24"/>
          <w:highlight w:val="none"/>
          <w:u w:val="single"/>
        </w:rPr>
        <w:t xml:space="preserve">                      （签字）   </w:t>
      </w:r>
    </w:p>
    <w:p>
      <w:pPr>
        <w:spacing w:line="480" w:lineRule="auto"/>
        <w:ind w:left="2699"/>
        <w:rPr>
          <w:rFonts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pPr>
        <w:spacing w:line="480" w:lineRule="auto"/>
        <w:ind w:left="2699"/>
        <w:rPr>
          <w:rFonts w:ascii="仿宋" w:hAnsi="仿宋" w:eastAsia="仿宋" w:cs="仿宋"/>
          <w:color w:val="auto"/>
          <w:sz w:val="24"/>
          <w:highlight w:val="none"/>
          <w:u w:val="single"/>
        </w:rPr>
      </w:pPr>
      <w:r>
        <w:rPr>
          <w:rFonts w:hint="eastAsia" w:ascii="仿宋" w:hAnsi="仿宋" w:eastAsia="仿宋" w:cs="仿宋"/>
          <w:color w:val="auto"/>
          <w:sz w:val="24"/>
          <w:highlight w:val="none"/>
        </w:rPr>
        <w:t xml:space="preserve">职务：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pPr>
        <w:spacing w:line="480" w:lineRule="auto"/>
        <w:ind w:left="2699"/>
        <w:rPr>
          <w:rFonts w:ascii="仿宋" w:hAnsi="仿宋" w:eastAsia="仿宋" w:cs="仿宋"/>
          <w:color w:val="auto"/>
          <w:sz w:val="24"/>
          <w:highlight w:val="none"/>
        </w:rPr>
      </w:pPr>
      <w:r>
        <w:rPr>
          <w:rFonts w:hint="eastAsia" w:ascii="仿宋" w:hAnsi="仿宋" w:eastAsia="仿宋" w:cs="仿宋"/>
          <w:color w:val="auto"/>
          <w:sz w:val="24"/>
          <w:highlight w:val="none"/>
        </w:rPr>
        <w:t>供应商：</w:t>
      </w:r>
      <w:r>
        <w:rPr>
          <w:rFonts w:hint="eastAsia" w:ascii="仿宋" w:hAnsi="仿宋" w:eastAsia="仿宋" w:cs="仿宋"/>
          <w:color w:val="auto"/>
          <w:sz w:val="24"/>
          <w:highlight w:val="none"/>
          <w:u w:val="single"/>
        </w:rPr>
        <w:t xml:space="preserve">                              （盖章）</w:t>
      </w:r>
    </w:p>
    <w:p>
      <w:pPr>
        <w:spacing w:line="480" w:lineRule="auto"/>
        <w:jc w:val="center"/>
        <w:rPr>
          <w:rFonts w:ascii="仿宋" w:hAnsi="仿宋" w:eastAsia="仿宋" w:cs="仿宋"/>
          <w:color w:val="auto"/>
          <w:sz w:val="24"/>
          <w:highlight w:val="none"/>
          <w:u w:val="single"/>
        </w:rPr>
      </w:pPr>
      <w:r>
        <w:rPr>
          <w:rFonts w:hint="eastAsia" w:ascii="仿宋" w:hAnsi="仿宋" w:eastAsia="仿宋" w:cs="仿宋"/>
          <w:color w:val="auto"/>
          <w:sz w:val="24"/>
          <w:highlight w:val="none"/>
        </w:rPr>
        <w:t xml:space="preserve">          法定代表人：</w:t>
      </w:r>
      <w:r>
        <w:rPr>
          <w:rFonts w:hint="eastAsia" w:ascii="仿宋" w:hAnsi="仿宋" w:eastAsia="仿宋" w:cs="仿宋"/>
          <w:color w:val="auto"/>
          <w:sz w:val="24"/>
          <w:highlight w:val="none"/>
          <w:u w:val="single"/>
        </w:rPr>
        <w:t xml:space="preserve">                 （签名或盖章）</w:t>
      </w:r>
    </w:p>
    <w:p>
      <w:pPr>
        <w:pStyle w:val="4"/>
        <w:spacing w:line="480" w:lineRule="auto"/>
        <w:ind w:firstLine="2774" w:firstLineChars="1156"/>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日期：    年   月  日</w:t>
      </w:r>
    </w:p>
    <w:p>
      <w:pPr>
        <w:pStyle w:val="4"/>
        <w:pBdr>
          <w:bottom w:val="single" w:color="auto" w:sz="6" w:space="1"/>
        </w:pBdr>
        <w:spacing w:line="480" w:lineRule="auto"/>
        <w:ind w:firstLine="2774" w:firstLineChars="1156"/>
        <w:rPr>
          <w:rFonts w:ascii="仿宋" w:hAnsi="仿宋" w:eastAsia="仿宋" w:cs="仿宋"/>
          <w:color w:val="auto"/>
          <w:sz w:val="24"/>
          <w:szCs w:val="24"/>
          <w:highlight w:val="none"/>
        </w:rPr>
      </w:pPr>
    </w:p>
    <w:p>
      <w:pPr>
        <w:pStyle w:val="4"/>
        <w:spacing w:line="480" w:lineRule="auto"/>
        <w:ind w:firstLine="0"/>
        <w:rPr>
          <w:rFonts w:ascii="仿宋" w:hAnsi="仿宋" w:eastAsia="仿宋" w:cs="仿宋"/>
          <w:color w:val="auto"/>
          <w:sz w:val="24"/>
          <w:szCs w:val="24"/>
          <w:highlight w:val="none"/>
        </w:rPr>
      </w:pPr>
    </w:p>
    <w:p>
      <w:pPr>
        <w:pStyle w:val="4"/>
        <w:spacing w:line="480" w:lineRule="auto"/>
        <w:ind w:firstLine="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授权代理人有效身份证明复印件粘贴处</w:t>
      </w:r>
    </w:p>
    <w:p>
      <w:pPr>
        <w:pStyle w:val="4"/>
        <w:spacing w:line="480" w:lineRule="auto"/>
        <w:ind w:firstLine="0"/>
        <w:rPr>
          <w:rFonts w:ascii="仿宋" w:hAnsi="仿宋" w:eastAsia="仿宋" w:cs="仿宋"/>
          <w:color w:val="auto"/>
          <w:sz w:val="24"/>
          <w:szCs w:val="24"/>
          <w:highlight w:val="none"/>
        </w:rPr>
      </w:pPr>
    </w:p>
    <w:p>
      <w:pPr>
        <w:pStyle w:val="4"/>
        <w:spacing w:line="480" w:lineRule="auto"/>
        <w:ind w:firstLine="0"/>
        <w:jc w:val="center"/>
        <w:rPr>
          <w:rFonts w:ascii="仿宋" w:hAnsi="仿宋" w:eastAsia="仿宋" w:cs="仿宋"/>
          <w:color w:val="auto"/>
          <w:sz w:val="24"/>
          <w:szCs w:val="24"/>
          <w:highlight w:val="none"/>
        </w:rPr>
      </w:pPr>
      <w:r>
        <w:rPr>
          <w:rFonts w:hint="eastAsia" w:ascii="仿宋" w:hAnsi="仿宋" w:eastAsia="仿宋" w:cs="仿宋"/>
          <w:b/>
          <w:color w:val="auto"/>
          <w:sz w:val="24"/>
          <w:highlight w:val="none"/>
        </w:rPr>
        <w:t>（后附授权代理人最近三个月内任一的个人社保缴纳证明文件）</w:t>
      </w:r>
    </w:p>
    <w:p>
      <w:pPr>
        <w:snapToGrid w:val="0"/>
        <w:spacing w:before="156" w:beforeLines="50" w:after="50"/>
        <w:jc w:val="center"/>
        <w:rPr>
          <w:rFonts w:ascii="仿宋" w:hAnsi="仿宋" w:eastAsia="仿宋" w:cs="仿宋"/>
          <w:b/>
          <w:color w:val="auto"/>
          <w:szCs w:val="28"/>
          <w:highlight w:val="none"/>
        </w:rPr>
      </w:pPr>
    </w:p>
    <w:p>
      <w:pPr>
        <w:spacing w:line="600" w:lineRule="exact"/>
        <w:jc w:val="center"/>
        <w:rPr>
          <w:rFonts w:ascii="仿宋" w:hAnsi="仿宋" w:eastAsia="仿宋" w:cs="仿宋"/>
          <w:b/>
          <w:bCs/>
          <w:color w:val="auto"/>
          <w:spacing w:val="24"/>
          <w:sz w:val="28"/>
          <w:szCs w:val="28"/>
          <w:highlight w:val="none"/>
        </w:rPr>
      </w:pPr>
    </w:p>
    <w:p>
      <w:pPr>
        <w:rPr>
          <w:rFonts w:ascii="仿宋" w:hAnsi="仿宋" w:eastAsia="仿宋" w:cs="仿宋"/>
          <w:b/>
          <w:bCs/>
          <w:color w:val="auto"/>
          <w:spacing w:val="24"/>
          <w:sz w:val="28"/>
          <w:szCs w:val="28"/>
          <w:highlight w:val="none"/>
        </w:rPr>
      </w:pPr>
      <w:r>
        <w:rPr>
          <w:rFonts w:hint="eastAsia" w:ascii="仿宋" w:hAnsi="仿宋" w:eastAsia="仿宋" w:cs="仿宋"/>
          <w:b/>
          <w:bCs/>
          <w:color w:val="auto"/>
          <w:spacing w:val="24"/>
          <w:sz w:val="28"/>
          <w:szCs w:val="28"/>
          <w:highlight w:val="none"/>
        </w:rPr>
        <w:br w:type="page"/>
      </w:r>
    </w:p>
    <w:p>
      <w:pPr>
        <w:snapToGrid w:val="0"/>
        <w:spacing w:line="560" w:lineRule="exact"/>
        <w:jc w:val="center"/>
        <w:outlineLvl w:val="1"/>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rPr>
        <w:t>承诺书</w:t>
      </w:r>
    </w:p>
    <w:p>
      <w:pPr>
        <w:snapToGrid w:val="0"/>
        <w:spacing w:line="560" w:lineRule="exact"/>
        <w:jc w:val="center"/>
        <w:rPr>
          <w:rFonts w:ascii="仿宋" w:hAnsi="仿宋" w:eastAsia="仿宋" w:cs="仿宋"/>
          <w:b/>
          <w:color w:val="auto"/>
          <w:sz w:val="28"/>
          <w:szCs w:val="28"/>
          <w:highlight w:val="none"/>
        </w:rPr>
      </w:pPr>
    </w:p>
    <w:p>
      <w:pPr>
        <w:tabs>
          <w:tab w:val="left" w:pos="1650"/>
        </w:tabs>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（供应商）</w:t>
      </w:r>
      <w:r>
        <w:rPr>
          <w:rFonts w:hint="eastAsia" w:ascii="仿宋" w:hAnsi="仿宋" w:eastAsia="仿宋" w:cs="仿宋"/>
          <w:color w:val="auto"/>
          <w:sz w:val="24"/>
          <w:highlight w:val="none"/>
        </w:rPr>
        <w:t>现参加</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政府采购活动，郑重承诺如下：</w:t>
      </w:r>
    </w:p>
    <w:p>
      <w:pPr>
        <w:tabs>
          <w:tab w:val="left" w:pos="1650"/>
        </w:tabs>
        <w:jc w:val="left"/>
        <w:rPr>
          <w:rFonts w:ascii="仿宋" w:hAnsi="仿宋" w:eastAsia="仿宋" w:cs="仿宋"/>
          <w:color w:val="auto"/>
          <w:sz w:val="24"/>
          <w:highlight w:val="none"/>
          <w:u w:val="single"/>
        </w:rPr>
      </w:pPr>
    </w:p>
    <w:p>
      <w:pPr>
        <w:tabs>
          <w:tab w:val="left" w:pos="1650"/>
        </w:tabs>
        <w:spacing w:line="6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符合参与政府采购活动的资格条件并且没有税收缴纳、社会保障等方面的失信记录。且在磋商时间截止前未被“信用中国”（www.creditchina.gov.cn）、“中国政府采购网”（www.ccgp.gov.cn）列入失信被执行人、重大税收违法案件当事人名单、政府采购严重违法失信行为记录名单。</w:t>
      </w:r>
    </w:p>
    <w:p>
      <w:pPr>
        <w:pStyle w:val="6"/>
        <w:rPr>
          <w:rFonts w:ascii="仿宋" w:hAnsi="仿宋" w:eastAsia="仿宋" w:cs="仿宋"/>
          <w:b/>
          <w:color w:val="auto"/>
          <w:sz w:val="28"/>
          <w:szCs w:val="28"/>
          <w:highlight w:val="none"/>
        </w:rPr>
      </w:pPr>
    </w:p>
    <w:p>
      <w:pPr>
        <w:rPr>
          <w:rFonts w:ascii="仿宋" w:hAnsi="仿宋" w:eastAsia="仿宋" w:cs="仿宋"/>
          <w:b/>
          <w:color w:val="auto"/>
          <w:sz w:val="28"/>
          <w:szCs w:val="28"/>
          <w:highlight w:val="none"/>
        </w:rPr>
      </w:pPr>
    </w:p>
    <w:p>
      <w:pPr>
        <w:pStyle w:val="6"/>
        <w:rPr>
          <w:rFonts w:ascii="仿宋" w:hAnsi="仿宋" w:eastAsia="仿宋" w:cs="仿宋"/>
          <w:b/>
          <w:color w:val="auto"/>
          <w:sz w:val="28"/>
          <w:szCs w:val="28"/>
          <w:highlight w:val="none"/>
        </w:rPr>
      </w:pPr>
    </w:p>
    <w:p>
      <w:pPr>
        <w:rPr>
          <w:rFonts w:ascii="仿宋" w:hAnsi="仿宋" w:eastAsia="仿宋" w:cs="仿宋"/>
          <w:b/>
          <w:color w:val="auto"/>
          <w:sz w:val="28"/>
          <w:szCs w:val="28"/>
          <w:highlight w:val="none"/>
        </w:rPr>
      </w:pPr>
    </w:p>
    <w:p>
      <w:pPr>
        <w:pStyle w:val="6"/>
        <w:rPr>
          <w:rFonts w:ascii="仿宋" w:hAnsi="仿宋" w:eastAsia="仿宋" w:cs="仿宋"/>
          <w:b/>
          <w:color w:val="auto"/>
          <w:sz w:val="28"/>
          <w:szCs w:val="28"/>
          <w:highlight w:val="none"/>
        </w:rPr>
      </w:pPr>
    </w:p>
    <w:p>
      <w:pPr>
        <w:rPr>
          <w:rFonts w:ascii="仿宋" w:hAnsi="仿宋" w:eastAsia="仿宋" w:cs="仿宋"/>
          <w:b/>
          <w:color w:val="auto"/>
          <w:sz w:val="28"/>
          <w:szCs w:val="28"/>
          <w:highlight w:val="none"/>
        </w:rPr>
      </w:pPr>
    </w:p>
    <w:p>
      <w:pPr>
        <w:pStyle w:val="6"/>
        <w:rPr>
          <w:rFonts w:ascii="仿宋" w:hAnsi="仿宋" w:eastAsia="仿宋" w:cs="仿宋"/>
          <w:b/>
          <w:color w:val="auto"/>
          <w:sz w:val="28"/>
          <w:szCs w:val="28"/>
          <w:highlight w:val="none"/>
        </w:rPr>
      </w:pPr>
    </w:p>
    <w:p>
      <w:pPr>
        <w:pStyle w:val="23"/>
        <w:spacing w:before="0" w:beforeAutospacing="0" w:after="0" w:afterAutospacing="0" w:line="560" w:lineRule="exact"/>
        <w:ind w:firstLine="3240" w:firstLineChars="1350"/>
        <w:rPr>
          <w:rFonts w:ascii="仿宋" w:hAnsi="仿宋" w:eastAsia="仿宋" w:cs="仿宋"/>
          <w:color w:val="auto"/>
          <w:kern w:val="2"/>
          <w:highlight w:val="none"/>
        </w:rPr>
      </w:pPr>
      <w:r>
        <w:rPr>
          <w:rFonts w:hint="eastAsia" w:ascii="仿宋" w:hAnsi="仿宋" w:eastAsia="仿宋" w:cs="仿宋"/>
          <w:color w:val="auto"/>
          <w:kern w:val="2"/>
          <w:highlight w:val="none"/>
        </w:rPr>
        <w:t>承诺单位/个人（盖章/签名）</w:t>
      </w:r>
    </w:p>
    <w:p>
      <w:pPr>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时间：20**年*月*日</w:t>
      </w:r>
    </w:p>
    <w:p>
      <w:pPr>
        <w:pStyle w:val="2"/>
        <w:rPr>
          <w:rFonts w:hint="eastAsia" w:ascii="仿宋" w:hAnsi="仿宋" w:eastAsia="仿宋" w:cs="仿宋"/>
          <w:color w:val="auto"/>
          <w:sz w:val="24"/>
          <w:highlight w:val="none"/>
        </w:rPr>
      </w:pPr>
    </w:p>
    <w:p>
      <w:pPr>
        <w:rPr>
          <w:rFonts w:hint="eastAsia" w:ascii="仿宋" w:hAnsi="仿宋" w:eastAsia="仿宋" w:cs="仿宋"/>
          <w:color w:val="auto"/>
          <w:sz w:val="24"/>
          <w:highlight w:val="none"/>
        </w:rPr>
      </w:pPr>
    </w:p>
    <w:p>
      <w:pPr>
        <w:pStyle w:val="2"/>
        <w:rPr>
          <w:rFonts w:hint="eastAsia" w:ascii="仿宋" w:hAnsi="仿宋" w:eastAsia="仿宋" w:cs="仿宋"/>
          <w:color w:val="auto"/>
          <w:sz w:val="24"/>
          <w:highlight w:val="none"/>
        </w:rPr>
      </w:pPr>
    </w:p>
    <w:p>
      <w:pPr>
        <w:rPr>
          <w:rFonts w:hint="eastAsia" w:ascii="仿宋" w:hAnsi="仿宋" w:eastAsia="仿宋" w:cs="仿宋"/>
          <w:color w:val="auto"/>
          <w:sz w:val="24"/>
          <w:highlight w:val="none"/>
        </w:rPr>
      </w:pPr>
    </w:p>
    <w:p>
      <w:pPr>
        <w:pStyle w:val="2"/>
        <w:rPr>
          <w:rFonts w:hint="eastAsia" w:ascii="仿宋" w:hAnsi="仿宋" w:eastAsia="仿宋" w:cs="仿宋"/>
          <w:color w:val="auto"/>
          <w:sz w:val="24"/>
          <w:highlight w:val="none"/>
        </w:rPr>
      </w:pPr>
    </w:p>
    <w:p>
      <w:pPr>
        <w:rPr>
          <w:rFonts w:hint="eastAsia"/>
          <w:color w:val="auto"/>
          <w:highlight w:val="none"/>
        </w:rPr>
      </w:pPr>
    </w:p>
    <w:p>
      <w:pPr>
        <w:rPr>
          <w:color w:val="auto"/>
          <w:highlight w:val="none"/>
        </w:rPr>
      </w:pPr>
    </w:p>
    <w:p>
      <w:pPr>
        <w:spacing w:line="560" w:lineRule="exact"/>
        <w:jc w:val="center"/>
        <w:outlineLvl w:val="1"/>
        <w:rPr>
          <w:rFonts w:hint="eastAsia" w:ascii="仿宋" w:hAnsi="仿宋" w:eastAsia="仿宋" w:cs="仿宋"/>
          <w:b/>
          <w:color w:val="auto"/>
          <w:sz w:val="28"/>
          <w:szCs w:val="28"/>
          <w:highlight w:val="none"/>
        </w:rPr>
      </w:pPr>
    </w:p>
    <w:p>
      <w:pPr>
        <w:spacing w:line="560" w:lineRule="exact"/>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信用承诺书</w:t>
      </w:r>
    </w:p>
    <w:p>
      <w:pPr>
        <w:tabs>
          <w:tab w:val="left" w:pos="1650"/>
        </w:tabs>
        <w:spacing w:line="6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rPr>
        <w:t>（供应商）</w:t>
      </w:r>
      <w:r>
        <w:rPr>
          <w:rFonts w:hint="eastAsia" w:ascii="仿宋" w:hAnsi="仿宋" w:eastAsia="仿宋" w:cs="仿宋"/>
          <w:color w:val="auto"/>
          <w:sz w:val="24"/>
          <w:highlight w:val="none"/>
        </w:rPr>
        <w:t>现参加</w:t>
      </w:r>
      <w:r>
        <w:rPr>
          <w:rFonts w:hint="eastAsia" w:ascii="仿宋" w:hAnsi="仿宋" w:eastAsia="仿宋" w:cs="仿宋"/>
          <w:color w:val="auto"/>
          <w:sz w:val="24"/>
          <w:highlight w:val="none"/>
          <w:u w:val="single"/>
        </w:rPr>
        <w:t>（采购项目）</w:t>
      </w:r>
      <w:r>
        <w:rPr>
          <w:rFonts w:hint="eastAsia" w:ascii="仿宋" w:hAnsi="仿宋" w:eastAsia="仿宋" w:cs="仿宋"/>
          <w:color w:val="auto"/>
          <w:sz w:val="24"/>
          <w:highlight w:val="none"/>
        </w:rPr>
        <w:t>政府采购活动，郑重承诺如下：</w:t>
      </w:r>
    </w:p>
    <w:p>
      <w:pPr>
        <w:tabs>
          <w:tab w:val="left" w:pos="1650"/>
        </w:tabs>
        <w:spacing w:line="640" w:lineRule="exact"/>
        <w:ind w:firstLine="630"/>
        <w:rPr>
          <w:rFonts w:ascii="仿宋" w:hAnsi="仿宋" w:eastAsia="仿宋" w:cs="仿宋"/>
          <w:color w:val="auto"/>
          <w:sz w:val="24"/>
          <w:highlight w:val="none"/>
        </w:rPr>
      </w:pPr>
      <w:r>
        <w:rPr>
          <w:rFonts w:hint="eastAsia" w:ascii="仿宋" w:hAnsi="仿宋" w:eastAsia="仿宋" w:cs="仿宋"/>
          <w:color w:val="auto"/>
          <w:sz w:val="24"/>
          <w:highlight w:val="none"/>
        </w:rPr>
        <w:t>1、对所提供的资料合法性、真实性、准确性和有效性负责；</w:t>
      </w:r>
    </w:p>
    <w:p>
      <w:pPr>
        <w:tabs>
          <w:tab w:val="left" w:pos="1650"/>
        </w:tabs>
        <w:spacing w:line="640" w:lineRule="exact"/>
        <w:ind w:firstLine="630"/>
        <w:rPr>
          <w:rFonts w:ascii="仿宋" w:hAnsi="仿宋" w:eastAsia="仿宋" w:cs="仿宋"/>
          <w:color w:val="auto"/>
          <w:sz w:val="24"/>
          <w:highlight w:val="none"/>
        </w:rPr>
      </w:pPr>
      <w:r>
        <w:rPr>
          <w:rFonts w:hint="eastAsia" w:ascii="仿宋" w:hAnsi="仿宋" w:eastAsia="仿宋" w:cs="仿宋"/>
          <w:color w:val="auto"/>
          <w:sz w:val="24"/>
          <w:highlight w:val="none"/>
        </w:rPr>
        <w:t>2、严格按照国家法律、法规和规章，依法开展相关经济活动，全面履行应尽的责任和义务；</w:t>
      </w:r>
    </w:p>
    <w:p>
      <w:pPr>
        <w:tabs>
          <w:tab w:val="left" w:pos="1650"/>
        </w:tabs>
        <w:spacing w:line="640" w:lineRule="exact"/>
        <w:ind w:firstLine="630"/>
        <w:rPr>
          <w:rFonts w:ascii="仿宋" w:hAnsi="仿宋" w:eastAsia="仿宋" w:cs="仿宋"/>
          <w:color w:val="auto"/>
          <w:sz w:val="24"/>
          <w:highlight w:val="none"/>
        </w:rPr>
      </w:pPr>
      <w:r>
        <w:rPr>
          <w:rFonts w:hint="eastAsia" w:ascii="仿宋" w:hAnsi="仿宋" w:eastAsia="仿宋" w:cs="仿宋"/>
          <w:color w:val="auto"/>
          <w:sz w:val="24"/>
          <w:highlight w:val="none"/>
        </w:rPr>
        <w:t>3、加强自我约束、自我规范、自我管理，不制假售假、不虚假宣传、不违约毁约、不恶意逃债、不偷税漏税，诚信依法经营；</w:t>
      </w:r>
    </w:p>
    <w:p>
      <w:pPr>
        <w:tabs>
          <w:tab w:val="left" w:pos="1650"/>
        </w:tabs>
        <w:spacing w:line="640" w:lineRule="exact"/>
        <w:ind w:firstLine="630"/>
        <w:rPr>
          <w:rFonts w:ascii="仿宋" w:hAnsi="仿宋" w:eastAsia="仿宋" w:cs="仿宋"/>
          <w:color w:val="auto"/>
          <w:sz w:val="24"/>
          <w:highlight w:val="none"/>
        </w:rPr>
      </w:pPr>
      <w:r>
        <w:rPr>
          <w:rFonts w:hint="eastAsia" w:ascii="仿宋" w:hAnsi="仿宋" w:eastAsia="仿宋" w:cs="仿宋"/>
          <w:color w:val="auto"/>
          <w:sz w:val="24"/>
          <w:highlight w:val="none"/>
        </w:rPr>
        <w:t>4、自愿接受行政主管部门的依法检查、违背承诺约定将自愿承担违约责任，并接受法律法规和相关部门规章制度的惩戒和约束；</w:t>
      </w:r>
    </w:p>
    <w:p>
      <w:pPr>
        <w:tabs>
          <w:tab w:val="left" w:pos="1650"/>
        </w:tabs>
        <w:spacing w:line="640" w:lineRule="exact"/>
        <w:ind w:firstLine="630"/>
        <w:rPr>
          <w:rFonts w:ascii="仿宋" w:hAnsi="仿宋" w:eastAsia="仿宋" w:cs="仿宋"/>
          <w:color w:val="auto"/>
          <w:sz w:val="24"/>
          <w:highlight w:val="none"/>
        </w:rPr>
      </w:pPr>
      <w:r>
        <w:rPr>
          <w:rFonts w:hint="eastAsia" w:ascii="仿宋" w:hAnsi="仿宋" w:eastAsia="仿宋" w:cs="仿宋"/>
          <w:color w:val="auto"/>
          <w:sz w:val="24"/>
          <w:highlight w:val="none"/>
        </w:rPr>
        <w:t>5、按照信用信息管理有关要求，本单位（个人）同意将以上承诺在信用湖州网站公示，若违背以上承诺，依据相关规定记入企业（个人）信用档案；性质严重的，承担相应法律后果和责任，并依法依规列入严重失信名单。</w:t>
      </w:r>
    </w:p>
    <w:p>
      <w:pPr>
        <w:tabs>
          <w:tab w:val="left" w:pos="1650"/>
        </w:tabs>
        <w:spacing w:line="640" w:lineRule="exact"/>
        <w:rPr>
          <w:rFonts w:ascii="仿宋" w:hAnsi="仿宋" w:eastAsia="仿宋" w:cs="仿宋"/>
          <w:color w:val="auto"/>
          <w:sz w:val="24"/>
          <w:highlight w:val="none"/>
          <w:u w:val="single"/>
        </w:rPr>
      </w:pPr>
    </w:p>
    <w:p>
      <w:pPr>
        <w:tabs>
          <w:tab w:val="left" w:pos="1650"/>
        </w:tabs>
        <w:spacing w:line="640" w:lineRule="exact"/>
        <w:rPr>
          <w:rFonts w:ascii="仿宋" w:hAnsi="仿宋" w:eastAsia="仿宋" w:cs="仿宋"/>
          <w:color w:val="auto"/>
          <w:sz w:val="24"/>
          <w:highlight w:val="none"/>
          <w:u w:val="single"/>
        </w:rPr>
      </w:pPr>
    </w:p>
    <w:p>
      <w:pPr>
        <w:pStyle w:val="23"/>
        <w:spacing w:before="0" w:beforeAutospacing="0" w:after="0" w:afterAutospacing="0" w:line="640" w:lineRule="exact"/>
        <w:ind w:firstLine="600" w:firstLineChars="250"/>
        <w:rPr>
          <w:rFonts w:ascii="仿宋" w:hAnsi="仿宋" w:eastAsia="仿宋" w:cs="仿宋"/>
          <w:color w:val="auto"/>
          <w:spacing w:val="-7"/>
          <w:highlight w:val="none"/>
        </w:rPr>
      </w:pPr>
      <w:r>
        <w:rPr>
          <w:rFonts w:hint="eastAsia" w:ascii="仿宋" w:hAnsi="仿宋" w:eastAsia="仿宋" w:cs="仿宋"/>
          <w:color w:val="auto"/>
          <w:kern w:val="2"/>
          <w:highlight w:val="none"/>
        </w:rPr>
        <w:t>统一社会信用代码：</w:t>
      </w:r>
    </w:p>
    <w:p>
      <w:pPr>
        <w:pStyle w:val="23"/>
        <w:spacing w:before="0" w:beforeAutospacing="0" w:after="0" w:afterAutospacing="0" w:line="640" w:lineRule="exact"/>
        <w:rPr>
          <w:rFonts w:ascii="仿宋" w:hAnsi="仿宋" w:eastAsia="仿宋" w:cs="仿宋"/>
          <w:color w:val="auto"/>
          <w:highlight w:val="none"/>
        </w:rPr>
      </w:pPr>
    </w:p>
    <w:p>
      <w:pPr>
        <w:pStyle w:val="23"/>
        <w:spacing w:before="0" w:beforeAutospacing="0" w:after="0" w:afterAutospacing="0" w:line="640" w:lineRule="exact"/>
        <w:rPr>
          <w:rFonts w:ascii="仿宋" w:hAnsi="仿宋" w:eastAsia="仿宋" w:cs="仿宋"/>
          <w:color w:val="auto"/>
          <w:highlight w:val="none"/>
        </w:rPr>
      </w:pPr>
    </w:p>
    <w:p>
      <w:pPr>
        <w:pStyle w:val="23"/>
        <w:spacing w:before="0" w:beforeAutospacing="0" w:after="0" w:afterAutospacing="0" w:line="640" w:lineRule="exact"/>
        <w:ind w:firstLine="3240" w:firstLineChars="1350"/>
        <w:jc w:val="right"/>
        <w:rPr>
          <w:rFonts w:ascii="仿宋" w:hAnsi="仿宋" w:eastAsia="仿宋" w:cs="仿宋"/>
          <w:color w:val="auto"/>
          <w:kern w:val="2"/>
          <w:highlight w:val="none"/>
        </w:rPr>
      </w:pPr>
      <w:r>
        <w:rPr>
          <w:rFonts w:hint="eastAsia" w:ascii="仿宋" w:hAnsi="仿宋" w:eastAsia="仿宋" w:cs="仿宋"/>
          <w:color w:val="auto"/>
          <w:kern w:val="2"/>
          <w:highlight w:val="none"/>
        </w:rPr>
        <w:t>承诺单位/个人：（盖章/签名）</w:t>
      </w:r>
    </w:p>
    <w:p>
      <w:pPr>
        <w:spacing w:line="640" w:lineRule="exact"/>
        <w:jc w:val="right"/>
        <w:rPr>
          <w:rFonts w:ascii="仿宋" w:hAnsi="仿宋" w:eastAsia="仿宋" w:cs="仿宋"/>
          <w:color w:val="auto"/>
          <w:sz w:val="24"/>
          <w:highlight w:val="none"/>
        </w:rPr>
      </w:pPr>
      <w:r>
        <w:rPr>
          <w:rFonts w:hint="eastAsia" w:ascii="仿宋" w:hAnsi="仿宋" w:eastAsia="仿宋" w:cs="仿宋"/>
          <w:color w:val="auto"/>
          <w:sz w:val="24"/>
          <w:highlight w:val="none"/>
        </w:rPr>
        <w:t xml:space="preserve">            时   间：  年  月  日</w:t>
      </w:r>
    </w:p>
    <w:p>
      <w:pPr>
        <w:pStyle w:val="4"/>
        <w:spacing w:line="600" w:lineRule="exact"/>
        <w:ind w:firstLine="0"/>
        <w:jc w:val="center"/>
        <w:rPr>
          <w:rFonts w:ascii="仿宋" w:hAnsi="仿宋" w:eastAsia="仿宋" w:cs="仿宋"/>
          <w:color w:val="auto"/>
          <w:sz w:val="24"/>
          <w:szCs w:val="24"/>
          <w:highlight w:val="none"/>
        </w:rPr>
      </w:pPr>
    </w:p>
    <w:p>
      <w:pPr>
        <w:spacing w:line="360" w:lineRule="auto"/>
        <w:jc w:val="center"/>
        <w:rPr>
          <w:rFonts w:ascii="仿宋" w:hAnsi="仿宋" w:eastAsia="仿宋" w:cs="仿宋"/>
          <w:b/>
          <w:bCs/>
          <w:color w:val="auto"/>
          <w:sz w:val="28"/>
          <w:szCs w:val="28"/>
          <w:highlight w:val="none"/>
        </w:rPr>
      </w:pPr>
      <w:r>
        <w:rPr>
          <w:rFonts w:hint="eastAsia" w:ascii="仿宋" w:hAnsi="仿宋" w:eastAsia="仿宋" w:cs="仿宋"/>
          <w:b/>
          <w:bCs/>
          <w:color w:val="auto"/>
          <w:spacing w:val="24"/>
          <w:sz w:val="28"/>
          <w:szCs w:val="28"/>
          <w:highlight w:val="none"/>
        </w:rPr>
        <w:br w:type="page"/>
      </w:r>
      <w:r>
        <w:rPr>
          <w:rFonts w:hint="eastAsia" w:ascii="仿宋" w:hAnsi="仿宋" w:eastAsia="仿宋" w:cs="仿宋"/>
          <w:b/>
          <w:color w:val="auto"/>
          <w:sz w:val="28"/>
          <w:szCs w:val="28"/>
          <w:highlight w:val="none"/>
        </w:rPr>
        <w:t>中小企业声明函（工程、 服务）</w:t>
      </w:r>
    </w:p>
    <w:p>
      <w:pPr>
        <w:spacing w:line="560" w:lineRule="exact"/>
        <w:ind w:firstLine="720" w:firstLineChars="300"/>
        <w:rPr>
          <w:rFonts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w:t>
      </w:r>
    </w:p>
    <w:p>
      <w:pPr>
        <w:spacing w:line="56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库﹝2020﹞46 号）的规定，本公司 （联合体）参加</w:t>
      </w:r>
      <w:r>
        <w:rPr>
          <w:rFonts w:hint="eastAsia" w:ascii="仿宋" w:hAnsi="仿宋" w:eastAsia="仿宋" w:cs="仿宋"/>
          <w:color w:val="auto"/>
          <w:sz w:val="24"/>
          <w:highlight w:val="none"/>
          <w:u w:val="single"/>
        </w:rPr>
        <w:t xml:space="preserve"> （ 单位名称 ） </w:t>
      </w:r>
      <w:r>
        <w:rPr>
          <w:rFonts w:hint="eastAsia" w:ascii="仿宋" w:hAnsi="仿宋" w:eastAsia="仿宋" w:cs="仿宋"/>
          <w:color w:val="auto"/>
          <w:sz w:val="24"/>
          <w:highlight w:val="none"/>
        </w:rPr>
        <w:t xml:space="preserve">的 </w:t>
      </w:r>
      <w:r>
        <w:rPr>
          <w:rFonts w:hint="eastAsia" w:ascii="仿宋" w:hAnsi="仿宋" w:eastAsia="仿宋" w:cs="仿宋"/>
          <w:color w:val="auto"/>
          <w:sz w:val="24"/>
          <w:highlight w:val="none"/>
          <w:u w:val="single"/>
        </w:rPr>
        <w:t>（ 项目名称 ）</w:t>
      </w:r>
      <w:r>
        <w:rPr>
          <w:rFonts w:hint="eastAsia" w:ascii="仿宋" w:hAnsi="仿宋" w:eastAsia="仿宋" w:cs="仿宋"/>
          <w:color w:val="auto"/>
          <w:sz w:val="24"/>
          <w:highlight w:val="none"/>
        </w:rPr>
        <w:t xml:space="preserve">采购活动，工程的施工单位全部为符合政策要求的中小企业（或者：服务全部由符合政策要求的中小企业承接）。相关企业（含联合体中的中小企业、签订分包意向协议的中小企业）的具体情况如下： </w:t>
      </w:r>
    </w:p>
    <w:p>
      <w:pPr>
        <w:spacing w:line="560" w:lineRule="exact"/>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 xml:space="preserve">1. </w:t>
      </w:r>
      <w:r>
        <w:rPr>
          <w:rFonts w:hint="eastAsia" w:ascii="仿宋" w:hAnsi="仿宋" w:eastAsia="仿宋" w:cs="仿宋"/>
          <w:color w:val="auto"/>
          <w:sz w:val="24"/>
          <w:highlight w:val="none"/>
          <w:u w:val="single"/>
        </w:rPr>
        <w:t xml:space="preserve">（ 标的名称 ） </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 </w:t>
      </w:r>
      <w:r>
        <w:rPr>
          <w:rFonts w:hint="eastAsia" w:ascii="仿宋" w:hAnsi="仿宋" w:eastAsia="仿宋"/>
          <w:color w:val="auto"/>
          <w:sz w:val="24"/>
          <w:highlight w:val="none"/>
          <w:u w:val="single"/>
        </w:rPr>
        <w:t>采购文件中明确的所属行业</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 承建（承接）企业为</w:t>
      </w:r>
      <w:r>
        <w:rPr>
          <w:rFonts w:hint="eastAsia" w:ascii="仿宋" w:hAnsi="仿宋" w:eastAsia="仿宋" w:cs="仿宋"/>
          <w:color w:val="auto"/>
          <w:sz w:val="24"/>
          <w:highlight w:val="none"/>
          <w:u w:val="single"/>
        </w:rPr>
        <w:t xml:space="preserve"> （ 企业名称） </w:t>
      </w:r>
      <w:r>
        <w:rPr>
          <w:rFonts w:hint="eastAsia" w:ascii="仿宋" w:hAnsi="仿宋" w:eastAsia="仿宋" w:cs="仿宋"/>
          <w:color w:val="auto"/>
          <w:sz w:val="24"/>
          <w:highlight w:val="none"/>
        </w:rPr>
        <w:t>，从业人员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 、小型企业 、微型企业 ） </w:t>
      </w:r>
      <w:r>
        <w:rPr>
          <w:rFonts w:hint="eastAsia" w:ascii="仿宋" w:hAnsi="仿宋" w:eastAsia="仿宋" w:cs="仿宋"/>
          <w:color w:val="auto"/>
          <w:sz w:val="24"/>
          <w:highlight w:val="none"/>
        </w:rPr>
        <w:t xml:space="preserve">； </w:t>
      </w:r>
    </w:p>
    <w:p>
      <w:pPr>
        <w:spacing w:line="560" w:lineRule="exact"/>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 xml:space="preserve">2. </w:t>
      </w:r>
      <w:r>
        <w:rPr>
          <w:rFonts w:hint="eastAsia" w:ascii="仿宋" w:hAnsi="仿宋" w:eastAsia="仿宋" w:cs="仿宋"/>
          <w:color w:val="auto"/>
          <w:sz w:val="24"/>
          <w:highlight w:val="none"/>
          <w:u w:val="single"/>
        </w:rPr>
        <w:t xml:space="preserve">（ 标的名称 ） </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 </w:t>
      </w:r>
      <w:r>
        <w:rPr>
          <w:rFonts w:hint="eastAsia" w:ascii="仿宋" w:hAnsi="仿宋" w:eastAsia="仿宋"/>
          <w:color w:val="auto"/>
          <w:sz w:val="24"/>
          <w:highlight w:val="none"/>
          <w:u w:val="single"/>
        </w:rPr>
        <w:t>采购文件中明确的所属行业</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 承建（承接）企业为</w:t>
      </w:r>
      <w:r>
        <w:rPr>
          <w:rFonts w:hint="eastAsia" w:ascii="仿宋" w:hAnsi="仿宋" w:eastAsia="仿宋" w:cs="仿宋"/>
          <w:color w:val="auto"/>
          <w:sz w:val="24"/>
          <w:highlight w:val="none"/>
          <w:u w:val="single"/>
        </w:rPr>
        <w:t xml:space="preserve"> （ 企业名称） </w:t>
      </w:r>
      <w:r>
        <w:rPr>
          <w:rFonts w:hint="eastAsia" w:ascii="仿宋" w:hAnsi="仿宋" w:eastAsia="仿宋" w:cs="仿宋"/>
          <w:color w:val="auto"/>
          <w:sz w:val="24"/>
          <w:highlight w:val="none"/>
        </w:rPr>
        <w:t>，从业人员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 、小型企业 、微型企业 ） </w:t>
      </w:r>
      <w:r>
        <w:rPr>
          <w:rFonts w:hint="eastAsia" w:ascii="仿宋" w:hAnsi="仿宋" w:eastAsia="仿宋" w:cs="仿宋"/>
          <w:color w:val="auto"/>
          <w:sz w:val="24"/>
          <w:highlight w:val="none"/>
        </w:rPr>
        <w:t>；</w:t>
      </w:r>
    </w:p>
    <w:p>
      <w:pPr>
        <w:spacing w:line="560" w:lineRule="exact"/>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p>
    <w:p>
      <w:pPr>
        <w:spacing w:line="560" w:lineRule="exact"/>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 xml:space="preserve"> 以上企业，不属于大企业的分支机构，不存在控股股东为大企业的情形，也不存在与大企业的负责人为同一人的情形。 本企业对上述声明内容的真实性负责。如有虚假，将依 法承担相应责任。 </w:t>
      </w:r>
    </w:p>
    <w:p>
      <w:pPr>
        <w:tabs>
          <w:tab w:val="left" w:pos="2996"/>
        </w:tabs>
        <w:spacing w:line="600" w:lineRule="exact"/>
        <w:ind w:firstLine="480" w:firstLineChars="200"/>
        <w:rPr>
          <w:rFonts w:ascii="仿宋" w:hAnsi="仿宋" w:eastAsia="仿宋" w:cs="仿宋"/>
          <w:color w:val="auto"/>
          <w:sz w:val="24"/>
          <w:highlight w:val="none"/>
        </w:rPr>
      </w:pPr>
    </w:p>
    <w:p>
      <w:pPr>
        <w:tabs>
          <w:tab w:val="left" w:pos="2996"/>
        </w:tabs>
        <w:spacing w:line="600" w:lineRule="exact"/>
        <w:ind w:firstLine="480" w:firstLineChars="200"/>
        <w:rPr>
          <w:rFonts w:ascii="仿宋" w:hAnsi="仿宋" w:eastAsia="仿宋" w:cs="仿宋"/>
          <w:color w:val="auto"/>
          <w:sz w:val="24"/>
          <w:highlight w:val="none"/>
        </w:rPr>
      </w:pPr>
    </w:p>
    <w:p>
      <w:pPr>
        <w:tabs>
          <w:tab w:val="left" w:pos="2996"/>
        </w:tabs>
        <w:spacing w:line="600" w:lineRule="exact"/>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rPr>
        <w:t>供应商名称（盖章）：</w:t>
      </w:r>
    </w:p>
    <w:p>
      <w:pPr>
        <w:tabs>
          <w:tab w:val="left" w:pos="2996"/>
        </w:tabs>
        <w:spacing w:line="600" w:lineRule="exact"/>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rPr>
        <w:t>日　期：</w:t>
      </w:r>
    </w:p>
    <w:p>
      <w:pPr>
        <w:spacing w:line="600" w:lineRule="exact"/>
        <w:rPr>
          <w:rFonts w:ascii="仿宋" w:hAnsi="仿宋" w:eastAsia="仿宋" w:cs="仿宋"/>
          <w:color w:val="auto"/>
          <w:sz w:val="24"/>
          <w:highlight w:val="none"/>
        </w:rPr>
      </w:pPr>
      <w:r>
        <w:rPr>
          <w:rFonts w:hint="eastAsia" w:ascii="仿宋" w:hAnsi="仿宋" w:eastAsia="仿宋" w:cs="仿宋"/>
          <w:color w:val="auto"/>
          <w:sz w:val="24"/>
          <w:highlight w:val="none"/>
        </w:rPr>
        <w:t>注：1、从业人员、营业收入、资产总额填报上一年度数据，无上一年度数据的新成立企业可不填报。</w:t>
      </w:r>
    </w:p>
    <w:p>
      <w:pPr>
        <w:spacing w:line="600" w:lineRule="exact"/>
        <w:rPr>
          <w:rFonts w:ascii="仿宋" w:hAnsi="仿宋" w:eastAsia="仿宋" w:cs="仿宋"/>
          <w:color w:val="auto"/>
          <w:sz w:val="24"/>
          <w:highlight w:val="none"/>
        </w:rPr>
      </w:pPr>
    </w:p>
    <w:p>
      <w:pPr>
        <w:spacing w:line="600" w:lineRule="exact"/>
        <w:rPr>
          <w:rFonts w:ascii="仿宋" w:hAnsi="仿宋" w:eastAsia="仿宋" w:cs="仿宋"/>
          <w:color w:val="auto"/>
          <w:sz w:val="24"/>
          <w:highlight w:val="none"/>
        </w:rPr>
      </w:pPr>
    </w:p>
    <w:p>
      <w:pPr>
        <w:jc w:val="left"/>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pPr>
        <w:spacing w:line="36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监狱企业声明函</w:t>
      </w:r>
    </w:p>
    <w:p>
      <w:pPr>
        <w:spacing w:line="6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【非监狱企业的不用提供】</w:t>
      </w:r>
    </w:p>
    <w:p>
      <w:pPr>
        <w:spacing w:line="6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本企业郑重声明，根据《关于政府采购支持监狱企业发展有关问题的通知》(财库[2014]68号）的规定，本企业为监狱企业。</w:t>
      </w:r>
    </w:p>
    <w:p>
      <w:pPr>
        <w:spacing w:line="6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根据上述标准，我企业属于监狱企业的理由为:</w:t>
      </w:r>
    </w:p>
    <w:p>
      <w:pPr>
        <w:spacing w:line="6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本企业为参加(项目名称:) (项目编号:)采购活动提供本企业的产品。</w:t>
      </w:r>
    </w:p>
    <w:p>
      <w:pPr>
        <w:spacing w:line="600" w:lineRule="exact"/>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本企业对上述声明的真实性负责。如有虚假，将依法承担相应责任。</w:t>
      </w:r>
    </w:p>
    <w:p>
      <w:pPr>
        <w:spacing w:line="600" w:lineRule="exact"/>
        <w:rPr>
          <w:rFonts w:ascii="仿宋" w:hAnsi="仿宋" w:eastAsia="仿宋" w:cs="仿宋"/>
          <w:color w:val="auto"/>
          <w:sz w:val="24"/>
          <w:highlight w:val="none"/>
        </w:rPr>
      </w:pPr>
    </w:p>
    <w:p>
      <w:pPr>
        <w:spacing w:line="600" w:lineRule="exact"/>
        <w:ind w:firstLine="360" w:firstLineChars="150"/>
        <w:jc w:val="right"/>
        <w:rPr>
          <w:rFonts w:ascii="仿宋" w:hAnsi="仿宋" w:eastAsia="仿宋" w:cs="仿宋"/>
          <w:color w:val="auto"/>
          <w:sz w:val="24"/>
          <w:highlight w:val="none"/>
        </w:rPr>
      </w:pPr>
      <w:r>
        <w:rPr>
          <w:rFonts w:hint="eastAsia" w:ascii="仿宋" w:hAnsi="仿宋" w:eastAsia="仿宋" w:cs="仿宋"/>
          <w:color w:val="auto"/>
          <w:sz w:val="24"/>
          <w:highlight w:val="none"/>
        </w:rPr>
        <w:t>供应商名称(盖章) :</w:t>
      </w:r>
    </w:p>
    <w:p>
      <w:pPr>
        <w:spacing w:line="600" w:lineRule="exact"/>
        <w:ind w:firstLine="360" w:firstLineChars="150"/>
        <w:jc w:val="right"/>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pPr>
        <w:spacing w:line="600" w:lineRule="exact"/>
        <w:ind w:firstLine="360" w:firstLineChars="150"/>
        <w:jc w:val="right"/>
        <w:rPr>
          <w:rFonts w:ascii="仿宋" w:hAnsi="仿宋" w:eastAsia="仿宋" w:cs="仿宋"/>
          <w:color w:val="auto"/>
          <w:sz w:val="24"/>
          <w:highlight w:val="none"/>
        </w:rPr>
      </w:pP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注：1、根据《关于政府采购支持监狱企业发展有关问题的通知》（财库[2014]68 号）的规定，供应商提供由省级以上监狱管理局、戒毒管理局（含新疆生产建设兵团）出具的属于监狱企业证明文件的，视同为小型和微型企业小微企业名录；</w:t>
      </w:r>
    </w:p>
    <w:p>
      <w:pPr>
        <w:spacing w:line="6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2、监狱企业参加政府采购活动时，应当提供由省级以上监狱管理局、戒毒管理局(含新疆生产建设兵团)出具的属于监狱企业的证明文件；</w:t>
      </w:r>
    </w:p>
    <w:p>
      <w:pPr>
        <w:spacing w:line="6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spacing w:line="540" w:lineRule="exact"/>
        <w:rPr>
          <w:rFonts w:ascii="仿宋" w:hAnsi="仿宋" w:eastAsia="仿宋" w:cs="仿宋"/>
          <w:color w:val="auto"/>
          <w:sz w:val="24"/>
          <w:highlight w:val="none"/>
        </w:rPr>
      </w:pPr>
    </w:p>
    <w:p>
      <w:pPr>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pPr>
        <w:spacing w:line="36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残疾人福利性单位声明函</w:t>
      </w:r>
    </w:p>
    <w:p>
      <w:pPr>
        <w:spacing w:line="6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【非残疾人福利性单位不用提供】</w:t>
      </w:r>
    </w:p>
    <w:p>
      <w:pPr>
        <w:spacing w:line="6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本单位郑重声明，根据《财政部民政部中国残疾人联合会关于促进残疾人就业政府采购政策的通知》(财库(2017) 141号)的规定。本单位为符合条件的残疾人福利性单位，且本单位参加(采购人名称)单位的(项目名称)项目采购活动提供本单位制造的货物(由本单位承担工程/提供服务)，或者提供其他残疾人福利性单位制造的货物(不包括使用非残疾人福利性单位注册商标的货物)。</w:t>
      </w:r>
    </w:p>
    <w:p>
      <w:pPr>
        <w:spacing w:line="6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本单位对上述声明的真实性负责，如有虚假，将依法承但相应责任。</w:t>
      </w:r>
    </w:p>
    <w:p>
      <w:pPr>
        <w:spacing w:line="600" w:lineRule="exact"/>
        <w:ind w:firstLine="480" w:firstLineChars="200"/>
        <w:rPr>
          <w:rFonts w:ascii="仿宋" w:hAnsi="仿宋" w:eastAsia="仿宋" w:cs="仿宋"/>
          <w:color w:val="auto"/>
          <w:sz w:val="24"/>
          <w:highlight w:val="none"/>
        </w:rPr>
      </w:pPr>
    </w:p>
    <w:p>
      <w:pPr>
        <w:spacing w:line="600" w:lineRule="exact"/>
        <w:ind w:firstLine="480" w:firstLineChars="200"/>
        <w:rPr>
          <w:rFonts w:ascii="仿宋" w:hAnsi="仿宋" w:eastAsia="仿宋" w:cs="仿宋"/>
          <w:color w:val="auto"/>
          <w:sz w:val="24"/>
          <w:highlight w:val="none"/>
        </w:rPr>
      </w:pPr>
    </w:p>
    <w:p>
      <w:pPr>
        <w:spacing w:line="600" w:lineRule="exact"/>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rPr>
        <w:t>供应商名称(盖章)：</w:t>
      </w:r>
    </w:p>
    <w:p>
      <w:pPr>
        <w:spacing w:line="600" w:lineRule="exact"/>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pPr>
        <w:spacing w:line="360" w:lineRule="auto"/>
        <w:rPr>
          <w:rFonts w:ascii="仿宋" w:hAnsi="仿宋" w:eastAsia="仿宋" w:cs="仿宋"/>
          <w:b/>
          <w:color w:val="auto"/>
          <w:szCs w:val="28"/>
          <w:highlight w:val="none"/>
        </w:rPr>
      </w:pPr>
    </w:p>
    <w:p>
      <w:pPr>
        <w:spacing w:line="360" w:lineRule="auto"/>
        <w:rPr>
          <w:rFonts w:ascii="仿宋" w:hAnsi="仿宋" w:eastAsia="仿宋" w:cs="仿宋"/>
          <w:b/>
          <w:color w:val="auto"/>
          <w:szCs w:val="28"/>
          <w:highlight w:val="none"/>
        </w:rPr>
      </w:pPr>
    </w:p>
    <w:p>
      <w:pPr>
        <w:spacing w:line="360" w:lineRule="auto"/>
        <w:rPr>
          <w:rFonts w:ascii="仿宋" w:hAnsi="仿宋" w:eastAsia="仿宋" w:cs="仿宋"/>
          <w:b/>
          <w:color w:val="auto"/>
          <w:szCs w:val="28"/>
          <w:highlight w:val="none"/>
        </w:rPr>
      </w:pPr>
    </w:p>
    <w:p>
      <w:pPr>
        <w:spacing w:line="600" w:lineRule="exact"/>
        <w:rPr>
          <w:rFonts w:ascii="仿宋" w:hAnsi="仿宋" w:eastAsia="仿宋" w:cs="仿宋"/>
          <w:color w:val="auto"/>
          <w:sz w:val="24"/>
          <w:highlight w:val="none"/>
        </w:rPr>
      </w:pPr>
      <w:r>
        <w:rPr>
          <w:rFonts w:hint="eastAsia" w:ascii="仿宋" w:hAnsi="仿宋" w:eastAsia="仿宋" w:cs="仿宋"/>
          <w:color w:val="auto"/>
          <w:sz w:val="24"/>
          <w:highlight w:val="none"/>
        </w:rPr>
        <w:t>注：符合《关于促进残疾人就业政府采购政策的通知》（财库〔2017〕141 号）规定的条件并提供《残疾人福利性单位声明函》的残疾人福利性单位视同小型、微型企</w:t>
      </w:r>
    </w:p>
    <w:p>
      <w:pPr>
        <w:spacing w:line="360" w:lineRule="auto"/>
        <w:rPr>
          <w:rFonts w:ascii="仿宋" w:hAnsi="仿宋" w:eastAsia="仿宋" w:cs="仿宋"/>
          <w:b/>
          <w:color w:val="auto"/>
          <w:szCs w:val="28"/>
          <w:highlight w:val="none"/>
        </w:rPr>
      </w:pPr>
      <w:r>
        <w:rPr>
          <w:rFonts w:hint="eastAsia" w:ascii="仿宋" w:hAnsi="仿宋" w:eastAsia="仿宋" w:cs="仿宋"/>
          <w:color w:val="auto"/>
          <w:sz w:val="24"/>
          <w:highlight w:val="none"/>
        </w:rPr>
        <w:t>业。</w:t>
      </w:r>
    </w:p>
    <w:p>
      <w:pPr>
        <w:spacing w:line="600" w:lineRule="exact"/>
        <w:jc w:val="center"/>
        <w:rPr>
          <w:rFonts w:ascii="仿宋" w:hAnsi="仿宋" w:eastAsia="仿宋" w:cs="仿宋"/>
          <w:b/>
          <w:bCs/>
          <w:color w:val="auto"/>
          <w:spacing w:val="24"/>
          <w:sz w:val="28"/>
          <w:szCs w:val="28"/>
          <w:highlight w:val="none"/>
        </w:rPr>
      </w:pPr>
    </w:p>
    <w:p>
      <w:pPr>
        <w:pStyle w:val="16"/>
        <w:rPr>
          <w:color w:val="auto"/>
          <w:highlight w:val="none"/>
        </w:rPr>
      </w:pPr>
    </w:p>
    <w:p>
      <w:pPr>
        <w:pStyle w:val="16"/>
        <w:rPr>
          <w:color w:val="auto"/>
          <w:highlight w:val="none"/>
        </w:rPr>
      </w:pPr>
    </w:p>
    <w:p>
      <w:pPr>
        <w:spacing w:line="600" w:lineRule="exact"/>
        <w:jc w:val="center"/>
        <w:rPr>
          <w:rFonts w:ascii="仿宋" w:hAnsi="仿宋" w:eastAsia="仿宋" w:cs="仿宋"/>
          <w:b/>
          <w:color w:val="auto"/>
          <w:szCs w:val="28"/>
          <w:highlight w:val="none"/>
        </w:rPr>
      </w:pPr>
      <w:r>
        <w:rPr>
          <w:rFonts w:hint="eastAsia" w:ascii="仿宋" w:hAnsi="仿宋" w:eastAsia="仿宋" w:cs="仿宋"/>
          <w:b/>
          <w:bCs/>
          <w:color w:val="auto"/>
          <w:spacing w:val="24"/>
          <w:sz w:val="28"/>
          <w:szCs w:val="28"/>
          <w:highlight w:val="none"/>
        </w:rPr>
        <w:br w:type="page"/>
      </w:r>
      <w:r>
        <w:rPr>
          <w:rFonts w:hint="eastAsia" w:ascii="仿宋" w:hAnsi="仿宋" w:eastAsia="仿宋" w:cs="仿宋"/>
          <w:b/>
          <w:color w:val="auto"/>
          <w:sz w:val="28"/>
          <w:szCs w:val="28"/>
          <w:highlight w:val="none"/>
        </w:rPr>
        <w:t>企业业绩</w:t>
      </w:r>
    </w:p>
    <w:p>
      <w:pPr>
        <w:spacing w:line="600" w:lineRule="exact"/>
        <w:rPr>
          <w:rFonts w:ascii="仿宋" w:hAnsi="仿宋" w:eastAsia="仿宋" w:cs="仿宋"/>
          <w:color w:val="auto"/>
          <w:sz w:val="24"/>
          <w:highlight w:val="none"/>
        </w:rPr>
      </w:pPr>
      <w:r>
        <w:rPr>
          <w:rFonts w:hint="eastAsia" w:ascii="仿宋" w:hAnsi="仿宋" w:eastAsia="仿宋" w:cs="仿宋"/>
          <w:color w:val="auto"/>
          <w:sz w:val="24"/>
          <w:highlight w:val="none"/>
        </w:rPr>
        <w:t>供应商全称（加盖公章）：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pPr>
        <w:spacing w:line="600" w:lineRule="exact"/>
        <w:rPr>
          <w:rFonts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eastAsia="zh-CN"/>
        </w:rPr>
        <w:t xml:space="preserve">街道机关2024年度食堂食材第三方配送及食堂运维项目    </w:t>
      </w:r>
      <w:r>
        <w:rPr>
          <w:rFonts w:hint="eastAsia" w:ascii="仿宋" w:hAnsi="仿宋" w:eastAsia="仿宋" w:cs="仿宋"/>
          <w:color w:val="auto"/>
          <w:sz w:val="24"/>
          <w:highlight w:val="none"/>
        </w:rPr>
        <w:t xml:space="preserve"> </w:t>
      </w:r>
    </w:p>
    <w:tbl>
      <w:tblPr>
        <w:tblStyle w:val="17"/>
        <w:tblW w:w="94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9"/>
        <w:gridCol w:w="1330"/>
        <w:gridCol w:w="1632"/>
        <w:gridCol w:w="1632"/>
        <w:gridCol w:w="2235"/>
        <w:gridCol w:w="16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029" w:type="dxa"/>
            <w:noWrap/>
            <w:vAlign w:val="center"/>
          </w:tcPr>
          <w:p>
            <w:pPr>
              <w:spacing w:line="360" w:lineRule="auto"/>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序号</w:t>
            </w:r>
          </w:p>
        </w:tc>
        <w:tc>
          <w:tcPr>
            <w:tcW w:w="1330" w:type="dxa"/>
            <w:noWrap/>
            <w:vAlign w:val="center"/>
          </w:tcPr>
          <w:p>
            <w:pPr>
              <w:spacing w:line="360" w:lineRule="auto"/>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项目名称</w:t>
            </w:r>
          </w:p>
        </w:tc>
        <w:tc>
          <w:tcPr>
            <w:tcW w:w="1632" w:type="dxa"/>
            <w:noWrap/>
            <w:vAlign w:val="center"/>
          </w:tcPr>
          <w:p>
            <w:pPr>
              <w:spacing w:line="360" w:lineRule="auto"/>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使用方</w:t>
            </w:r>
          </w:p>
        </w:tc>
        <w:tc>
          <w:tcPr>
            <w:tcW w:w="1632" w:type="dxa"/>
            <w:noWrap/>
            <w:vAlign w:val="center"/>
          </w:tcPr>
          <w:p>
            <w:pPr>
              <w:spacing w:line="360" w:lineRule="auto"/>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签订时间</w:t>
            </w:r>
          </w:p>
        </w:tc>
        <w:tc>
          <w:tcPr>
            <w:tcW w:w="2235" w:type="dxa"/>
            <w:noWrap/>
            <w:vAlign w:val="center"/>
          </w:tcPr>
          <w:p>
            <w:pPr>
              <w:spacing w:line="360" w:lineRule="auto"/>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使用方联系人</w:t>
            </w:r>
          </w:p>
        </w:tc>
        <w:tc>
          <w:tcPr>
            <w:tcW w:w="1632" w:type="dxa"/>
            <w:noWrap/>
            <w:vAlign w:val="center"/>
          </w:tcPr>
          <w:p>
            <w:pPr>
              <w:spacing w:line="360" w:lineRule="auto"/>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noWrap/>
            <w:vAlign w:val="center"/>
          </w:tcPr>
          <w:p>
            <w:pPr>
              <w:spacing w:line="360" w:lineRule="auto"/>
              <w:jc w:val="center"/>
              <w:rPr>
                <w:rFonts w:ascii="仿宋" w:hAnsi="仿宋" w:eastAsia="仿宋" w:cs="仿宋"/>
                <w:bCs/>
                <w:color w:val="auto"/>
                <w:sz w:val="24"/>
                <w:highlight w:val="none"/>
              </w:rPr>
            </w:pPr>
          </w:p>
        </w:tc>
        <w:tc>
          <w:tcPr>
            <w:tcW w:w="1330"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c>
          <w:tcPr>
            <w:tcW w:w="2235"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noWrap/>
            <w:vAlign w:val="center"/>
          </w:tcPr>
          <w:p>
            <w:pPr>
              <w:spacing w:line="360" w:lineRule="auto"/>
              <w:jc w:val="center"/>
              <w:rPr>
                <w:rFonts w:ascii="仿宋" w:hAnsi="仿宋" w:eastAsia="仿宋" w:cs="仿宋"/>
                <w:bCs/>
                <w:color w:val="auto"/>
                <w:sz w:val="24"/>
                <w:highlight w:val="none"/>
              </w:rPr>
            </w:pPr>
          </w:p>
        </w:tc>
        <w:tc>
          <w:tcPr>
            <w:tcW w:w="1330"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c>
          <w:tcPr>
            <w:tcW w:w="2235"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noWrap/>
            <w:vAlign w:val="center"/>
          </w:tcPr>
          <w:p>
            <w:pPr>
              <w:spacing w:line="360" w:lineRule="auto"/>
              <w:jc w:val="center"/>
              <w:rPr>
                <w:rFonts w:ascii="仿宋" w:hAnsi="仿宋" w:eastAsia="仿宋" w:cs="仿宋"/>
                <w:bCs/>
                <w:color w:val="auto"/>
                <w:sz w:val="24"/>
                <w:highlight w:val="none"/>
              </w:rPr>
            </w:pPr>
          </w:p>
        </w:tc>
        <w:tc>
          <w:tcPr>
            <w:tcW w:w="1330"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c>
          <w:tcPr>
            <w:tcW w:w="2235"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noWrap/>
            <w:vAlign w:val="center"/>
          </w:tcPr>
          <w:p>
            <w:pPr>
              <w:spacing w:line="360" w:lineRule="auto"/>
              <w:jc w:val="center"/>
              <w:rPr>
                <w:rFonts w:ascii="仿宋" w:hAnsi="仿宋" w:eastAsia="仿宋" w:cs="仿宋"/>
                <w:bCs/>
                <w:color w:val="auto"/>
                <w:sz w:val="24"/>
                <w:highlight w:val="none"/>
              </w:rPr>
            </w:pPr>
          </w:p>
        </w:tc>
        <w:tc>
          <w:tcPr>
            <w:tcW w:w="1330"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c>
          <w:tcPr>
            <w:tcW w:w="2235"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noWrap/>
            <w:vAlign w:val="center"/>
          </w:tcPr>
          <w:p>
            <w:pPr>
              <w:spacing w:line="360" w:lineRule="auto"/>
              <w:jc w:val="center"/>
              <w:rPr>
                <w:rFonts w:ascii="仿宋" w:hAnsi="仿宋" w:eastAsia="仿宋" w:cs="仿宋"/>
                <w:bCs/>
                <w:color w:val="auto"/>
                <w:sz w:val="24"/>
                <w:highlight w:val="none"/>
              </w:rPr>
            </w:pPr>
          </w:p>
        </w:tc>
        <w:tc>
          <w:tcPr>
            <w:tcW w:w="1330"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c>
          <w:tcPr>
            <w:tcW w:w="2235"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noWrap/>
            <w:vAlign w:val="center"/>
          </w:tcPr>
          <w:p>
            <w:pPr>
              <w:spacing w:line="360" w:lineRule="auto"/>
              <w:jc w:val="center"/>
              <w:rPr>
                <w:rFonts w:ascii="仿宋" w:hAnsi="仿宋" w:eastAsia="仿宋" w:cs="仿宋"/>
                <w:bCs/>
                <w:color w:val="auto"/>
                <w:sz w:val="24"/>
                <w:highlight w:val="none"/>
              </w:rPr>
            </w:pPr>
          </w:p>
        </w:tc>
        <w:tc>
          <w:tcPr>
            <w:tcW w:w="1330"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c>
          <w:tcPr>
            <w:tcW w:w="2235"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noWrap/>
            <w:vAlign w:val="center"/>
          </w:tcPr>
          <w:p>
            <w:pPr>
              <w:spacing w:line="360" w:lineRule="auto"/>
              <w:jc w:val="center"/>
              <w:rPr>
                <w:rFonts w:ascii="仿宋" w:hAnsi="仿宋" w:eastAsia="仿宋" w:cs="仿宋"/>
                <w:bCs/>
                <w:color w:val="auto"/>
                <w:sz w:val="24"/>
                <w:highlight w:val="none"/>
              </w:rPr>
            </w:pPr>
          </w:p>
        </w:tc>
        <w:tc>
          <w:tcPr>
            <w:tcW w:w="1330"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c>
          <w:tcPr>
            <w:tcW w:w="2235"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029" w:type="dxa"/>
            <w:noWrap/>
            <w:vAlign w:val="center"/>
          </w:tcPr>
          <w:p>
            <w:pPr>
              <w:spacing w:line="360" w:lineRule="auto"/>
              <w:jc w:val="center"/>
              <w:rPr>
                <w:rFonts w:ascii="仿宋" w:hAnsi="仿宋" w:eastAsia="仿宋" w:cs="仿宋"/>
                <w:bCs/>
                <w:color w:val="auto"/>
                <w:sz w:val="24"/>
                <w:highlight w:val="none"/>
              </w:rPr>
            </w:pPr>
          </w:p>
        </w:tc>
        <w:tc>
          <w:tcPr>
            <w:tcW w:w="1330"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c>
          <w:tcPr>
            <w:tcW w:w="2235" w:type="dxa"/>
            <w:noWrap/>
            <w:vAlign w:val="center"/>
          </w:tcPr>
          <w:p>
            <w:pPr>
              <w:spacing w:line="360" w:lineRule="auto"/>
              <w:jc w:val="center"/>
              <w:rPr>
                <w:rFonts w:ascii="仿宋" w:hAnsi="仿宋" w:eastAsia="仿宋" w:cs="仿宋"/>
                <w:bCs/>
                <w:color w:val="auto"/>
                <w:sz w:val="24"/>
                <w:highlight w:val="none"/>
              </w:rPr>
            </w:pPr>
          </w:p>
        </w:tc>
        <w:tc>
          <w:tcPr>
            <w:tcW w:w="1632" w:type="dxa"/>
            <w:noWrap/>
            <w:vAlign w:val="center"/>
          </w:tcPr>
          <w:p>
            <w:pPr>
              <w:spacing w:line="360" w:lineRule="auto"/>
              <w:jc w:val="center"/>
              <w:rPr>
                <w:rFonts w:ascii="仿宋" w:hAnsi="仿宋" w:eastAsia="仿宋" w:cs="仿宋"/>
                <w:bCs/>
                <w:color w:val="auto"/>
                <w:sz w:val="24"/>
                <w:highlight w:val="none"/>
              </w:rPr>
            </w:pPr>
          </w:p>
        </w:tc>
      </w:tr>
    </w:tbl>
    <w:p>
      <w:pPr>
        <w:rPr>
          <w:rFonts w:ascii="仿宋" w:hAnsi="仿宋" w:eastAsia="仿宋" w:cs="仿宋"/>
          <w:color w:val="auto"/>
          <w:sz w:val="24"/>
          <w:highlight w:val="none"/>
        </w:rPr>
      </w:pP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法定代表人或其授权代理人签名或盖章：</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spacing w:line="500" w:lineRule="exact"/>
        <w:rPr>
          <w:rFonts w:hint="eastAsia" w:ascii="仿宋" w:hAnsi="仿宋" w:eastAsia="仿宋" w:cs="仿宋"/>
          <w:b/>
          <w:color w:val="auto"/>
          <w:sz w:val="24"/>
          <w:highlight w:val="none"/>
        </w:rPr>
      </w:pPr>
    </w:p>
    <w:p>
      <w:pPr>
        <w:spacing w:line="500" w:lineRule="exact"/>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注：</w:t>
      </w:r>
      <w:r>
        <w:rPr>
          <w:rFonts w:hint="eastAsia" w:ascii="仿宋" w:hAnsi="仿宋" w:eastAsia="仿宋" w:cs="仿宋"/>
          <w:color w:val="auto"/>
          <w:sz w:val="24"/>
          <w:highlight w:val="none"/>
        </w:rPr>
        <w:t>此表仅提供了表格形式，供应商应根据需要准备足够数量的表格来填写</w:t>
      </w:r>
      <w:r>
        <w:rPr>
          <w:rFonts w:hint="eastAsia" w:ascii="仿宋" w:hAnsi="仿宋" w:eastAsia="仿宋" w:cs="仿宋"/>
          <w:color w:val="auto"/>
          <w:sz w:val="24"/>
          <w:highlight w:val="none"/>
          <w:lang w:eastAsia="zh-CN"/>
        </w:rPr>
        <w:t>。</w:t>
      </w:r>
    </w:p>
    <w:p>
      <w:pPr>
        <w:spacing w:line="600" w:lineRule="exact"/>
        <w:jc w:val="center"/>
        <w:rPr>
          <w:rFonts w:hint="eastAsia" w:ascii="仿宋" w:hAnsi="仿宋" w:eastAsia="仿宋" w:cs="仿宋"/>
          <w:b/>
          <w:bCs/>
          <w:color w:val="auto"/>
          <w:spacing w:val="24"/>
          <w:sz w:val="28"/>
          <w:szCs w:val="28"/>
          <w:highlight w:val="none"/>
        </w:rPr>
      </w:pPr>
    </w:p>
    <w:p>
      <w:pPr>
        <w:spacing w:line="600" w:lineRule="exact"/>
        <w:jc w:val="center"/>
        <w:rPr>
          <w:rFonts w:hint="eastAsia" w:ascii="仿宋" w:hAnsi="仿宋" w:eastAsia="仿宋" w:cs="仿宋"/>
          <w:b/>
          <w:bCs/>
          <w:color w:val="auto"/>
          <w:spacing w:val="24"/>
          <w:sz w:val="28"/>
          <w:szCs w:val="28"/>
          <w:highlight w:val="none"/>
        </w:rPr>
      </w:pPr>
    </w:p>
    <w:p>
      <w:pPr>
        <w:pStyle w:val="2"/>
        <w:rPr>
          <w:rFonts w:hint="eastAsia"/>
        </w:rPr>
      </w:pPr>
    </w:p>
    <w:p>
      <w:pPr>
        <w:spacing w:line="600" w:lineRule="exact"/>
        <w:jc w:val="center"/>
        <w:rPr>
          <w:rFonts w:hint="eastAsia" w:ascii="仿宋" w:hAnsi="仿宋" w:eastAsia="仿宋" w:cs="仿宋"/>
          <w:b/>
          <w:bCs/>
          <w:color w:val="auto"/>
          <w:spacing w:val="24"/>
          <w:sz w:val="28"/>
          <w:szCs w:val="28"/>
          <w:highlight w:val="none"/>
        </w:rPr>
      </w:pPr>
    </w:p>
    <w:p>
      <w:pPr>
        <w:spacing w:line="600" w:lineRule="exact"/>
        <w:jc w:val="center"/>
        <w:rPr>
          <w:rFonts w:hint="eastAsia" w:ascii="仿宋" w:hAnsi="仿宋" w:eastAsia="仿宋" w:cs="仿宋"/>
          <w:b/>
          <w:bCs/>
          <w:color w:val="auto"/>
          <w:spacing w:val="24"/>
          <w:sz w:val="28"/>
          <w:szCs w:val="28"/>
          <w:highlight w:val="none"/>
        </w:rPr>
      </w:pPr>
    </w:p>
    <w:p>
      <w:pPr>
        <w:spacing w:line="360" w:lineRule="auto"/>
        <w:jc w:val="center"/>
        <w:rPr>
          <w:rFonts w:ascii="仿宋" w:hAnsi="仿宋" w:eastAsia="仿宋" w:cs="仿宋"/>
          <w:color w:val="auto"/>
          <w:sz w:val="24"/>
          <w:highlight w:val="none"/>
        </w:rPr>
      </w:pPr>
      <w:r>
        <w:rPr>
          <w:rFonts w:hint="eastAsia" w:ascii="仿宋" w:hAnsi="仿宋" w:eastAsia="仿宋" w:cs="仿宋"/>
          <w:b/>
          <w:color w:val="auto"/>
          <w:sz w:val="24"/>
          <w:highlight w:val="none"/>
        </w:rPr>
        <w:t>项目实施人员配备表</w:t>
      </w:r>
    </w:p>
    <w:p>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（项目负责人）</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供应商全称（加盖公章）：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pPr>
        <w:spacing w:line="360" w:lineRule="auto"/>
        <w:rPr>
          <w:rFonts w:ascii="仿宋" w:hAnsi="仿宋" w:eastAsia="仿宋" w:cs="仿宋"/>
          <w:b/>
          <w:color w:val="auto"/>
          <w:sz w:val="24"/>
          <w:highlight w:val="none"/>
        </w:rPr>
      </w:pPr>
      <w:r>
        <w:rPr>
          <w:rFonts w:hint="eastAsia" w:ascii="仿宋" w:hAnsi="仿宋" w:eastAsia="仿宋" w:cs="仿宋"/>
          <w:color w:val="auto"/>
          <w:sz w:val="24"/>
          <w:highlight w:val="none"/>
        </w:rPr>
        <w:t>项目编号：</w:t>
      </w:r>
    </w:p>
    <w:tbl>
      <w:tblPr>
        <w:tblStyle w:val="17"/>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01"/>
        <w:gridCol w:w="1938"/>
        <w:gridCol w:w="48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姓名</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c>
          <w:tcPr>
            <w:tcW w:w="4833"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近3年业绩及承担的主要工作情况，曾担任项目经理的项目应列明细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性别</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c>
          <w:tcPr>
            <w:tcW w:w="4833" w:type="dxa"/>
            <w:vMerge w:val="restart"/>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年龄</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职称</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毕业时间</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7"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所学专业</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8"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学历</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7"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资质证书编号</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5"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其他资质情况</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2" w:hRule="atLeast"/>
        </w:trPr>
        <w:tc>
          <w:tcPr>
            <w:tcW w:w="230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联系电话</w:t>
            </w:r>
          </w:p>
        </w:tc>
        <w:tc>
          <w:tcPr>
            <w:tcW w:w="193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c>
          <w:tcPr>
            <w:tcW w:w="4833" w:type="dxa"/>
            <w:vMerge w:val="continue"/>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360" w:lineRule="auto"/>
              <w:jc w:val="center"/>
              <w:rPr>
                <w:rFonts w:ascii="仿宋" w:hAnsi="仿宋" w:eastAsia="仿宋" w:cs="仿宋"/>
                <w:color w:val="auto"/>
                <w:sz w:val="24"/>
                <w:highlight w:val="none"/>
                <w:lang w:val="zh-CN"/>
              </w:rPr>
            </w:pPr>
          </w:p>
        </w:tc>
      </w:tr>
    </w:tbl>
    <w:p>
      <w:pPr>
        <w:spacing w:line="360" w:lineRule="auto"/>
        <w:jc w:val="center"/>
        <w:rPr>
          <w:rFonts w:ascii="仿宋" w:hAnsi="仿宋" w:eastAsia="仿宋" w:cs="仿宋"/>
          <w:b/>
          <w:bCs/>
          <w:color w:val="auto"/>
          <w:sz w:val="24"/>
          <w:highlight w:val="none"/>
        </w:rPr>
      </w:pPr>
    </w:p>
    <w:p>
      <w:pPr>
        <w:spacing w:line="360" w:lineRule="auto"/>
        <w:ind w:firstLine="480" w:firstLineChars="200"/>
        <w:rPr>
          <w:rFonts w:ascii="仿宋" w:hAnsi="仿宋" w:eastAsia="仿宋" w:cs="仿宋"/>
          <w:bCs/>
          <w:color w:val="auto"/>
          <w:sz w:val="24"/>
          <w:highlight w:val="none"/>
        </w:rPr>
      </w:pPr>
    </w:p>
    <w:p>
      <w:pPr>
        <w:spacing w:line="360" w:lineRule="auto"/>
        <w:rPr>
          <w:rFonts w:hint="eastAsia" w:ascii="仿宋" w:hAnsi="仿宋" w:eastAsia="仿宋" w:cs="仿宋"/>
          <w:color w:val="auto"/>
          <w:sz w:val="24"/>
          <w:highlight w:val="none"/>
          <w:lang w:eastAsia="zh-CN"/>
        </w:rPr>
      </w:pPr>
      <w:r>
        <w:rPr>
          <w:rFonts w:hint="eastAsia" w:ascii="仿宋" w:hAnsi="仿宋" w:eastAsia="仿宋" w:cs="仿宋"/>
          <w:bCs/>
          <w:color w:val="auto"/>
          <w:sz w:val="24"/>
          <w:highlight w:val="none"/>
        </w:rPr>
        <w:t>注：</w:t>
      </w:r>
      <w:r>
        <w:rPr>
          <w:rFonts w:hint="eastAsia" w:ascii="仿宋" w:hAnsi="仿宋" w:eastAsia="仿宋" w:cs="仿宋"/>
          <w:color w:val="auto"/>
          <w:sz w:val="24"/>
          <w:highlight w:val="none"/>
        </w:rPr>
        <w:t>此表仅提供了表格形式，供应商应根据需要准备足够数量的表格来填写</w:t>
      </w:r>
      <w:r>
        <w:rPr>
          <w:rFonts w:hint="eastAsia" w:ascii="仿宋" w:hAnsi="仿宋" w:eastAsia="仿宋" w:cs="仿宋"/>
          <w:color w:val="auto"/>
          <w:sz w:val="24"/>
          <w:highlight w:val="none"/>
          <w:lang w:eastAsia="zh-CN"/>
        </w:rPr>
        <w:t>。</w:t>
      </w:r>
    </w:p>
    <w:p>
      <w:pPr>
        <w:spacing w:line="360" w:lineRule="auto"/>
        <w:rPr>
          <w:rFonts w:hint="eastAsia" w:ascii="仿宋" w:hAnsi="仿宋" w:eastAsia="仿宋" w:cs="仿宋"/>
          <w:color w:val="auto"/>
          <w:sz w:val="24"/>
          <w:highlight w:val="none"/>
          <w:lang w:eastAsia="zh-CN"/>
        </w:rPr>
      </w:pPr>
    </w:p>
    <w:p>
      <w:pPr>
        <w:spacing w:line="360" w:lineRule="auto"/>
        <w:rPr>
          <w:rFonts w:hint="eastAsia" w:ascii="仿宋" w:hAnsi="仿宋" w:eastAsia="仿宋" w:cs="仿宋"/>
          <w:color w:val="auto"/>
          <w:sz w:val="24"/>
          <w:highlight w:val="none"/>
          <w:lang w:eastAsia="zh-CN"/>
        </w:rPr>
      </w:pPr>
    </w:p>
    <w:p>
      <w:pPr>
        <w:snapToGrid w:val="0"/>
        <w:spacing w:before="156" w:beforeLines="50" w:after="50"/>
        <w:rPr>
          <w:rFonts w:ascii="仿宋" w:hAnsi="仿宋" w:eastAsia="仿宋" w:cs="仿宋"/>
          <w:b/>
          <w:color w:val="auto"/>
          <w:szCs w:val="28"/>
          <w:highlight w:val="none"/>
        </w:rPr>
      </w:pPr>
    </w:p>
    <w:p>
      <w:pPr>
        <w:snapToGrid w:val="0"/>
        <w:spacing w:before="156" w:beforeLines="50" w:after="50"/>
        <w:rPr>
          <w:rFonts w:ascii="仿宋" w:hAnsi="仿宋" w:eastAsia="仿宋" w:cs="仿宋"/>
          <w:b/>
          <w:color w:val="auto"/>
          <w:szCs w:val="28"/>
          <w:highlight w:val="none"/>
        </w:rPr>
      </w:pPr>
    </w:p>
    <w:p>
      <w:pPr>
        <w:snapToGrid w:val="0"/>
        <w:spacing w:before="156" w:beforeLines="50" w:after="50"/>
        <w:rPr>
          <w:rFonts w:ascii="仿宋" w:hAnsi="仿宋" w:eastAsia="仿宋" w:cs="仿宋"/>
          <w:b/>
          <w:color w:val="auto"/>
          <w:szCs w:val="28"/>
          <w:highlight w:val="none"/>
        </w:rPr>
      </w:pPr>
    </w:p>
    <w:p>
      <w:pPr>
        <w:snapToGrid w:val="0"/>
        <w:spacing w:before="156" w:beforeLines="50" w:after="50"/>
        <w:rPr>
          <w:rFonts w:ascii="仿宋" w:hAnsi="仿宋" w:eastAsia="仿宋" w:cs="仿宋"/>
          <w:b/>
          <w:color w:val="auto"/>
          <w:szCs w:val="28"/>
          <w:highlight w:val="none"/>
        </w:rPr>
      </w:pPr>
    </w:p>
    <w:p>
      <w:pPr>
        <w:snapToGrid w:val="0"/>
        <w:spacing w:before="156" w:beforeLines="50" w:after="50"/>
        <w:rPr>
          <w:rFonts w:ascii="仿宋" w:hAnsi="仿宋" w:eastAsia="仿宋" w:cs="仿宋"/>
          <w:b/>
          <w:color w:val="auto"/>
          <w:szCs w:val="28"/>
          <w:highlight w:val="none"/>
        </w:rPr>
      </w:pPr>
    </w:p>
    <w:p>
      <w:pPr>
        <w:spacing w:line="360" w:lineRule="auto"/>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（项目团队，除项目负责人以外的配备人员）</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供应商全称（加盖公章）：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pPr>
        <w:spacing w:line="360" w:lineRule="auto"/>
        <w:rPr>
          <w:rFonts w:ascii="仿宋" w:hAnsi="仿宋" w:eastAsia="仿宋" w:cs="仿宋"/>
          <w:b/>
          <w:color w:val="auto"/>
          <w:sz w:val="24"/>
          <w:highlight w:val="none"/>
        </w:rPr>
      </w:pPr>
      <w:r>
        <w:rPr>
          <w:rFonts w:hint="eastAsia" w:ascii="仿宋" w:hAnsi="仿宋" w:eastAsia="仿宋" w:cs="仿宋"/>
          <w:color w:val="auto"/>
          <w:sz w:val="24"/>
          <w:highlight w:val="none"/>
        </w:rPr>
        <w:t>项目编号：</w:t>
      </w:r>
    </w:p>
    <w:tbl>
      <w:tblPr>
        <w:tblStyle w:val="17"/>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6"/>
        <w:gridCol w:w="1228"/>
        <w:gridCol w:w="696"/>
        <w:gridCol w:w="911"/>
        <w:gridCol w:w="1316"/>
        <w:gridCol w:w="1316"/>
        <w:gridCol w:w="1481"/>
        <w:gridCol w:w="1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4" w:hRule="atLeast"/>
        </w:trPr>
        <w:tc>
          <w:tcPr>
            <w:tcW w:w="344" w:type="pct"/>
            <w:noWrap/>
            <w:vAlign w:val="center"/>
          </w:tcPr>
          <w:p>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645" w:type="pct"/>
            <w:noWrap/>
            <w:vAlign w:val="center"/>
          </w:tcPr>
          <w:p>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姓名</w:t>
            </w:r>
          </w:p>
        </w:tc>
        <w:tc>
          <w:tcPr>
            <w:tcW w:w="338" w:type="pct"/>
            <w:noWrap/>
            <w:vAlign w:val="center"/>
          </w:tcPr>
          <w:p>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性别</w:t>
            </w:r>
          </w:p>
        </w:tc>
        <w:tc>
          <w:tcPr>
            <w:tcW w:w="480" w:type="pct"/>
            <w:noWrap/>
            <w:vAlign w:val="center"/>
          </w:tcPr>
          <w:p>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年龄</w:t>
            </w:r>
          </w:p>
        </w:tc>
        <w:tc>
          <w:tcPr>
            <w:tcW w:w="690" w:type="pct"/>
            <w:noWrap/>
            <w:vAlign w:val="center"/>
          </w:tcPr>
          <w:p>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学历</w:t>
            </w:r>
          </w:p>
        </w:tc>
        <w:tc>
          <w:tcPr>
            <w:tcW w:w="690" w:type="pct"/>
            <w:noWrap/>
            <w:vAlign w:val="center"/>
          </w:tcPr>
          <w:p>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专业</w:t>
            </w:r>
          </w:p>
        </w:tc>
        <w:tc>
          <w:tcPr>
            <w:tcW w:w="776" w:type="pct"/>
            <w:noWrap/>
            <w:vAlign w:val="center"/>
          </w:tcPr>
          <w:p>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职称</w:t>
            </w:r>
          </w:p>
        </w:tc>
        <w:tc>
          <w:tcPr>
            <w:tcW w:w="1034" w:type="pct"/>
            <w:noWrap/>
            <w:vAlign w:val="center"/>
          </w:tcPr>
          <w:p>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本项目中的职责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3" w:hRule="atLeast"/>
        </w:trPr>
        <w:tc>
          <w:tcPr>
            <w:tcW w:w="344" w:type="pct"/>
            <w:noWrap/>
            <w:vAlign w:val="center"/>
          </w:tcPr>
          <w:p>
            <w:pPr>
              <w:spacing w:line="360" w:lineRule="auto"/>
              <w:jc w:val="center"/>
              <w:rPr>
                <w:rFonts w:ascii="仿宋" w:hAnsi="仿宋" w:eastAsia="仿宋" w:cs="仿宋"/>
                <w:color w:val="auto"/>
                <w:szCs w:val="28"/>
                <w:highlight w:val="none"/>
              </w:rPr>
            </w:pPr>
          </w:p>
        </w:tc>
        <w:tc>
          <w:tcPr>
            <w:tcW w:w="645" w:type="pct"/>
            <w:noWrap/>
            <w:vAlign w:val="center"/>
          </w:tcPr>
          <w:p>
            <w:pPr>
              <w:spacing w:line="360" w:lineRule="auto"/>
              <w:jc w:val="center"/>
              <w:rPr>
                <w:rFonts w:ascii="仿宋" w:hAnsi="仿宋" w:eastAsia="仿宋" w:cs="仿宋"/>
                <w:color w:val="auto"/>
                <w:szCs w:val="28"/>
                <w:highlight w:val="none"/>
              </w:rPr>
            </w:pPr>
          </w:p>
        </w:tc>
        <w:tc>
          <w:tcPr>
            <w:tcW w:w="338" w:type="pct"/>
            <w:noWrap/>
            <w:vAlign w:val="center"/>
          </w:tcPr>
          <w:p>
            <w:pPr>
              <w:spacing w:line="360" w:lineRule="auto"/>
              <w:jc w:val="center"/>
              <w:rPr>
                <w:rFonts w:ascii="仿宋" w:hAnsi="仿宋" w:eastAsia="仿宋" w:cs="仿宋"/>
                <w:color w:val="auto"/>
                <w:szCs w:val="28"/>
                <w:highlight w:val="none"/>
              </w:rPr>
            </w:pPr>
          </w:p>
        </w:tc>
        <w:tc>
          <w:tcPr>
            <w:tcW w:w="48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776" w:type="pct"/>
            <w:noWrap/>
            <w:vAlign w:val="center"/>
          </w:tcPr>
          <w:p>
            <w:pPr>
              <w:spacing w:line="360" w:lineRule="auto"/>
              <w:jc w:val="center"/>
              <w:rPr>
                <w:rFonts w:ascii="仿宋" w:hAnsi="仿宋" w:eastAsia="仿宋" w:cs="仿宋"/>
                <w:color w:val="auto"/>
                <w:szCs w:val="28"/>
                <w:highlight w:val="none"/>
              </w:rPr>
            </w:pPr>
          </w:p>
        </w:tc>
        <w:tc>
          <w:tcPr>
            <w:tcW w:w="1034" w:type="pct"/>
            <w:noWrap/>
            <w:vAlign w:val="center"/>
          </w:tcPr>
          <w:p>
            <w:pPr>
              <w:spacing w:line="360" w:lineRule="auto"/>
              <w:jc w:val="center"/>
              <w:rPr>
                <w:rFonts w:ascii="仿宋" w:hAnsi="仿宋" w:eastAsia="仿宋" w:cs="仿宋"/>
                <w:color w:val="auto"/>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pPr>
              <w:spacing w:line="360" w:lineRule="auto"/>
              <w:jc w:val="center"/>
              <w:rPr>
                <w:rFonts w:ascii="仿宋" w:hAnsi="仿宋" w:eastAsia="仿宋" w:cs="仿宋"/>
                <w:color w:val="auto"/>
                <w:szCs w:val="28"/>
                <w:highlight w:val="none"/>
              </w:rPr>
            </w:pPr>
          </w:p>
        </w:tc>
        <w:tc>
          <w:tcPr>
            <w:tcW w:w="645" w:type="pct"/>
            <w:noWrap/>
            <w:vAlign w:val="center"/>
          </w:tcPr>
          <w:p>
            <w:pPr>
              <w:spacing w:line="360" w:lineRule="auto"/>
              <w:jc w:val="center"/>
              <w:rPr>
                <w:rFonts w:ascii="仿宋" w:hAnsi="仿宋" w:eastAsia="仿宋" w:cs="仿宋"/>
                <w:color w:val="auto"/>
                <w:szCs w:val="28"/>
                <w:highlight w:val="none"/>
              </w:rPr>
            </w:pPr>
          </w:p>
        </w:tc>
        <w:tc>
          <w:tcPr>
            <w:tcW w:w="338" w:type="pct"/>
            <w:noWrap/>
            <w:vAlign w:val="center"/>
          </w:tcPr>
          <w:p>
            <w:pPr>
              <w:spacing w:line="360" w:lineRule="auto"/>
              <w:jc w:val="center"/>
              <w:rPr>
                <w:rFonts w:ascii="仿宋" w:hAnsi="仿宋" w:eastAsia="仿宋" w:cs="仿宋"/>
                <w:color w:val="auto"/>
                <w:szCs w:val="28"/>
                <w:highlight w:val="none"/>
              </w:rPr>
            </w:pPr>
          </w:p>
        </w:tc>
        <w:tc>
          <w:tcPr>
            <w:tcW w:w="48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776" w:type="pct"/>
            <w:noWrap/>
            <w:vAlign w:val="center"/>
          </w:tcPr>
          <w:p>
            <w:pPr>
              <w:spacing w:line="360" w:lineRule="auto"/>
              <w:jc w:val="center"/>
              <w:rPr>
                <w:rFonts w:ascii="仿宋" w:hAnsi="仿宋" w:eastAsia="仿宋" w:cs="仿宋"/>
                <w:color w:val="auto"/>
                <w:szCs w:val="28"/>
                <w:highlight w:val="none"/>
              </w:rPr>
            </w:pPr>
          </w:p>
        </w:tc>
        <w:tc>
          <w:tcPr>
            <w:tcW w:w="1034" w:type="pct"/>
            <w:noWrap/>
            <w:vAlign w:val="center"/>
          </w:tcPr>
          <w:p>
            <w:pPr>
              <w:spacing w:line="360" w:lineRule="auto"/>
              <w:jc w:val="center"/>
              <w:rPr>
                <w:rFonts w:ascii="仿宋" w:hAnsi="仿宋" w:eastAsia="仿宋" w:cs="仿宋"/>
                <w:color w:val="auto"/>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pPr>
              <w:spacing w:line="360" w:lineRule="auto"/>
              <w:jc w:val="center"/>
              <w:rPr>
                <w:rFonts w:ascii="仿宋" w:hAnsi="仿宋" w:eastAsia="仿宋" w:cs="仿宋"/>
                <w:color w:val="auto"/>
                <w:szCs w:val="28"/>
                <w:highlight w:val="none"/>
              </w:rPr>
            </w:pPr>
          </w:p>
        </w:tc>
        <w:tc>
          <w:tcPr>
            <w:tcW w:w="645" w:type="pct"/>
            <w:noWrap/>
            <w:vAlign w:val="center"/>
          </w:tcPr>
          <w:p>
            <w:pPr>
              <w:spacing w:line="360" w:lineRule="auto"/>
              <w:jc w:val="center"/>
              <w:rPr>
                <w:rFonts w:ascii="仿宋" w:hAnsi="仿宋" w:eastAsia="仿宋" w:cs="仿宋"/>
                <w:color w:val="auto"/>
                <w:szCs w:val="28"/>
                <w:highlight w:val="none"/>
              </w:rPr>
            </w:pPr>
          </w:p>
        </w:tc>
        <w:tc>
          <w:tcPr>
            <w:tcW w:w="338" w:type="pct"/>
            <w:noWrap/>
            <w:vAlign w:val="center"/>
          </w:tcPr>
          <w:p>
            <w:pPr>
              <w:spacing w:line="360" w:lineRule="auto"/>
              <w:jc w:val="center"/>
              <w:rPr>
                <w:rFonts w:ascii="仿宋" w:hAnsi="仿宋" w:eastAsia="仿宋" w:cs="仿宋"/>
                <w:color w:val="auto"/>
                <w:szCs w:val="28"/>
                <w:highlight w:val="none"/>
              </w:rPr>
            </w:pPr>
          </w:p>
        </w:tc>
        <w:tc>
          <w:tcPr>
            <w:tcW w:w="48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776" w:type="pct"/>
            <w:noWrap/>
            <w:vAlign w:val="center"/>
          </w:tcPr>
          <w:p>
            <w:pPr>
              <w:spacing w:line="360" w:lineRule="auto"/>
              <w:jc w:val="center"/>
              <w:rPr>
                <w:rFonts w:ascii="仿宋" w:hAnsi="仿宋" w:eastAsia="仿宋" w:cs="仿宋"/>
                <w:color w:val="auto"/>
                <w:szCs w:val="28"/>
                <w:highlight w:val="none"/>
              </w:rPr>
            </w:pPr>
          </w:p>
        </w:tc>
        <w:tc>
          <w:tcPr>
            <w:tcW w:w="1034" w:type="pct"/>
            <w:noWrap/>
            <w:vAlign w:val="center"/>
          </w:tcPr>
          <w:p>
            <w:pPr>
              <w:spacing w:line="360" w:lineRule="auto"/>
              <w:jc w:val="center"/>
              <w:rPr>
                <w:rFonts w:ascii="仿宋" w:hAnsi="仿宋" w:eastAsia="仿宋" w:cs="仿宋"/>
                <w:color w:val="auto"/>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pPr>
              <w:spacing w:line="360" w:lineRule="auto"/>
              <w:jc w:val="center"/>
              <w:rPr>
                <w:rFonts w:ascii="仿宋" w:hAnsi="仿宋" w:eastAsia="仿宋" w:cs="仿宋"/>
                <w:color w:val="auto"/>
                <w:szCs w:val="28"/>
                <w:highlight w:val="none"/>
              </w:rPr>
            </w:pPr>
          </w:p>
        </w:tc>
        <w:tc>
          <w:tcPr>
            <w:tcW w:w="645" w:type="pct"/>
            <w:noWrap/>
            <w:vAlign w:val="center"/>
          </w:tcPr>
          <w:p>
            <w:pPr>
              <w:spacing w:line="360" w:lineRule="auto"/>
              <w:jc w:val="center"/>
              <w:rPr>
                <w:rFonts w:ascii="仿宋" w:hAnsi="仿宋" w:eastAsia="仿宋" w:cs="仿宋"/>
                <w:color w:val="auto"/>
                <w:szCs w:val="28"/>
                <w:highlight w:val="none"/>
              </w:rPr>
            </w:pPr>
          </w:p>
        </w:tc>
        <w:tc>
          <w:tcPr>
            <w:tcW w:w="338" w:type="pct"/>
            <w:noWrap/>
            <w:vAlign w:val="center"/>
          </w:tcPr>
          <w:p>
            <w:pPr>
              <w:spacing w:line="360" w:lineRule="auto"/>
              <w:jc w:val="center"/>
              <w:rPr>
                <w:rFonts w:ascii="仿宋" w:hAnsi="仿宋" w:eastAsia="仿宋" w:cs="仿宋"/>
                <w:color w:val="auto"/>
                <w:szCs w:val="28"/>
                <w:highlight w:val="none"/>
              </w:rPr>
            </w:pPr>
          </w:p>
        </w:tc>
        <w:tc>
          <w:tcPr>
            <w:tcW w:w="48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776" w:type="pct"/>
            <w:noWrap/>
            <w:vAlign w:val="center"/>
          </w:tcPr>
          <w:p>
            <w:pPr>
              <w:spacing w:line="360" w:lineRule="auto"/>
              <w:jc w:val="center"/>
              <w:rPr>
                <w:rFonts w:ascii="仿宋" w:hAnsi="仿宋" w:eastAsia="仿宋" w:cs="仿宋"/>
                <w:color w:val="auto"/>
                <w:szCs w:val="28"/>
                <w:highlight w:val="none"/>
              </w:rPr>
            </w:pPr>
          </w:p>
        </w:tc>
        <w:tc>
          <w:tcPr>
            <w:tcW w:w="1034" w:type="pct"/>
            <w:noWrap/>
            <w:vAlign w:val="center"/>
          </w:tcPr>
          <w:p>
            <w:pPr>
              <w:spacing w:line="360" w:lineRule="auto"/>
              <w:jc w:val="center"/>
              <w:rPr>
                <w:rFonts w:ascii="仿宋" w:hAnsi="仿宋" w:eastAsia="仿宋" w:cs="仿宋"/>
                <w:color w:val="auto"/>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pPr>
              <w:spacing w:line="360" w:lineRule="auto"/>
              <w:jc w:val="center"/>
              <w:rPr>
                <w:rFonts w:ascii="仿宋" w:hAnsi="仿宋" w:eastAsia="仿宋" w:cs="仿宋"/>
                <w:color w:val="auto"/>
                <w:szCs w:val="28"/>
                <w:highlight w:val="none"/>
              </w:rPr>
            </w:pPr>
          </w:p>
        </w:tc>
        <w:tc>
          <w:tcPr>
            <w:tcW w:w="645" w:type="pct"/>
            <w:noWrap/>
            <w:vAlign w:val="center"/>
          </w:tcPr>
          <w:p>
            <w:pPr>
              <w:spacing w:line="360" w:lineRule="auto"/>
              <w:jc w:val="center"/>
              <w:rPr>
                <w:rFonts w:ascii="仿宋" w:hAnsi="仿宋" w:eastAsia="仿宋" w:cs="仿宋"/>
                <w:color w:val="auto"/>
                <w:szCs w:val="28"/>
                <w:highlight w:val="none"/>
              </w:rPr>
            </w:pPr>
          </w:p>
        </w:tc>
        <w:tc>
          <w:tcPr>
            <w:tcW w:w="338" w:type="pct"/>
            <w:noWrap/>
            <w:vAlign w:val="center"/>
          </w:tcPr>
          <w:p>
            <w:pPr>
              <w:spacing w:line="360" w:lineRule="auto"/>
              <w:jc w:val="center"/>
              <w:rPr>
                <w:rFonts w:ascii="仿宋" w:hAnsi="仿宋" w:eastAsia="仿宋" w:cs="仿宋"/>
                <w:color w:val="auto"/>
                <w:szCs w:val="28"/>
                <w:highlight w:val="none"/>
              </w:rPr>
            </w:pPr>
          </w:p>
        </w:tc>
        <w:tc>
          <w:tcPr>
            <w:tcW w:w="48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776" w:type="pct"/>
            <w:noWrap/>
            <w:vAlign w:val="center"/>
          </w:tcPr>
          <w:p>
            <w:pPr>
              <w:spacing w:line="360" w:lineRule="auto"/>
              <w:jc w:val="center"/>
              <w:rPr>
                <w:rFonts w:ascii="仿宋" w:hAnsi="仿宋" w:eastAsia="仿宋" w:cs="仿宋"/>
                <w:color w:val="auto"/>
                <w:szCs w:val="28"/>
                <w:highlight w:val="none"/>
              </w:rPr>
            </w:pPr>
          </w:p>
        </w:tc>
        <w:tc>
          <w:tcPr>
            <w:tcW w:w="1034" w:type="pct"/>
            <w:noWrap/>
            <w:vAlign w:val="center"/>
          </w:tcPr>
          <w:p>
            <w:pPr>
              <w:spacing w:line="360" w:lineRule="auto"/>
              <w:jc w:val="center"/>
              <w:rPr>
                <w:rFonts w:ascii="仿宋" w:hAnsi="仿宋" w:eastAsia="仿宋" w:cs="仿宋"/>
                <w:color w:val="auto"/>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pPr>
              <w:spacing w:line="360" w:lineRule="auto"/>
              <w:jc w:val="center"/>
              <w:rPr>
                <w:rFonts w:ascii="仿宋" w:hAnsi="仿宋" w:eastAsia="仿宋" w:cs="仿宋"/>
                <w:color w:val="auto"/>
                <w:szCs w:val="28"/>
                <w:highlight w:val="none"/>
              </w:rPr>
            </w:pPr>
          </w:p>
        </w:tc>
        <w:tc>
          <w:tcPr>
            <w:tcW w:w="645" w:type="pct"/>
            <w:noWrap/>
            <w:vAlign w:val="center"/>
          </w:tcPr>
          <w:p>
            <w:pPr>
              <w:spacing w:line="360" w:lineRule="auto"/>
              <w:jc w:val="center"/>
              <w:rPr>
                <w:rFonts w:ascii="仿宋" w:hAnsi="仿宋" w:eastAsia="仿宋" w:cs="仿宋"/>
                <w:color w:val="auto"/>
                <w:szCs w:val="28"/>
                <w:highlight w:val="none"/>
              </w:rPr>
            </w:pPr>
          </w:p>
        </w:tc>
        <w:tc>
          <w:tcPr>
            <w:tcW w:w="338" w:type="pct"/>
            <w:noWrap/>
            <w:vAlign w:val="center"/>
          </w:tcPr>
          <w:p>
            <w:pPr>
              <w:spacing w:line="360" w:lineRule="auto"/>
              <w:jc w:val="center"/>
              <w:rPr>
                <w:rFonts w:ascii="仿宋" w:hAnsi="仿宋" w:eastAsia="仿宋" w:cs="仿宋"/>
                <w:color w:val="auto"/>
                <w:szCs w:val="28"/>
                <w:highlight w:val="none"/>
              </w:rPr>
            </w:pPr>
          </w:p>
        </w:tc>
        <w:tc>
          <w:tcPr>
            <w:tcW w:w="48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776" w:type="pct"/>
            <w:noWrap/>
            <w:vAlign w:val="center"/>
          </w:tcPr>
          <w:p>
            <w:pPr>
              <w:spacing w:line="360" w:lineRule="auto"/>
              <w:jc w:val="center"/>
              <w:rPr>
                <w:rFonts w:ascii="仿宋" w:hAnsi="仿宋" w:eastAsia="仿宋" w:cs="仿宋"/>
                <w:color w:val="auto"/>
                <w:szCs w:val="28"/>
                <w:highlight w:val="none"/>
              </w:rPr>
            </w:pPr>
          </w:p>
        </w:tc>
        <w:tc>
          <w:tcPr>
            <w:tcW w:w="1034" w:type="pct"/>
            <w:noWrap/>
            <w:vAlign w:val="center"/>
          </w:tcPr>
          <w:p>
            <w:pPr>
              <w:spacing w:line="360" w:lineRule="auto"/>
              <w:jc w:val="center"/>
              <w:rPr>
                <w:rFonts w:ascii="仿宋" w:hAnsi="仿宋" w:eastAsia="仿宋" w:cs="仿宋"/>
                <w:color w:val="auto"/>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pPr>
              <w:spacing w:line="360" w:lineRule="auto"/>
              <w:jc w:val="center"/>
              <w:rPr>
                <w:rFonts w:ascii="仿宋" w:hAnsi="仿宋" w:eastAsia="仿宋" w:cs="仿宋"/>
                <w:color w:val="auto"/>
                <w:szCs w:val="28"/>
                <w:highlight w:val="none"/>
              </w:rPr>
            </w:pPr>
          </w:p>
        </w:tc>
        <w:tc>
          <w:tcPr>
            <w:tcW w:w="645" w:type="pct"/>
            <w:noWrap/>
            <w:vAlign w:val="center"/>
          </w:tcPr>
          <w:p>
            <w:pPr>
              <w:spacing w:line="360" w:lineRule="auto"/>
              <w:jc w:val="center"/>
              <w:rPr>
                <w:rFonts w:ascii="仿宋" w:hAnsi="仿宋" w:eastAsia="仿宋" w:cs="仿宋"/>
                <w:color w:val="auto"/>
                <w:szCs w:val="28"/>
                <w:highlight w:val="none"/>
              </w:rPr>
            </w:pPr>
          </w:p>
        </w:tc>
        <w:tc>
          <w:tcPr>
            <w:tcW w:w="338" w:type="pct"/>
            <w:noWrap/>
            <w:vAlign w:val="center"/>
          </w:tcPr>
          <w:p>
            <w:pPr>
              <w:spacing w:line="360" w:lineRule="auto"/>
              <w:jc w:val="center"/>
              <w:rPr>
                <w:rFonts w:ascii="仿宋" w:hAnsi="仿宋" w:eastAsia="仿宋" w:cs="仿宋"/>
                <w:color w:val="auto"/>
                <w:szCs w:val="28"/>
                <w:highlight w:val="none"/>
              </w:rPr>
            </w:pPr>
          </w:p>
        </w:tc>
        <w:tc>
          <w:tcPr>
            <w:tcW w:w="48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776" w:type="pct"/>
            <w:noWrap/>
            <w:vAlign w:val="center"/>
          </w:tcPr>
          <w:p>
            <w:pPr>
              <w:spacing w:line="360" w:lineRule="auto"/>
              <w:jc w:val="center"/>
              <w:rPr>
                <w:rFonts w:ascii="仿宋" w:hAnsi="仿宋" w:eastAsia="仿宋" w:cs="仿宋"/>
                <w:color w:val="auto"/>
                <w:szCs w:val="28"/>
                <w:highlight w:val="none"/>
              </w:rPr>
            </w:pPr>
          </w:p>
        </w:tc>
        <w:tc>
          <w:tcPr>
            <w:tcW w:w="1034" w:type="pct"/>
            <w:noWrap/>
            <w:vAlign w:val="center"/>
          </w:tcPr>
          <w:p>
            <w:pPr>
              <w:spacing w:line="360" w:lineRule="auto"/>
              <w:jc w:val="center"/>
              <w:rPr>
                <w:rFonts w:ascii="仿宋" w:hAnsi="仿宋" w:eastAsia="仿宋" w:cs="仿宋"/>
                <w:color w:val="auto"/>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pPr>
              <w:spacing w:line="360" w:lineRule="auto"/>
              <w:jc w:val="center"/>
              <w:rPr>
                <w:rFonts w:ascii="仿宋" w:hAnsi="仿宋" w:eastAsia="仿宋" w:cs="仿宋"/>
                <w:color w:val="auto"/>
                <w:szCs w:val="28"/>
                <w:highlight w:val="none"/>
              </w:rPr>
            </w:pPr>
          </w:p>
        </w:tc>
        <w:tc>
          <w:tcPr>
            <w:tcW w:w="645" w:type="pct"/>
            <w:noWrap/>
            <w:vAlign w:val="center"/>
          </w:tcPr>
          <w:p>
            <w:pPr>
              <w:spacing w:line="360" w:lineRule="auto"/>
              <w:jc w:val="center"/>
              <w:rPr>
                <w:rFonts w:ascii="仿宋" w:hAnsi="仿宋" w:eastAsia="仿宋" w:cs="仿宋"/>
                <w:color w:val="auto"/>
                <w:szCs w:val="28"/>
                <w:highlight w:val="none"/>
              </w:rPr>
            </w:pPr>
          </w:p>
        </w:tc>
        <w:tc>
          <w:tcPr>
            <w:tcW w:w="338" w:type="pct"/>
            <w:noWrap/>
            <w:vAlign w:val="center"/>
          </w:tcPr>
          <w:p>
            <w:pPr>
              <w:spacing w:line="360" w:lineRule="auto"/>
              <w:jc w:val="center"/>
              <w:rPr>
                <w:rFonts w:ascii="仿宋" w:hAnsi="仿宋" w:eastAsia="仿宋" w:cs="仿宋"/>
                <w:color w:val="auto"/>
                <w:szCs w:val="28"/>
                <w:highlight w:val="none"/>
              </w:rPr>
            </w:pPr>
          </w:p>
        </w:tc>
        <w:tc>
          <w:tcPr>
            <w:tcW w:w="48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776" w:type="pct"/>
            <w:noWrap/>
            <w:vAlign w:val="center"/>
          </w:tcPr>
          <w:p>
            <w:pPr>
              <w:spacing w:line="360" w:lineRule="auto"/>
              <w:jc w:val="center"/>
              <w:rPr>
                <w:rFonts w:ascii="仿宋" w:hAnsi="仿宋" w:eastAsia="仿宋" w:cs="仿宋"/>
                <w:color w:val="auto"/>
                <w:szCs w:val="28"/>
                <w:highlight w:val="none"/>
              </w:rPr>
            </w:pPr>
          </w:p>
        </w:tc>
        <w:tc>
          <w:tcPr>
            <w:tcW w:w="1034" w:type="pct"/>
            <w:noWrap/>
            <w:vAlign w:val="center"/>
          </w:tcPr>
          <w:p>
            <w:pPr>
              <w:spacing w:line="360" w:lineRule="auto"/>
              <w:jc w:val="center"/>
              <w:rPr>
                <w:rFonts w:ascii="仿宋" w:hAnsi="仿宋" w:eastAsia="仿宋" w:cs="仿宋"/>
                <w:color w:val="auto"/>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pPr>
              <w:spacing w:line="360" w:lineRule="auto"/>
              <w:jc w:val="center"/>
              <w:rPr>
                <w:rFonts w:ascii="仿宋" w:hAnsi="仿宋" w:eastAsia="仿宋" w:cs="仿宋"/>
                <w:color w:val="auto"/>
                <w:szCs w:val="28"/>
                <w:highlight w:val="none"/>
              </w:rPr>
            </w:pPr>
          </w:p>
        </w:tc>
        <w:tc>
          <w:tcPr>
            <w:tcW w:w="645" w:type="pct"/>
            <w:noWrap/>
            <w:vAlign w:val="center"/>
          </w:tcPr>
          <w:p>
            <w:pPr>
              <w:spacing w:line="360" w:lineRule="auto"/>
              <w:jc w:val="center"/>
              <w:rPr>
                <w:rFonts w:ascii="仿宋" w:hAnsi="仿宋" w:eastAsia="仿宋" w:cs="仿宋"/>
                <w:color w:val="auto"/>
                <w:szCs w:val="28"/>
                <w:highlight w:val="none"/>
              </w:rPr>
            </w:pPr>
          </w:p>
        </w:tc>
        <w:tc>
          <w:tcPr>
            <w:tcW w:w="338" w:type="pct"/>
            <w:noWrap/>
            <w:vAlign w:val="center"/>
          </w:tcPr>
          <w:p>
            <w:pPr>
              <w:spacing w:line="360" w:lineRule="auto"/>
              <w:jc w:val="center"/>
              <w:rPr>
                <w:rFonts w:ascii="仿宋" w:hAnsi="仿宋" w:eastAsia="仿宋" w:cs="仿宋"/>
                <w:color w:val="auto"/>
                <w:szCs w:val="28"/>
                <w:highlight w:val="none"/>
              </w:rPr>
            </w:pPr>
          </w:p>
        </w:tc>
        <w:tc>
          <w:tcPr>
            <w:tcW w:w="48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776" w:type="pct"/>
            <w:noWrap/>
            <w:vAlign w:val="center"/>
          </w:tcPr>
          <w:p>
            <w:pPr>
              <w:spacing w:line="360" w:lineRule="auto"/>
              <w:jc w:val="center"/>
              <w:rPr>
                <w:rFonts w:ascii="仿宋" w:hAnsi="仿宋" w:eastAsia="仿宋" w:cs="仿宋"/>
                <w:color w:val="auto"/>
                <w:szCs w:val="28"/>
                <w:highlight w:val="none"/>
              </w:rPr>
            </w:pPr>
          </w:p>
        </w:tc>
        <w:tc>
          <w:tcPr>
            <w:tcW w:w="1034" w:type="pct"/>
            <w:noWrap/>
            <w:vAlign w:val="center"/>
          </w:tcPr>
          <w:p>
            <w:pPr>
              <w:spacing w:line="360" w:lineRule="auto"/>
              <w:jc w:val="center"/>
              <w:rPr>
                <w:rFonts w:ascii="仿宋" w:hAnsi="仿宋" w:eastAsia="仿宋" w:cs="仿宋"/>
                <w:color w:val="auto"/>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4" w:hRule="atLeast"/>
        </w:trPr>
        <w:tc>
          <w:tcPr>
            <w:tcW w:w="344" w:type="pct"/>
            <w:noWrap/>
            <w:vAlign w:val="center"/>
          </w:tcPr>
          <w:p>
            <w:pPr>
              <w:spacing w:line="360" w:lineRule="auto"/>
              <w:jc w:val="center"/>
              <w:rPr>
                <w:rFonts w:ascii="仿宋" w:hAnsi="仿宋" w:eastAsia="仿宋" w:cs="仿宋"/>
                <w:color w:val="auto"/>
                <w:szCs w:val="28"/>
                <w:highlight w:val="none"/>
              </w:rPr>
            </w:pPr>
          </w:p>
        </w:tc>
        <w:tc>
          <w:tcPr>
            <w:tcW w:w="645" w:type="pct"/>
            <w:noWrap/>
            <w:vAlign w:val="center"/>
          </w:tcPr>
          <w:p>
            <w:pPr>
              <w:spacing w:line="360" w:lineRule="auto"/>
              <w:jc w:val="center"/>
              <w:rPr>
                <w:rFonts w:ascii="仿宋" w:hAnsi="仿宋" w:eastAsia="仿宋" w:cs="仿宋"/>
                <w:color w:val="auto"/>
                <w:szCs w:val="28"/>
                <w:highlight w:val="none"/>
              </w:rPr>
            </w:pPr>
          </w:p>
        </w:tc>
        <w:tc>
          <w:tcPr>
            <w:tcW w:w="338" w:type="pct"/>
            <w:noWrap/>
            <w:vAlign w:val="center"/>
          </w:tcPr>
          <w:p>
            <w:pPr>
              <w:spacing w:line="360" w:lineRule="auto"/>
              <w:jc w:val="center"/>
              <w:rPr>
                <w:rFonts w:ascii="仿宋" w:hAnsi="仿宋" w:eastAsia="仿宋" w:cs="仿宋"/>
                <w:color w:val="auto"/>
                <w:szCs w:val="28"/>
                <w:highlight w:val="none"/>
              </w:rPr>
            </w:pPr>
          </w:p>
        </w:tc>
        <w:tc>
          <w:tcPr>
            <w:tcW w:w="48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690" w:type="pct"/>
            <w:noWrap/>
            <w:vAlign w:val="center"/>
          </w:tcPr>
          <w:p>
            <w:pPr>
              <w:spacing w:line="360" w:lineRule="auto"/>
              <w:jc w:val="center"/>
              <w:rPr>
                <w:rFonts w:ascii="仿宋" w:hAnsi="仿宋" w:eastAsia="仿宋" w:cs="仿宋"/>
                <w:color w:val="auto"/>
                <w:szCs w:val="28"/>
                <w:highlight w:val="none"/>
              </w:rPr>
            </w:pPr>
          </w:p>
        </w:tc>
        <w:tc>
          <w:tcPr>
            <w:tcW w:w="776" w:type="pct"/>
            <w:noWrap/>
            <w:vAlign w:val="center"/>
          </w:tcPr>
          <w:p>
            <w:pPr>
              <w:spacing w:line="360" w:lineRule="auto"/>
              <w:jc w:val="center"/>
              <w:rPr>
                <w:rFonts w:ascii="仿宋" w:hAnsi="仿宋" w:eastAsia="仿宋" w:cs="仿宋"/>
                <w:color w:val="auto"/>
                <w:szCs w:val="28"/>
                <w:highlight w:val="none"/>
              </w:rPr>
            </w:pPr>
          </w:p>
        </w:tc>
        <w:tc>
          <w:tcPr>
            <w:tcW w:w="1034" w:type="pct"/>
            <w:noWrap/>
            <w:vAlign w:val="center"/>
          </w:tcPr>
          <w:p>
            <w:pPr>
              <w:spacing w:line="360" w:lineRule="auto"/>
              <w:jc w:val="center"/>
              <w:rPr>
                <w:rFonts w:ascii="仿宋" w:hAnsi="仿宋" w:eastAsia="仿宋" w:cs="仿宋"/>
                <w:color w:val="auto"/>
                <w:szCs w:val="28"/>
                <w:highlight w:val="none"/>
              </w:rPr>
            </w:pPr>
          </w:p>
        </w:tc>
      </w:tr>
    </w:tbl>
    <w:p>
      <w:pPr>
        <w:tabs>
          <w:tab w:val="left" w:pos="3654"/>
        </w:tabs>
        <w:rPr>
          <w:rFonts w:ascii="仿宋" w:hAnsi="仿宋" w:eastAsia="仿宋" w:cs="仿宋"/>
          <w:color w:val="auto"/>
          <w:sz w:val="24"/>
          <w:highlight w:val="none"/>
        </w:rPr>
      </w:pPr>
      <w:r>
        <w:rPr>
          <w:rFonts w:hint="eastAsia" w:ascii="仿宋" w:hAnsi="仿宋" w:eastAsia="仿宋" w:cs="仿宋"/>
          <w:color w:val="auto"/>
          <w:sz w:val="24"/>
          <w:highlight w:val="none"/>
        </w:rPr>
        <w:t>法定代表人或其授权代理人签名或盖章：</w:t>
      </w:r>
    </w:p>
    <w:p>
      <w:pPr>
        <w:tabs>
          <w:tab w:val="left" w:pos="3654"/>
        </w:tabs>
        <w:rPr>
          <w:rFonts w:ascii="仿宋" w:hAnsi="仿宋" w:eastAsia="仿宋" w:cs="仿宋"/>
          <w:color w:val="auto"/>
          <w:sz w:val="24"/>
          <w:highlight w:val="none"/>
        </w:rPr>
      </w:pPr>
    </w:p>
    <w:p>
      <w:pPr>
        <w:tabs>
          <w:tab w:val="left" w:pos="3654"/>
        </w:tabs>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pPr>
        <w:spacing w:line="360" w:lineRule="auto"/>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注：</w:t>
      </w:r>
      <w:r>
        <w:rPr>
          <w:rFonts w:hint="eastAsia" w:ascii="仿宋" w:hAnsi="仿宋" w:eastAsia="仿宋" w:cs="仿宋"/>
          <w:color w:val="auto"/>
          <w:sz w:val="24"/>
          <w:highlight w:val="none"/>
        </w:rPr>
        <w:t>此表仅提供了表格形式，供应商应根据需要准备足够数量的表格来填写</w:t>
      </w:r>
      <w:r>
        <w:rPr>
          <w:rFonts w:hint="eastAsia" w:ascii="仿宋" w:hAnsi="仿宋" w:eastAsia="仿宋" w:cs="仿宋"/>
          <w:color w:val="auto"/>
          <w:sz w:val="24"/>
          <w:highlight w:val="none"/>
          <w:lang w:eastAsia="zh-CN"/>
        </w:rPr>
        <w:t>。</w:t>
      </w:r>
    </w:p>
    <w:p>
      <w:pPr>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rPr>
        <w:br w:type="page"/>
      </w:r>
    </w:p>
    <w:p>
      <w:pPr>
        <w:snapToGrid w:val="0"/>
        <w:spacing w:before="156" w:beforeLines="50" w:after="50" w:line="400" w:lineRule="exact"/>
        <w:jc w:val="center"/>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rPr>
        <w:t>响 应 函</w:t>
      </w:r>
    </w:p>
    <w:p>
      <w:pPr>
        <w:snapToGrid w:val="0"/>
        <w:spacing w:line="600" w:lineRule="exact"/>
        <w:rPr>
          <w:rFonts w:ascii="仿宋" w:hAnsi="仿宋" w:eastAsia="仿宋" w:cs="仿宋"/>
          <w:color w:val="auto"/>
          <w:sz w:val="24"/>
          <w:szCs w:val="20"/>
          <w:highlight w:val="none"/>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u w:val="single"/>
        </w:rPr>
        <w:t>（采购人名称）</w:t>
      </w:r>
      <w:r>
        <w:rPr>
          <w:rFonts w:hint="eastAsia" w:ascii="仿宋" w:hAnsi="仿宋" w:eastAsia="仿宋" w:cs="仿宋"/>
          <w:color w:val="auto"/>
          <w:sz w:val="24"/>
          <w:highlight w:val="none"/>
        </w:rPr>
        <w:t>：</w:t>
      </w:r>
    </w:p>
    <w:p>
      <w:pPr>
        <w:snapToGrid w:val="0"/>
        <w:spacing w:line="600" w:lineRule="exact"/>
        <w:ind w:firstLine="600" w:firstLineChars="250"/>
        <w:rPr>
          <w:rFonts w:ascii="仿宋" w:hAnsi="仿宋" w:eastAsia="仿宋" w:cs="仿宋"/>
          <w:color w:val="auto"/>
          <w:sz w:val="24"/>
          <w:szCs w:val="20"/>
          <w:highlight w:val="none"/>
        </w:rPr>
      </w:pPr>
      <w:r>
        <w:rPr>
          <w:rFonts w:hint="eastAsia" w:ascii="仿宋" w:hAnsi="仿宋" w:eastAsia="仿宋" w:cs="仿宋"/>
          <w:color w:val="auto"/>
          <w:sz w:val="24"/>
          <w:highlight w:val="none"/>
        </w:rPr>
        <w:t>根据贵方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项目的磋商公告</w:t>
      </w:r>
      <w:r>
        <w:rPr>
          <w:rFonts w:hint="eastAsia" w:ascii="仿宋" w:hAnsi="仿宋" w:eastAsia="仿宋" w:cs="仿宋"/>
          <w:color w:val="auto"/>
          <w:sz w:val="24"/>
          <w:highlight w:val="none"/>
          <w:u w:val="single"/>
        </w:rPr>
        <w:t>（项目编号：）</w:t>
      </w:r>
      <w:r>
        <w:rPr>
          <w:rFonts w:hint="eastAsia" w:ascii="仿宋" w:hAnsi="仿宋" w:eastAsia="仿宋" w:cs="仿宋"/>
          <w:color w:val="auto"/>
          <w:sz w:val="24"/>
          <w:highlight w:val="none"/>
        </w:rPr>
        <w:t>，签字代表</w:t>
      </w:r>
      <w:r>
        <w:rPr>
          <w:rFonts w:hint="eastAsia" w:ascii="仿宋" w:hAnsi="仿宋" w:eastAsia="仿宋" w:cs="仿宋"/>
          <w:color w:val="auto"/>
          <w:sz w:val="24"/>
          <w:highlight w:val="none"/>
          <w:u w:val="single"/>
        </w:rPr>
        <w:t>（全名）</w:t>
      </w:r>
      <w:r>
        <w:rPr>
          <w:rFonts w:hint="eastAsia" w:ascii="仿宋" w:hAnsi="仿宋" w:eastAsia="仿宋" w:cs="仿宋"/>
          <w:color w:val="auto"/>
          <w:sz w:val="24"/>
          <w:highlight w:val="none"/>
        </w:rPr>
        <w:t>经正式授权并代表供应商</w:t>
      </w:r>
      <w:r>
        <w:rPr>
          <w:rFonts w:hint="eastAsia" w:ascii="仿宋" w:hAnsi="仿宋" w:eastAsia="仿宋" w:cs="仿宋"/>
          <w:color w:val="auto"/>
          <w:sz w:val="24"/>
          <w:highlight w:val="none"/>
          <w:u w:val="single"/>
        </w:rPr>
        <w:t>（供应商名称）</w:t>
      </w:r>
      <w:r>
        <w:rPr>
          <w:rFonts w:hint="eastAsia" w:ascii="仿宋" w:hAnsi="仿宋" w:eastAsia="仿宋" w:cs="仿宋"/>
          <w:color w:val="auto"/>
          <w:sz w:val="24"/>
          <w:highlight w:val="none"/>
        </w:rPr>
        <w:t>提交《技术、商务、资信及其他文件》和《首次报价文件》。</w:t>
      </w:r>
    </w:p>
    <w:p>
      <w:pPr>
        <w:snapToGrid w:val="0"/>
        <w:spacing w:line="600" w:lineRule="exact"/>
        <w:ind w:firstLine="480" w:firstLineChars="200"/>
        <w:rPr>
          <w:rFonts w:ascii="仿宋" w:hAnsi="仿宋" w:eastAsia="仿宋" w:cs="仿宋"/>
          <w:color w:val="auto"/>
          <w:sz w:val="24"/>
          <w:szCs w:val="20"/>
          <w:highlight w:val="none"/>
        </w:rPr>
      </w:pPr>
      <w:r>
        <w:rPr>
          <w:rFonts w:hint="eastAsia" w:ascii="仿宋" w:hAnsi="仿宋" w:eastAsia="仿宋" w:cs="仿宋"/>
          <w:color w:val="auto"/>
          <w:sz w:val="24"/>
          <w:highlight w:val="none"/>
        </w:rPr>
        <w:t>据此函，签字代表宣布同意如下：</w:t>
      </w:r>
    </w:p>
    <w:p>
      <w:pPr>
        <w:snapToGrid w:val="0"/>
        <w:spacing w:line="600" w:lineRule="exact"/>
        <w:ind w:firstLine="480" w:firstLineChars="200"/>
        <w:rPr>
          <w:rFonts w:ascii="仿宋" w:hAnsi="仿宋" w:eastAsia="仿宋" w:cs="仿宋"/>
          <w:color w:val="auto"/>
          <w:sz w:val="24"/>
          <w:szCs w:val="20"/>
          <w:highlight w:val="none"/>
        </w:rPr>
      </w:pPr>
      <w:r>
        <w:rPr>
          <w:rFonts w:hint="eastAsia" w:ascii="仿宋" w:hAnsi="仿宋" w:eastAsia="仿宋" w:cs="仿宋"/>
          <w:color w:val="auto"/>
          <w:sz w:val="24"/>
          <w:highlight w:val="none"/>
        </w:rPr>
        <w:t>1.供应商已详细审查全部“磋商文件”，包括修改文件（如有的话）以及全部参考资料和有关附件，已经了解我方对于磋商文件、采购过程、采购结果有依法进行询问、质疑、投诉的权利及相关渠道和要求。</w:t>
      </w:r>
    </w:p>
    <w:p>
      <w:pPr>
        <w:snapToGrid w:val="0"/>
        <w:spacing w:line="600" w:lineRule="exact"/>
        <w:ind w:firstLine="480" w:firstLineChars="200"/>
        <w:rPr>
          <w:rFonts w:ascii="仿宋" w:hAnsi="仿宋" w:eastAsia="仿宋" w:cs="仿宋"/>
          <w:color w:val="auto"/>
          <w:sz w:val="24"/>
          <w:szCs w:val="20"/>
          <w:highlight w:val="none"/>
        </w:rPr>
      </w:pPr>
      <w:r>
        <w:rPr>
          <w:rFonts w:hint="eastAsia" w:ascii="仿宋" w:hAnsi="仿宋" w:eastAsia="仿宋" w:cs="仿宋"/>
          <w:color w:val="auto"/>
          <w:sz w:val="24"/>
          <w:highlight w:val="none"/>
        </w:rPr>
        <w:t>2.供应商在磋商之前已经与贵方进行了充分的沟通，完全理解并接受磋商文件的各项规定和要求，对磋商文件的合理性、合法性不再有异议。</w:t>
      </w:r>
    </w:p>
    <w:p>
      <w:pPr>
        <w:snapToGrid w:val="0"/>
        <w:spacing w:line="600" w:lineRule="exact"/>
        <w:ind w:firstLine="480" w:firstLineChars="200"/>
        <w:rPr>
          <w:rFonts w:ascii="仿宋" w:hAnsi="仿宋" w:eastAsia="仿宋" w:cs="仿宋"/>
          <w:color w:val="auto"/>
          <w:sz w:val="24"/>
          <w:szCs w:val="20"/>
          <w:highlight w:val="none"/>
        </w:rPr>
      </w:pPr>
      <w:r>
        <w:rPr>
          <w:rFonts w:hint="eastAsia" w:ascii="仿宋" w:hAnsi="仿宋" w:eastAsia="仿宋" w:cs="仿宋"/>
          <w:color w:val="auto"/>
          <w:sz w:val="24"/>
          <w:highlight w:val="none"/>
        </w:rPr>
        <w:t>3.本磋商有效期自开标日起</w:t>
      </w:r>
      <w:r>
        <w:rPr>
          <w:rFonts w:hint="eastAsia" w:ascii="仿宋" w:hAnsi="仿宋" w:eastAsia="仿宋" w:cs="仿宋"/>
          <w:color w:val="auto"/>
          <w:sz w:val="24"/>
          <w:highlight w:val="none"/>
          <w:u w:val="single"/>
        </w:rPr>
        <w:t>60</w:t>
      </w:r>
      <w:r>
        <w:rPr>
          <w:rFonts w:hint="eastAsia" w:ascii="仿宋" w:hAnsi="仿宋" w:eastAsia="仿宋" w:cs="仿宋"/>
          <w:color w:val="auto"/>
          <w:sz w:val="24"/>
          <w:highlight w:val="none"/>
        </w:rPr>
        <w:t>个日历天。</w:t>
      </w:r>
    </w:p>
    <w:p>
      <w:pPr>
        <w:snapToGrid w:val="0"/>
        <w:spacing w:line="600" w:lineRule="exact"/>
        <w:ind w:firstLine="480" w:firstLineChars="200"/>
        <w:rPr>
          <w:rFonts w:ascii="仿宋" w:hAnsi="仿宋" w:eastAsia="仿宋" w:cs="仿宋"/>
          <w:color w:val="auto"/>
          <w:sz w:val="24"/>
          <w:szCs w:val="20"/>
          <w:highlight w:val="none"/>
        </w:rPr>
      </w:pPr>
      <w:r>
        <w:rPr>
          <w:rFonts w:hint="eastAsia" w:ascii="仿宋" w:hAnsi="仿宋" w:eastAsia="仿宋" w:cs="仿宋"/>
          <w:color w:val="auto"/>
          <w:sz w:val="24"/>
          <w:highlight w:val="none"/>
        </w:rPr>
        <w:t>4.如成交，本响应文件至本项目合同履行完毕止均保持有效，本供应商将按“磋商文件”及政府采购法律、法规的规定履行合同责任和义务。</w:t>
      </w:r>
    </w:p>
    <w:p>
      <w:pPr>
        <w:snapToGrid w:val="0"/>
        <w:spacing w:line="600" w:lineRule="exact"/>
        <w:ind w:firstLine="480" w:firstLineChars="200"/>
        <w:rPr>
          <w:rFonts w:ascii="仿宋" w:hAnsi="仿宋" w:eastAsia="仿宋" w:cs="仿宋"/>
          <w:color w:val="auto"/>
          <w:sz w:val="24"/>
          <w:szCs w:val="20"/>
          <w:highlight w:val="none"/>
        </w:rPr>
      </w:pPr>
      <w:r>
        <w:rPr>
          <w:rFonts w:hint="eastAsia" w:ascii="仿宋" w:hAnsi="仿宋" w:eastAsia="仿宋" w:cs="仿宋"/>
          <w:color w:val="auto"/>
          <w:sz w:val="24"/>
          <w:highlight w:val="none"/>
        </w:rPr>
        <w:t>5.供应商同意按照贵方要求提供与磋商有关的一切数据或资料。</w:t>
      </w:r>
    </w:p>
    <w:p>
      <w:pPr>
        <w:snapToGrid w:val="0"/>
        <w:spacing w:line="6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6.与本磋商有关的一切正式往来信函请寄：</w:t>
      </w:r>
    </w:p>
    <w:p>
      <w:pPr>
        <w:snapToGrid w:val="0"/>
        <w:spacing w:line="600" w:lineRule="exact"/>
        <w:ind w:firstLine="480" w:firstLineChars="200"/>
        <w:rPr>
          <w:rFonts w:ascii="仿宋" w:hAnsi="仿宋" w:eastAsia="仿宋" w:cs="仿宋"/>
          <w:color w:val="auto"/>
          <w:sz w:val="24"/>
          <w:szCs w:val="20"/>
          <w:highlight w:val="none"/>
        </w:rPr>
      </w:pPr>
    </w:p>
    <w:p>
      <w:pPr>
        <w:snapToGrid w:val="0"/>
        <w:spacing w:line="600" w:lineRule="exact"/>
        <w:rPr>
          <w:rFonts w:ascii="仿宋" w:hAnsi="仿宋" w:eastAsia="仿宋" w:cs="仿宋"/>
          <w:color w:val="auto"/>
          <w:sz w:val="24"/>
          <w:szCs w:val="20"/>
          <w:highlight w:val="none"/>
        </w:rPr>
      </w:pPr>
      <w:r>
        <w:rPr>
          <w:rFonts w:hint="eastAsia" w:ascii="仿宋" w:hAnsi="仿宋" w:eastAsia="仿宋" w:cs="仿宋"/>
          <w:color w:val="auto"/>
          <w:sz w:val="24"/>
          <w:highlight w:val="none"/>
        </w:rPr>
        <w:t>地址：                       邮编：                        电话：</w:t>
      </w:r>
    </w:p>
    <w:p>
      <w:pPr>
        <w:snapToGrid w:val="0"/>
        <w:spacing w:line="600" w:lineRule="exact"/>
        <w:rPr>
          <w:rFonts w:ascii="仿宋" w:hAnsi="仿宋" w:eastAsia="仿宋" w:cs="仿宋"/>
          <w:color w:val="auto"/>
          <w:sz w:val="24"/>
          <w:szCs w:val="20"/>
          <w:highlight w:val="none"/>
        </w:rPr>
      </w:pPr>
      <w:r>
        <w:rPr>
          <w:rFonts w:hint="eastAsia" w:ascii="仿宋" w:hAnsi="仿宋" w:eastAsia="仿宋" w:cs="仿宋"/>
          <w:color w:val="auto"/>
          <w:sz w:val="24"/>
          <w:highlight w:val="none"/>
        </w:rPr>
        <w:t>传真：                       供应商代表姓名：              职务：</w:t>
      </w:r>
    </w:p>
    <w:p>
      <w:pPr>
        <w:snapToGrid w:val="0"/>
        <w:spacing w:line="60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供应商名称(公章):</w:t>
      </w:r>
    </w:p>
    <w:p>
      <w:pPr>
        <w:snapToGrid w:val="0"/>
        <w:spacing w:line="600" w:lineRule="exact"/>
        <w:rPr>
          <w:rFonts w:ascii="仿宋" w:hAnsi="仿宋" w:eastAsia="仿宋" w:cs="仿宋"/>
          <w:color w:val="auto"/>
          <w:sz w:val="24"/>
          <w:szCs w:val="20"/>
          <w:highlight w:val="none"/>
        </w:rPr>
      </w:pPr>
      <w:r>
        <w:rPr>
          <w:rFonts w:hint="eastAsia" w:ascii="仿宋" w:hAnsi="仿宋" w:eastAsia="仿宋" w:cs="仿宋"/>
          <w:color w:val="auto"/>
          <w:sz w:val="24"/>
          <w:highlight w:val="none"/>
        </w:rPr>
        <w:t>开户银行：                   银行帐号：</w:t>
      </w:r>
    </w:p>
    <w:p>
      <w:pPr>
        <w:snapToGrid w:val="0"/>
        <w:spacing w:line="600" w:lineRule="exact"/>
        <w:rPr>
          <w:rFonts w:ascii="仿宋" w:hAnsi="仿宋" w:eastAsia="仿宋" w:cs="仿宋"/>
          <w:color w:val="auto"/>
          <w:sz w:val="30"/>
          <w:szCs w:val="20"/>
          <w:highlight w:val="none"/>
        </w:rPr>
      </w:pPr>
      <w:r>
        <w:rPr>
          <w:rFonts w:hint="eastAsia" w:ascii="仿宋" w:hAnsi="仿宋" w:eastAsia="仿宋" w:cs="仿宋"/>
          <w:color w:val="auto"/>
          <w:sz w:val="24"/>
          <w:highlight w:val="none"/>
        </w:rPr>
        <w:t>授权代理人签字:              日期:年月日</w:t>
      </w:r>
    </w:p>
    <w:p>
      <w:pPr>
        <w:rPr>
          <w:rFonts w:ascii="仿宋" w:hAnsi="仿宋" w:eastAsia="仿宋" w:cs="仿宋"/>
          <w:b/>
          <w:color w:val="auto"/>
          <w:sz w:val="28"/>
          <w:szCs w:val="28"/>
          <w:highlight w:val="none"/>
          <w:lang w:val="zh-CN"/>
        </w:rPr>
      </w:pPr>
      <w:r>
        <w:rPr>
          <w:rFonts w:hint="eastAsia" w:ascii="仿宋" w:hAnsi="仿宋" w:eastAsia="仿宋" w:cs="仿宋"/>
          <w:b/>
          <w:color w:val="auto"/>
          <w:sz w:val="28"/>
          <w:szCs w:val="28"/>
          <w:highlight w:val="none"/>
          <w:lang w:val="zh-CN"/>
        </w:rPr>
        <w:br w:type="page"/>
      </w:r>
    </w:p>
    <w:p>
      <w:pPr>
        <w:snapToGrid w:val="0"/>
        <w:spacing w:before="156" w:beforeLines="50" w:after="50"/>
        <w:jc w:val="center"/>
        <w:rPr>
          <w:rFonts w:ascii="仿宋" w:hAnsi="仿宋" w:eastAsia="仿宋" w:cs="仿宋"/>
          <w:b/>
          <w:color w:val="auto"/>
          <w:sz w:val="28"/>
          <w:szCs w:val="28"/>
          <w:highlight w:val="none"/>
          <w:lang w:val="zh-CN"/>
        </w:rPr>
      </w:pPr>
      <w:r>
        <w:rPr>
          <w:rFonts w:hint="eastAsia" w:ascii="仿宋" w:hAnsi="仿宋" w:eastAsia="仿宋" w:cs="仿宋"/>
          <w:b/>
          <w:color w:val="auto"/>
          <w:sz w:val="28"/>
          <w:szCs w:val="28"/>
          <w:highlight w:val="none"/>
          <w:lang w:val="zh-CN"/>
        </w:rPr>
        <w:t>磋商报价表（首次报价）</w:t>
      </w:r>
    </w:p>
    <w:p>
      <w:pPr>
        <w:autoSpaceDE w:val="0"/>
        <w:autoSpaceDN w:val="0"/>
        <w:adjustRightInd w:val="0"/>
        <w:spacing w:line="60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rPr>
        <w:t>供应商全称（加盖公章）：</w:t>
      </w:r>
      <w:r>
        <w:rPr>
          <w:rFonts w:hint="eastAsia" w:ascii="仿宋" w:hAnsi="仿宋" w:eastAsia="仿宋" w:cs="仿宋"/>
          <w:color w:val="auto"/>
          <w:sz w:val="24"/>
          <w:highlight w:val="none"/>
          <w:u w:val="single"/>
        </w:rPr>
        <w:t xml:space="preserve">                           </w:t>
      </w:r>
    </w:p>
    <w:p>
      <w:pPr>
        <w:autoSpaceDE w:val="0"/>
        <w:autoSpaceDN w:val="0"/>
        <w:adjustRightInd w:val="0"/>
        <w:spacing w:line="600" w:lineRule="exact"/>
        <w:rPr>
          <w:rFonts w:hint="eastAsia" w:ascii="仿宋" w:hAnsi="仿宋" w:eastAsia="仿宋" w:cs="仿宋"/>
          <w:color w:val="auto"/>
          <w:sz w:val="24"/>
          <w:highlight w:val="none"/>
          <w:lang w:val="zh-CN" w:eastAsia="zh-CN"/>
        </w:rPr>
      </w:pPr>
      <w:r>
        <w:rPr>
          <w:rFonts w:hint="eastAsia" w:ascii="仿宋" w:hAnsi="仿宋" w:eastAsia="仿宋" w:cs="仿宋"/>
          <w:color w:val="auto"/>
          <w:sz w:val="24"/>
          <w:highlight w:val="none"/>
          <w:lang w:val="zh-CN"/>
        </w:rPr>
        <w:t>项目编号：</w:t>
      </w:r>
      <w:r>
        <w:rPr>
          <w:rFonts w:hint="eastAsia" w:ascii="仿宋" w:hAnsi="仿宋" w:eastAsia="仿宋" w:cs="仿宋"/>
          <w:bCs/>
          <w:snapToGrid w:val="0"/>
          <w:color w:val="auto"/>
          <w:sz w:val="24"/>
          <w:highlight w:val="none"/>
          <w:u w:val="single"/>
          <w:lang w:eastAsia="zh-CN"/>
        </w:rPr>
        <w:t>XCXHZ-202</w:t>
      </w:r>
      <w:r>
        <w:rPr>
          <w:rFonts w:hint="eastAsia" w:ascii="仿宋" w:hAnsi="仿宋" w:eastAsia="仿宋" w:cs="仿宋"/>
          <w:bCs/>
          <w:snapToGrid w:val="0"/>
          <w:color w:val="auto"/>
          <w:sz w:val="24"/>
          <w:highlight w:val="none"/>
          <w:u w:val="single"/>
          <w:lang w:val="en-US" w:eastAsia="zh-CN"/>
        </w:rPr>
        <w:t>4</w:t>
      </w:r>
      <w:r>
        <w:rPr>
          <w:rFonts w:hint="eastAsia" w:ascii="仿宋" w:hAnsi="仿宋" w:eastAsia="仿宋" w:cs="仿宋"/>
          <w:bCs/>
          <w:snapToGrid w:val="0"/>
          <w:color w:val="auto"/>
          <w:sz w:val="24"/>
          <w:highlight w:val="none"/>
          <w:u w:val="single"/>
          <w:lang w:eastAsia="zh-CN"/>
        </w:rPr>
        <w:t>-</w:t>
      </w:r>
      <w:r>
        <w:rPr>
          <w:rFonts w:hint="eastAsia" w:ascii="仿宋" w:hAnsi="仿宋" w:eastAsia="仿宋" w:cs="仿宋"/>
          <w:bCs/>
          <w:snapToGrid w:val="0"/>
          <w:color w:val="auto"/>
          <w:sz w:val="24"/>
          <w:highlight w:val="none"/>
          <w:u w:val="single"/>
          <w:lang w:val="en-US" w:eastAsia="zh-CN"/>
        </w:rPr>
        <w:t>003</w:t>
      </w:r>
      <w:r>
        <w:rPr>
          <w:rFonts w:hint="eastAsia" w:ascii="仿宋" w:hAnsi="仿宋" w:eastAsia="仿宋" w:cs="仿宋"/>
          <w:bCs/>
          <w:snapToGrid w:val="0"/>
          <w:color w:val="auto"/>
          <w:sz w:val="24"/>
          <w:highlight w:val="none"/>
          <w:u w:val="single"/>
          <w:lang w:eastAsia="zh-CN"/>
        </w:rPr>
        <w:t xml:space="preserve">（CG） </w:t>
      </w:r>
    </w:p>
    <w:tbl>
      <w:tblPr>
        <w:tblStyle w:val="17"/>
        <w:tblW w:w="9831"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4"/>
        <w:gridCol w:w="1774"/>
        <w:gridCol w:w="2832"/>
        <w:gridCol w:w="34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8" w:hRule="atLeast"/>
        </w:trPr>
        <w:tc>
          <w:tcPr>
            <w:tcW w:w="1774" w:type="dxa"/>
            <w:tcBorders>
              <w:top w:val="single" w:color="auto" w:sz="4" w:space="0"/>
              <w:bottom w:val="single" w:color="auto" w:sz="4" w:space="0"/>
            </w:tcBorders>
            <w:noWrap/>
            <w:vAlign w:val="center"/>
          </w:tcPr>
          <w:p>
            <w:pPr>
              <w:spacing w:line="54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序号</w:t>
            </w:r>
          </w:p>
        </w:tc>
        <w:tc>
          <w:tcPr>
            <w:tcW w:w="1774" w:type="dxa"/>
            <w:tcBorders>
              <w:top w:val="single" w:color="auto" w:sz="4" w:space="0"/>
              <w:bottom w:val="single" w:color="auto" w:sz="4" w:space="0"/>
            </w:tcBorders>
            <w:noWrap/>
            <w:vAlign w:val="center"/>
          </w:tcPr>
          <w:p>
            <w:pPr>
              <w:spacing w:line="54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内容</w:t>
            </w:r>
          </w:p>
        </w:tc>
        <w:tc>
          <w:tcPr>
            <w:tcW w:w="2832" w:type="dxa"/>
            <w:tcBorders>
              <w:top w:val="single" w:color="auto" w:sz="4" w:space="0"/>
              <w:bottom w:val="single" w:color="auto" w:sz="4" w:space="0"/>
            </w:tcBorders>
            <w:noWrap/>
            <w:vAlign w:val="center"/>
          </w:tcPr>
          <w:p>
            <w:pPr>
              <w:spacing w:line="540" w:lineRule="exact"/>
              <w:jc w:val="center"/>
              <w:rPr>
                <w:rFonts w:hint="eastAsia"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u w:val="none"/>
                <w:lang w:val="en-US" w:eastAsia="zh-CN"/>
              </w:rPr>
              <w:t>报  价</w:t>
            </w:r>
          </w:p>
        </w:tc>
        <w:tc>
          <w:tcPr>
            <w:tcW w:w="3451" w:type="dxa"/>
            <w:tcBorders>
              <w:top w:val="single" w:color="auto" w:sz="4" w:space="0"/>
              <w:bottom w:val="single" w:color="auto" w:sz="4" w:space="0"/>
            </w:tcBorders>
            <w:noWrap/>
            <w:vAlign w:val="center"/>
          </w:tcPr>
          <w:p>
            <w:pPr>
              <w:spacing w:line="540" w:lineRule="exact"/>
              <w:jc w:val="center"/>
              <w:rPr>
                <w:rFonts w:hint="default"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u w:val="singl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64" w:hRule="atLeast"/>
        </w:trPr>
        <w:tc>
          <w:tcPr>
            <w:tcW w:w="1774" w:type="dxa"/>
            <w:tcBorders>
              <w:top w:val="single" w:color="auto" w:sz="4" w:space="0"/>
              <w:bottom w:val="single" w:color="auto" w:sz="4" w:space="0"/>
            </w:tcBorders>
            <w:noWrap/>
            <w:vAlign w:val="center"/>
          </w:tcPr>
          <w:p>
            <w:pPr>
              <w:spacing w:line="54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p>
        </w:tc>
        <w:tc>
          <w:tcPr>
            <w:tcW w:w="1774" w:type="dxa"/>
            <w:tcBorders>
              <w:top w:val="single" w:color="auto" w:sz="4" w:space="0"/>
              <w:bottom w:val="single" w:color="auto" w:sz="4" w:space="0"/>
            </w:tcBorders>
            <w:noWrap/>
            <w:vAlign w:val="center"/>
          </w:tcPr>
          <w:p>
            <w:pPr>
              <w:spacing w:line="5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磋商总报价</w:t>
            </w:r>
          </w:p>
        </w:tc>
        <w:tc>
          <w:tcPr>
            <w:tcW w:w="2832" w:type="dxa"/>
            <w:tcBorders>
              <w:top w:val="single" w:color="auto" w:sz="4" w:space="0"/>
              <w:bottom w:val="single" w:color="auto" w:sz="4" w:space="0"/>
            </w:tcBorders>
            <w:noWrap/>
            <w:vAlign w:val="center"/>
          </w:tcPr>
          <w:p>
            <w:pPr>
              <w:spacing w:line="540" w:lineRule="exact"/>
              <w:jc w:val="center"/>
              <w:rPr>
                <w:rFonts w:hint="eastAsia" w:ascii="仿宋" w:hAnsi="仿宋" w:eastAsia="仿宋" w:cs="仿宋"/>
                <w:color w:val="auto"/>
                <w:sz w:val="24"/>
                <w:highlight w:val="none"/>
                <w:u w:val="single"/>
                <w:lang w:val="en-US" w:eastAsia="zh-CN"/>
              </w:rPr>
            </w:pPr>
          </w:p>
        </w:tc>
        <w:tc>
          <w:tcPr>
            <w:tcW w:w="3451" w:type="dxa"/>
            <w:tcBorders>
              <w:top w:val="single" w:color="auto" w:sz="4" w:space="0"/>
              <w:bottom w:val="single" w:color="auto" w:sz="4" w:space="0"/>
            </w:tcBorders>
            <w:noWrap/>
            <w:vAlign w:val="center"/>
          </w:tcPr>
          <w:p>
            <w:pPr>
              <w:spacing w:line="540" w:lineRule="exact"/>
              <w:jc w:val="center"/>
              <w:rPr>
                <w:rFonts w:hint="eastAsia"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u w:val="none"/>
                <w:lang w:val="en-US" w:eastAsia="zh-CN"/>
              </w:rPr>
              <w:t>磋商总报价=（80万元*食材配送折扣）+食堂运维费用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64" w:hRule="atLeast"/>
        </w:trPr>
        <w:tc>
          <w:tcPr>
            <w:tcW w:w="1774" w:type="dxa"/>
            <w:tcBorders>
              <w:top w:val="single" w:color="auto" w:sz="4" w:space="0"/>
              <w:bottom w:val="single" w:color="auto" w:sz="4" w:space="0"/>
            </w:tcBorders>
            <w:noWrap/>
            <w:vAlign w:val="center"/>
          </w:tcPr>
          <w:p>
            <w:pPr>
              <w:spacing w:line="54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w:t>
            </w:r>
          </w:p>
        </w:tc>
        <w:tc>
          <w:tcPr>
            <w:tcW w:w="1774" w:type="dxa"/>
            <w:tcBorders>
              <w:top w:val="single" w:color="auto" w:sz="4" w:space="0"/>
              <w:bottom w:val="single" w:color="auto" w:sz="4" w:space="0"/>
            </w:tcBorders>
            <w:noWrap/>
            <w:vAlign w:val="center"/>
          </w:tcPr>
          <w:p>
            <w:pPr>
              <w:spacing w:line="5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lang w:eastAsia="zh-CN"/>
              </w:rPr>
              <w:t>食材配送折扣</w:t>
            </w:r>
          </w:p>
        </w:tc>
        <w:tc>
          <w:tcPr>
            <w:tcW w:w="2832" w:type="dxa"/>
            <w:tcBorders>
              <w:top w:val="single" w:color="auto" w:sz="4" w:space="0"/>
              <w:bottom w:val="single" w:color="auto" w:sz="4" w:space="0"/>
            </w:tcBorders>
            <w:noWrap/>
            <w:vAlign w:val="center"/>
          </w:tcPr>
          <w:p>
            <w:pPr>
              <w:spacing w:line="54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lang w:val="en-US" w:eastAsia="zh-CN"/>
              </w:rPr>
              <w:t>%</w:t>
            </w:r>
          </w:p>
        </w:tc>
        <w:tc>
          <w:tcPr>
            <w:tcW w:w="3451" w:type="dxa"/>
            <w:tcBorders>
              <w:top w:val="single" w:color="auto" w:sz="4" w:space="0"/>
              <w:bottom w:val="single" w:color="auto" w:sz="4" w:space="0"/>
            </w:tcBorders>
            <w:noWrap/>
            <w:vAlign w:val="center"/>
          </w:tcPr>
          <w:p>
            <w:pPr>
              <w:spacing w:line="540" w:lineRule="exact"/>
              <w:jc w:val="center"/>
              <w:rPr>
                <w:rFonts w:hint="eastAsia"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u w:val="single"/>
                <w:lang w:val="en-US" w:eastAsia="zh-CN"/>
              </w:rPr>
              <w:t>如：打95折，即报价为95%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99" w:hRule="atLeast"/>
        </w:trPr>
        <w:tc>
          <w:tcPr>
            <w:tcW w:w="1774" w:type="dxa"/>
            <w:tcBorders>
              <w:top w:val="single" w:color="auto" w:sz="4" w:space="0"/>
              <w:bottom w:val="single" w:color="auto" w:sz="4" w:space="0"/>
            </w:tcBorders>
            <w:noWrap/>
            <w:vAlign w:val="center"/>
          </w:tcPr>
          <w:p>
            <w:pPr>
              <w:spacing w:line="54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w:t>
            </w:r>
          </w:p>
        </w:tc>
        <w:tc>
          <w:tcPr>
            <w:tcW w:w="1774" w:type="dxa"/>
            <w:tcBorders>
              <w:top w:val="single" w:color="auto" w:sz="4" w:space="0"/>
              <w:bottom w:val="single" w:color="auto" w:sz="4" w:space="0"/>
            </w:tcBorders>
            <w:noWrap/>
            <w:vAlign w:val="center"/>
          </w:tcPr>
          <w:p>
            <w:pPr>
              <w:spacing w:line="5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食堂运维费用</w:t>
            </w:r>
          </w:p>
        </w:tc>
        <w:tc>
          <w:tcPr>
            <w:tcW w:w="2832" w:type="dxa"/>
            <w:tcBorders>
              <w:top w:val="single" w:color="auto" w:sz="4" w:space="0"/>
              <w:bottom w:val="single" w:color="auto" w:sz="4" w:space="0"/>
            </w:tcBorders>
            <w:noWrap/>
            <w:vAlign w:val="center"/>
          </w:tcPr>
          <w:p>
            <w:pPr>
              <w:spacing w:line="540" w:lineRule="exact"/>
              <w:jc w:val="center"/>
              <w:rPr>
                <w:rFonts w:hint="default"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u w:val="single"/>
                <w:lang w:val="en-US" w:eastAsia="zh-CN"/>
              </w:rPr>
              <w:t xml:space="preserve">          元</w:t>
            </w:r>
          </w:p>
        </w:tc>
        <w:tc>
          <w:tcPr>
            <w:tcW w:w="3451" w:type="dxa"/>
            <w:tcBorders>
              <w:top w:val="single" w:color="auto" w:sz="4" w:space="0"/>
              <w:bottom w:val="single" w:color="auto" w:sz="4" w:space="0"/>
            </w:tcBorders>
            <w:noWrap/>
            <w:vAlign w:val="center"/>
          </w:tcPr>
          <w:p>
            <w:pPr>
              <w:spacing w:line="540" w:lineRule="exact"/>
              <w:jc w:val="center"/>
              <w:rPr>
                <w:rFonts w:hint="default"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u w:val="single"/>
                <w:lang w:val="en-US" w:eastAsia="zh-CN"/>
              </w:rPr>
              <w:t>最高限价40万元整，不能超过此限价</w:t>
            </w:r>
          </w:p>
        </w:tc>
      </w:tr>
    </w:tbl>
    <w:p>
      <w:pPr>
        <w:pStyle w:val="11"/>
        <w:spacing w:before="156" w:after="156" w:line="480" w:lineRule="exact"/>
        <w:ind w:firstLine="482" w:firstLineChars="200"/>
        <w:rPr>
          <w:rFonts w:ascii="仿宋" w:hAnsi="仿宋" w:eastAsia="仿宋" w:cs="仿宋"/>
          <w:b/>
          <w:color w:val="auto"/>
          <w:highlight w:val="none"/>
        </w:rPr>
      </w:pPr>
      <w:r>
        <w:rPr>
          <w:rFonts w:hint="eastAsia" w:ascii="仿宋" w:hAnsi="仿宋" w:eastAsia="仿宋" w:cs="仿宋"/>
          <w:b/>
          <w:color w:val="auto"/>
          <w:highlight w:val="none"/>
        </w:rPr>
        <w:t>注：1、报价一经涂改，应在涂改处加盖单位公章或者由法定代表人或授权委托人签字或盖章，否则其磋商作无效标处理。</w:t>
      </w:r>
    </w:p>
    <w:p>
      <w:pPr>
        <w:pStyle w:val="11"/>
        <w:spacing w:before="156" w:after="156" w:line="480" w:lineRule="exact"/>
        <w:ind w:firstLine="482" w:firstLineChars="200"/>
        <w:rPr>
          <w:rFonts w:ascii="仿宋" w:hAnsi="仿宋" w:eastAsia="仿宋" w:cs="仿宋"/>
          <w:b/>
          <w:color w:val="auto"/>
          <w:highlight w:val="none"/>
        </w:rPr>
      </w:pPr>
      <w:r>
        <w:rPr>
          <w:rFonts w:hint="eastAsia" w:ascii="仿宋" w:hAnsi="仿宋" w:eastAsia="仿宋" w:cs="仿宋"/>
          <w:b/>
          <w:color w:val="auto"/>
          <w:highlight w:val="none"/>
        </w:rPr>
        <w:t>2、应包含服务所发生的费用及供应商认为完成本磋商文件规定内容所需发生的其它费用，凡未列入的，将被视为均已包含在磋商总报价中。只允许有一个报价，任何有选择的或有条件的报价将不予接受。</w:t>
      </w:r>
    </w:p>
    <w:p>
      <w:pPr>
        <w:pStyle w:val="11"/>
        <w:spacing w:before="156" w:after="156" w:line="480" w:lineRule="exact"/>
        <w:ind w:firstLine="482" w:firstLineChars="200"/>
        <w:rPr>
          <w:rFonts w:ascii="仿宋" w:hAnsi="仿宋" w:eastAsia="仿宋" w:cs="仿宋"/>
          <w:b/>
          <w:color w:val="auto"/>
          <w:highlight w:val="none"/>
        </w:rPr>
      </w:pPr>
      <w:r>
        <w:rPr>
          <w:rFonts w:hint="eastAsia" w:ascii="仿宋" w:hAnsi="仿宋" w:eastAsia="仿宋" w:cs="仿宋"/>
          <w:b/>
          <w:color w:val="auto"/>
          <w:highlight w:val="none"/>
        </w:rPr>
        <w:t>3、不提供此表格的将视为没有实质性响应磋商文件。</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法定代表人或其授权代理人签字或盖章：</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日期：</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w:t>
      </w:r>
    </w:p>
    <w:p>
      <w:pPr>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pPr>
        <w:pStyle w:val="4"/>
        <w:spacing w:line="500" w:lineRule="exact"/>
        <w:jc w:val="center"/>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磋商代理服务费承诺函</w:t>
      </w:r>
    </w:p>
    <w:p>
      <w:pPr>
        <w:pStyle w:val="4"/>
        <w:spacing w:line="500" w:lineRule="exact"/>
        <w:jc w:val="center"/>
        <w:rPr>
          <w:rFonts w:ascii="仿宋" w:hAnsi="仿宋" w:eastAsia="仿宋" w:cs="仿宋"/>
          <w:b/>
          <w:color w:val="auto"/>
          <w:sz w:val="28"/>
          <w:szCs w:val="28"/>
          <w:highlight w:val="none"/>
        </w:rPr>
      </w:pPr>
    </w:p>
    <w:p>
      <w:pPr>
        <w:pStyle w:val="4"/>
        <w:spacing w:line="720" w:lineRule="exact"/>
        <w:ind w:firstLine="0"/>
        <w:jc w:val="left"/>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浙江新诚信工程咨询有限公司</w:t>
      </w:r>
      <w:r>
        <w:rPr>
          <w:rFonts w:hint="eastAsia" w:ascii="仿宋" w:hAnsi="仿宋" w:eastAsia="仿宋" w:cs="仿宋"/>
          <w:color w:val="auto"/>
          <w:sz w:val="24"/>
          <w:highlight w:val="none"/>
        </w:rPr>
        <w:t>：</w:t>
      </w:r>
    </w:p>
    <w:p>
      <w:pPr>
        <w:pStyle w:val="4"/>
        <w:spacing w:line="72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根据磋商文件的规定，一旦我公司成交，我公司同意按磋商文件要求向贵公司交纳成交项目的磋商代理服务费，在收到成交通知书后的当天一次性结清。</w:t>
      </w:r>
    </w:p>
    <w:p>
      <w:pPr>
        <w:pStyle w:val="4"/>
        <w:spacing w:line="72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本承诺函自开标之日起至本次采购期满有效。</w:t>
      </w:r>
    </w:p>
    <w:p>
      <w:pPr>
        <w:pStyle w:val="4"/>
        <w:spacing w:line="720" w:lineRule="exact"/>
        <w:jc w:val="left"/>
        <w:rPr>
          <w:rFonts w:ascii="仿宋" w:hAnsi="仿宋" w:eastAsia="仿宋" w:cs="仿宋"/>
          <w:color w:val="auto"/>
          <w:sz w:val="24"/>
          <w:highlight w:val="none"/>
        </w:rPr>
      </w:pPr>
    </w:p>
    <w:p>
      <w:pPr>
        <w:pStyle w:val="4"/>
        <w:spacing w:line="720" w:lineRule="exact"/>
        <w:jc w:val="left"/>
        <w:rPr>
          <w:rFonts w:ascii="仿宋" w:hAnsi="仿宋" w:eastAsia="仿宋" w:cs="仿宋"/>
          <w:color w:val="auto"/>
          <w:sz w:val="24"/>
          <w:highlight w:val="none"/>
        </w:rPr>
      </w:pPr>
    </w:p>
    <w:p>
      <w:pPr>
        <w:pStyle w:val="4"/>
        <w:spacing w:line="720" w:lineRule="exact"/>
        <w:ind w:firstLine="0"/>
        <w:jc w:val="left"/>
        <w:rPr>
          <w:rFonts w:ascii="仿宋" w:hAnsi="仿宋" w:eastAsia="仿宋" w:cs="仿宋"/>
          <w:color w:val="auto"/>
          <w:sz w:val="24"/>
          <w:highlight w:val="none"/>
        </w:rPr>
      </w:pPr>
      <w:r>
        <w:rPr>
          <w:rFonts w:hint="eastAsia" w:ascii="仿宋" w:hAnsi="仿宋" w:eastAsia="仿宋" w:cs="仿宋"/>
          <w:color w:val="auto"/>
          <w:sz w:val="24"/>
          <w:highlight w:val="none"/>
        </w:rPr>
        <w:t>法定代表人或授权代理人签字：</w:t>
      </w:r>
    </w:p>
    <w:p>
      <w:pPr>
        <w:pStyle w:val="4"/>
        <w:spacing w:line="720" w:lineRule="exact"/>
        <w:ind w:firstLine="0"/>
        <w:jc w:val="left"/>
        <w:rPr>
          <w:rFonts w:ascii="仿宋" w:hAnsi="仿宋" w:eastAsia="仿宋" w:cs="仿宋"/>
          <w:color w:val="auto"/>
          <w:sz w:val="24"/>
          <w:highlight w:val="none"/>
        </w:rPr>
      </w:pPr>
      <w:r>
        <w:rPr>
          <w:rFonts w:hint="eastAsia" w:ascii="仿宋" w:hAnsi="仿宋" w:eastAsia="仿宋" w:cs="仿宋"/>
          <w:color w:val="auto"/>
          <w:sz w:val="24"/>
          <w:highlight w:val="none"/>
        </w:rPr>
        <w:t>供应商公章：</w:t>
      </w:r>
    </w:p>
    <w:p>
      <w:pPr>
        <w:pStyle w:val="4"/>
        <w:spacing w:line="720" w:lineRule="exact"/>
        <w:ind w:firstLine="0"/>
        <w:jc w:val="left"/>
        <w:rPr>
          <w:rFonts w:ascii="仿宋" w:hAnsi="仿宋" w:eastAsia="仿宋" w:cs="仿宋"/>
          <w:color w:val="auto"/>
          <w:sz w:val="24"/>
          <w:highlight w:val="none"/>
        </w:rPr>
      </w:pPr>
      <w:r>
        <w:rPr>
          <w:rFonts w:hint="eastAsia" w:ascii="仿宋" w:hAnsi="仿宋" w:eastAsia="仿宋" w:cs="仿宋"/>
          <w:color w:val="auto"/>
          <w:sz w:val="24"/>
          <w:highlight w:val="none"/>
        </w:rPr>
        <w:t>日期：202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年  月  日</w:t>
      </w:r>
    </w:p>
    <w:p>
      <w:pPr>
        <w:pBdr>
          <w:bottom w:val="single" w:color="auto" w:sz="6" w:space="1"/>
        </w:pBdr>
        <w:spacing w:line="540" w:lineRule="exact"/>
        <w:rPr>
          <w:rFonts w:ascii="仿宋" w:hAnsi="仿宋" w:eastAsia="仿宋" w:cs="仿宋"/>
          <w:color w:val="auto"/>
          <w:sz w:val="24"/>
          <w:highlight w:val="none"/>
        </w:rPr>
      </w:pPr>
    </w:p>
    <w:p>
      <w:pPr>
        <w:spacing w:line="540" w:lineRule="exact"/>
        <w:rPr>
          <w:rFonts w:ascii="仿宋" w:hAnsi="仿宋" w:eastAsia="仿宋" w:cs="仿宋"/>
          <w:color w:val="auto"/>
          <w:sz w:val="24"/>
          <w:highlight w:val="none"/>
        </w:rPr>
      </w:pPr>
    </w:p>
    <w:p>
      <w:pPr>
        <w:autoSpaceDE w:val="0"/>
        <w:autoSpaceDN w:val="0"/>
        <w:adjustRightInd w:val="0"/>
        <w:spacing w:line="460" w:lineRule="atLeast"/>
        <w:ind w:firstLine="360"/>
        <w:jc w:val="left"/>
        <w:rPr>
          <w:rFonts w:ascii="仿宋" w:hAnsi="仿宋" w:eastAsia="仿宋" w:cs="仿宋"/>
          <w:b/>
          <w:bCs/>
          <w:color w:val="auto"/>
          <w:kern w:val="0"/>
          <w:sz w:val="24"/>
          <w:highlight w:val="none"/>
          <w:u w:val="single"/>
        </w:rPr>
      </w:pPr>
      <w:r>
        <w:rPr>
          <w:rFonts w:hint="eastAsia" w:ascii="仿宋" w:hAnsi="仿宋" w:eastAsia="仿宋" w:cs="仿宋"/>
          <w:b/>
          <w:bCs/>
          <w:color w:val="auto"/>
          <w:kern w:val="0"/>
          <w:sz w:val="24"/>
          <w:highlight w:val="none"/>
          <w:u w:val="single"/>
          <w:lang w:val="zh-CN"/>
        </w:rPr>
        <w:t>代理费汇款账号：</w:t>
      </w:r>
    </w:p>
    <w:p>
      <w:pPr>
        <w:autoSpaceDE w:val="0"/>
        <w:autoSpaceDN w:val="0"/>
        <w:adjustRightInd w:val="0"/>
        <w:spacing w:line="460" w:lineRule="atLeast"/>
        <w:ind w:firstLine="360"/>
        <w:jc w:val="left"/>
        <w:rPr>
          <w:rFonts w:ascii="仿宋" w:hAnsi="仿宋" w:eastAsia="仿宋" w:cs="仿宋"/>
          <w:b/>
          <w:bCs/>
          <w:color w:val="auto"/>
          <w:kern w:val="0"/>
          <w:sz w:val="24"/>
          <w:highlight w:val="none"/>
          <w:u w:val="single"/>
        </w:rPr>
      </w:pPr>
    </w:p>
    <w:p>
      <w:pPr>
        <w:keepNext w:val="0"/>
        <w:keepLines w:val="0"/>
        <w:pageBreakBefore w:val="0"/>
        <w:widowControl/>
        <w:kinsoku/>
        <w:wordWrap/>
        <w:overflowPunct/>
        <w:topLinePunct w:val="0"/>
        <w:autoSpaceDE/>
        <w:autoSpaceDN/>
        <w:bidi w:val="0"/>
        <w:adjustRightInd/>
        <w:spacing w:line="360" w:lineRule="auto"/>
        <w:ind w:left="750" w:leftChars="300" w:hanging="120" w:hangingChars="5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账户名称：浙江新诚信工程咨询有限公司湖州分公司</w:t>
      </w:r>
    </w:p>
    <w:p>
      <w:pPr>
        <w:keepNext w:val="0"/>
        <w:keepLines w:val="0"/>
        <w:pageBreakBefore w:val="0"/>
        <w:widowControl/>
        <w:kinsoku/>
        <w:wordWrap/>
        <w:overflowPunct/>
        <w:topLinePunct w:val="0"/>
        <w:autoSpaceDE/>
        <w:autoSpaceDN/>
        <w:bidi w:val="0"/>
        <w:adjustRightInd/>
        <w:spacing w:line="360" w:lineRule="auto"/>
        <w:ind w:left="750" w:leftChars="300" w:hanging="120" w:hangingChars="5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开户银行：湖州银行股份有限公司南园支行           </w:t>
      </w:r>
    </w:p>
    <w:p>
      <w:pPr>
        <w:keepNext w:val="0"/>
        <w:keepLines w:val="0"/>
        <w:pageBreakBefore w:val="0"/>
        <w:widowControl/>
        <w:kinsoku/>
        <w:wordWrap/>
        <w:overflowPunct/>
        <w:topLinePunct w:val="0"/>
        <w:autoSpaceDE/>
        <w:autoSpaceDN/>
        <w:bidi w:val="0"/>
        <w:adjustRightInd/>
        <w:spacing w:line="360" w:lineRule="auto"/>
        <w:ind w:left="750" w:leftChars="300" w:hanging="120" w:hangingChars="5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银行账号：800028090000155</w:t>
      </w:r>
    </w:p>
    <w:p>
      <w:pPr>
        <w:keepNext w:val="0"/>
        <w:keepLines w:val="0"/>
        <w:pageBreakBefore w:val="0"/>
        <w:widowControl/>
        <w:kinsoku/>
        <w:wordWrap/>
        <w:overflowPunct/>
        <w:topLinePunct w:val="0"/>
        <w:autoSpaceDE/>
        <w:autoSpaceDN/>
        <w:bidi w:val="0"/>
        <w:adjustRightInd/>
        <w:spacing w:line="360" w:lineRule="auto"/>
        <w:ind w:left="750" w:leftChars="300" w:hanging="120" w:hangingChars="5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kern w:val="2"/>
          <w:sz w:val="24"/>
          <w:szCs w:val="24"/>
          <w:highlight w:val="none"/>
          <w:lang w:val="en-US" w:eastAsia="zh-CN" w:bidi="ar-SA"/>
        </w:rPr>
        <w:t>“用途”一栏注明项目编号XCXHZ-2024-003(CG)</w:t>
      </w:r>
    </w:p>
    <w:p>
      <w:pPr>
        <w:snapToGrid w:val="0"/>
        <w:spacing w:before="156" w:beforeLines="50" w:after="50"/>
        <w:jc w:val="center"/>
        <w:rPr>
          <w:rFonts w:ascii="仿宋" w:hAnsi="仿宋" w:eastAsia="仿宋" w:cs="仿宋"/>
          <w:b/>
          <w:color w:val="auto"/>
          <w:sz w:val="28"/>
          <w:szCs w:val="28"/>
          <w:highlight w:val="none"/>
          <w:lang w:val="zh-CN"/>
        </w:rPr>
      </w:pPr>
    </w:p>
    <w:p>
      <w:pPr>
        <w:rPr>
          <w:rFonts w:ascii="仿宋" w:hAnsi="仿宋" w:eastAsia="仿宋" w:cs="仿宋"/>
          <w:color w:val="auto"/>
          <w:sz w:val="36"/>
          <w:szCs w:val="36"/>
          <w:highlight w:val="none"/>
        </w:rPr>
      </w:pPr>
      <w:r>
        <w:rPr>
          <w:rFonts w:hint="eastAsia" w:ascii="仿宋" w:hAnsi="仿宋" w:eastAsia="仿宋" w:cs="仿宋"/>
          <w:color w:val="auto"/>
          <w:sz w:val="36"/>
          <w:szCs w:val="36"/>
          <w:highlight w:val="none"/>
        </w:rPr>
        <w:br w:type="page"/>
      </w:r>
    </w:p>
    <w:p>
      <w:pPr>
        <w:pStyle w:val="2"/>
        <w:spacing w:line="460" w:lineRule="exact"/>
        <w:jc w:val="center"/>
        <w:rPr>
          <w:rFonts w:ascii="仿宋" w:hAnsi="仿宋" w:eastAsia="仿宋" w:cs="仿宋"/>
          <w:color w:val="auto"/>
          <w:sz w:val="36"/>
          <w:szCs w:val="36"/>
          <w:highlight w:val="none"/>
        </w:rPr>
      </w:pPr>
      <w:r>
        <w:rPr>
          <w:rFonts w:hint="eastAsia" w:ascii="仿宋" w:hAnsi="仿宋" w:eastAsia="仿宋" w:cs="仿宋"/>
          <w:color w:val="auto"/>
          <w:kern w:val="2"/>
          <w:sz w:val="36"/>
          <w:szCs w:val="36"/>
          <w:highlight w:val="none"/>
        </w:rPr>
        <w:t>第六章 磋商办法及评分标准</w:t>
      </w:r>
    </w:p>
    <w:p>
      <w:pPr>
        <w:spacing w:line="550" w:lineRule="exact"/>
        <w:ind w:firstLine="420"/>
        <w:rPr>
          <w:rFonts w:ascii="仿宋" w:hAnsi="仿宋" w:eastAsia="仿宋" w:cs="仿宋"/>
          <w:bCs/>
          <w:color w:val="auto"/>
          <w:sz w:val="24"/>
          <w:highlight w:val="none"/>
        </w:rPr>
      </w:pPr>
      <w:r>
        <w:rPr>
          <w:rFonts w:hint="eastAsia" w:ascii="仿宋" w:hAnsi="仿宋" w:eastAsia="仿宋" w:cs="仿宋"/>
          <w:bCs/>
          <w:color w:val="auto"/>
          <w:sz w:val="24"/>
          <w:highlight w:val="none"/>
        </w:rPr>
        <w:t>为公正、公平、科学地选择成交供应商，根据《中华人民共和国政府采购法》、《政府采购竞争性磋商采购方式</w:t>
      </w:r>
      <w:r>
        <w:rPr>
          <w:rFonts w:hint="eastAsia" w:ascii="仿宋" w:hAnsi="仿宋" w:eastAsia="仿宋" w:cs="仿宋"/>
          <w:bCs/>
          <w:color w:val="auto"/>
          <w:sz w:val="24"/>
          <w:highlight w:val="none"/>
          <w:lang w:val="en-US" w:eastAsia="zh-CN"/>
        </w:rPr>
        <w:t>管理</w:t>
      </w:r>
      <w:r>
        <w:rPr>
          <w:rFonts w:hint="eastAsia" w:ascii="仿宋" w:hAnsi="仿宋" w:eastAsia="仿宋" w:cs="仿宋"/>
          <w:bCs/>
          <w:color w:val="auto"/>
          <w:sz w:val="24"/>
          <w:highlight w:val="none"/>
        </w:rPr>
        <w:t>暂行办法》等有关法律法规的规定，并结合本项目的实际，制定本办法。</w:t>
      </w:r>
    </w:p>
    <w:p>
      <w:pPr>
        <w:spacing w:line="550" w:lineRule="exact"/>
        <w:ind w:firstLine="472" w:firstLineChars="196"/>
        <w:rPr>
          <w:rFonts w:ascii="仿宋" w:hAnsi="仿宋" w:eastAsia="仿宋" w:cs="仿宋"/>
          <w:b/>
          <w:bCs/>
          <w:color w:val="auto"/>
          <w:sz w:val="24"/>
          <w:highlight w:val="none"/>
        </w:rPr>
      </w:pPr>
      <w:r>
        <w:rPr>
          <w:rFonts w:hint="eastAsia" w:ascii="仿宋" w:hAnsi="仿宋" w:eastAsia="仿宋" w:cs="仿宋"/>
          <w:b/>
          <w:bCs/>
          <w:color w:val="auto"/>
          <w:sz w:val="24"/>
          <w:highlight w:val="none"/>
        </w:rPr>
        <w:t>一、总则：</w:t>
      </w:r>
    </w:p>
    <w:p>
      <w:pPr>
        <w:spacing w:line="550" w:lineRule="exact"/>
        <w:ind w:left="472"/>
        <w:rPr>
          <w:rFonts w:ascii="仿宋" w:hAnsi="仿宋" w:eastAsia="仿宋" w:cs="仿宋"/>
          <w:color w:val="auto"/>
          <w:sz w:val="24"/>
          <w:highlight w:val="none"/>
        </w:rPr>
      </w:pPr>
      <w:r>
        <w:rPr>
          <w:rFonts w:hint="eastAsia" w:ascii="仿宋" w:hAnsi="仿宋" w:eastAsia="仿宋" w:cs="仿宋"/>
          <w:color w:val="auto"/>
          <w:sz w:val="24"/>
          <w:highlight w:val="none"/>
        </w:rPr>
        <w:t>（一）磋商小组遵循公开、公平、公正、科学合理、竞争择优的原则；</w:t>
      </w:r>
    </w:p>
    <w:p>
      <w:pPr>
        <w:spacing w:line="55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（二）磋商由磋商小组负责，磋商小组由采购人以及相关专业的专家共</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人组成。磋商小组由磋商采购人依据有关规定组建，其中技术、经济专家于磋商前在监管人员的监督下从专家库中随机抽取。有关人员对磋商小组成员名单必须严格保密，与磋商有利害关系的人员不得参加磋商会；</w:t>
      </w:r>
    </w:p>
    <w:p>
      <w:pPr>
        <w:spacing w:line="550" w:lineRule="exact"/>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（三）磋商小组成员及参加磋商的其他相关人员应严格遵守国家有关保密的法律、法规和规定，并接受有关部门的监督；</w:t>
      </w:r>
    </w:p>
    <w:p>
      <w:pPr>
        <w:spacing w:line="550" w:lineRule="exact"/>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（四）磋商小组应按磋商文件规定的程序进行磋商；</w:t>
      </w:r>
      <w:bookmarkStart w:id="13" w:name="_GoBack"/>
      <w:bookmarkEnd w:id="13"/>
    </w:p>
    <w:p>
      <w:pPr>
        <w:spacing w:line="550" w:lineRule="exact"/>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（五）通讯工具管理：在磋商期间，磋商小组每个成员的手机都必须关机；</w:t>
      </w:r>
    </w:p>
    <w:p>
      <w:pPr>
        <w:spacing w:line="550" w:lineRule="exact"/>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（六）在磋商期间，磋商小组各成员不得随意离开规定的磋商地点，所有资料由采购代理机构工作人员专门保管和发放。磋商小组成员完成磋商时应如数、及时归还，任何与本项目有关的资料不得带离磋商现场；</w:t>
      </w:r>
    </w:p>
    <w:p>
      <w:pPr>
        <w:spacing w:line="550" w:lineRule="exact"/>
        <w:ind w:firstLine="360" w:firstLineChars="150"/>
        <w:rPr>
          <w:rFonts w:ascii="仿宋" w:hAnsi="仿宋" w:eastAsia="仿宋" w:cs="仿宋"/>
          <w:bCs/>
          <w:color w:val="auto"/>
          <w:sz w:val="24"/>
          <w:highlight w:val="none"/>
        </w:rPr>
      </w:pPr>
      <w:r>
        <w:rPr>
          <w:rFonts w:hint="eastAsia" w:ascii="仿宋" w:hAnsi="仿宋" w:eastAsia="仿宋" w:cs="仿宋"/>
          <w:bCs/>
          <w:color w:val="auto"/>
          <w:sz w:val="24"/>
          <w:highlight w:val="none"/>
        </w:rPr>
        <w:t>（七）</w:t>
      </w:r>
      <w:r>
        <w:rPr>
          <w:rFonts w:hint="eastAsia" w:ascii="仿宋" w:hAnsi="仿宋" w:eastAsia="仿宋" w:cs="宋体"/>
          <w:bCs/>
          <w:color w:val="auto"/>
          <w:sz w:val="24"/>
          <w:highlight w:val="none"/>
        </w:rPr>
        <w:t>本次磋商采用综合评分法，总分为100分，其中价格分</w:t>
      </w:r>
      <w:r>
        <w:rPr>
          <w:rFonts w:hint="eastAsia" w:ascii="仿宋" w:hAnsi="仿宋" w:eastAsia="仿宋" w:cs="宋体"/>
          <w:bCs/>
          <w:color w:val="auto"/>
          <w:sz w:val="24"/>
          <w:highlight w:val="none"/>
          <w:lang w:val="en-US" w:eastAsia="zh-CN"/>
        </w:rPr>
        <w:t>3</w:t>
      </w:r>
      <w:r>
        <w:rPr>
          <w:rFonts w:hint="eastAsia" w:ascii="仿宋" w:hAnsi="仿宋" w:eastAsia="仿宋" w:cs="宋体"/>
          <w:bCs/>
          <w:color w:val="auto"/>
          <w:sz w:val="24"/>
          <w:highlight w:val="none"/>
        </w:rPr>
        <w:t>0分、技术、商务、资信及其他</w:t>
      </w:r>
      <w:r>
        <w:rPr>
          <w:rFonts w:hint="eastAsia" w:ascii="仿宋" w:hAnsi="仿宋" w:eastAsia="仿宋" w:cs="宋体"/>
          <w:bCs/>
          <w:color w:val="auto"/>
          <w:sz w:val="24"/>
          <w:highlight w:val="none"/>
          <w:lang w:val="en-US" w:eastAsia="zh-CN"/>
        </w:rPr>
        <w:t>7</w:t>
      </w:r>
      <w:r>
        <w:rPr>
          <w:rFonts w:hint="eastAsia" w:ascii="仿宋" w:hAnsi="仿宋" w:eastAsia="仿宋" w:cs="宋体"/>
          <w:bCs/>
          <w:color w:val="auto"/>
          <w:sz w:val="24"/>
          <w:highlight w:val="none"/>
        </w:rPr>
        <w:t>0分。合格供应商的评标得分为各项目汇总得分，成交候选资格按评标得分由高到低顺序排列，得分相同的，按磋商报价由低到高顺序排列；得分且磋商报价相同的，按技术得分由高到低顺序排列。技术部分得分仍相同的，由采购人采用随机抽取的方式决定，排名第一的供应商为第一成交候选人,其他供应商成交候选资格依此类推。第一成交候选人放弃成交或者因不可抗力提出不能履行合同，采购人可以确定第二成交候选人为成交人，排名第二的成交候选人因前款同样的原因不能签订合同，采购人可以确定排名第三的成交候选人为成交人，采购人也可选择重新采购。评分过程中采用四舍五入法，并保留小数2位。</w:t>
      </w:r>
    </w:p>
    <w:p>
      <w:pPr>
        <w:tabs>
          <w:tab w:val="left" w:pos="3870"/>
          <w:tab w:val="left" w:pos="4085"/>
        </w:tabs>
        <w:snapToGrid w:val="0"/>
        <w:spacing w:line="550" w:lineRule="exact"/>
        <w:ind w:firstLine="482" w:firstLineChars="200"/>
        <w:jc w:val="left"/>
        <w:rPr>
          <w:rFonts w:ascii="仿宋" w:hAnsi="仿宋" w:eastAsia="仿宋" w:cs="宋体"/>
          <w:b/>
          <w:bCs/>
          <w:color w:val="auto"/>
          <w:sz w:val="24"/>
          <w:highlight w:val="none"/>
        </w:rPr>
      </w:pPr>
      <w:r>
        <w:rPr>
          <w:rFonts w:hint="eastAsia" w:ascii="仿宋" w:hAnsi="仿宋" w:eastAsia="仿宋" w:cs="宋体"/>
          <w:b/>
          <w:bCs/>
          <w:color w:val="auto"/>
          <w:sz w:val="24"/>
          <w:highlight w:val="none"/>
        </w:rPr>
        <w:t>二、计算方法：</w:t>
      </w:r>
    </w:p>
    <w:p>
      <w:pPr>
        <w:spacing w:line="550" w:lineRule="exact"/>
        <w:ind w:firstLine="480" w:firstLineChars="200"/>
        <w:jc w:val="left"/>
        <w:rPr>
          <w:rFonts w:ascii="仿宋" w:hAnsi="仿宋" w:eastAsia="仿宋" w:cs="宋体"/>
          <w:bCs/>
          <w:color w:val="auto"/>
          <w:sz w:val="24"/>
          <w:highlight w:val="none"/>
        </w:rPr>
      </w:pPr>
      <w:r>
        <w:rPr>
          <w:rFonts w:hint="eastAsia" w:ascii="仿宋" w:hAnsi="仿宋" w:eastAsia="仿宋" w:cs="宋体"/>
          <w:bCs/>
          <w:color w:val="auto"/>
          <w:sz w:val="24"/>
          <w:highlight w:val="none"/>
        </w:rPr>
        <w:t>（一）报价部分：</w:t>
      </w:r>
      <w:r>
        <w:rPr>
          <w:rFonts w:hint="eastAsia" w:ascii="仿宋" w:hAnsi="仿宋" w:eastAsia="仿宋" w:cs="宋体"/>
          <w:bCs/>
          <w:color w:val="auto"/>
          <w:sz w:val="24"/>
          <w:highlight w:val="none"/>
          <w:lang w:val="en-US" w:eastAsia="zh-CN"/>
        </w:rPr>
        <w:t>3</w:t>
      </w:r>
      <w:r>
        <w:rPr>
          <w:rFonts w:hint="eastAsia" w:ascii="仿宋" w:hAnsi="仿宋" w:eastAsia="仿宋" w:cs="宋体"/>
          <w:bCs/>
          <w:color w:val="auto"/>
          <w:sz w:val="24"/>
          <w:highlight w:val="none"/>
        </w:rPr>
        <w:t>0分</w:t>
      </w:r>
    </w:p>
    <w:p>
      <w:pPr>
        <w:spacing w:line="550" w:lineRule="exact"/>
        <w:ind w:firstLine="480" w:firstLineChars="200"/>
        <w:jc w:val="left"/>
        <w:rPr>
          <w:rFonts w:ascii="仿宋" w:hAnsi="仿宋" w:eastAsia="仿宋" w:cs="宋体"/>
          <w:bCs/>
          <w:color w:val="auto"/>
          <w:sz w:val="24"/>
          <w:highlight w:val="none"/>
        </w:rPr>
      </w:pPr>
      <w:r>
        <w:rPr>
          <w:rFonts w:hint="eastAsia" w:ascii="仿宋" w:hAnsi="仿宋" w:eastAsia="仿宋" w:cs="宋体"/>
          <w:bCs/>
          <w:color w:val="auto"/>
          <w:sz w:val="24"/>
          <w:highlight w:val="none"/>
        </w:rPr>
        <w:t>1、价格分采用低价优先法计算，即满足磋商文件要求且最后报价最低的供应商的价格为磋商基准价，其价格分为满分。其他供应商的价格分统一按照下列公式计算：</w:t>
      </w:r>
    </w:p>
    <w:p>
      <w:pPr>
        <w:spacing w:line="550" w:lineRule="exact"/>
        <w:ind w:firstLine="480" w:firstLineChars="200"/>
        <w:jc w:val="left"/>
        <w:rPr>
          <w:rFonts w:ascii="仿宋" w:hAnsi="仿宋" w:eastAsia="仿宋" w:cs="宋体"/>
          <w:bCs/>
          <w:color w:val="auto"/>
          <w:sz w:val="24"/>
          <w:highlight w:val="none"/>
        </w:rPr>
      </w:pPr>
      <w:r>
        <w:rPr>
          <w:rFonts w:hint="eastAsia" w:ascii="仿宋" w:hAnsi="仿宋" w:eastAsia="仿宋" w:cs="宋体"/>
          <w:bCs/>
          <w:color w:val="auto"/>
          <w:sz w:val="24"/>
          <w:highlight w:val="none"/>
        </w:rPr>
        <w:t>磋商报价得分=（基准价/磋商报价）×100×</w:t>
      </w:r>
      <w:r>
        <w:rPr>
          <w:rFonts w:hint="eastAsia" w:ascii="仿宋" w:hAnsi="仿宋" w:eastAsia="仿宋" w:cs="宋体"/>
          <w:bCs/>
          <w:color w:val="auto"/>
          <w:sz w:val="24"/>
          <w:highlight w:val="none"/>
          <w:lang w:val="en-US" w:eastAsia="zh-CN"/>
        </w:rPr>
        <w:t>3</w:t>
      </w:r>
      <w:r>
        <w:rPr>
          <w:rFonts w:hint="eastAsia" w:ascii="仿宋" w:hAnsi="仿宋" w:eastAsia="仿宋" w:cs="宋体"/>
          <w:bCs/>
          <w:color w:val="auto"/>
          <w:sz w:val="24"/>
          <w:highlight w:val="none"/>
        </w:rPr>
        <w:t>0%</w:t>
      </w:r>
    </w:p>
    <w:p>
      <w:pPr>
        <w:spacing w:line="550" w:lineRule="exact"/>
        <w:ind w:firstLine="480" w:firstLineChars="200"/>
        <w:jc w:val="left"/>
        <w:rPr>
          <w:rFonts w:ascii="仿宋" w:hAnsi="仿宋" w:eastAsia="仿宋" w:cs="宋体"/>
          <w:bCs/>
          <w:color w:val="auto"/>
          <w:sz w:val="24"/>
          <w:highlight w:val="none"/>
        </w:rPr>
      </w:pPr>
      <w:r>
        <w:rPr>
          <w:rFonts w:hint="eastAsia" w:ascii="仿宋" w:hAnsi="仿宋" w:eastAsia="仿宋" w:cs="宋体"/>
          <w:bCs/>
          <w:color w:val="auto"/>
          <w:sz w:val="24"/>
          <w:highlight w:val="none"/>
        </w:rPr>
        <w:t xml:space="preserve">（二）技术分、商务分、资信及其他部分： </w:t>
      </w:r>
      <w:r>
        <w:rPr>
          <w:rFonts w:hint="eastAsia" w:ascii="仿宋" w:hAnsi="仿宋" w:eastAsia="仿宋" w:cs="宋体"/>
          <w:bCs/>
          <w:color w:val="auto"/>
          <w:sz w:val="24"/>
          <w:highlight w:val="none"/>
          <w:lang w:val="en-US" w:eastAsia="zh-CN"/>
        </w:rPr>
        <w:t>7</w:t>
      </w:r>
      <w:r>
        <w:rPr>
          <w:rFonts w:hint="eastAsia" w:ascii="仿宋" w:hAnsi="仿宋" w:eastAsia="仿宋" w:cs="宋体"/>
          <w:bCs/>
          <w:color w:val="auto"/>
          <w:sz w:val="24"/>
          <w:highlight w:val="none"/>
        </w:rPr>
        <w:t xml:space="preserve">0 分 </w:t>
      </w:r>
    </w:p>
    <w:p>
      <w:pPr>
        <w:spacing w:line="640" w:lineRule="exact"/>
        <w:ind w:firstLine="480" w:firstLineChars="200"/>
        <w:rPr>
          <w:rFonts w:ascii="仿宋" w:hAnsi="仿宋" w:eastAsia="仿宋" w:cs="宋体"/>
          <w:bCs/>
          <w:color w:val="auto"/>
          <w:sz w:val="24"/>
          <w:highlight w:val="none"/>
        </w:rPr>
      </w:pPr>
      <w:r>
        <w:rPr>
          <w:rFonts w:hint="eastAsia" w:ascii="仿宋" w:hAnsi="仿宋" w:eastAsia="仿宋" w:cs="宋体"/>
          <w:bCs/>
          <w:color w:val="auto"/>
          <w:sz w:val="24"/>
          <w:highlight w:val="none"/>
        </w:rPr>
        <w:t>1、本项目设技术分</w:t>
      </w:r>
      <w:r>
        <w:rPr>
          <w:rFonts w:hint="eastAsia" w:ascii="仿宋" w:hAnsi="仿宋" w:eastAsia="仿宋" w:cs="宋体"/>
          <w:bCs/>
          <w:color w:val="auto"/>
          <w:sz w:val="24"/>
          <w:highlight w:val="none"/>
          <w:lang w:val="en-US" w:eastAsia="zh-CN"/>
        </w:rPr>
        <w:t>47</w:t>
      </w:r>
      <w:r>
        <w:rPr>
          <w:rFonts w:hint="eastAsia" w:ascii="仿宋" w:hAnsi="仿宋" w:eastAsia="仿宋" w:cs="宋体"/>
          <w:bCs/>
          <w:color w:val="auto"/>
          <w:sz w:val="24"/>
          <w:highlight w:val="none"/>
        </w:rPr>
        <w:t>分、商务分和资信及其他分</w:t>
      </w:r>
      <w:r>
        <w:rPr>
          <w:rFonts w:hint="eastAsia" w:ascii="仿宋" w:hAnsi="仿宋" w:eastAsia="仿宋" w:cs="宋体"/>
          <w:bCs/>
          <w:color w:val="auto"/>
          <w:sz w:val="24"/>
          <w:highlight w:val="none"/>
          <w:lang w:val="en-US" w:eastAsia="zh-CN"/>
        </w:rPr>
        <w:t>23</w:t>
      </w:r>
      <w:r>
        <w:rPr>
          <w:rFonts w:hint="eastAsia" w:ascii="仿宋" w:hAnsi="仿宋" w:eastAsia="仿宋" w:cs="宋体"/>
          <w:bCs/>
          <w:color w:val="auto"/>
          <w:sz w:val="24"/>
          <w:highlight w:val="none"/>
        </w:rPr>
        <w:t>分。</w:t>
      </w:r>
    </w:p>
    <w:p>
      <w:pPr>
        <w:spacing w:line="550" w:lineRule="exact"/>
        <w:ind w:firstLine="480" w:firstLineChars="200"/>
        <w:jc w:val="left"/>
        <w:rPr>
          <w:rFonts w:ascii="仿宋" w:hAnsi="仿宋" w:eastAsia="仿宋" w:cs="宋体"/>
          <w:bCs/>
          <w:color w:val="auto"/>
          <w:sz w:val="24"/>
          <w:highlight w:val="none"/>
        </w:rPr>
      </w:pPr>
      <w:r>
        <w:rPr>
          <w:rFonts w:hint="eastAsia" w:ascii="仿宋" w:hAnsi="仿宋" w:eastAsia="仿宋" w:cs="宋体"/>
          <w:bCs/>
          <w:color w:val="auto"/>
          <w:sz w:val="24"/>
          <w:highlight w:val="none"/>
        </w:rPr>
        <w:t xml:space="preserve">2、技术分、商务分、资信及其他分的计算 </w:t>
      </w:r>
    </w:p>
    <w:p>
      <w:pPr>
        <w:spacing w:line="640" w:lineRule="exact"/>
        <w:ind w:firstLine="240" w:firstLineChars="100"/>
        <w:rPr>
          <w:rFonts w:ascii="仿宋" w:hAnsi="仿宋" w:eastAsia="仿宋" w:cs="宋体"/>
          <w:bCs/>
          <w:color w:val="auto"/>
          <w:sz w:val="24"/>
          <w:highlight w:val="none"/>
        </w:rPr>
      </w:pPr>
      <w:r>
        <w:rPr>
          <w:rFonts w:hint="eastAsia" w:ascii="仿宋" w:hAnsi="仿宋" w:eastAsia="仿宋" w:cs="宋体"/>
          <w:bCs/>
          <w:color w:val="auto"/>
          <w:sz w:val="24"/>
          <w:highlight w:val="none"/>
        </w:rPr>
        <w:t>技术、商务、资信及其他分按照磋商小组成员的独立评分结果汇总数的算术平均</w:t>
      </w:r>
    </w:p>
    <w:p>
      <w:pPr>
        <w:spacing w:line="640" w:lineRule="exact"/>
        <w:rPr>
          <w:rFonts w:ascii="仿宋" w:hAnsi="仿宋" w:eastAsia="仿宋" w:cs="宋体"/>
          <w:bCs/>
          <w:color w:val="auto"/>
          <w:sz w:val="24"/>
          <w:highlight w:val="none"/>
        </w:rPr>
      </w:pPr>
      <w:r>
        <w:rPr>
          <w:rFonts w:hint="eastAsia" w:ascii="仿宋" w:hAnsi="仿宋" w:eastAsia="仿宋" w:cs="宋体"/>
          <w:bCs/>
          <w:color w:val="auto"/>
          <w:sz w:val="24"/>
          <w:highlight w:val="none"/>
        </w:rPr>
        <w:t xml:space="preserve">分计算，计算公式为： </w:t>
      </w:r>
    </w:p>
    <w:p>
      <w:pPr>
        <w:spacing w:line="640" w:lineRule="exact"/>
        <w:ind w:firstLine="240" w:firstLineChars="100"/>
        <w:rPr>
          <w:rFonts w:ascii="仿宋" w:hAnsi="仿宋" w:eastAsia="仿宋" w:cs="宋体"/>
          <w:bCs/>
          <w:color w:val="auto"/>
          <w:sz w:val="24"/>
          <w:highlight w:val="none"/>
        </w:rPr>
      </w:pPr>
      <w:r>
        <w:rPr>
          <w:rFonts w:hint="eastAsia" w:ascii="仿宋" w:hAnsi="仿宋" w:eastAsia="仿宋" w:cs="宋体"/>
          <w:bCs/>
          <w:color w:val="auto"/>
          <w:sz w:val="24"/>
          <w:highlight w:val="none"/>
        </w:rPr>
        <w:t xml:space="preserve">技术分、商务分、资信及其他分=（磋商小组所有成员评分合计数）/（磋商小组组成人员数） </w:t>
      </w:r>
    </w:p>
    <w:p>
      <w:pPr>
        <w:spacing w:line="640" w:lineRule="exact"/>
        <w:ind w:firstLine="480" w:firstLineChars="200"/>
        <w:rPr>
          <w:rFonts w:ascii="仿宋" w:hAnsi="仿宋" w:eastAsia="仿宋" w:cs="宋体"/>
          <w:bCs/>
          <w:color w:val="auto"/>
          <w:sz w:val="24"/>
          <w:highlight w:val="none"/>
        </w:rPr>
      </w:pPr>
      <w:r>
        <w:rPr>
          <w:rFonts w:hint="eastAsia" w:ascii="仿宋" w:hAnsi="仿宋" w:eastAsia="仿宋" w:cs="宋体"/>
          <w:bCs/>
          <w:color w:val="auto"/>
          <w:sz w:val="24"/>
          <w:highlight w:val="none"/>
        </w:rPr>
        <w:t>磋商小组在评审时发现供应商得报价明显高于其市场报价或低于成本价的，应当要求供应商书面说明并提供相关证明材料。供应商不能当场合理说明原因并提供证明材料</w:t>
      </w:r>
    </w:p>
    <w:p>
      <w:pPr>
        <w:spacing w:line="640" w:lineRule="exact"/>
        <w:rPr>
          <w:rFonts w:ascii="仿宋" w:hAnsi="仿宋" w:eastAsia="仿宋" w:cs="宋体"/>
          <w:bCs/>
          <w:color w:val="auto"/>
          <w:sz w:val="24"/>
          <w:highlight w:val="none"/>
        </w:rPr>
      </w:pPr>
      <w:r>
        <w:rPr>
          <w:rFonts w:hint="eastAsia" w:ascii="仿宋" w:hAnsi="仿宋" w:eastAsia="仿宋" w:cs="宋体"/>
          <w:bCs/>
          <w:color w:val="auto"/>
          <w:sz w:val="24"/>
          <w:highlight w:val="none"/>
        </w:rPr>
        <w:t>的，磋商小组应将该供应商的磋商文件作无效处理，并在评审报告中说明。</w:t>
      </w:r>
    </w:p>
    <w:p>
      <w:pPr>
        <w:spacing w:line="640" w:lineRule="exact"/>
        <w:rPr>
          <w:rFonts w:ascii="仿宋" w:hAnsi="仿宋" w:eastAsia="仿宋" w:cs="仿宋"/>
          <w:color w:val="auto"/>
          <w:highlight w:val="none"/>
        </w:rPr>
      </w:pPr>
      <w:r>
        <w:rPr>
          <w:rFonts w:hint="eastAsia" w:ascii="仿宋" w:hAnsi="仿宋" w:eastAsia="仿宋" w:cs="仿宋"/>
          <w:b/>
          <w:bCs/>
          <w:color w:val="auto"/>
          <w:sz w:val="24"/>
          <w:highlight w:val="none"/>
        </w:rPr>
        <w:t>附件：技术、商务、资信及其他部分：</w:t>
      </w:r>
      <w:r>
        <w:rPr>
          <w:rFonts w:hint="eastAsia" w:ascii="仿宋" w:hAnsi="仿宋" w:eastAsia="仿宋" w:cs="仿宋"/>
          <w:b/>
          <w:bCs/>
          <w:color w:val="auto"/>
          <w:sz w:val="24"/>
          <w:highlight w:val="none"/>
          <w:lang w:val="en-US" w:eastAsia="zh-CN"/>
        </w:rPr>
        <w:t>7</w:t>
      </w:r>
      <w:r>
        <w:rPr>
          <w:rFonts w:hint="eastAsia" w:ascii="仿宋" w:hAnsi="仿宋" w:eastAsia="仿宋" w:cs="仿宋"/>
          <w:b/>
          <w:bCs/>
          <w:color w:val="auto"/>
          <w:sz w:val="24"/>
          <w:highlight w:val="none"/>
        </w:rPr>
        <w:t>0分</w:t>
      </w:r>
    </w:p>
    <w:p>
      <w:pPr>
        <w:spacing w:line="400" w:lineRule="exact"/>
        <w:jc w:val="left"/>
        <w:rPr>
          <w:rFonts w:ascii="仿宋" w:hAnsi="仿宋" w:eastAsia="仿宋" w:cs="仿宋"/>
          <w:color w:val="auto"/>
          <w:szCs w:val="21"/>
          <w:highlight w:val="none"/>
        </w:rPr>
      </w:pPr>
    </w:p>
    <w:tbl>
      <w:tblPr>
        <w:tblStyle w:val="17"/>
        <w:tblW w:w="928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6"/>
        <w:gridCol w:w="1430"/>
        <w:gridCol w:w="6137"/>
        <w:gridCol w:w="104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3" w:hRule="atLeast"/>
          <w:jc w:val="center"/>
        </w:trPr>
        <w:tc>
          <w:tcPr>
            <w:tcW w:w="676" w:type="dxa"/>
            <w:tcBorders>
              <w:top w:val="single" w:color="auto" w:sz="4" w:space="0"/>
              <w:left w:val="single" w:color="auto" w:sz="4" w:space="0"/>
              <w:bottom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b/>
                <w:bCs/>
                <w:color w:val="auto"/>
                <w:highlight w:val="none"/>
              </w:rPr>
            </w:pPr>
            <w:r>
              <w:rPr>
                <w:rFonts w:hint="eastAsia" w:ascii="仿宋" w:hAnsi="仿宋" w:eastAsia="仿宋" w:cs="仿宋"/>
                <w:b/>
                <w:bCs/>
                <w:color w:val="auto"/>
                <w:highlight w:val="none"/>
              </w:rPr>
              <w:t>序号</w:t>
            </w:r>
          </w:p>
        </w:tc>
        <w:tc>
          <w:tcPr>
            <w:tcW w:w="1430" w:type="dxa"/>
            <w:tcBorders>
              <w:top w:val="single" w:color="auto" w:sz="4" w:space="0"/>
              <w:left w:val="single" w:color="auto" w:sz="4" w:space="0"/>
              <w:bottom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b/>
                <w:bCs/>
                <w:color w:val="auto"/>
                <w:highlight w:val="none"/>
              </w:rPr>
            </w:pPr>
            <w:r>
              <w:rPr>
                <w:rFonts w:hint="eastAsia" w:ascii="仿宋" w:hAnsi="仿宋" w:eastAsia="仿宋" w:cs="仿宋"/>
                <w:b/>
                <w:bCs/>
                <w:color w:val="auto"/>
                <w:highlight w:val="none"/>
              </w:rPr>
              <w:t>评审内容</w:t>
            </w:r>
          </w:p>
        </w:tc>
        <w:tc>
          <w:tcPr>
            <w:tcW w:w="6137" w:type="dxa"/>
            <w:tcBorders>
              <w:top w:val="single" w:color="auto" w:sz="4" w:space="0"/>
              <w:left w:val="single" w:color="auto" w:sz="4" w:space="0"/>
              <w:bottom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b/>
                <w:bCs/>
                <w:color w:val="auto"/>
                <w:highlight w:val="none"/>
              </w:rPr>
            </w:pPr>
            <w:r>
              <w:rPr>
                <w:rFonts w:hint="eastAsia" w:ascii="仿宋" w:hAnsi="仿宋" w:eastAsia="仿宋" w:cs="仿宋"/>
                <w:b/>
                <w:bCs/>
                <w:color w:val="auto"/>
                <w:highlight w:val="none"/>
              </w:rPr>
              <w:t>评分标准</w:t>
            </w:r>
          </w:p>
        </w:tc>
        <w:tc>
          <w:tcPr>
            <w:tcW w:w="1043" w:type="dxa"/>
            <w:tcBorders>
              <w:top w:val="single" w:color="auto" w:sz="4" w:space="0"/>
              <w:left w:val="single" w:color="auto" w:sz="4" w:space="0"/>
              <w:bottom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b/>
                <w:bCs/>
                <w:color w:val="auto"/>
                <w:highlight w:val="none"/>
              </w:rPr>
            </w:pPr>
            <w:r>
              <w:rPr>
                <w:rFonts w:hint="eastAsia" w:ascii="仿宋" w:hAnsi="仿宋" w:eastAsia="仿宋" w:cs="仿宋"/>
                <w:b/>
                <w:bCs/>
                <w:color w:val="auto"/>
                <w:highlight w:val="none"/>
              </w:rPr>
              <w:t>分值</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0" w:hRule="atLeast"/>
          <w:jc w:val="center"/>
        </w:trPr>
        <w:tc>
          <w:tcPr>
            <w:tcW w:w="676" w:type="dxa"/>
            <w:tcBorders>
              <w:top w:val="single" w:color="auto" w:sz="4" w:space="0"/>
              <w:left w:val="single" w:color="auto" w:sz="4" w:space="0"/>
              <w:bottom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b/>
                <w:bCs/>
                <w:color w:val="auto"/>
                <w:highlight w:val="none"/>
              </w:rPr>
            </w:pPr>
            <w:r>
              <w:rPr>
                <w:rFonts w:hint="eastAsia" w:ascii="仿宋" w:hAnsi="仿宋" w:eastAsia="仿宋" w:cs="仿宋"/>
                <w:b/>
                <w:bCs/>
                <w:color w:val="auto"/>
                <w:highlight w:val="none"/>
              </w:rPr>
              <w:t>一</w:t>
            </w:r>
          </w:p>
        </w:tc>
        <w:tc>
          <w:tcPr>
            <w:tcW w:w="7567" w:type="dxa"/>
            <w:gridSpan w:val="2"/>
            <w:tcBorders>
              <w:top w:val="single" w:color="auto" w:sz="4" w:space="0"/>
              <w:left w:val="single" w:color="auto" w:sz="4" w:space="0"/>
              <w:bottom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b/>
                <w:bCs/>
                <w:color w:val="auto"/>
                <w:highlight w:val="none"/>
              </w:rPr>
            </w:pPr>
            <w:r>
              <w:rPr>
                <w:rFonts w:hint="eastAsia" w:ascii="仿宋" w:hAnsi="仿宋" w:eastAsia="仿宋" w:cs="仿宋"/>
                <w:b/>
                <w:bCs/>
                <w:color w:val="auto"/>
                <w:highlight w:val="none"/>
              </w:rPr>
              <w:t>技术分</w:t>
            </w:r>
          </w:p>
        </w:tc>
        <w:tc>
          <w:tcPr>
            <w:tcW w:w="1043" w:type="dxa"/>
            <w:tcBorders>
              <w:top w:val="single" w:color="auto" w:sz="4" w:space="0"/>
              <w:left w:val="single" w:color="auto" w:sz="4" w:space="0"/>
              <w:bottom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b/>
                <w:bCs/>
                <w:color w:val="auto"/>
                <w:highlight w:val="none"/>
              </w:rPr>
            </w:pPr>
            <w:r>
              <w:rPr>
                <w:rFonts w:hint="eastAsia" w:ascii="仿宋" w:hAnsi="仿宋" w:eastAsia="仿宋" w:cs="仿宋"/>
                <w:b/>
                <w:bCs/>
                <w:color w:val="auto"/>
                <w:highlight w:val="none"/>
                <w:lang w:val="en-US" w:eastAsia="zh-CN"/>
              </w:rPr>
              <w:t>47</w:t>
            </w:r>
            <w:r>
              <w:rPr>
                <w:rFonts w:hint="eastAsia" w:ascii="仿宋" w:hAnsi="仿宋" w:eastAsia="仿宋" w:cs="仿宋"/>
                <w:b/>
                <w:bCs/>
                <w:color w:val="auto"/>
                <w:highlight w:val="none"/>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78" w:hRule="atLeast"/>
          <w:jc w:val="center"/>
        </w:trPr>
        <w:tc>
          <w:tcPr>
            <w:tcW w:w="676" w:type="dxa"/>
            <w:vMerge w:val="restart"/>
            <w:tcBorders>
              <w:top w:val="single" w:color="auto" w:sz="4" w:space="0"/>
              <w:left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sz w:val="24"/>
                <w:highlight w:val="none"/>
              </w:rPr>
            </w:pPr>
          </w:p>
          <w:p>
            <w:pPr>
              <w:widowControl/>
              <w:spacing w:line="380" w:lineRule="exact"/>
              <w:jc w:val="center"/>
              <w:rPr>
                <w:rFonts w:hint="eastAsia" w:ascii="仿宋" w:hAnsi="仿宋" w:eastAsia="仿宋" w:cs="仿宋"/>
                <w:color w:val="auto"/>
                <w:sz w:val="24"/>
                <w:highlight w:val="none"/>
              </w:rPr>
            </w:pPr>
          </w:p>
          <w:p>
            <w:pPr>
              <w:widowControl/>
              <w:spacing w:line="380" w:lineRule="exact"/>
              <w:jc w:val="center"/>
              <w:rPr>
                <w:rFonts w:hint="eastAsia" w:ascii="仿宋" w:hAnsi="仿宋" w:eastAsia="仿宋" w:cs="仿宋"/>
                <w:color w:val="auto"/>
                <w:sz w:val="24"/>
                <w:highlight w:val="none"/>
              </w:rPr>
            </w:pPr>
          </w:p>
          <w:p>
            <w:pPr>
              <w:widowControl/>
              <w:spacing w:line="380" w:lineRule="exact"/>
              <w:jc w:val="center"/>
              <w:rPr>
                <w:rFonts w:hint="eastAsia" w:ascii="仿宋" w:hAnsi="仿宋" w:eastAsia="仿宋" w:cs="仿宋"/>
                <w:color w:val="auto"/>
                <w:sz w:val="24"/>
                <w:highlight w:val="none"/>
              </w:rPr>
            </w:pPr>
          </w:p>
          <w:p>
            <w:pPr>
              <w:widowControl/>
              <w:spacing w:line="380" w:lineRule="exact"/>
              <w:jc w:val="center"/>
              <w:rPr>
                <w:rFonts w:hint="eastAsia" w:ascii="仿宋" w:hAnsi="仿宋" w:eastAsia="仿宋" w:cs="仿宋"/>
                <w:color w:val="auto"/>
                <w:sz w:val="24"/>
                <w:highlight w:val="none"/>
              </w:rPr>
            </w:pPr>
          </w:p>
          <w:p>
            <w:pPr>
              <w:widowControl/>
              <w:spacing w:line="380" w:lineRule="exact"/>
              <w:jc w:val="center"/>
              <w:rPr>
                <w:rFonts w:hint="eastAsia" w:ascii="仿宋" w:hAnsi="仿宋" w:eastAsia="仿宋" w:cs="仿宋"/>
                <w:color w:val="auto"/>
                <w:sz w:val="24"/>
                <w:highlight w:val="none"/>
              </w:rPr>
            </w:pPr>
          </w:p>
          <w:p>
            <w:pPr>
              <w:widowControl/>
              <w:spacing w:line="380" w:lineRule="exact"/>
              <w:jc w:val="center"/>
              <w:rPr>
                <w:rFonts w:hint="eastAsia" w:ascii="仿宋" w:hAnsi="仿宋" w:eastAsia="仿宋" w:cs="仿宋"/>
                <w:color w:val="auto"/>
                <w:sz w:val="24"/>
                <w:highlight w:val="none"/>
              </w:rPr>
            </w:pPr>
          </w:p>
          <w:p>
            <w:pPr>
              <w:widowControl/>
              <w:spacing w:line="380" w:lineRule="exact"/>
              <w:jc w:val="center"/>
              <w:rPr>
                <w:rFonts w:hint="eastAsia" w:ascii="仿宋" w:hAnsi="仿宋" w:eastAsia="仿宋" w:cs="仿宋"/>
                <w:color w:val="auto"/>
                <w:sz w:val="24"/>
                <w:highlight w:val="none"/>
              </w:rPr>
            </w:pPr>
          </w:p>
          <w:p>
            <w:pPr>
              <w:widowControl/>
              <w:spacing w:line="380" w:lineRule="exact"/>
              <w:jc w:val="center"/>
              <w:rPr>
                <w:rFonts w:hint="eastAsia" w:ascii="仿宋" w:hAnsi="仿宋" w:eastAsia="仿宋" w:cs="仿宋"/>
                <w:color w:val="auto"/>
                <w:sz w:val="24"/>
                <w:highlight w:val="none"/>
              </w:rPr>
            </w:pPr>
          </w:p>
          <w:p>
            <w:pPr>
              <w:widowControl/>
              <w:spacing w:line="380" w:lineRule="exact"/>
              <w:jc w:val="center"/>
              <w:rPr>
                <w:rFonts w:hint="eastAsia" w:ascii="仿宋" w:hAnsi="仿宋" w:eastAsia="仿宋" w:cs="仿宋"/>
                <w:color w:val="auto"/>
                <w:sz w:val="24"/>
                <w:highlight w:val="none"/>
              </w:rPr>
            </w:pPr>
          </w:p>
          <w:p>
            <w:pPr>
              <w:widowControl/>
              <w:spacing w:line="380" w:lineRule="exact"/>
              <w:jc w:val="center"/>
              <w:rPr>
                <w:rFonts w:hint="eastAsia" w:ascii="仿宋" w:hAnsi="仿宋" w:eastAsia="仿宋" w:cs="仿宋"/>
                <w:color w:val="auto"/>
                <w:sz w:val="24"/>
                <w:highlight w:val="none"/>
              </w:rPr>
            </w:pPr>
          </w:p>
          <w:p>
            <w:pPr>
              <w:widowControl/>
              <w:spacing w:line="38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430" w:type="dxa"/>
            <w:vMerge w:val="restart"/>
            <w:tcBorders>
              <w:top w:val="single" w:color="auto" w:sz="4" w:space="0"/>
              <w:left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sz w:val="24"/>
                <w:highlight w:val="none"/>
                <w:lang w:eastAsia="zh-CN"/>
              </w:rPr>
            </w:pPr>
          </w:p>
          <w:p>
            <w:pPr>
              <w:widowControl/>
              <w:spacing w:line="380" w:lineRule="exact"/>
              <w:jc w:val="center"/>
              <w:rPr>
                <w:rFonts w:hint="eastAsia" w:ascii="仿宋" w:hAnsi="仿宋" w:eastAsia="仿宋" w:cs="仿宋"/>
                <w:color w:val="auto"/>
                <w:sz w:val="24"/>
                <w:highlight w:val="none"/>
                <w:lang w:eastAsia="zh-CN"/>
              </w:rPr>
            </w:pPr>
          </w:p>
          <w:p>
            <w:pPr>
              <w:widowControl/>
              <w:spacing w:line="380" w:lineRule="exact"/>
              <w:jc w:val="center"/>
              <w:rPr>
                <w:rFonts w:hint="eastAsia" w:ascii="仿宋" w:hAnsi="仿宋" w:eastAsia="仿宋" w:cs="仿宋"/>
                <w:color w:val="auto"/>
                <w:sz w:val="24"/>
                <w:highlight w:val="none"/>
                <w:lang w:eastAsia="zh-CN"/>
              </w:rPr>
            </w:pPr>
          </w:p>
          <w:p>
            <w:pPr>
              <w:widowControl/>
              <w:spacing w:line="380" w:lineRule="exact"/>
              <w:jc w:val="center"/>
              <w:rPr>
                <w:rFonts w:hint="eastAsia" w:ascii="仿宋" w:hAnsi="仿宋" w:eastAsia="仿宋" w:cs="仿宋"/>
                <w:color w:val="auto"/>
                <w:sz w:val="24"/>
                <w:highlight w:val="none"/>
                <w:lang w:eastAsia="zh-CN"/>
              </w:rPr>
            </w:pPr>
          </w:p>
          <w:p>
            <w:pPr>
              <w:widowControl/>
              <w:spacing w:line="380" w:lineRule="exact"/>
              <w:jc w:val="center"/>
              <w:rPr>
                <w:rFonts w:hint="eastAsia" w:ascii="仿宋" w:hAnsi="仿宋" w:eastAsia="仿宋" w:cs="仿宋"/>
                <w:color w:val="auto"/>
                <w:sz w:val="24"/>
                <w:highlight w:val="none"/>
                <w:lang w:eastAsia="zh-CN"/>
              </w:rPr>
            </w:pPr>
          </w:p>
          <w:p>
            <w:pPr>
              <w:widowControl/>
              <w:spacing w:line="380" w:lineRule="exact"/>
              <w:jc w:val="center"/>
              <w:rPr>
                <w:rFonts w:hint="eastAsia" w:ascii="仿宋" w:hAnsi="仿宋" w:eastAsia="仿宋" w:cs="仿宋"/>
                <w:color w:val="auto"/>
                <w:sz w:val="24"/>
                <w:highlight w:val="none"/>
                <w:lang w:eastAsia="zh-CN"/>
              </w:rPr>
            </w:pPr>
          </w:p>
          <w:p>
            <w:pPr>
              <w:widowControl/>
              <w:spacing w:line="380" w:lineRule="exact"/>
              <w:jc w:val="center"/>
              <w:rPr>
                <w:rFonts w:hint="eastAsia" w:ascii="仿宋" w:hAnsi="仿宋" w:eastAsia="仿宋" w:cs="仿宋"/>
                <w:color w:val="auto"/>
                <w:sz w:val="24"/>
                <w:highlight w:val="none"/>
                <w:lang w:eastAsia="zh-CN"/>
              </w:rPr>
            </w:pPr>
          </w:p>
          <w:p>
            <w:pPr>
              <w:widowControl/>
              <w:spacing w:line="380" w:lineRule="exact"/>
              <w:jc w:val="center"/>
              <w:rPr>
                <w:rFonts w:hint="eastAsia" w:ascii="仿宋" w:hAnsi="仿宋" w:eastAsia="仿宋" w:cs="仿宋"/>
                <w:color w:val="auto"/>
                <w:sz w:val="24"/>
                <w:highlight w:val="none"/>
                <w:lang w:eastAsia="zh-CN"/>
              </w:rPr>
            </w:pPr>
          </w:p>
          <w:p>
            <w:pPr>
              <w:widowControl/>
              <w:spacing w:line="380" w:lineRule="exact"/>
              <w:jc w:val="center"/>
              <w:rPr>
                <w:rFonts w:hint="eastAsia" w:ascii="仿宋" w:hAnsi="仿宋" w:eastAsia="仿宋" w:cs="仿宋"/>
                <w:color w:val="auto"/>
                <w:sz w:val="24"/>
                <w:highlight w:val="none"/>
                <w:lang w:eastAsia="zh-CN"/>
              </w:rPr>
            </w:pPr>
          </w:p>
          <w:p>
            <w:pPr>
              <w:widowControl/>
              <w:spacing w:line="380" w:lineRule="exact"/>
              <w:jc w:val="center"/>
              <w:rPr>
                <w:rFonts w:hint="eastAsia" w:ascii="仿宋" w:hAnsi="仿宋" w:eastAsia="仿宋" w:cs="仿宋"/>
                <w:color w:val="auto"/>
                <w:sz w:val="24"/>
                <w:highlight w:val="none"/>
                <w:lang w:eastAsia="zh-CN"/>
              </w:rPr>
            </w:pPr>
          </w:p>
          <w:p>
            <w:pPr>
              <w:widowControl/>
              <w:spacing w:line="380" w:lineRule="exact"/>
              <w:jc w:val="center"/>
              <w:rPr>
                <w:rFonts w:hint="eastAsia" w:ascii="仿宋" w:hAnsi="仿宋" w:eastAsia="仿宋" w:cs="仿宋"/>
                <w:color w:val="auto"/>
                <w:sz w:val="24"/>
                <w:highlight w:val="none"/>
                <w:lang w:eastAsia="zh-CN"/>
              </w:rPr>
            </w:pPr>
          </w:p>
          <w:p>
            <w:pPr>
              <w:widowControl/>
              <w:spacing w:line="38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项目服务</w:t>
            </w:r>
          </w:p>
          <w:p>
            <w:pPr>
              <w:widowControl/>
              <w:spacing w:line="38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方案</w:t>
            </w:r>
          </w:p>
        </w:tc>
        <w:tc>
          <w:tcPr>
            <w:tcW w:w="6137" w:type="dxa"/>
            <w:tcBorders>
              <w:top w:val="single" w:color="auto" w:sz="4" w:space="0"/>
              <w:left w:val="single" w:color="auto" w:sz="4" w:space="0"/>
              <w:right w:val="single" w:color="auto" w:sz="4" w:space="0"/>
            </w:tcBorders>
            <w:vAlign w:val="center"/>
          </w:tcPr>
          <w:p>
            <w:pPr>
              <w:spacing w:line="380" w:lineRule="exact"/>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针对本项目设计一套服务方案。包括服务时间、窗口开设率、包厢接待服务等，针对本项目提供特色服务设计方案的得</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分，欠缺或不合理的，每处扣0.5-1分，扣完为止。不提供不得分。</w:t>
            </w:r>
          </w:p>
        </w:tc>
        <w:tc>
          <w:tcPr>
            <w:tcW w:w="1043" w:type="dxa"/>
            <w:vMerge w:val="restart"/>
            <w:tcBorders>
              <w:top w:val="single" w:color="auto" w:sz="4" w:space="0"/>
              <w:left w:val="single" w:color="auto" w:sz="4" w:space="0"/>
              <w:right w:val="single" w:color="auto" w:sz="4" w:space="0"/>
            </w:tcBorders>
            <w:vAlign w:val="center"/>
          </w:tcPr>
          <w:p>
            <w:pPr>
              <w:pStyle w:val="14"/>
              <w:spacing w:line="380" w:lineRule="exact"/>
              <w:ind w:firstLine="0" w:firstLineChars="0"/>
              <w:jc w:val="center"/>
              <w:rPr>
                <w:rFonts w:hint="eastAsia" w:ascii="仿宋" w:hAnsi="仿宋" w:eastAsia="仿宋" w:cs="仿宋"/>
                <w:color w:val="auto"/>
                <w:highlight w:val="none"/>
              </w:rPr>
            </w:pPr>
          </w:p>
          <w:p>
            <w:pPr>
              <w:pStyle w:val="14"/>
              <w:spacing w:line="380" w:lineRule="exact"/>
              <w:ind w:firstLine="0" w:firstLineChars="0"/>
              <w:jc w:val="center"/>
              <w:rPr>
                <w:rFonts w:hint="eastAsia" w:ascii="仿宋" w:hAnsi="仿宋" w:eastAsia="仿宋" w:cs="仿宋"/>
                <w:color w:val="auto"/>
                <w:highlight w:val="none"/>
              </w:rPr>
            </w:pPr>
          </w:p>
          <w:p>
            <w:pPr>
              <w:pStyle w:val="14"/>
              <w:spacing w:line="380" w:lineRule="exact"/>
              <w:ind w:firstLine="0" w:firstLineChars="0"/>
              <w:jc w:val="center"/>
              <w:rPr>
                <w:rFonts w:hint="eastAsia" w:ascii="仿宋" w:hAnsi="仿宋" w:eastAsia="仿宋" w:cs="仿宋"/>
                <w:color w:val="auto"/>
                <w:highlight w:val="none"/>
              </w:rPr>
            </w:pPr>
          </w:p>
          <w:p>
            <w:pPr>
              <w:pStyle w:val="14"/>
              <w:spacing w:line="380" w:lineRule="exact"/>
              <w:ind w:firstLine="0" w:firstLineChars="0"/>
              <w:jc w:val="center"/>
              <w:rPr>
                <w:rFonts w:hint="eastAsia" w:ascii="仿宋" w:hAnsi="仿宋" w:eastAsia="仿宋" w:cs="仿宋"/>
                <w:color w:val="auto"/>
                <w:highlight w:val="none"/>
              </w:rPr>
            </w:pPr>
          </w:p>
          <w:p>
            <w:pPr>
              <w:pStyle w:val="14"/>
              <w:spacing w:line="380" w:lineRule="exact"/>
              <w:ind w:firstLine="0" w:firstLineChars="0"/>
              <w:jc w:val="center"/>
              <w:rPr>
                <w:rFonts w:hint="eastAsia" w:ascii="仿宋" w:hAnsi="仿宋" w:eastAsia="仿宋" w:cs="仿宋"/>
                <w:color w:val="auto"/>
                <w:highlight w:val="none"/>
              </w:rPr>
            </w:pPr>
          </w:p>
          <w:p>
            <w:pPr>
              <w:pStyle w:val="14"/>
              <w:spacing w:line="380" w:lineRule="exact"/>
              <w:ind w:firstLine="0" w:firstLineChars="0"/>
              <w:jc w:val="center"/>
              <w:rPr>
                <w:rFonts w:hint="eastAsia" w:ascii="仿宋" w:hAnsi="仿宋" w:eastAsia="仿宋" w:cs="仿宋"/>
                <w:color w:val="auto"/>
                <w:highlight w:val="none"/>
              </w:rPr>
            </w:pPr>
          </w:p>
          <w:p>
            <w:pPr>
              <w:pStyle w:val="14"/>
              <w:spacing w:line="380" w:lineRule="exact"/>
              <w:ind w:firstLine="0" w:firstLineChars="0"/>
              <w:jc w:val="center"/>
              <w:rPr>
                <w:rFonts w:hint="eastAsia" w:ascii="仿宋" w:hAnsi="仿宋" w:eastAsia="仿宋" w:cs="仿宋"/>
                <w:color w:val="auto"/>
                <w:highlight w:val="none"/>
              </w:rPr>
            </w:pPr>
          </w:p>
          <w:p>
            <w:pPr>
              <w:pStyle w:val="14"/>
              <w:spacing w:line="380" w:lineRule="exact"/>
              <w:ind w:firstLine="0" w:firstLineChars="0"/>
              <w:jc w:val="center"/>
              <w:rPr>
                <w:rFonts w:hint="eastAsia" w:ascii="仿宋" w:hAnsi="仿宋" w:eastAsia="仿宋" w:cs="仿宋"/>
                <w:color w:val="auto"/>
                <w:highlight w:val="none"/>
              </w:rPr>
            </w:pPr>
          </w:p>
          <w:p>
            <w:pPr>
              <w:pStyle w:val="14"/>
              <w:spacing w:line="380" w:lineRule="exact"/>
              <w:ind w:firstLine="0" w:firstLineChars="0"/>
              <w:jc w:val="center"/>
              <w:rPr>
                <w:rFonts w:hint="eastAsia" w:ascii="仿宋" w:hAnsi="仿宋" w:eastAsia="仿宋" w:cs="仿宋"/>
                <w:color w:val="auto"/>
                <w:highlight w:val="none"/>
              </w:rPr>
            </w:pPr>
          </w:p>
          <w:p>
            <w:pPr>
              <w:pStyle w:val="14"/>
              <w:spacing w:line="380" w:lineRule="exact"/>
              <w:ind w:firstLine="0" w:firstLineChars="0"/>
              <w:jc w:val="center"/>
              <w:rPr>
                <w:rFonts w:hint="eastAsia" w:ascii="仿宋" w:hAnsi="仿宋" w:eastAsia="仿宋" w:cs="仿宋"/>
                <w:color w:val="auto"/>
                <w:highlight w:val="none"/>
              </w:rPr>
            </w:pPr>
          </w:p>
          <w:p>
            <w:pPr>
              <w:pStyle w:val="14"/>
              <w:spacing w:line="380" w:lineRule="exact"/>
              <w:ind w:firstLine="0" w:firstLineChars="0"/>
              <w:jc w:val="center"/>
              <w:rPr>
                <w:rFonts w:hint="eastAsia" w:ascii="仿宋" w:hAnsi="仿宋" w:eastAsia="仿宋" w:cs="仿宋"/>
                <w:color w:val="auto"/>
                <w:highlight w:val="none"/>
              </w:rPr>
            </w:pPr>
          </w:p>
          <w:p>
            <w:pPr>
              <w:pStyle w:val="14"/>
              <w:spacing w:line="380" w:lineRule="exact"/>
              <w:ind w:firstLine="0" w:firstLineChars="0"/>
              <w:jc w:val="center"/>
              <w:rPr>
                <w:rFonts w:ascii="仿宋" w:hAnsi="仿宋" w:eastAsia="仿宋" w:cs="仿宋"/>
                <w:color w:val="auto"/>
                <w:highlight w:val="none"/>
              </w:rPr>
            </w:pPr>
            <w:r>
              <w:rPr>
                <w:rFonts w:hint="eastAsia" w:ascii="仿宋" w:hAnsi="仿宋" w:eastAsia="仿宋" w:cs="仿宋"/>
                <w:color w:val="auto"/>
                <w:highlight w:val="none"/>
              </w:rPr>
              <w:t>0-</w:t>
            </w:r>
            <w:r>
              <w:rPr>
                <w:rFonts w:hint="eastAsia" w:ascii="仿宋" w:hAnsi="仿宋" w:eastAsia="仿宋" w:cs="仿宋"/>
                <w:color w:val="auto"/>
                <w:highlight w:val="none"/>
                <w:lang w:val="en-US" w:eastAsia="zh-CN"/>
              </w:rPr>
              <w:t>20</w:t>
            </w:r>
            <w:r>
              <w:rPr>
                <w:rFonts w:hint="eastAsia" w:ascii="仿宋" w:hAnsi="仿宋" w:eastAsia="仿宋" w:cs="仿宋"/>
                <w:color w:val="auto"/>
                <w:highlight w:val="none"/>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78" w:hRule="atLeast"/>
          <w:jc w:val="center"/>
        </w:trPr>
        <w:tc>
          <w:tcPr>
            <w:tcW w:w="676" w:type="dxa"/>
            <w:vMerge w:val="continue"/>
            <w:tcBorders>
              <w:left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sz w:val="24"/>
                <w:highlight w:val="none"/>
              </w:rPr>
            </w:pPr>
          </w:p>
        </w:tc>
        <w:tc>
          <w:tcPr>
            <w:tcW w:w="1430" w:type="dxa"/>
            <w:vMerge w:val="continue"/>
            <w:tcBorders>
              <w:left w:val="single" w:color="auto" w:sz="4" w:space="0"/>
              <w:right w:val="single" w:color="auto" w:sz="4" w:space="0"/>
            </w:tcBorders>
            <w:vAlign w:val="center"/>
          </w:tcPr>
          <w:p>
            <w:pPr>
              <w:spacing w:line="380" w:lineRule="exact"/>
              <w:jc w:val="center"/>
              <w:rPr>
                <w:rFonts w:hint="eastAsia" w:ascii="仿宋" w:hAnsi="仿宋" w:eastAsia="仿宋" w:cs="仿宋"/>
                <w:color w:val="auto"/>
                <w:sz w:val="24"/>
                <w:highlight w:val="none"/>
              </w:rPr>
            </w:pPr>
          </w:p>
        </w:tc>
        <w:tc>
          <w:tcPr>
            <w:tcW w:w="6137" w:type="dxa"/>
            <w:tcBorders>
              <w:top w:val="single" w:color="auto" w:sz="4" w:space="0"/>
              <w:left w:val="single" w:color="auto" w:sz="4" w:space="0"/>
              <w:right w:val="single" w:color="auto" w:sz="4" w:space="0"/>
            </w:tcBorders>
            <w:vAlign w:val="center"/>
          </w:tcPr>
          <w:p>
            <w:pPr>
              <w:spacing w:line="380" w:lineRule="exact"/>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保证员工的营养均衡提供相关配菜方案（包括菜系品种均衡健康、花色品种、荤素搭配比例等）的得</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分，欠缺或不合理的，每处扣</w:t>
            </w:r>
            <w:r>
              <w:rPr>
                <w:rFonts w:hint="eastAsia" w:ascii="仿宋" w:hAnsi="仿宋" w:eastAsia="仿宋" w:cs="仿宋"/>
                <w:color w:val="auto"/>
                <w:sz w:val="24"/>
                <w:highlight w:val="none"/>
              </w:rPr>
              <w:t>0.5-1分</w:t>
            </w:r>
            <w:r>
              <w:rPr>
                <w:rFonts w:hint="eastAsia" w:ascii="仿宋" w:hAnsi="仿宋" w:eastAsia="仿宋" w:cs="仿宋"/>
                <w:color w:val="auto"/>
                <w:sz w:val="24"/>
                <w:highlight w:val="none"/>
                <w:lang w:eastAsia="zh-CN"/>
              </w:rPr>
              <w:t>，扣完为止。不提供不得分。</w:t>
            </w:r>
          </w:p>
        </w:tc>
        <w:tc>
          <w:tcPr>
            <w:tcW w:w="1043" w:type="dxa"/>
            <w:vMerge w:val="continue"/>
            <w:tcBorders>
              <w:left w:val="single" w:color="auto" w:sz="4" w:space="0"/>
              <w:right w:val="single" w:color="auto" w:sz="4" w:space="0"/>
            </w:tcBorders>
            <w:vAlign w:val="center"/>
          </w:tcPr>
          <w:p>
            <w:pPr>
              <w:pStyle w:val="14"/>
              <w:spacing w:line="380" w:lineRule="exact"/>
              <w:ind w:firstLine="0" w:firstLineChars="0"/>
              <w:jc w:val="center"/>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78" w:hRule="atLeast"/>
          <w:jc w:val="center"/>
        </w:trPr>
        <w:tc>
          <w:tcPr>
            <w:tcW w:w="676" w:type="dxa"/>
            <w:vMerge w:val="continue"/>
            <w:tcBorders>
              <w:left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sz w:val="24"/>
                <w:highlight w:val="none"/>
              </w:rPr>
            </w:pPr>
          </w:p>
        </w:tc>
        <w:tc>
          <w:tcPr>
            <w:tcW w:w="1430" w:type="dxa"/>
            <w:vMerge w:val="continue"/>
            <w:tcBorders>
              <w:left w:val="single" w:color="auto" w:sz="4" w:space="0"/>
              <w:right w:val="single" w:color="auto" w:sz="4" w:space="0"/>
            </w:tcBorders>
            <w:vAlign w:val="center"/>
          </w:tcPr>
          <w:p>
            <w:pPr>
              <w:spacing w:line="380" w:lineRule="exact"/>
              <w:jc w:val="center"/>
              <w:rPr>
                <w:rFonts w:hint="eastAsia" w:ascii="仿宋" w:hAnsi="仿宋" w:eastAsia="仿宋" w:cs="仿宋"/>
                <w:color w:val="auto"/>
                <w:sz w:val="24"/>
                <w:highlight w:val="none"/>
              </w:rPr>
            </w:pPr>
          </w:p>
        </w:tc>
        <w:tc>
          <w:tcPr>
            <w:tcW w:w="6137" w:type="dxa"/>
            <w:tcBorders>
              <w:top w:val="single" w:color="auto" w:sz="4" w:space="0"/>
              <w:left w:val="single" w:color="auto" w:sz="4" w:space="0"/>
              <w:right w:val="single" w:color="auto" w:sz="4" w:space="0"/>
            </w:tcBorders>
            <w:vAlign w:val="center"/>
          </w:tcPr>
          <w:p>
            <w:pPr>
              <w:spacing w:line="380" w:lineRule="exact"/>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针对本项目对餐厅服务的定位，详细提供管理方案保证餐厅服务产品质量监控及价格控制的得</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分，欠缺或不合理的，每处扣</w:t>
            </w:r>
            <w:r>
              <w:rPr>
                <w:rFonts w:hint="eastAsia" w:ascii="仿宋" w:hAnsi="仿宋" w:eastAsia="仿宋" w:cs="仿宋"/>
                <w:color w:val="auto"/>
                <w:sz w:val="24"/>
                <w:highlight w:val="none"/>
              </w:rPr>
              <w:t>0.5-1分</w:t>
            </w:r>
            <w:r>
              <w:rPr>
                <w:rFonts w:hint="eastAsia" w:ascii="仿宋" w:hAnsi="仿宋" w:eastAsia="仿宋" w:cs="仿宋"/>
                <w:color w:val="auto"/>
                <w:sz w:val="24"/>
                <w:highlight w:val="none"/>
                <w:lang w:eastAsia="zh-CN"/>
              </w:rPr>
              <w:t>，扣完为止。不提供不得分。</w:t>
            </w:r>
          </w:p>
        </w:tc>
        <w:tc>
          <w:tcPr>
            <w:tcW w:w="1043" w:type="dxa"/>
            <w:vMerge w:val="continue"/>
            <w:tcBorders>
              <w:left w:val="single" w:color="auto" w:sz="4" w:space="0"/>
              <w:right w:val="single" w:color="auto" w:sz="4" w:space="0"/>
            </w:tcBorders>
            <w:vAlign w:val="center"/>
          </w:tcPr>
          <w:p>
            <w:pPr>
              <w:pStyle w:val="14"/>
              <w:spacing w:line="380" w:lineRule="exact"/>
              <w:ind w:firstLine="0" w:firstLineChars="0"/>
              <w:jc w:val="center"/>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78" w:hRule="atLeast"/>
          <w:jc w:val="center"/>
        </w:trPr>
        <w:tc>
          <w:tcPr>
            <w:tcW w:w="676" w:type="dxa"/>
            <w:vMerge w:val="continue"/>
            <w:tcBorders>
              <w:left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sz w:val="24"/>
                <w:highlight w:val="none"/>
              </w:rPr>
            </w:pPr>
          </w:p>
        </w:tc>
        <w:tc>
          <w:tcPr>
            <w:tcW w:w="1430" w:type="dxa"/>
            <w:vMerge w:val="continue"/>
            <w:tcBorders>
              <w:left w:val="single" w:color="auto" w:sz="4" w:space="0"/>
              <w:right w:val="single" w:color="auto" w:sz="4" w:space="0"/>
            </w:tcBorders>
            <w:vAlign w:val="center"/>
          </w:tcPr>
          <w:p>
            <w:pPr>
              <w:spacing w:line="380" w:lineRule="exact"/>
              <w:jc w:val="center"/>
              <w:rPr>
                <w:rFonts w:hint="eastAsia" w:ascii="仿宋" w:hAnsi="仿宋" w:eastAsia="仿宋" w:cs="仿宋"/>
                <w:color w:val="auto"/>
                <w:sz w:val="24"/>
                <w:highlight w:val="none"/>
              </w:rPr>
            </w:pPr>
          </w:p>
        </w:tc>
        <w:tc>
          <w:tcPr>
            <w:tcW w:w="6137" w:type="dxa"/>
            <w:tcBorders>
              <w:top w:val="single" w:color="auto" w:sz="4" w:space="0"/>
              <w:left w:val="single" w:color="auto" w:sz="4" w:space="0"/>
              <w:right w:val="single" w:color="auto" w:sz="4" w:space="0"/>
            </w:tcBorders>
            <w:vAlign w:val="center"/>
          </w:tcPr>
          <w:p>
            <w:pPr>
              <w:spacing w:line="380" w:lineRule="exact"/>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提供相关的卫生服务方案（包括食堂环境卫生、餐具卫生、设备设施卫生、工作人员卫生等）的得</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分，欠缺或不合理的，每处扣</w:t>
            </w:r>
            <w:r>
              <w:rPr>
                <w:rFonts w:hint="eastAsia" w:ascii="仿宋" w:hAnsi="仿宋" w:eastAsia="仿宋" w:cs="仿宋"/>
                <w:color w:val="auto"/>
                <w:sz w:val="24"/>
                <w:highlight w:val="none"/>
              </w:rPr>
              <w:t>0.5-1分</w:t>
            </w:r>
            <w:r>
              <w:rPr>
                <w:rFonts w:hint="eastAsia" w:ascii="仿宋" w:hAnsi="仿宋" w:eastAsia="仿宋" w:cs="仿宋"/>
                <w:color w:val="auto"/>
                <w:sz w:val="24"/>
                <w:highlight w:val="none"/>
                <w:lang w:eastAsia="zh-CN"/>
              </w:rPr>
              <w:t>，扣完为止。不提供不得分。</w:t>
            </w:r>
          </w:p>
        </w:tc>
        <w:tc>
          <w:tcPr>
            <w:tcW w:w="1043" w:type="dxa"/>
            <w:vMerge w:val="continue"/>
            <w:tcBorders>
              <w:left w:val="single" w:color="auto" w:sz="4" w:space="0"/>
              <w:right w:val="single" w:color="auto" w:sz="4" w:space="0"/>
            </w:tcBorders>
            <w:vAlign w:val="center"/>
          </w:tcPr>
          <w:p>
            <w:pPr>
              <w:pStyle w:val="14"/>
              <w:spacing w:line="380" w:lineRule="exact"/>
              <w:ind w:firstLine="0" w:firstLineChars="0"/>
              <w:jc w:val="center"/>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78" w:hRule="atLeast"/>
          <w:jc w:val="center"/>
        </w:trPr>
        <w:tc>
          <w:tcPr>
            <w:tcW w:w="676" w:type="dxa"/>
            <w:vMerge w:val="continue"/>
            <w:tcBorders>
              <w:left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sz w:val="24"/>
                <w:highlight w:val="none"/>
              </w:rPr>
            </w:pPr>
          </w:p>
        </w:tc>
        <w:tc>
          <w:tcPr>
            <w:tcW w:w="1430" w:type="dxa"/>
            <w:vMerge w:val="continue"/>
            <w:tcBorders>
              <w:left w:val="single" w:color="auto" w:sz="4" w:space="0"/>
              <w:right w:val="single" w:color="auto" w:sz="4" w:space="0"/>
            </w:tcBorders>
            <w:vAlign w:val="center"/>
          </w:tcPr>
          <w:p>
            <w:pPr>
              <w:spacing w:line="380" w:lineRule="exact"/>
              <w:jc w:val="center"/>
              <w:rPr>
                <w:rFonts w:hint="eastAsia" w:ascii="仿宋" w:hAnsi="仿宋" w:eastAsia="仿宋" w:cs="仿宋"/>
                <w:color w:val="auto"/>
                <w:sz w:val="24"/>
                <w:highlight w:val="none"/>
              </w:rPr>
            </w:pPr>
          </w:p>
        </w:tc>
        <w:tc>
          <w:tcPr>
            <w:tcW w:w="6137" w:type="dxa"/>
            <w:tcBorders>
              <w:top w:val="single" w:color="auto" w:sz="4" w:space="0"/>
              <w:left w:val="single" w:color="auto" w:sz="4" w:space="0"/>
              <w:right w:val="single" w:color="auto" w:sz="4" w:space="0"/>
            </w:tcBorders>
            <w:vAlign w:val="center"/>
          </w:tcPr>
          <w:p>
            <w:pPr>
              <w:spacing w:line="380" w:lineRule="exact"/>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保证员工提供优质服务等方面内容（包括服务质量、服务态度、班次调配、效率等）以及应急就餐方案的得</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分，欠缺或不合理的，每处扣</w:t>
            </w:r>
            <w:r>
              <w:rPr>
                <w:rFonts w:hint="eastAsia" w:ascii="仿宋" w:hAnsi="仿宋" w:eastAsia="仿宋" w:cs="仿宋"/>
                <w:color w:val="auto"/>
                <w:sz w:val="24"/>
                <w:highlight w:val="none"/>
              </w:rPr>
              <w:t>0.5-1分</w:t>
            </w:r>
            <w:r>
              <w:rPr>
                <w:rFonts w:hint="eastAsia" w:ascii="仿宋" w:hAnsi="仿宋" w:eastAsia="仿宋" w:cs="仿宋"/>
                <w:color w:val="auto"/>
                <w:sz w:val="24"/>
                <w:highlight w:val="none"/>
                <w:lang w:eastAsia="zh-CN"/>
              </w:rPr>
              <w:t>，扣完为止。不提供不得分。</w:t>
            </w:r>
          </w:p>
        </w:tc>
        <w:tc>
          <w:tcPr>
            <w:tcW w:w="1043" w:type="dxa"/>
            <w:vMerge w:val="continue"/>
            <w:tcBorders>
              <w:left w:val="single" w:color="auto" w:sz="4" w:space="0"/>
              <w:right w:val="single" w:color="auto" w:sz="4" w:space="0"/>
            </w:tcBorders>
            <w:vAlign w:val="center"/>
          </w:tcPr>
          <w:p>
            <w:pPr>
              <w:pStyle w:val="14"/>
              <w:spacing w:line="380" w:lineRule="exact"/>
              <w:ind w:firstLine="0" w:firstLineChars="0"/>
              <w:jc w:val="center"/>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68" w:hRule="atLeast"/>
          <w:jc w:val="center"/>
        </w:trPr>
        <w:tc>
          <w:tcPr>
            <w:tcW w:w="676" w:type="dxa"/>
            <w:vMerge w:val="restart"/>
            <w:tcBorders>
              <w:top w:val="single" w:color="auto" w:sz="4" w:space="0"/>
              <w:left w:val="single" w:color="auto" w:sz="4" w:space="0"/>
              <w:right w:val="single" w:color="auto" w:sz="4" w:space="0"/>
            </w:tcBorders>
            <w:vAlign w:val="center"/>
          </w:tcPr>
          <w:p>
            <w:pPr>
              <w:widowControl/>
              <w:spacing w:line="38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430" w:type="dxa"/>
            <w:vMerge w:val="restart"/>
            <w:tcBorders>
              <w:top w:val="single" w:color="auto" w:sz="4" w:space="0"/>
              <w:left w:val="single" w:color="auto" w:sz="4" w:space="0"/>
              <w:right w:val="single" w:color="auto" w:sz="4" w:space="0"/>
            </w:tcBorders>
            <w:vAlign w:val="center"/>
          </w:tcPr>
          <w:p>
            <w:pPr>
              <w:spacing w:line="38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技术方案与措施</w:t>
            </w:r>
          </w:p>
        </w:tc>
        <w:tc>
          <w:tcPr>
            <w:tcW w:w="6137" w:type="dxa"/>
            <w:tcBorders>
              <w:top w:val="single" w:color="auto" w:sz="4" w:space="0"/>
              <w:left w:val="single" w:color="auto" w:sz="4" w:space="0"/>
              <w:right w:val="single" w:color="auto" w:sz="4" w:space="0"/>
            </w:tcBorders>
            <w:vAlign w:val="center"/>
          </w:tcPr>
          <w:p>
            <w:pPr>
              <w:spacing w:line="380" w:lineRule="exact"/>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安全预防方案：</w:t>
            </w:r>
          </w:p>
          <w:p>
            <w:pPr>
              <w:spacing w:line="3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lang w:eastAsia="zh-CN"/>
              </w:rPr>
              <w:t>磋商小组根据供应商提供的</w:t>
            </w:r>
            <w:r>
              <w:rPr>
                <w:rFonts w:hint="eastAsia" w:ascii="仿宋" w:hAnsi="仿宋" w:eastAsia="仿宋" w:cs="仿宋"/>
                <w:color w:val="auto"/>
                <w:sz w:val="24"/>
                <w:highlight w:val="none"/>
              </w:rPr>
              <w:t>安全预防方案（包括食品安全、环境安全、消防安全、事故应急处理等）</w:t>
            </w:r>
            <w:r>
              <w:rPr>
                <w:rFonts w:hint="eastAsia" w:ascii="仿宋" w:hAnsi="仿宋" w:eastAsia="仿宋" w:cs="仿宋"/>
                <w:color w:val="auto"/>
                <w:sz w:val="24"/>
                <w:highlight w:val="none"/>
                <w:lang w:eastAsia="zh-CN"/>
              </w:rPr>
              <w:t>进行评分</w:t>
            </w:r>
            <w:r>
              <w:rPr>
                <w:rFonts w:hint="eastAsia" w:ascii="仿宋" w:hAnsi="仿宋" w:eastAsia="仿宋" w:cs="仿宋"/>
                <w:color w:val="auto"/>
                <w:sz w:val="24"/>
                <w:highlight w:val="none"/>
              </w:rPr>
              <w:t>，满分得</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分，方案不合理或不严密的</w:t>
            </w:r>
            <w:r>
              <w:rPr>
                <w:rFonts w:hint="eastAsia" w:ascii="仿宋" w:hAnsi="仿宋" w:eastAsia="仿宋" w:cs="仿宋"/>
                <w:color w:val="auto"/>
                <w:sz w:val="24"/>
                <w:highlight w:val="none"/>
                <w:lang w:eastAsia="zh-CN"/>
              </w:rPr>
              <w:t>每处</w:t>
            </w:r>
            <w:r>
              <w:rPr>
                <w:rFonts w:hint="eastAsia" w:ascii="仿宋" w:hAnsi="仿宋" w:eastAsia="仿宋" w:cs="仿宋"/>
                <w:color w:val="auto"/>
                <w:sz w:val="24"/>
                <w:highlight w:val="none"/>
              </w:rPr>
              <w:t>扣0.5-1分，扣完该项得分为止。</w:t>
            </w:r>
          </w:p>
        </w:tc>
        <w:tc>
          <w:tcPr>
            <w:tcW w:w="1043" w:type="dxa"/>
            <w:vMerge w:val="restart"/>
            <w:tcBorders>
              <w:top w:val="single" w:color="auto" w:sz="4" w:space="0"/>
              <w:left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color w:val="auto"/>
                <w:highlight w:val="none"/>
              </w:rPr>
            </w:pPr>
            <w:r>
              <w:rPr>
                <w:rFonts w:hint="eastAsia" w:ascii="仿宋" w:hAnsi="仿宋" w:eastAsia="仿宋" w:cs="仿宋"/>
                <w:color w:val="auto"/>
                <w:highlight w:val="none"/>
              </w:rPr>
              <w:t>0-</w:t>
            </w:r>
            <w:r>
              <w:rPr>
                <w:rFonts w:hint="eastAsia" w:ascii="仿宋" w:hAnsi="仿宋" w:eastAsia="仿宋" w:cs="仿宋"/>
                <w:color w:val="auto"/>
                <w:highlight w:val="none"/>
                <w:lang w:val="en-US" w:eastAsia="zh-CN"/>
              </w:rPr>
              <w:t>20</w:t>
            </w:r>
            <w:r>
              <w:rPr>
                <w:rFonts w:hint="eastAsia" w:ascii="仿宋" w:hAnsi="仿宋" w:eastAsia="仿宋" w:cs="仿宋"/>
                <w:color w:val="auto"/>
                <w:highlight w:val="none"/>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68" w:hRule="atLeast"/>
          <w:jc w:val="center"/>
        </w:trPr>
        <w:tc>
          <w:tcPr>
            <w:tcW w:w="676" w:type="dxa"/>
            <w:vMerge w:val="continue"/>
            <w:tcBorders>
              <w:left w:val="single" w:color="auto" w:sz="4" w:space="0"/>
              <w:right w:val="single" w:color="auto" w:sz="4" w:space="0"/>
            </w:tcBorders>
            <w:vAlign w:val="center"/>
          </w:tcPr>
          <w:p>
            <w:pPr>
              <w:widowControl/>
              <w:spacing w:line="380" w:lineRule="exact"/>
              <w:jc w:val="center"/>
              <w:rPr>
                <w:rFonts w:ascii="仿宋" w:hAnsi="仿宋" w:eastAsia="仿宋" w:cs="仿宋"/>
                <w:color w:val="auto"/>
                <w:sz w:val="24"/>
                <w:highlight w:val="none"/>
              </w:rPr>
            </w:pPr>
          </w:p>
        </w:tc>
        <w:tc>
          <w:tcPr>
            <w:tcW w:w="1430" w:type="dxa"/>
            <w:vMerge w:val="continue"/>
            <w:tcBorders>
              <w:left w:val="single" w:color="auto" w:sz="4" w:space="0"/>
              <w:right w:val="single" w:color="auto" w:sz="4" w:space="0"/>
            </w:tcBorders>
            <w:vAlign w:val="center"/>
          </w:tcPr>
          <w:p>
            <w:pPr>
              <w:spacing w:line="380" w:lineRule="exact"/>
              <w:jc w:val="center"/>
              <w:rPr>
                <w:rFonts w:ascii="仿宋" w:hAnsi="仿宋" w:eastAsia="仿宋" w:cs="仿宋"/>
                <w:color w:val="auto"/>
                <w:sz w:val="24"/>
                <w:highlight w:val="none"/>
              </w:rPr>
            </w:pPr>
          </w:p>
        </w:tc>
        <w:tc>
          <w:tcPr>
            <w:tcW w:w="6137" w:type="dxa"/>
            <w:tcBorders>
              <w:top w:val="single" w:color="auto" w:sz="4" w:space="0"/>
              <w:left w:val="single" w:color="auto" w:sz="4" w:space="0"/>
              <w:right w:val="single" w:color="auto" w:sz="4" w:space="0"/>
            </w:tcBorders>
            <w:vAlign w:val="center"/>
          </w:tcPr>
          <w:p>
            <w:pPr>
              <w:spacing w:line="380" w:lineRule="exact"/>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保证商品质量的技术方案和措施</w:t>
            </w:r>
            <w:r>
              <w:rPr>
                <w:rFonts w:hint="eastAsia" w:ascii="仿宋" w:hAnsi="仿宋" w:eastAsia="仿宋" w:cs="仿宋"/>
                <w:color w:val="auto"/>
                <w:sz w:val="24"/>
                <w:highlight w:val="none"/>
                <w:lang w:eastAsia="zh-CN"/>
              </w:rPr>
              <w:t>：</w:t>
            </w:r>
          </w:p>
          <w:p>
            <w:pPr>
              <w:spacing w:line="3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lang w:eastAsia="zh-CN"/>
              </w:rPr>
              <w:t>磋商小组根据供应商提供的</w:t>
            </w:r>
            <w:r>
              <w:rPr>
                <w:rFonts w:hint="eastAsia" w:ascii="仿宋" w:hAnsi="仿宋" w:eastAsia="仿宋" w:cs="仿宋"/>
                <w:color w:val="auto"/>
                <w:sz w:val="24"/>
                <w:highlight w:val="none"/>
              </w:rPr>
              <w:t>保证商品质量的技术方案和措施（时间安排、送货配备、产品质量的保证等）</w:t>
            </w:r>
            <w:r>
              <w:rPr>
                <w:rFonts w:hint="eastAsia" w:ascii="仿宋" w:hAnsi="仿宋" w:eastAsia="仿宋" w:cs="仿宋"/>
                <w:color w:val="auto"/>
                <w:sz w:val="24"/>
                <w:highlight w:val="none"/>
                <w:lang w:eastAsia="zh-CN"/>
              </w:rPr>
              <w:t>进行评分</w:t>
            </w:r>
            <w:r>
              <w:rPr>
                <w:rFonts w:hint="eastAsia" w:ascii="仿宋" w:hAnsi="仿宋" w:eastAsia="仿宋" w:cs="仿宋"/>
                <w:color w:val="auto"/>
                <w:sz w:val="24"/>
                <w:highlight w:val="none"/>
              </w:rPr>
              <w:t>，满分得</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分，不严密或措施不得力的</w:t>
            </w:r>
            <w:r>
              <w:rPr>
                <w:rFonts w:hint="eastAsia" w:ascii="仿宋" w:hAnsi="仿宋" w:eastAsia="仿宋" w:cs="仿宋"/>
                <w:color w:val="auto"/>
                <w:sz w:val="24"/>
                <w:highlight w:val="none"/>
                <w:lang w:eastAsia="zh-CN"/>
              </w:rPr>
              <w:t>每处</w:t>
            </w:r>
            <w:r>
              <w:rPr>
                <w:rFonts w:hint="eastAsia" w:ascii="仿宋" w:hAnsi="仿宋" w:eastAsia="仿宋" w:cs="仿宋"/>
                <w:color w:val="auto"/>
                <w:sz w:val="24"/>
                <w:highlight w:val="none"/>
              </w:rPr>
              <w:t>扣0.5-1分，扣完该项得分为止。</w:t>
            </w:r>
          </w:p>
        </w:tc>
        <w:tc>
          <w:tcPr>
            <w:tcW w:w="1043" w:type="dxa"/>
            <w:vMerge w:val="continue"/>
            <w:tcBorders>
              <w:left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30" w:hRule="atLeast"/>
          <w:jc w:val="center"/>
        </w:trPr>
        <w:tc>
          <w:tcPr>
            <w:tcW w:w="676" w:type="dxa"/>
            <w:vMerge w:val="continue"/>
            <w:tcBorders>
              <w:left w:val="single" w:color="auto" w:sz="4" w:space="0"/>
              <w:right w:val="single" w:color="auto" w:sz="4" w:space="0"/>
            </w:tcBorders>
            <w:vAlign w:val="center"/>
          </w:tcPr>
          <w:p>
            <w:pPr>
              <w:widowControl/>
              <w:spacing w:line="380" w:lineRule="exact"/>
              <w:jc w:val="center"/>
              <w:rPr>
                <w:rFonts w:ascii="仿宋" w:hAnsi="仿宋" w:eastAsia="仿宋" w:cs="仿宋"/>
                <w:color w:val="auto"/>
                <w:sz w:val="24"/>
                <w:highlight w:val="none"/>
              </w:rPr>
            </w:pPr>
          </w:p>
        </w:tc>
        <w:tc>
          <w:tcPr>
            <w:tcW w:w="1430" w:type="dxa"/>
            <w:vMerge w:val="continue"/>
            <w:tcBorders>
              <w:left w:val="single" w:color="auto" w:sz="4" w:space="0"/>
              <w:right w:val="single" w:color="auto" w:sz="4" w:space="0"/>
            </w:tcBorders>
            <w:vAlign w:val="center"/>
          </w:tcPr>
          <w:p>
            <w:pPr>
              <w:spacing w:line="380" w:lineRule="exact"/>
              <w:jc w:val="center"/>
              <w:rPr>
                <w:rFonts w:ascii="仿宋" w:hAnsi="仿宋" w:eastAsia="仿宋" w:cs="仿宋"/>
                <w:color w:val="auto"/>
                <w:sz w:val="24"/>
                <w:highlight w:val="none"/>
              </w:rPr>
            </w:pPr>
          </w:p>
        </w:tc>
        <w:tc>
          <w:tcPr>
            <w:tcW w:w="6137" w:type="dxa"/>
            <w:tcBorders>
              <w:top w:val="single" w:color="auto" w:sz="4" w:space="0"/>
              <w:left w:val="single" w:color="auto" w:sz="4" w:space="0"/>
              <w:right w:val="single" w:color="auto" w:sz="4" w:space="0"/>
            </w:tcBorders>
            <w:vAlign w:val="center"/>
          </w:tcPr>
          <w:p>
            <w:pPr>
              <w:spacing w:line="380" w:lineRule="exact"/>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应急实施方案：</w:t>
            </w:r>
          </w:p>
          <w:p>
            <w:pPr>
              <w:spacing w:line="3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lang w:eastAsia="zh-CN"/>
              </w:rPr>
              <w:t>磋商小组根据供应商提供的应急实施方案(临时突发性特殊采购、急件采购、大宗采购等服务项目)进行评分，</w:t>
            </w:r>
            <w:r>
              <w:rPr>
                <w:rFonts w:hint="eastAsia" w:ascii="仿宋" w:hAnsi="仿宋" w:eastAsia="仿宋" w:cs="仿宋"/>
                <w:color w:val="auto"/>
                <w:sz w:val="24"/>
                <w:highlight w:val="none"/>
              </w:rPr>
              <w:t>满分得</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分，不严密或措施不得力的</w:t>
            </w:r>
            <w:r>
              <w:rPr>
                <w:rFonts w:hint="eastAsia" w:ascii="仿宋" w:hAnsi="仿宋" w:eastAsia="仿宋" w:cs="仿宋"/>
                <w:color w:val="auto"/>
                <w:sz w:val="24"/>
                <w:highlight w:val="none"/>
                <w:lang w:eastAsia="zh-CN"/>
              </w:rPr>
              <w:t>每处</w:t>
            </w:r>
            <w:r>
              <w:rPr>
                <w:rFonts w:hint="eastAsia" w:ascii="仿宋" w:hAnsi="仿宋" w:eastAsia="仿宋" w:cs="仿宋"/>
                <w:color w:val="auto"/>
                <w:sz w:val="24"/>
                <w:highlight w:val="none"/>
              </w:rPr>
              <w:t>扣0.5-1分，扣完该项得分为止。</w:t>
            </w:r>
          </w:p>
        </w:tc>
        <w:tc>
          <w:tcPr>
            <w:tcW w:w="1043" w:type="dxa"/>
            <w:vMerge w:val="continue"/>
            <w:tcBorders>
              <w:left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30" w:hRule="atLeast"/>
          <w:jc w:val="center"/>
        </w:trPr>
        <w:tc>
          <w:tcPr>
            <w:tcW w:w="676" w:type="dxa"/>
            <w:vMerge w:val="continue"/>
            <w:tcBorders>
              <w:left w:val="single" w:color="auto" w:sz="4" w:space="0"/>
              <w:right w:val="single" w:color="auto" w:sz="4" w:space="0"/>
            </w:tcBorders>
            <w:vAlign w:val="center"/>
          </w:tcPr>
          <w:p>
            <w:pPr>
              <w:widowControl/>
              <w:spacing w:line="380" w:lineRule="exact"/>
              <w:jc w:val="center"/>
              <w:rPr>
                <w:rFonts w:ascii="仿宋" w:hAnsi="仿宋" w:eastAsia="仿宋" w:cs="仿宋"/>
                <w:color w:val="auto"/>
                <w:sz w:val="24"/>
                <w:highlight w:val="none"/>
              </w:rPr>
            </w:pPr>
          </w:p>
        </w:tc>
        <w:tc>
          <w:tcPr>
            <w:tcW w:w="1430" w:type="dxa"/>
            <w:vMerge w:val="continue"/>
            <w:tcBorders>
              <w:left w:val="single" w:color="auto" w:sz="4" w:space="0"/>
              <w:right w:val="single" w:color="auto" w:sz="4" w:space="0"/>
            </w:tcBorders>
            <w:vAlign w:val="center"/>
          </w:tcPr>
          <w:p>
            <w:pPr>
              <w:spacing w:line="380" w:lineRule="exact"/>
              <w:jc w:val="center"/>
              <w:rPr>
                <w:rFonts w:ascii="仿宋" w:hAnsi="仿宋" w:eastAsia="仿宋" w:cs="仿宋"/>
                <w:color w:val="auto"/>
                <w:sz w:val="24"/>
                <w:highlight w:val="none"/>
              </w:rPr>
            </w:pPr>
          </w:p>
        </w:tc>
        <w:tc>
          <w:tcPr>
            <w:tcW w:w="6137" w:type="dxa"/>
            <w:tcBorders>
              <w:top w:val="single" w:color="auto" w:sz="4" w:space="0"/>
              <w:left w:val="single" w:color="auto" w:sz="4" w:space="0"/>
              <w:right w:val="single" w:color="auto" w:sz="4" w:space="0"/>
            </w:tcBorders>
            <w:vAlign w:val="center"/>
          </w:tcPr>
          <w:p>
            <w:pPr>
              <w:spacing w:line="380" w:lineRule="exact"/>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疾病防护预案：</w:t>
            </w:r>
          </w:p>
          <w:p>
            <w:pPr>
              <w:spacing w:line="380" w:lineRule="exact"/>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磋商小组根据供应商提供的疾病防护预案</w:t>
            </w:r>
            <w:r>
              <w:rPr>
                <w:rFonts w:hint="eastAsia" w:ascii="仿宋" w:hAnsi="仿宋" w:eastAsia="仿宋" w:cs="仿宋"/>
                <w:color w:val="auto"/>
                <w:sz w:val="24"/>
                <w:highlight w:val="none"/>
              </w:rPr>
              <w:t>（包括对于一般疾病控制预防及目前</w:t>
            </w:r>
            <w:r>
              <w:rPr>
                <w:rFonts w:hint="eastAsia" w:ascii="仿宋" w:hAnsi="仿宋" w:eastAsia="仿宋" w:cs="仿宋"/>
                <w:color w:val="auto"/>
                <w:sz w:val="24"/>
                <w:highlight w:val="none"/>
                <w:lang w:val="en-US" w:eastAsia="zh-CN"/>
              </w:rPr>
              <w:t>流行性</w:t>
            </w:r>
            <w:r>
              <w:rPr>
                <w:rFonts w:hint="eastAsia" w:ascii="仿宋" w:hAnsi="仿宋" w:eastAsia="仿宋" w:cs="仿宋"/>
                <w:color w:val="auto"/>
                <w:sz w:val="24"/>
                <w:highlight w:val="none"/>
              </w:rPr>
              <w:t>病毒防控等）</w:t>
            </w:r>
            <w:r>
              <w:rPr>
                <w:rFonts w:hint="eastAsia" w:ascii="仿宋" w:hAnsi="仿宋" w:eastAsia="仿宋" w:cs="仿宋"/>
                <w:color w:val="auto"/>
                <w:sz w:val="24"/>
                <w:highlight w:val="none"/>
                <w:lang w:eastAsia="zh-CN"/>
              </w:rPr>
              <w:t>进行评分</w:t>
            </w:r>
            <w:r>
              <w:rPr>
                <w:rFonts w:hint="eastAsia" w:ascii="仿宋" w:hAnsi="仿宋" w:eastAsia="仿宋" w:cs="仿宋"/>
                <w:color w:val="auto"/>
                <w:sz w:val="24"/>
                <w:highlight w:val="none"/>
              </w:rPr>
              <w:t>，满分得</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分，方案不合理或不严密的</w:t>
            </w:r>
            <w:r>
              <w:rPr>
                <w:rFonts w:hint="eastAsia" w:ascii="仿宋" w:hAnsi="仿宋" w:eastAsia="仿宋" w:cs="仿宋"/>
                <w:color w:val="auto"/>
                <w:sz w:val="24"/>
                <w:highlight w:val="none"/>
                <w:lang w:eastAsia="zh-CN"/>
              </w:rPr>
              <w:t>每处</w:t>
            </w:r>
            <w:r>
              <w:rPr>
                <w:rFonts w:hint="eastAsia" w:ascii="仿宋" w:hAnsi="仿宋" w:eastAsia="仿宋" w:cs="仿宋"/>
                <w:color w:val="auto"/>
                <w:sz w:val="24"/>
                <w:highlight w:val="none"/>
              </w:rPr>
              <w:t>扣0.5-1分，扣完该项得分为止。</w:t>
            </w:r>
          </w:p>
        </w:tc>
        <w:tc>
          <w:tcPr>
            <w:tcW w:w="1043" w:type="dxa"/>
            <w:vMerge w:val="continue"/>
            <w:tcBorders>
              <w:left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30" w:hRule="atLeast"/>
          <w:jc w:val="center"/>
        </w:trPr>
        <w:tc>
          <w:tcPr>
            <w:tcW w:w="676" w:type="dxa"/>
            <w:vMerge w:val="continue"/>
            <w:tcBorders>
              <w:left w:val="single" w:color="auto" w:sz="4" w:space="0"/>
              <w:right w:val="single" w:color="auto" w:sz="4" w:space="0"/>
            </w:tcBorders>
            <w:vAlign w:val="center"/>
          </w:tcPr>
          <w:p>
            <w:pPr>
              <w:widowControl/>
              <w:spacing w:line="380" w:lineRule="exact"/>
              <w:jc w:val="center"/>
              <w:rPr>
                <w:rFonts w:ascii="仿宋" w:hAnsi="仿宋" w:eastAsia="仿宋" w:cs="仿宋"/>
                <w:color w:val="auto"/>
                <w:sz w:val="24"/>
                <w:highlight w:val="none"/>
              </w:rPr>
            </w:pPr>
          </w:p>
        </w:tc>
        <w:tc>
          <w:tcPr>
            <w:tcW w:w="1430" w:type="dxa"/>
            <w:vMerge w:val="continue"/>
            <w:tcBorders>
              <w:left w:val="single" w:color="auto" w:sz="4" w:space="0"/>
              <w:right w:val="single" w:color="auto" w:sz="4" w:space="0"/>
            </w:tcBorders>
            <w:vAlign w:val="center"/>
          </w:tcPr>
          <w:p>
            <w:pPr>
              <w:spacing w:line="380" w:lineRule="exact"/>
              <w:jc w:val="center"/>
              <w:rPr>
                <w:rFonts w:ascii="仿宋" w:hAnsi="仿宋" w:eastAsia="仿宋" w:cs="仿宋"/>
                <w:color w:val="auto"/>
                <w:sz w:val="24"/>
                <w:highlight w:val="none"/>
              </w:rPr>
            </w:pPr>
          </w:p>
        </w:tc>
        <w:tc>
          <w:tcPr>
            <w:tcW w:w="6137" w:type="dxa"/>
            <w:tcBorders>
              <w:top w:val="single" w:color="auto" w:sz="4" w:space="0"/>
              <w:left w:val="single" w:color="auto" w:sz="4" w:space="0"/>
              <w:right w:val="single" w:color="auto" w:sz="4" w:space="0"/>
            </w:tcBorders>
            <w:vAlign w:val="center"/>
          </w:tcPr>
          <w:p>
            <w:pPr>
              <w:spacing w:line="380" w:lineRule="exact"/>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餐厨废弃物处理管理方案：</w:t>
            </w:r>
          </w:p>
          <w:p>
            <w:pPr>
              <w:spacing w:line="380" w:lineRule="exact"/>
              <w:jc w:val="left"/>
              <w:rPr>
                <w:rFonts w:hint="eastAsia"/>
                <w:color w:val="auto"/>
                <w:highlight w:val="none"/>
                <w:lang w:eastAsia="zh-CN"/>
              </w:rPr>
            </w:pPr>
            <w:r>
              <w:rPr>
                <w:rFonts w:hint="eastAsia" w:ascii="仿宋" w:hAnsi="仿宋" w:eastAsia="仿宋" w:cs="仿宋"/>
                <w:color w:val="auto"/>
                <w:sz w:val="24"/>
                <w:highlight w:val="none"/>
                <w:lang w:eastAsia="zh-CN"/>
              </w:rPr>
              <w:t>磋商小组根据供应商提供的餐厨废弃物处理管理方案（包括对餐厨废弃物收集、分类、运输等）进行评分，满分得</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分，方案不合理或不严密的每处扣0.5-1分，扣完该项得分为止。</w:t>
            </w:r>
          </w:p>
        </w:tc>
        <w:tc>
          <w:tcPr>
            <w:tcW w:w="1043" w:type="dxa"/>
            <w:vMerge w:val="continue"/>
            <w:tcBorders>
              <w:left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3" w:hRule="atLeast"/>
          <w:jc w:val="center"/>
        </w:trPr>
        <w:tc>
          <w:tcPr>
            <w:tcW w:w="676" w:type="dxa"/>
            <w:tcBorders>
              <w:top w:val="single" w:color="auto" w:sz="4" w:space="0"/>
              <w:left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val="en-US" w:eastAsia="zh-CN"/>
              </w:rPr>
              <w:t>3</w:t>
            </w:r>
          </w:p>
        </w:tc>
        <w:tc>
          <w:tcPr>
            <w:tcW w:w="1430" w:type="dxa"/>
            <w:tcBorders>
              <w:top w:val="single" w:color="auto" w:sz="4" w:space="0"/>
              <w:left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kern w:val="0"/>
                <w:sz w:val="24"/>
                <w:highlight w:val="none"/>
                <w:lang w:eastAsia="zh-CN"/>
              </w:rPr>
            </w:pPr>
            <w:r>
              <w:rPr>
                <w:rFonts w:hint="eastAsia" w:ascii="仿宋" w:hAnsi="仿宋" w:eastAsia="仿宋" w:cs="仿宋"/>
                <w:color w:val="auto"/>
                <w:sz w:val="24"/>
                <w:highlight w:val="none"/>
                <w:lang w:eastAsia="zh-CN"/>
              </w:rPr>
              <w:t>人员投入</w:t>
            </w:r>
          </w:p>
        </w:tc>
        <w:tc>
          <w:tcPr>
            <w:tcW w:w="6137" w:type="dxa"/>
            <w:tcBorders>
              <w:top w:val="single" w:color="auto" w:sz="4" w:space="0"/>
              <w:left w:val="single" w:color="auto" w:sz="4" w:space="0"/>
              <w:right w:val="single" w:color="auto" w:sz="4" w:space="0"/>
            </w:tcBorders>
            <w:vAlign w:val="center"/>
          </w:tcPr>
          <w:p>
            <w:pPr>
              <w:spacing w:line="380" w:lineRule="exact"/>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供应商拟投入本项目的人员具备从业人员健康证书的每个得</w:t>
            </w:r>
            <w:r>
              <w:rPr>
                <w:rFonts w:hint="eastAsia" w:ascii="仿宋" w:hAnsi="仿宋" w:eastAsia="仿宋" w:cs="仿宋"/>
                <w:color w:val="auto"/>
                <w:sz w:val="24"/>
                <w:highlight w:val="none"/>
                <w:lang w:val="en-US" w:eastAsia="zh-CN"/>
              </w:rPr>
              <w:t>1分，最高得3分。</w:t>
            </w:r>
          </w:p>
          <w:p>
            <w:pPr>
              <w:spacing w:line="380" w:lineRule="exact"/>
              <w:jc w:val="left"/>
              <w:rPr>
                <w:rFonts w:hint="default" w:ascii="仿宋" w:hAnsi="仿宋" w:eastAsia="仿宋" w:cs="仿宋"/>
                <w:b/>
                <w:color w:val="auto"/>
                <w:kern w:val="0"/>
                <w:sz w:val="24"/>
                <w:highlight w:val="none"/>
                <w:u w:val="single"/>
                <w:lang w:val="en-US" w:eastAsia="zh-CN"/>
              </w:rPr>
            </w:pPr>
            <w:r>
              <w:rPr>
                <w:rFonts w:hint="eastAsia" w:ascii="仿宋" w:hAnsi="仿宋" w:eastAsia="仿宋" w:cs="仿宋"/>
                <w:b/>
                <w:bCs/>
                <w:color w:val="auto"/>
                <w:sz w:val="24"/>
                <w:highlight w:val="none"/>
                <w:u w:val="single"/>
                <w:lang w:val="en-US" w:eastAsia="zh-CN"/>
              </w:rPr>
              <w:t>注：提供证书复印件或原件扫描件加盖供应商单位公章，不提供不得分。</w:t>
            </w:r>
          </w:p>
        </w:tc>
        <w:tc>
          <w:tcPr>
            <w:tcW w:w="1043" w:type="dxa"/>
            <w:tcBorders>
              <w:top w:val="single" w:color="auto" w:sz="4" w:space="0"/>
              <w:left w:val="single" w:color="auto" w:sz="4" w:space="0"/>
              <w:right w:val="single" w:color="auto" w:sz="4" w:space="0"/>
            </w:tcBorders>
            <w:vAlign w:val="center"/>
          </w:tcPr>
          <w:p>
            <w:pPr>
              <w:widowControl/>
              <w:spacing w:line="38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4" w:hRule="atLeast"/>
          <w:jc w:val="center"/>
        </w:trPr>
        <w:tc>
          <w:tcPr>
            <w:tcW w:w="676" w:type="dxa"/>
            <w:tcBorders>
              <w:top w:val="single" w:color="auto" w:sz="4" w:space="0"/>
              <w:left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4</w:t>
            </w:r>
          </w:p>
        </w:tc>
        <w:tc>
          <w:tcPr>
            <w:tcW w:w="1430" w:type="dxa"/>
            <w:tcBorders>
              <w:top w:val="single" w:color="auto" w:sz="4" w:space="0"/>
              <w:left w:val="single" w:color="auto" w:sz="4" w:space="0"/>
              <w:right w:val="single" w:color="auto" w:sz="4" w:space="0"/>
            </w:tcBorders>
            <w:vAlign w:val="center"/>
          </w:tcPr>
          <w:p>
            <w:pPr>
              <w:spacing w:line="38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设备投入</w:t>
            </w:r>
          </w:p>
        </w:tc>
        <w:tc>
          <w:tcPr>
            <w:tcW w:w="6137" w:type="dxa"/>
            <w:tcBorders>
              <w:top w:val="single" w:color="auto" w:sz="4" w:space="0"/>
              <w:left w:val="single" w:color="auto" w:sz="4" w:space="0"/>
              <w:right w:val="single" w:color="auto" w:sz="4" w:space="0"/>
            </w:tcBorders>
            <w:vAlign w:val="center"/>
          </w:tcPr>
          <w:p>
            <w:pPr>
              <w:spacing w:line="380" w:lineRule="exact"/>
              <w:jc w:val="lef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供应商拟投入本项目的厢式货车</w:t>
            </w:r>
            <w:r>
              <w:rPr>
                <w:rFonts w:hint="eastAsia" w:ascii="仿宋" w:hAnsi="仿宋" w:eastAsia="仿宋" w:cs="仿宋"/>
                <w:color w:val="auto"/>
                <w:sz w:val="24"/>
                <w:highlight w:val="none"/>
                <w:lang w:eastAsia="zh-CN"/>
              </w:rPr>
              <w:t>每</w:t>
            </w:r>
            <w:r>
              <w:rPr>
                <w:rFonts w:hint="eastAsia" w:ascii="仿宋" w:hAnsi="仿宋" w:eastAsia="仿宋" w:cs="仿宋"/>
                <w:color w:val="auto"/>
                <w:sz w:val="24"/>
                <w:highlight w:val="none"/>
              </w:rPr>
              <w:t>辆得</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eastAsia="zh-CN"/>
              </w:rPr>
              <w:t>，最高得</w:t>
            </w:r>
            <w:r>
              <w:rPr>
                <w:rFonts w:hint="eastAsia" w:ascii="仿宋" w:hAnsi="仿宋" w:eastAsia="仿宋" w:cs="仿宋"/>
                <w:color w:val="auto"/>
                <w:sz w:val="24"/>
                <w:highlight w:val="none"/>
                <w:lang w:val="en-US" w:eastAsia="zh-CN"/>
              </w:rPr>
              <w:t>4分。</w:t>
            </w:r>
            <w:r>
              <w:rPr>
                <w:rFonts w:hint="eastAsia" w:ascii="仿宋" w:hAnsi="仿宋" w:eastAsia="仿宋" w:cs="仿宋"/>
                <w:b/>
                <w:bCs/>
                <w:color w:val="auto"/>
                <w:sz w:val="24"/>
                <w:highlight w:val="none"/>
                <w:u w:val="single"/>
                <w:lang w:val="en-US" w:eastAsia="zh-CN"/>
              </w:rPr>
              <w:t>注：提供购买发票或租赁协议，复印件或原件扫描件加盖供应商单位公章，不提供不得分。</w:t>
            </w:r>
          </w:p>
        </w:tc>
        <w:tc>
          <w:tcPr>
            <w:tcW w:w="1043" w:type="dxa"/>
            <w:tcBorders>
              <w:top w:val="single" w:color="auto" w:sz="4" w:space="0"/>
              <w:left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color w:val="auto"/>
                <w:highlight w:val="none"/>
              </w:rPr>
            </w:pPr>
            <w:r>
              <w:rPr>
                <w:rFonts w:hint="eastAsia" w:ascii="仿宋" w:hAnsi="仿宋" w:eastAsia="仿宋" w:cs="仿宋"/>
                <w:color w:val="auto"/>
                <w:highlight w:val="none"/>
              </w:rPr>
              <w:t>0-</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9" w:hRule="atLeast"/>
          <w:jc w:val="center"/>
        </w:trPr>
        <w:tc>
          <w:tcPr>
            <w:tcW w:w="676"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二</w:t>
            </w:r>
          </w:p>
        </w:tc>
        <w:tc>
          <w:tcPr>
            <w:tcW w:w="7567" w:type="dxa"/>
            <w:gridSpan w:val="2"/>
            <w:tcBorders>
              <w:top w:val="single" w:color="auto" w:sz="4" w:space="0"/>
              <w:left w:val="single" w:color="auto" w:sz="4" w:space="0"/>
              <w:bottom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b/>
                <w:color w:val="auto"/>
                <w:sz w:val="21"/>
                <w:szCs w:val="21"/>
                <w:highlight w:val="none"/>
              </w:rPr>
            </w:pPr>
            <w:r>
              <w:rPr>
                <w:rFonts w:hint="eastAsia" w:ascii="仿宋" w:hAnsi="仿宋" w:eastAsia="仿宋" w:cs="仿宋"/>
                <w:b/>
                <w:color w:val="auto"/>
                <w:highlight w:val="none"/>
              </w:rPr>
              <w:t>商务、资信及其他分</w:t>
            </w:r>
          </w:p>
        </w:tc>
        <w:tc>
          <w:tcPr>
            <w:tcW w:w="1043" w:type="dxa"/>
            <w:tcBorders>
              <w:top w:val="single" w:color="auto" w:sz="4" w:space="0"/>
              <w:left w:val="single" w:color="auto" w:sz="4" w:space="0"/>
              <w:bottom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b/>
                <w:color w:val="auto"/>
                <w:highlight w:val="none"/>
              </w:rPr>
            </w:pPr>
            <w:r>
              <w:rPr>
                <w:rFonts w:hint="eastAsia" w:ascii="仿宋" w:hAnsi="仿宋" w:eastAsia="仿宋" w:cs="仿宋"/>
                <w:b/>
                <w:color w:val="auto"/>
                <w:highlight w:val="none"/>
                <w:lang w:val="en-US" w:eastAsia="zh-CN"/>
              </w:rPr>
              <w:t>23</w:t>
            </w:r>
            <w:r>
              <w:rPr>
                <w:rFonts w:hint="eastAsia" w:ascii="仿宋" w:hAnsi="仿宋" w:eastAsia="仿宋" w:cs="仿宋"/>
                <w:b/>
                <w:color w:val="auto"/>
                <w:highlight w:val="none"/>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9" w:hRule="atLeast"/>
          <w:jc w:val="center"/>
        </w:trPr>
        <w:tc>
          <w:tcPr>
            <w:tcW w:w="676" w:type="dxa"/>
            <w:vMerge w:val="restart"/>
            <w:tcBorders>
              <w:top w:val="single" w:color="auto" w:sz="4" w:space="0"/>
              <w:left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5</w:t>
            </w:r>
          </w:p>
        </w:tc>
        <w:tc>
          <w:tcPr>
            <w:tcW w:w="1430" w:type="dxa"/>
            <w:vMerge w:val="restart"/>
            <w:tcBorders>
              <w:top w:val="single" w:color="auto" w:sz="4" w:space="0"/>
              <w:left w:val="single" w:color="auto" w:sz="4" w:space="0"/>
              <w:right w:val="single" w:color="auto" w:sz="4" w:space="0"/>
            </w:tcBorders>
            <w:vAlign w:val="center"/>
          </w:tcPr>
          <w:p>
            <w:pPr>
              <w:adjustRightInd w:val="0"/>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服务承诺和服务保障</w:t>
            </w:r>
          </w:p>
        </w:tc>
        <w:tc>
          <w:tcPr>
            <w:tcW w:w="6137" w:type="dxa"/>
            <w:tcBorders>
              <w:top w:val="single" w:color="auto" w:sz="4" w:space="0"/>
              <w:left w:val="single" w:color="auto" w:sz="4" w:space="0"/>
              <w:right w:val="single" w:color="auto" w:sz="4" w:space="0"/>
            </w:tcBorders>
            <w:vAlign w:val="center"/>
          </w:tcPr>
          <w:p>
            <w:pPr>
              <w:spacing w:line="380" w:lineRule="exact"/>
              <w:jc w:val="left"/>
              <w:rPr>
                <w:rFonts w:hint="eastAsia" w:ascii="仿宋" w:hAnsi="仿宋" w:eastAsia="仿宋" w:cs="仿宋"/>
                <w:b/>
                <w:bCs/>
                <w:color w:val="auto"/>
                <w:sz w:val="24"/>
                <w:highlight w:val="none"/>
                <w:lang w:eastAsia="zh-CN"/>
              </w:rPr>
            </w:pPr>
            <w:r>
              <w:rPr>
                <w:rFonts w:hint="eastAsia" w:ascii="仿宋" w:hAnsi="仿宋" w:eastAsia="仿宋" w:cs="仿宋"/>
                <w:color w:val="auto"/>
                <w:sz w:val="24"/>
                <w:highlight w:val="none"/>
              </w:rPr>
              <w:t>包括实施期的服务承诺、后续配合期的服务承诺，是否有利项目实施的方面进行评价。服务承诺和服务保障具有合理性、科学性的</w:t>
            </w:r>
            <w:r>
              <w:rPr>
                <w:rFonts w:hint="eastAsia" w:ascii="仿宋" w:hAnsi="仿宋" w:eastAsia="仿宋" w:cs="仿宋"/>
                <w:color w:val="auto"/>
                <w:sz w:val="24"/>
                <w:highlight w:val="none"/>
                <w:lang w:eastAsia="zh-CN"/>
              </w:rPr>
              <w:t>得</w:t>
            </w:r>
            <w:r>
              <w:rPr>
                <w:rFonts w:hint="eastAsia" w:ascii="仿宋" w:hAnsi="仿宋" w:eastAsia="仿宋" w:cs="仿宋"/>
                <w:color w:val="auto"/>
                <w:sz w:val="24"/>
                <w:highlight w:val="none"/>
                <w:lang w:val="en-US" w:eastAsia="zh-CN"/>
              </w:rPr>
              <w:t>4分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不严密或措施不得力的</w:t>
            </w:r>
            <w:r>
              <w:rPr>
                <w:rFonts w:hint="eastAsia" w:ascii="仿宋" w:hAnsi="仿宋" w:eastAsia="仿宋" w:cs="仿宋"/>
                <w:color w:val="auto"/>
                <w:sz w:val="24"/>
                <w:highlight w:val="none"/>
                <w:lang w:eastAsia="zh-CN"/>
              </w:rPr>
              <w:t>每处</w:t>
            </w:r>
            <w:r>
              <w:rPr>
                <w:rFonts w:hint="eastAsia" w:ascii="仿宋" w:hAnsi="仿宋" w:eastAsia="仿宋" w:cs="仿宋"/>
                <w:color w:val="auto"/>
                <w:sz w:val="24"/>
                <w:highlight w:val="none"/>
              </w:rPr>
              <w:t>扣0.5-1分，扣完该项得分为止。</w:t>
            </w:r>
          </w:p>
        </w:tc>
        <w:tc>
          <w:tcPr>
            <w:tcW w:w="1043" w:type="dxa"/>
            <w:vMerge w:val="restart"/>
            <w:tcBorders>
              <w:top w:val="single" w:color="auto" w:sz="4" w:space="0"/>
              <w:left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color w:val="auto"/>
                <w:highlight w:val="none"/>
              </w:rPr>
            </w:pPr>
            <w:r>
              <w:rPr>
                <w:rFonts w:hint="eastAsia" w:ascii="仿宋" w:hAnsi="仿宋" w:eastAsia="仿宋" w:cs="仿宋"/>
                <w:color w:val="auto"/>
                <w:highlight w:val="none"/>
              </w:rPr>
              <w:t>0-</w:t>
            </w:r>
            <w:r>
              <w:rPr>
                <w:rFonts w:hint="eastAsia" w:ascii="仿宋" w:hAnsi="仿宋" w:eastAsia="仿宋" w:cs="仿宋"/>
                <w:color w:val="auto"/>
                <w:highlight w:val="none"/>
                <w:lang w:val="en-US" w:eastAsia="zh-CN"/>
              </w:rPr>
              <w:t>10</w:t>
            </w:r>
            <w:r>
              <w:rPr>
                <w:rFonts w:hint="eastAsia" w:ascii="仿宋" w:hAnsi="仿宋" w:eastAsia="仿宋" w:cs="仿宋"/>
                <w:color w:val="auto"/>
                <w:highlight w:val="none"/>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9" w:hRule="atLeast"/>
          <w:jc w:val="center"/>
        </w:trPr>
        <w:tc>
          <w:tcPr>
            <w:tcW w:w="676" w:type="dxa"/>
            <w:vMerge w:val="continue"/>
            <w:tcBorders>
              <w:left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sz w:val="24"/>
                <w:highlight w:val="none"/>
              </w:rPr>
            </w:pPr>
          </w:p>
        </w:tc>
        <w:tc>
          <w:tcPr>
            <w:tcW w:w="1430" w:type="dxa"/>
            <w:vMerge w:val="continue"/>
            <w:tcBorders>
              <w:left w:val="single" w:color="auto" w:sz="4" w:space="0"/>
              <w:right w:val="single" w:color="auto" w:sz="4" w:space="0"/>
            </w:tcBorders>
            <w:vAlign w:val="center"/>
          </w:tcPr>
          <w:p>
            <w:pPr>
              <w:adjustRightInd w:val="0"/>
              <w:snapToGrid w:val="0"/>
              <w:spacing w:line="360" w:lineRule="auto"/>
              <w:jc w:val="center"/>
              <w:rPr>
                <w:rFonts w:hint="eastAsia" w:ascii="仿宋" w:hAnsi="仿宋" w:eastAsia="仿宋" w:cs="仿宋"/>
                <w:color w:val="auto"/>
                <w:sz w:val="24"/>
                <w:highlight w:val="none"/>
              </w:rPr>
            </w:pPr>
          </w:p>
        </w:tc>
        <w:tc>
          <w:tcPr>
            <w:tcW w:w="6137" w:type="dxa"/>
            <w:tcBorders>
              <w:top w:val="single" w:color="auto" w:sz="4" w:space="0"/>
              <w:left w:val="single" w:color="auto" w:sz="4" w:space="0"/>
              <w:right w:val="single" w:color="auto" w:sz="4" w:space="0"/>
            </w:tcBorders>
            <w:vAlign w:val="center"/>
          </w:tcPr>
          <w:p>
            <w:pPr>
              <w:spacing w:line="380" w:lineRule="exact"/>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承诺</w:t>
            </w:r>
            <w:r>
              <w:rPr>
                <w:rFonts w:hint="eastAsia" w:ascii="仿宋" w:hAnsi="仿宋" w:eastAsia="仿宋" w:cs="仿宋"/>
                <w:color w:val="auto"/>
                <w:sz w:val="24"/>
                <w:highlight w:val="none"/>
                <w:lang w:eastAsia="zh-CN"/>
              </w:rPr>
              <w:t>供货期内</w:t>
            </w:r>
            <w:r>
              <w:rPr>
                <w:rFonts w:hint="eastAsia" w:ascii="仿宋" w:hAnsi="仿宋" w:eastAsia="仿宋" w:cs="仿宋"/>
                <w:color w:val="auto"/>
                <w:sz w:val="24"/>
                <w:highlight w:val="none"/>
              </w:rPr>
              <w:t>每季开展一次货物质量检测（检测时间和样品抽取由</w:t>
            </w:r>
            <w:r>
              <w:rPr>
                <w:rFonts w:hint="eastAsia" w:ascii="仿宋" w:hAnsi="仿宋" w:eastAsia="仿宋" w:cs="仿宋"/>
                <w:color w:val="auto"/>
                <w:sz w:val="24"/>
                <w:highlight w:val="none"/>
                <w:lang w:eastAsia="zh-CN"/>
              </w:rPr>
              <w:t>采购</w:t>
            </w:r>
            <w:r>
              <w:rPr>
                <w:rFonts w:hint="eastAsia" w:ascii="仿宋" w:hAnsi="仿宋" w:eastAsia="仿宋" w:cs="仿宋"/>
                <w:color w:val="auto"/>
                <w:sz w:val="24"/>
                <w:highlight w:val="none"/>
              </w:rPr>
              <w:t>人决定）</w:t>
            </w:r>
            <w:r>
              <w:rPr>
                <w:rFonts w:hint="eastAsia" w:ascii="仿宋" w:hAnsi="仿宋" w:eastAsia="仿宋" w:cs="仿宋"/>
                <w:color w:val="auto"/>
                <w:sz w:val="24"/>
                <w:highlight w:val="none"/>
                <w:lang w:eastAsia="zh-CN"/>
              </w:rPr>
              <w:t>的得</w:t>
            </w:r>
            <w:r>
              <w:rPr>
                <w:rFonts w:hint="eastAsia" w:ascii="仿宋" w:hAnsi="仿宋" w:eastAsia="仿宋" w:cs="仿宋"/>
                <w:color w:val="auto"/>
                <w:sz w:val="24"/>
                <w:highlight w:val="none"/>
                <w:lang w:val="en-US" w:eastAsia="zh-CN"/>
              </w:rPr>
              <w:t>3分，不承诺不得分；</w:t>
            </w:r>
          </w:p>
          <w:p>
            <w:pPr>
              <w:spacing w:line="380" w:lineRule="exact"/>
              <w:jc w:val="lef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2、供应商承诺服务期间接到采购人通知后现场响应时间小于0.5小时的得3分，不承诺不得分。</w:t>
            </w:r>
          </w:p>
        </w:tc>
        <w:tc>
          <w:tcPr>
            <w:tcW w:w="1043" w:type="dxa"/>
            <w:vMerge w:val="continue"/>
            <w:tcBorders>
              <w:left w:val="single" w:color="auto" w:sz="4" w:space="0"/>
              <w:right w:val="single" w:color="auto" w:sz="4" w:space="0"/>
            </w:tcBorders>
            <w:vAlign w:val="center"/>
          </w:tcPr>
          <w:p>
            <w:pPr>
              <w:pStyle w:val="14"/>
              <w:spacing w:line="380" w:lineRule="exact"/>
              <w:ind w:firstLine="0" w:firstLineChars="0"/>
              <w:jc w:val="center"/>
              <w:rPr>
                <w:rFonts w:hint="eastAsia"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9" w:hRule="atLeast"/>
          <w:jc w:val="center"/>
        </w:trPr>
        <w:tc>
          <w:tcPr>
            <w:tcW w:w="676" w:type="dxa"/>
            <w:tcBorders>
              <w:top w:val="single" w:color="auto" w:sz="4" w:space="0"/>
              <w:left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p>
        </w:tc>
        <w:tc>
          <w:tcPr>
            <w:tcW w:w="1430" w:type="dxa"/>
            <w:tcBorders>
              <w:top w:val="single" w:color="auto" w:sz="4" w:space="0"/>
              <w:left w:val="single" w:color="auto" w:sz="4" w:space="0"/>
              <w:right w:val="single" w:color="auto" w:sz="4" w:space="0"/>
            </w:tcBorders>
            <w:vAlign w:val="center"/>
          </w:tcPr>
          <w:p>
            <w:pPr>
              <w:adjustRightInd w:val="0"/>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优惠承诺和特色服务情况</w:t>
            </w:r>
          </w:p>
        </w:tc>
        <w:tc>
          <w:tcPr>
            <w:tcW w:w="6137" w:type="dxa"/>
            <w:tcBorders>
              <w:top w:val="single" w:color="auto" w:sz="4" w:space="0"/>
              <w:left w:val="single" w:color="auto" w:sz="4" w:space="0"/>
              <w:right w:val="single" w:color="auto" w:sz="4" w:space="0"/>
            </w:tcBorders>
            <w:vAlign w:val="center"/>
          </w:tcPr>
          <w:p>
            <w:pPr>
              <w:spacing w:line="380" w:lineRule="exact"/>
              <w:jc w:val="left"/>
              <w:rPr>
                <w:rFonts w:ascii="仿宋" w:hAnsi="仿宋" w:eastAsia="仿宋" w:cs="仿宋"/>
                <w:b/>
                <w:bCs/>
                <w:color w:val="auto"/>
                <w:sz w:val="24"/>
                <w:highlight w:val="none"/>
              </w:rPr>
            </w:pPr>
            <w:r>
              <w:rPr>
                <w:rFonts w:hint="eastAsia" w:ascii="仿宋" w:hAnsi="仿宋" w:eastAsia="仿宋" w:cs="仿宋"/>
                <w:color w:val="auto"/>
                <w:sz w:val="24"/>
                <w:highlight w:val="none"/>
              </w:rPr>
              <w:t>供应商结实际情况是否给出特色服务和优惠承诺措施等情况，每提供一项特色服务和措施的得1分，最高得3分。</w:t>
            </w:r>
          </w:p>
        </w:tc>
        <w:tc>
          <w:tcPr>
            <w:tcW w:w="1043" w:type="dxa"/>
            <w:tcBorders>
              <w:top w:val="single" w:color="auto" w:sz="4" w:space="0"/>
              <w:left w:val="single" w:color="auto" w:sz="4" w:space="0"/>
              <w:right w:val="single" w:color="auto" w:sz="4" w:space="0"/>
            </w:tcBorders>
            <w:vAlign w:val="center"/>
          </w:tcPr>
          <w:p>
            <w:pPr>
              <w:pStyle w:val="14"/>
              <w:spacing w:line="380" w:lineRule="exact"/>
              <w:ind w:firstLine="0" w:firstLineChars="0"/>
              <w:jc w:val="center"/>
              <w:rPr>
                <w:rFonts w:ascii="仿宋" w:hAnsi="仿宋" w:eastAsia="仿宋" w:cs="仿宋"/>
                <w:color w:val="auto"/>
                <w:highlight w:val="none"/>
              </w:rPr>
            </w:pPr>
            <w:r>
              <w:rPr>
                <w:rFonts w:hint="eastAsia" w:ascii="仿宋" w:hAnsi="仿宋" w:eastAsia="仿宋" w:cs="仿宋"/>
                <w:color w:val="auto"/>
                <w:highlight w:val="none"/>
              </w:rPr>
              <w:t>0-</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9" w:hRule="atLeast"/>
          <w:jc w:val="center"/>
        </w:trPr>
        <w:tc>
          <w:tcPr>
            <w:tcW w:w="676" w:type="dxa"/>
            <w:tcBorders>
              <w:top w:val="single" w:color="auto" w:sz="4" w:space="0"/>
              <w:left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7</w:t>
            </w:r>
          </w:p>
        </w:tc>
        <w:tc>
          <w:tcPr>
            <w:tcW w:w="1430" w:type="dxa"/>
            <w:tcBorders>
              <w:top w:val="single" w:color="auto" w:sz="4" w:space="0"/>
              <w:left w:val="single" w:color="auto" w:sz="4" w:space="0"/>
              <w:right w:val="single" w:color="auto" w:sz="4" w:space="0"/>
            </w:tcBorders>
            <w:vAlign w:val="center"/>
          </w:tcPr>
          <w:p>
            <w:pPr>
              <w:spacing w:line="38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企业业绩</w:t>
            </w:r>
          </w:p>
        </w:tc>
        <w:tc>
          <w:tcPr>
            <w:tcW w:w="6137" w:type="dxa"/>
            <w:tcBorders>
              <w:top w:val="single" w:color="auto" w:sz="4" w:space="0"/>
              <w:left w:val="single" w:color="auto" w:sz="4" w:space="0"/>
              <w:right w:val="single" w:color="auto" w:sz="4" w:space="0"/>
            </w:tcBorders>
          </w:tcPr>
          <w:p>
            <w:pPr>
              <w:spacing w:line="3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提供20</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rPr>
              <w:t>年1月1日</w:t>
            </w:r>
            <w:r>
              <w:rPr>
                <w:rFonts w:hint="eastAsia" w:ascii="仿宋" w:hAnsi="仿宋" w:eastAsia="仿宋" w:cs="仿宋"/>
                <w:color w:val="auto"/>
                <w:sz w:val="24"/>
                <w:highlight w:val="none"/>
                <w:lang w:eastAsia="zh-CN"/>
              </w:rPr>
              <w:t>（</w:t>
            </w:r>
            <w:r>
              <w:rPr>
                <w:rFonts w:hint="eastAsia" w:ascii="仿宋" w:hAnsi="仿宋" w:eastAsia="仿宋" w:cs="仿宋"/>
                <w:b/>
                <w:bCs/>
                <w:color w:val="auto"/>
                <w:sz w:val="24"/>
                <w:highlight w:val="none"/>
              </w:rPr>
              <w:t>以合同签署日期为准</w:t>
            </w:r>
            <w:r>
              <w:rPr>
                <w:rFonts w:hint="eastAsia" w:ascii="仿宋" w:hAnsi="仿宋" w:eastAsia="仿宋" w:cs="仿宋"/>
                <w:b/>
                <w:bCs/>
                <w:color w:val="auto"/>
                <w:sz w:val="24"/>
                <w:highlight w:val="none"/>
                <w:lang w:eastAsia="zh-CN"/>
              </w:rPr>
              <w:t>）</w:t>
            </w:r>
            <w:r>
              <w:rPr>
                <w:rFonts w:hint="eastAsia" w:ascii="仿宋" w:hAnsi="仿宋" w:eastAsia="仿宋" w:cs="仿宋"/>
                <w:color w:val="auto"/>
                <w:sz w:val="24"/>
                <w:highlight w:val="none"/>
                <w:lang w:eastAsia="zh-CN"/>
              </w:rPr>
              <w:t>以来</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lang w:eastAsia="zh-CN"/>
              </w:rPr>
              <w:t>同类</w:t>
            </w:r>
            <w:r>
              <w:rPr>
                <w:rFonts w:hint="eastAsia" w:ascii="仿宋" w:hAnsi="仿宋" w:eastAsia="仿宋" w:cs="仿宋"/>
                <w:color w:val="auto"/>
                <w:sz w:val="24"/>
                <w:highlight w:val="none"/>
              </w:rPr>
              <w:t>业绩，每个业绩得1分，最高得</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p>
          <w:p>
            <w:pPr>
              <w:spacing w:line="380" w:lineRule="exact"/>
              <w:jc w:val="left"/>
              <w:rPr>
                <w:rFonts w:ascii="仿宋" w:hAnsi="仿宋" w:eastAsia="仿宋" w:cs="仿宋"/>
                <w:color w:val="auto"/>
                <w:sz w:val="24"/>
                <w:highlight w:val="none"/>
              </w:rPr>
            </w:pPr>
            <w:r>
              <w:rPr>
                <w:rFonts w:hint="eastAsia" w:ascii="仿宋" w:hAnsi="仿宋" w:eastAsia="仿宋" w:cs="仿宋"/>
                <w:b/>
                <w:bCs/>
                <w:color w:val="auto"/>
                <w:sz w:val="24"/>
                <w:highlight w:val="none"/>
                <w:u w:val="single"/>
              </w:rPr>
              <w:t>注：</w:t>
            </w:r>
            <w:r>
              <w:rPr>
                <w:rFonts w:hint="eastAsia" w:ascii="仿宋" w:hAnsi="仿宋" w:eastAsia="仿宋" w:cs="仿宋"/>
                <w:b/>
                <w:bCs/>
                <w:color w:val="auto"/>
                <w:sz w:val="24"/>
                <w:highlight w:val="none"/>
                <w:u w:val="single"/>
                <w:lang w:val="en-US" w:eastAsia="zh-CN"/>
              </w:rPr>
              <w:t>提供</w:t>
            </w:r>
            <w:r>
              <w:rPr>
                <w:rFonts w:hint="eastAsia" w:ascii="仿宋" w:hAnsi="仿宋" w:eastAsia="仿宋" w:cs="仿宋"/>
                <w:b/>
                <w:bCs/>
                <w:color w:val="auto"/>
                <w:sz w:val="24"/>
                <w:highlight w:val="none"/>
                <w:u w:val="single"/>
              </w:rPr>
              <w:t>合同</w:t>
            </w:r>
            <w:r>
              <w:rPr>
                <w:rFonts w:hint="eastAsia" w:ascii="仿宋" w:hAnsi="仿宋" w:eastAsia="仿宋" w:cs="仿宋"/>
                <w:b/>
                <w:bCs/>
                <w:color w:val="auto"/>
                <w:sz w:val="24"/>
                <w:highlight w:val="none"/>
                <w:u w:val="single"/>
                <w:lang w:val="en-US" w:eastAsia="zh-CN"/>
              </w:rPr>
              <w:t>复印件或原件的</w:t>
            </w:r>
            <w:r>
              <w:rPr>
                <w:rFonts w:hint="eastAsia" w:ascii="仿宋" w:hAnsi="仿宋" w:eastAsia="仿宋" w:cs="仿宋"/>
                <w:b/>
                <w:bCs/>
                <w:color w:val="auto"/>
                <w:sz w:val="24"/>
                <w:highlight w:val="none"/>
                <w:u w:val="single"/>
              </w:rPr>
              <w:t>扫描件</w:t>
            </w:r>
            <w:r>
              <w:rPr>
                <w:rFonts w:hint="eastAsia" w:ascii="仿宋" w:hAnsi="仿宋" w:eastAsia="仿宋" w:cs="仿宋"/>
                <w:b/>
                <w:bCs/>
                <w:color w:val="auto"/>
                <w:kern w:val="2"/>
                <w:sz w:val="24"/>
                <w:szCs w:val="24"/>
                <w:highlight w:val="none"/>
                <w:u w:val="single"/>
                <w:lang w:val="en-US" w:eastAsia="zh-CN" w:bidi="ar-SA"/>
              </w:rPr>
              <w:t>加盖供应商单位公章</w:t>
            </w:r>
            <w:r>
              <w:rPr>
                <w:rFonts w:hint="eastAsia" w:ascii="仿宋" w:hAnsi="仿宋" w:eastAsia="仿宋" w:cs="仿宋"/>
                <w:b/>
                <w:bCs/>
                <w:color w:val="auto"/>
                <w:sz w:val="24"/>
                <w:highlight w:val="none"/>
                <w:u w:val="single"/>
              </w:rPr>
              <w:t>，否则不得分</w:t>
            </w:r>
            <w:r>
              <w:rPr>
                <w:rFonts w:hint="eastAsia" w:ascii="仿宋" w:hAnsi="仿宋" w:eastAsia="仿宋" w:cs="仿宋"/>
                <w:b/>
                <w:bCs/>
                <w:color w:val="auto"/>
                <w:sz w:val="24"/>
                <w:highlight w:val="none"/>
              </w:rPr>
              <w:t>。</w:t>
            </w:r>
          </w:p>
        </w:tc>
        <w:tc>
          <w:tcPr>
            <w:tcW w:w="1043" w:type="dxa"/>
            <w:tcBorders>
              <w:top w:val="single" w:color="auto" w:sz="4" w:space="0"/>
              <w:left w:val="single" w:color="auto" w:sz="4" w:space="0"/>
              <w:right w:val="single" w:color="auto" w:sz="4" w:space="0"/>
            </w:tcBorders>
            <w:vAlign w:val="center"/>
          </w:tcPr>
          <w:p>
            <w:pPr>
              <w:spacing w:line="38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21" w:hRule="exact"/>
          <w:jc w:val="center"/>
        </w:trPr>
        <w:tc>
          <w:tcPr>
            <w:tcW w:w="676"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8</w:t>
            </w:r>
          </w:p>
        </w:tc>
        <w:tc>
          <w:tcPr>
            <w:tcW w:w="1430" w:type="dxa"/>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企业荣誉</w:t>
            </w:r>
          </w:p>
        </w:tc>
        <w:tc>
          <w:tcPr>
            <w:tcW w:w="6137" w:type="dxa"/>
            <w:tcBorders>
              <w:top w:val="single" w:color="auto" w:sz="4" w:space="0"/>
              <w:left w:val="single" w:color="auto" w:sz="4" w:space="0"/>
              <w:bottom w:val="single" w:color="auto" w:sz="4" w:space="0"/>
              <w:right w:val="single" w:color="auto" w:sz="4" w:space="0"/>
            </w:tcBorders>
            <w:vAlign w:val="center"/>
          </w:tcPr>
          <w:p>
            <w:pPr>
              <w:spacing w:line="380" w:lineRule="exact"/>
              <w:jc w:val="lef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供应商自20</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rPr>
              <w:t>年1月1日以来获得过</w:t>
            </w:r>
            <w:r>
              <w:rPr>
                <w:rFonts w:hint="eastAsia" w:ascii="仿宋" w:hAnsi="仿宋" w:eastAsia="仿宋" w:cs="仿宋"/>
                <w:color w:val="auto"/>
                <w:sz w:val="24"/>
                <w:highlight w:val="none"/>
                <w:lang w:eastAsia="zh-CN"/>
              </w:rPr>
              <w:t>区县级</w:t>
            </w:r>
            <w:r>
              <w:rPr>
                <w:rFonts w:hint="eastAsia" w:ascii="仿宋" w:hAnsi="仿宋" w:eastAsia="仿宋" w:cs="仿宋"/>
                <w:color w:val="auto"/>
                <w:sz w:val="24"/>
                <w:highlight w:val="none"/>
              </w:rPr>
              <w:t>以上</w:t>
            </w:r>
            <w:r>
              <w:rPr>
                <w:rFonts w:hint="eastAsia" w:ascii="仿宋" w:hAnsi="仿宋" w:eastAsia="仿宋" w:cs="仿宋"/>
                <w:color w:val="auto"/>
                <w:sz w:val="24"/>
                <w:highlight w:val="none"/>
                <w:lang w:eastAsia="zh-CN"/>
              </w:rPr>
              <w:t>荣誉</w:t>
            </w:r>
            <w:r>
              <w:rPr>
                <w:rFonts w:hint="eastAsia" w:ascii="仿宋" w:hAnsi="仿宋" w:eastAsia="仿宋" w:cs="仿宋"/>
                <w:color w:val="auto"/>
                <w:sz w:val="24"/>
                <w:highlight w:val="none"/>
              </w:rPr>
              <w:t>的每个得1分，最高</w:t>
            </w:r>
            <w:r>
              <w:rPr>
                <w:rFonts w:hint="eastAsia" w:ascii="仿宋" w:hAnsi="仿宋" w:eastAsia="仿宋" w:cs="仿宋"/>
                <w:color w:val="auto"/>
                <w:sz w:val="24"/>
                <w:highlight w:val="none"/>
                <w:lang w:val="en-US" w:eastAsia="zh-CN"/>
              </w:rPr>
              <w:t>得</w:t>
            </w:r>
            <w:r>
              <w:rPr>
                <w:rFonts w:hint="eastAsia" w:ascii="仿宋" w:hAnsi="仿宋" w:eastAsia="仿宋" w:cs="仿宋"/>
                <w:color w:val="auto"/>
                <w:sz w:val="24"/>
                <w:highlight w:val="none"/>
              </w:rPr>
              <w:t>3分。</w:t>
            </w:r>
          </w:p>
          <w:p>
            <w:pPr>
              <w:spacing w:line="380" w:lineRule="exact"/>
              <w:jc w:val="left"/>
              <w:rPr>
                <w:rFonts w:ascii="仿宋" w:hAnsi="仿宋" w:eastAsia="仿宋" w:cs="仿宋"/>
                <w:color w:val="auto"/>
                <w:sz w:val="24"/>
                <w:highlight w:val="none"/>
              </w:rPr>
            </w:pPr>
            <w:r>
              <w:rPr>
                <w:rFonts w:hint="eastAsia" w:ascii="仿宋" w:hAnsi="仿宋" w:eastAsia="仿宋" w:cs="仿宋"/>
                <w:b/>
                <w:bCs/>
                <w:color w:val="auto"/>
                <w:sz w:val="24"/>
                <w:highlight w:val="none"/>
                <w:u w:val="single"/>
              </w:rPr>
              <w:t>注：提供获奖证书</w:t>
            </w:r>
            <w:r>
              <w:rPr>
                <w:rFonts w:hint="eastAsia" w:ascii="仿宋" w:hAnsi="仿宋" w:eastAsia="仿宋" w:cs="仿宋"/>
                <w:b/>
                <w:bCs/>
                <w:color w:val="auto"/>
                <w:sz w:val="24"/>
                <w:highlight w:val="none"/>
                <w:u w:val="single"/>
                <w:lang w:val="en-US" w:eastAsia="zh-CN"/>
              </w:rPr>
              <w:t>复印件或原件的</w:t>
            </w:r>
            <w:r>
              <w:rPr>
                <w:rFonts w:hint="eastAsia" w:ascii="仿宋" w:hAnsi="仿宋" w:eastAsia="仿宋" w:cs="仿宋"/>
                <w:b/>
                <w:bCs/>
                <w:color w:val="auto"/>
                <w:sz w:val="24"/>
                <w:highlight w:val="none"/>
                <w:u w:val="single"/>
              </w:rPr>
              <w:t>扫描件</w:t>
            </w:r>
            <w:r>
              <w:rPr>
                <w:rFonts w:hint="eastAsia" w:ascii="仿宋" w:hAnsi="仿宋" w:eastAsia="仿宋" w:cs="仿宋"/>
                <w:b/>
                <w:bCs/>
                <w:color w:val="auto"/>
                <w:sz w:val="24"/>
                <w:highlight w:val="none"/>
                <w:u w:val="single"/>
                <w:lang w:val="en-US" w:eastAsia="zh-CN"/>
              </w:rPr>
              <w:t>加盖供应商单位公章</w:t>
            </w:r>
            <w:r>
              <w:rPr>
                <w:rFonts w:hint="eastAsia" w:ascii="仿宋" w:hAnsi="仿宋" w:eastAsia="仿宋" w:cs="仿宋"/>
                <w:b/>
                <w:bCs/>
                <w:color w:val="auto"/>
                <w:sz w:val="24"/>
                <w:highlight w:val="none"/>
                <w:u w:val="single"/>
              </w:rPr>
              <w:t>，获奖时间以证书上的落款时间为准，否则不得分。</w:t>
            </w:r>
          </w:p>
        </w:tc>
        <w:tc>
          <w:tcPr>
            <w:tcW w:w="1043" w:type="dxa"/>
            <w:tcBorders>
              <w:top w:val="single" w:color="auto" w:sz="4" w:space="0"/>
              <w:left w:val="single" w:color="auto" w:sz="4" w:space="0"/>
              <w:bottom w:val="single" w:color="auto" w:sz="4" w:space="0"/>
              <w:right w:val="single" w:color="auto" w:sz="4" w:space="0"/>
            </w:tcBorders>
            <w:vAlign w:val="center"/>
          </w:tcPr>
          <w:p>
            <w:pPr>
              <w:pStyle w:val="14"/>
              <w:spacing w:line="380" w:lineRule="exact"/>
              <w:ind w:firstLine="0" w:firstLineChars="0"/>
              <w:rPr>
                <w:rFonts w:ascii="仿宋" w:hAnsi="仿宋" w:eastAsia="仿宋" w:cs="仿宋"/>
                <w:color w:val="auto"/>
                <w:highlight w:val="none"/>
              </w:rPr>
            </w:pPr>
            <w:r>
              <w:rPr>
                <w:rFonts w:hint="eastAsia" w:ascii="仿宋" w:hAnsi="仿宋" w:eastAsia="仿宋" w:cs="仿宋"/>
                <w:color w:val="auto"/>
                <w:highlight w:val="none"/>
              </w:rPr>
              <w:t>0-</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5" w:hRule="exact"/>
          <w:jc w:val="center"/>
        </w:trPr>
        <w:tc>
          <w:tcPr>
            <w:tcW w:w="676" w:type="dxa"/>
            <w:tcBorders>
              <w:top w:val="single" w:color="auto" w:sz="4" w:space="0"/>
              <w:left w:val="single" w:color="auto" w:sz="4" w:space="0"/>
              <w:bottom w:val="single" w:color="auto" w:sz="4" w:space="0"/>
              <w:right w:val="single" w:color="auto" w:sz="4" w:space="0"/>
            </w:tcBorders>
            <w:vAlign w:val="center"/>
          </w:tcPr>
          <w:p>
            <w:pPr>
              <w:widowControl/>
              <w:spacing w:line="38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w:t>
            </w:r>
          </w:p>
        </w:tc>
        <w:tc>
          <w:tcPr>
            <w:tcW w:w="1430" w:type="dxa"/>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企业认证</w:t>
            </w:r>
          </w:p>
        </w:tc>
        <w:tc>
          <w:tcPr>
            <w:tcW w:w="6137" w:type="dxa"/>
            <w:tcBorders>
              <w:top w:val="single" w:color="auto" w:sz="4" w:space="0"/>
              <w:left w:val="single" w:color="auto" w:sz="4" w:space="0"/>
              <w:bottom w:val="single" w:color="auto" w:sz="4" w:space="0"/>
              <w:right w:val="single" w:color="auto" w:sz="4" w:space="0"/>
            </w:tcBorders>
            <w:vAlign w:val="center"/>
          </w:tcPr>
          <w:p>
            <w:pPr>
              <w:spacing w:line="3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具有</w:t>
            </w:r>
            <w:r>
              <w:rPr>
                <w:rFonts w:hint="eastAsia" w:ascii="仿宋" w:hAnsi="仿宋" w:eastAsia="仿宋" w:cs="仿宋"/>
                <w:color w:val="auto"/>
                <w:sz w:val="24"/>
                <w:highlight w:val="none"/>
                <w:lang w:eastAsia="zh-CN"/>
              </w:rPr>
              <w:t>有效</w:t>
            </w:r>
            <w:r>
              <w:rPr>
                <w:rFonts w:hint="eastAsia" w:ascii="仿宋" w:hAnsi="仿宋" w:eastAsia="仿宋" w:cs="仿宋"/>
                <w:color w:val="auto"/>
                <w:sz w:val="24"/>
                <w:highlight w:val="none"/>
              </w:rPr>
              <w:t>食品安全管理体系认证</w:t>
            </w:r>
            <w:r>
              <w:rPr>
                <w:rFonts w:hint="eastAsia" w:ascii="仿宋" w:hAnsi="仿宋" w:eastAsia="仿宋" w:cs="仿宋"/>
                <w:color w:val="auto"/>
                <w:sz w:val="24"/>
                <w:highlight w:val="none"/>
                <w:lang w:eastAsia="zh-CN"/>
              </w:rPr>
              <w:t>证书</w:t>
            </w:r>
            <w:r>
              <w:rPr>
                <w:rFonts w:hint="eastAsia" w:ascii="仿宋" w:hAnsi="仿宋" w:eastAsia="仿宋" w:cs="仿宋"/>
                <w:color w:val="auto"/>
                <w:sz w:val="24"/>
                <w:highlight w:val="none"/>
              </w:rPr>
              <w:t>的得</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p>
          <w:p>
            <w:pPr>
              <w:spacing w:line="3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具有</w:t>
            </w:r>
            <w:r>
              <w:rPr>
                <w:rFonts w:hint="eastAsia" w:ascii="仿宋" w:hAnsi="仿宋" w:eastAsia="仿宋" w:cs="仿宋"/>
                <w:color w:val="auto"/>
                <w:sz w:val="24"/>
                <w:highlight w:val="none"/>
                <w:lang w:eastAsia="zh-CN"/>
              </w:rPr>
              <w:t>有效</w:t>
            </w:r>
            <w:r>
              <w:rPr>
                <w:rFonts w:hint="eastAsia" w:ascii="仿宋" w:hAnsi="仿宋" w:eastAsia="仿宋" w:cs="仿宋"/>
                <w:color w:val="auto"/>
                <w:sz w:val="24"/>
                <w:highlight w:val="none"/>
              </w:rPr>
              <w:t>质量管理体系认证</w:t>
            </w:r>
            <w:r>
              <w:rPr>
                <w:rFonts w:hint="eastAsia" w:ascii="仿宋" w:hAnsi="仿宋" w:eastAsia="仿宋" w:cs="仿宋"/>
                <w:color w:val="auto"/>
                <w:sz w:val="24"/>
                <w:highlight w:val="none"/>
                <w:lang w:eastAsia="zh-CN"/>
              </w:rPr>
              <w:t>证书</w:t>
            </w:r>
            <w:r>
              <w:rPr>
                <w:rFonts w:hint="eastAsia" w:ascii="仿宋" w:hAnsi="仿宋" w:eastAsia="仿宋" w:cs="仿宋"/>
                <w:color w:val="auto"/>
                <w:sz w:val="24"/>
                <w:highlight w:val="none"/>
              </w:rPr>
              <w:t>的得</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p>
          <w:p>
            <w:pPr>
              <w:spacing w:line="380" w:lineRule="exact"/>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具有</w:t>
            </w:r>
            <w:r>
              <w:rPr>
                <w:rFonts w:hint="eastAsia" w:ascii="仿宋" w:hAnsi="仿宋" w:eastAsia="仿宋" w:cs="仿宋"/>
                <w:color w:val="auto"/>
                <w:sz w:val="24"/>
                <w:highlight w:val="none"/>
                <w:lang w:eastAsia="zh-CN"/>
              </w:rPr>
              <w:t>有效</w:t>
            </w:r>
            <w:r>
              <w:rPr>
                <w:rFonts w:hint="eastAsia" w:ascii="仿宋" w:hAnsi="仿宋" w:eastAsia="仿宋" w:cs="仿宋"/>
                <w:color w:val="auto"/>
                <w:sz w:val="24"/>
                <w:highlight w:val="none"/>
              </w:rPr>
              <w:t>职业健康安全管理体系认证</w:t>
            </w:r>
            <w:r>
              <w:rPr>
                <w:rFonts w:hint="eastAsia" w:ascii="仿宋" w:hAnsi="仿宋" w:eastAsia="仿宋" w:cs="仿宋"/>
                <w:color w:val="auto"/>
                <w:sz w:val="24"/>
                <w:highlight w:val="none"/>
                <w:lang w:eastAsia="zh-CN"/>
              </w:rPr>
              <w:t>证书</w:t>
            </w:r>
            <w:r>
              <w:rPr>
                <w:rFonts w:hint="eastAsia" w:ascii="仿宋" w:hAnsi="仿宋" w:eastAsia="仿宋" w:cs="仿宋"/>
                <w:color w:val="auto"/>
                <w:sz w:val="24"/>
                <w:highlight w:val="none"/>
              </w:rPr>
              <w:t>的得</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eastAsia="zh-CN"/>
              </w:rPr>
              <w:t>；</w:t>
            </w:r>
          </w:p>
          <w:p>
            <w:pPr>
              <w:spacing w:line="3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具有</w:t>
            </w:r>
            <w:r>
              <w:rPr>
                <w:rFonts w:hint="eastAsia" w:ascii="仿宋" w:hAnsi="仿宋" w:eastAsia="仿宋" w:cs="仿宋"/>
                <w:color w:val="auto"/>
                <w:sz w:val="24"/>
                <w:highlight w:val="none"/>
                <w:lang w:eastAsia="zh-CN"/>
              </w:rPr>
              <w:t>危害分析与关键控制点体系认证证书</w:t>
            </w:r>
            <w:r>
              <w:rPr>
                <w:rFonts w:hint="eastAsia" w:ascii="仿宋" w:hAnsi="仿宋" w:eastAsia="仿宋" w:cs="仿宋"/>
                <w:color w:val="auto"/>
                <w:sz w:val="24"/>
                <w:highlight w:val="none"/>
              </w:rPr>
              <w:t>的得</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p>
          <w:p>
            <w:pPr>
              <w:spacing w:line="3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具有</w:t>
            </w:r>
            <w:r>
              <w:rPr>
                <w:rFonts w:hint="eastAsia" w:ascii="仿宋" w:hAnsi="仿宋" w:eastAsia="仿宋" w:cs="仿宋"/>
                <w:color w:val="auto"/>
                <w:sz w:val="24"/>
                <w:highlight w:val="none"/>
                <w:lang w:eastAsia="zh-CN"/>
              </w:rPr>
              <w:t>有效</w:t>
            </w:r>
            <w:r>
              <w:rPr>
                <w:rFonts w:hint="eastAsia" w:ascii="仿宋" w:hAnsi="仿宋" w:eastAsia="仿宋" w:cs="仿宋"/>
                <w:color w:val="auto"/>
                <w:sz w:val="24"/>
                <w:highlight w:val="none"/>
              </w:rPr>
              <w:t>环境管理体系认证证书的得</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p>
          <w:p>
            <w:pPr>
              <w:spacing w:line="380" w:lineRule="exact"/>
              <w:jc w:val="left"/>
              <w:rPr>
                <w:rFonts w:hint="eastAsia" w:ascii="仿宋" w:hAnsi="仿宋" w:eastAsia="仿宋" w:cs="仿宋"/>
                <w:b/>
                <w:bCs/>
                <w:color w:val="auto"/>
                <w:kern w:val="2"/>
                <w:sz w:val="24"/>
                <w:szCs w:val="24"/>
                <w:highlight w:val="none"/>
                <w:u w:val="single"/>
                <w:lang w:val="en-US" w:eastAsia="zh-CN" w:bidi="ar-SA"/>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具有</w:t>
            </w:r>
            <w:r>
              <w:rPr>
                <w:rFonts w:hint="eastAsia" w:ascii="仿宋" w:hAnsi="仿宋" w:eastAsia="仿宋" w:cs="仿宋"/>
                <w:color w:val="auto"/>
                <w:sz w:val="24"/>
                <w:highlight w:val="none"/>
                <w:lang w:eastAsia="zh-CN"/>
              </w:rPr>
              <w:t>有效</w:t>
            </w:r>
            <w:r>
              <w:rPr>
                <w:rFonts w:hint="eastAsia" w:ascii="仿宋" w:hAnsi="仿宋" w:eastAsia="仿宋" w:cs="仿宋"/>
                <w:color w:val="auto"/>
                <w:sz w:val="24"/>
                <w:highlight w:val="none"/>
              </w:rPr>
              <w:t>供应链安全管理体系认证证书的得</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eastAsia="zh-CN"/>
              </w:rPr>
              <w:t>。</w:t>
            </w:r>
          </w:p>
          <w:p>
            <w:pPr>
              <w:pStyle w:val="16"/>
              <w:ind w:left="0" w:leftChars="0" w:firstLine="0" w:firstLineChars="0"/>
              <w:rPr>
                <w:rFonts w:hint="eastAsia" w:ascii="仿宋" w:hAnsi="仿宋" w:eastAsia="仿宋" w:cs="仿宋"/>
                <w:b/>
                <w:bCs/>
                <w:color w:val="auto"/>
                <w:sz w:val="24"/>
                <w:highlight w:val="none"/>
              </w:rPr>
            </w:pPr>
            <w:r>
              <w:rPr>
                <w:rFonts w:hint="eastAsia" w:ascii="仿宋" w:hAnsi="仿宋" w:eastAsia="仿宋" w:cs="仿宋"/>
                <w:b/>
                <w:bCs/>
                <w:color w:val="auto"/>
                <w:kern w:val="2"/>
                <w:sz w:val="24"/>
                <w:szCs w:val="24"/>
                <w:highlight w:val="none"/>
                <w:u w:val="single"/>
                <w:lang w:val="en-US" w:eastAsia="zh-CN" w:bidi="ar-SA"/>
              </w:rPr>
              <w:t>注：提供证书复印件或原件的扫描件并加盖供应商单位公章，否则不得分。</w:t>
            </w:r>
          </w:p>
        </w:tc>
        <w:tc>
          <w:tcPr>
            <w:tcW w:w="1043" w:type="dxa"/>
            <w:tcBorders>
              <w:top w:val="single" w:color="auto" w:sz="4" w:space="0"/>
              <w:left w:val="single" w:color="auto" w:sz="4" w:space="0"/>
              <w:bottom w:val="single" w:color="auto" w:sz="4" w:space="0"/>
              <w:right w:val="single" w:color="auto" w:sz="4" w:space="0"/>
            </w:tcBorders>
            <w:vAlign w:val="center"/>
          </w:tcPr>
          <w:p>
            <w:pPr>
              <w:pStyle w:val="14"/>
              <w:spacing w:line="380" w:lineRule="exact"/>
              <w:ind w:firstLine="0" w:firstLineChars="0"/>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0-6分</w:t>
            </w:r>
          </w:p>
        </w:tc>
      </w:tr>
    </w:tbl>
    <w:p>
      <w:pPr>
        <w:spacing w:line="540" w:lineRule="exact"/>
        <w:ind w:right="420" w:rightChars="200"/>
        <w:rPr>
          <w:rFonts w:ascii="仿宋" w:hAnsi="仿宋" w:eastAsia="仿宋" w:cs="仿宋"/>
          <w:color w:val="auto"/>
          <w:highlight w:val="none"/>
        </w:rPr>
      </w:pPr>
    </w:p>
    <w:sectPr>
      <w:headerReference r:id="rId4" w:type="default"/>
      <w:footerReference r:id="rId5" w:type="default"/>
      <w:pgSz w:w="11906" w:h="16838"/>
      <w:pgMar w:top="1134" w:right="1247" w:bottom="1032" w:left="1247" w:header="851" w:footer="85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page" w:x="6011" w:y="309"/>
      <w:rPr>
        <w:rStyle w:val="19"/>
        <w:rFonts w:hint="default"/>
        <w:lang w:val="en-US" w:eastAsia="zh-CN"/>
      </w:rPr>
    </w:pPr>
    <w:r>
      <w:fldChar w:fldCharType="begin"/>
    </w:r>
    <w:r>
      <w:rPr>
        <w:rStyle w:val="19"/>
      </w:rPr>
      <w:instrText xml:space="preserve">PAGE  </w:instrText>
    </w:r>
    <w:r>
      <w:fldChar w:fldCharType="separate"/>
    </w:r>
    <w:r>
      <w:rPr>
        <w:rStyle w:val="19"/>
      </w:rPr>
      <w:t>58</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1"/>
      </w:pBdr>
      <w:jc w:val="left"/>
      <w:rPr>
        <w:rFonts w:ascii="仿宋" w:hAnsi="仿宋" w:eastAsia="仿宋" w:cs="仿宋"/>
        <w:sz w:val="21"/>
        <w:szCs w:val="21"/>
      </w:rPr>
    </w:pPr>
    <w:r>
      <w:rPr>
        <w:rFonts w:hint="eastAsia" w:ascii="仿宋" w:hAnsi="仿宋" w:eastAsia="仿宋" w:cs="仿宋"/>
        <w:color w:val="000000"/>
        <w:sz w:val="21"/>
        <w:szCs w:val="21"/>
      </w:rPr>
      <w:t xml:space="preserve"> </w:t>
    </w:r>
    <w:r>
      <w:rPr>
        <w:rFonts w:hint="eastAsia" w:ascii="仿宋" w:hAnsi="仿宋" w:eastAsia="仿宋" w:cs="仿宋"/>
        <w:sz w:val="21"/>
        <w:szCs w:val="21"/>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1"/>
      </w:pBdr>
      <w:rPr>
        <w:rFonts w:hint="default"/>
        <w:lang w:val="en-US"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77F1145"/>
    <w:multiLevelType w:val="multilevel"/>
    <w:tmpl w:val="177F1145"/>
    <w:lvl w:ilvl="0" w:tentative="0">
      <w:start w:val="1"/>
      <w:numFmt w:val="japaneseCounting"/>
      <w:lvlText w:val="第%1章"/>
      <w:lvlJc w:val="left"/>
      <w:pPr>
        <w:ind w:left="1320" w:hanging="13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56B82435"/>
    <w:multiLevelType w:val="multilevel"/>
    <w:tmpl w:val="56B82435"/>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YwMzdlMDU1MTc1YzQ3NzExMmIxNTAyNDE2NzA4MjgifQ=="/>
  </w:docVars>
  <w:rsids>
    <w:rsidRoot w:val="00F624C8"/>
    <w:rsid w:val="00097F54"/>
    <w:rsid w:val="00C4329D"/>
    <w:rsid w:val="00D21FE4"/>
    <w:rsid w:val="00E95E6A"/>
    <w:rsid w:val="00F624C8"/>
    <w:rsid w:val="02973924"/>
    <w:rsid w:val="06BB3CE5"/>
    <w:rsid w:val="070B26EF"/>
    <w:rsid w:val="0771579B"/>
    <w:rsid w:val="082D0FEC"/>
    <w:rsid w:val="098853D4"/>
    <w:rsid w:val="09C223BF"/>
    <w:rsid w:val="0AB06A35"/>
    <w:rsid w:val="0AB12878"/>
    <w:rsid w:val="0B1008C8"/>
    <w:rsid w:val="0B683F57"/>
    <w:rsid w:val="0B6E767D"/>
    <w:rsid w:val="0BEB24AE"/>
    <w:rsid w:val="0C07111F"/>
    <w:rsid w:val="0C3969CD"/>
    <w:rsid w:val="0DA341AF"/>
    <w:rsid w:val="0DF3026D"/>
    <w:rsid w:val="0E4512A2"/>
    <w:rsid w:val="101B0939"/>
    <w:rsid w:val="10BB4DB5"/>
    <w:rsid w:val="11617E2F"/>
    <w:rsid w:val="12747CB6"/>
    <w:rsid w:val="12A72D69"/>
    <w:rsid w:val="1335758E"/>
    <w:rsid w:val="14E135FC"/>
    <w:rsid w:val="153B2D0D"/>
    <w:rsid w:val="15785598"/>
    <w:rsid w:val="15AE1224"/>
    <w:rsid w:val="15ED5270"/>
    <w:rsid w:val="16421097"/>
    <w:rsid w:val="16443A9D"/>
    <w:rsid w:val="168C118B"/>
    <w:rsid w:val="18801768"/>
    <w:rsid w:val="19183BAB"/>
    <w:rsid w:val="198B3C3B"/>
    <w:rsid w:val="1990646A"/>
    <w:rsid w:val="1B0A1100"/>
    <w:rsid w:val="1D1245DD"/>
    <w:rsid w:val="1EF6339E"/>
    <w:rsid w:val="1F2418C4"/>
    <w:rsid w:val="1F505D79"/>
    <w:rsid w:val="20922CB7"/>
    <w:rsid w:val="20A53B59"/>
    <w:rsid w:val="21320C7D"/>
    <w:rsid w:val="224A2BFB"/>
    <w:rsid w:val="22910880"/>
    <w:rsid w:val="22B125A2"/>
    <w:rsid w:val="22E352F2"/>
    <w:rsid w:val="232D20FA"/>
    <w:rsid w:val="237F7C33"/>
    <w:rsid w:val="23D1105D"/>
    <w:rsid w:val="25302054"/>
    <w:rsid w:val="270333F6"/>
    <w:rsid w:val="289831A1"/>
    <w:rsid w:val="28C21D21"/>
    <w:rsid w:val="28DE3252"/>
    <w:rsid w:val="291034CC"/>
    <w:rsid w:val="29B8498C"/>
    <w:rsid w:val="2A492A2D"/>
    <w:rsid w:val="2B0214BD"/>
    <w:rsid w:val="2B190124"/>
    <w:rsid w:val="2B911481"/>
    <w:rsid w:val="2C071115"/>
    <w:rsid w:val="2CBB6D5D"/>
    <w:rsid w:val="2EAB2B9C"/>
    <w:rsid w:val="2EF8624D"/>
    <w:rsid w:val="2EFB6551"/>
    <w:rsid w:val="31552F9F"/>
    <w:rsid w:val="317047B2"/>
    <w:rsid w:val="31CC6AA5"/>
    <w:rsid w:val="32A004DC"/>
    <w:rsid w:val="32FC24A2"/>
    <w:rsid w:val="33013677"/>
    <w:rsid w:val="333B3FD9"/>
    <w:rsid w:val="34F15104"/>
    <w:rsid w:val="3644211F"/>
    <w:rsid w:val="36D35A1E"/>
    <w:rsid w:val="37725351"/>
    <w:rsid w:val="379E1D8E"/>
    <w:rsid w:val="381A2417"/>
    <w:rsid w:val="39F64DC7"/>
    <w:rsid w:val="3A3A3B2A"/>
    <w:rsid w:val="3A4C711F"/>
    <w:rsid w:val="3B3910A0"/>
    <w:rsid w:val="3B646736"/>
    <w:rsid w:val="3C715498"/>
    <w:rsid w:val="3C8D63B2"/>
    <w:rsid w:val="3D5D60A8"/>
    <w:rsid w:val="3DC201B3"/>
    <w:rsid w:val="3DC924E9"/>
    <w:rsid w:val="3DFE4168"/>
    <w:rsid w:val="3F42139D"/>
    <w:rsid w:val="3FD50691"/>
    <w:rsid w:val="413127D1"/>
    <w:rsid w:val="42D9110E"/>
    <w:rsid w:val="43E53585"/>
    <w:rsid w:val="44D07F90"/>
    <w:rsid w:val="464B3AF8"/>
    <w:rsid w:val="470775A3"/>
    <w:rsid w:val="480C5D35"/>
    <w:rsid w:val="486B1FD7"/>
    <w:rsid w:val="4A1C197E"/>
    <w:rsid w:val="4A8065F0"/>
    <w:rsid w:val="4AD61D61"/>
    <w:rsid w:val="4B5160DF"/>
    <w:rsid w:val="4B91271A"/>
    <w:rsid w:val="4BB900ED"/>
    <w:rsid w:val="4BF60E13"/>
    <w:rsid w:val="4CA54934"/>
    <w:rsid w:val="4D060757"/>
    <w:rsid w:val="4DB73B3A"/>
    <w:rsid w:val="4E094FEC"/>
    <w:rsid w:val="4E0B4E03"/>
    <w:rsid w:val="4E213FB1"/>
    <w:rsid w:val="4E4F0433"/>
    <w:rsid w:val="4EF05333"/>
    <w:rsid w:val="4F0E0B39"/>
    <w:rsid w:val="4F204746"/>
    <w:rsid w:val="4F5C3E56"/>
    <w:rsid w:val="4F945088"/>
    <w:rsid w:val="52103846"/>
    <w:rsid w:val="524D4E26"/>
    <w:rsid w:val="52DF5181"/>
    <w:rsid w:val="53090C02"/>
    <w:rsid w:val="532F71C7"/>
    <w:rsid w:val="53312089"/>
    <w:rsid w:val="56950945"/>
    <w:rsid w:val="571A6483"/>
    <w:rsid w:val="57231423"/>
    <w:rsid w:val="577913BD"/>
    <w:rsid w:val="57862D68"/>
    <w:rsid w:val="57F62CC3"/>
    <w:rsid w:val="58505A1D"/>
    <w:rsid w:val="585322D1"/>
    <w:rsid w:val="5871327B"/>
    <w:rsid w:val="58991383"/>
    <w:rsid w:val="58D03A3A"/>
    <w:rsid w:val="5B5B7E08"/>
    <w:rsid w:val="5B78539F"/>
    <w:rsid w:val="5C1C6ED3"/>
    <w:rsid w:val="5C9E12F2"/>
    <w:rsid w:val="5D48491D"/>
    <w:rsid w:val="5D7F13FC"/>
    <w:rsid w:val="5DCE690D"/>
    <w:rsid w:val="5E2F1776"/>
    <w:rsid w:val="5E2F7B4C"/>
    <w:rsid w:val="5F641286"/>
    <w:rsid w:val="5FDF30D5"/>
    <w:rsid w:val="5FEE72CA"/>
    <w:rsid w:val="61C22FE5"/>
    <w:rsid w:val="61E27004"/>
    <w:rsid w:val="620B4C69"/>
    <w:rsid w:val="630949D6"/>
    <w:rsid w:val="645D3FD0"/>
    <w:rsid w:val="660A216B"/>
    <w:rsid w:val="66884DA7"/>
    <w:rsid w:val="66E52CB4"/>
    <w:rsid w:val="66F652E5"/>
    <w:rsid w:val="67211A33"/>
    <w:rsid w:val="67562CB8"/>
    <w:rsid w:val="694C6837"/>
    <w:rsid w:val="69EA47B6"/>
    <w:rsid w:val="6AB956BB"/>
    <w:rsid w:val="6ACE0985"/>
    <w:rsid w:val="6B6C2B09"/>
    <w:rsid w:val="6BA82C30"/>
    <w:rsid w:val="6C2E4B41"/>
    <w:rsid w:val="6C5C4853"/>
    <w:rsid w:val="6C5C48FC"/>
    <w:rsid w:val="6CC11081"/>
    <w:rsid w:val="6CF13D2F"/>
    <w:rsid w:val="6D3558E2"/>
    <w:rsid w:val="6DF02DDA"/>
    <w:rsid w:val="6E37145A"/>
    <w:rsid w:val="6E894A29"/>
    <w:rsid w:val="6E97376B"/>
    <w:rsid w:val="70A96034"/>
    <w:rsid w:val="70C97D28"/>
    <w:rsid w:val="70F8352F"/>
    <w:rsid w:val="717A762F"/>
    <w:rsid w:val="71872858"/>
    <w:rsid w:val="72410498"/>
    <w:rsid w:val="72515C8C"/>
    <w:rsid w:val="73225CA8"/>
    <w:rsid w:val="74330669"/>
    <w:rsid w:val="745E1F0D"/>
    <w:rsid w:val="74A44223"/>
    <w:rsid w:val="74A67F54"/>
    <w:rsid w:val="778F2812"/>
    <w:rsid w:val="77BD19D3"/>
    <w:rsid w:val="78B64B97"/>
    <w:rsid w:val="78E63D42"/>
    <w:rsid w:val="7A7D5833"/>
    <w:rsid w:val="7A994DA7"/>
    <w:rsid w:val="7CC01B5A"/>
    <w:rsid w:val="7D246948"/>
    <w:rsid w:val="7D511C84"/>
    <w:rsid w:val="7DB23A4C"/>
    <w:rsid w:val="7EC148B6"/>
    <w:rsid w:val="7F896E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autoRedefine/>
    <w:qFormat/>
    <w:uiPriority w:val="0"/>
    <w:pPr>
      <w:keepNext/>
      <w:keepLines/>
      <w:spacing w:line="578" w:lineRule="auto"/>
      <w:outlineLvl w:val="0"/>
    </w:pPr>
    <w:rPr>
      <w:b/>
      <w:bCs/>
      <w:kern w:val="44"/>
      <w:sz w:val="44"/>
      <w:szCs w:val="44"/>
    </w:rPr>
  </w:style>
  <w:style w:type="paragraph" w:styleId="3">
    <w:name w:val="heading 2"/>
    <w:basedOn w:val="1"/>
    <w:next w:val="1"/>
    <w:autoRedefine/>
    <w:qFormat/>
    <w:uiPriority w:val="0"/>
    <w:pPr>
      <w:keepNext/>
      <w:keepLines/>
      <w:spacing w:line="416" w:lineRule="auto"/>
      <w:outlineLvl w:val="1"/>
    </w:pPr>
    <w:rPr>
      <w:rFonts w:ascii="Arial" w:hAnsi="Arial" w:eastAsia="黑体"/>
      <w:b/>
      <w:bCs/>
      <w:sz w:val="32"/>
      <w:szCs w:val="32"/>
    </w:rPr>
  </w:style>
  <w:style w:type="character" w:default="1" w:styleId="18">
    <w:name w:val="Default Paragraph Font"/>
    <w:autoRedefine/>
    <w:semiHidden/>
    <w:unhideWhenUsed/>
    <w:qFormat/>
    <w:uiPriority w:val="1"/>
  </w:style>
  <w:style w:type="table" w:default="1" w:styleId="17">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ind w:firstLine="420"/>
    </w:pPr>
    <w:rPr>
      <w:szCs w:val="20"/>
    </w:rPr>
  </w:style>
  <w:style w:type="paragraph" w:styleId="5">
    <w:name w:val="caption"/>
    <w:basedOn w:val="1"/>
    <w:next w:val="1"/>
    <w:autoRedefine/>
    <w:qFormat/>
    <w:uiPriority w:val="0"/>
    <w:rPr>
      <w:rFonts w:ascii="Arial" w:hAnsi="Arial" w:eastAsia="黑体"/>
      <w:sz w:val="20"/>
      <w:szCs w:val="20"/>
    </w:rPr>
  </w:style>
  <w:style w:type="paragraph" w:styleId="6">
    <w:name w:val="toa heading"/>
    <w:basedOn w:val="1"/>
    <w:next w:val="1"/>
    <w:autoRedefine/>
    <w:qFormat/>
    <w:uiPriority w:val="0"/>
    <w:pPr>
      <w:spacing w:before="120"/>
    </w:pPr>
    <w:rPr>
      <w:rFonts w:ascii="Arial" w:hAnsi="Arial"/>
      <w:sz w:val="24"/>
    </w:rPr>
  </w:style>
  <w:style w:type="paragraph" w:styleId="7">
    <w:name w:val="annotation text"/>
    <w:basedOn w:val="1"/>
    <w:autoRedefine/>
    <w:qFormat/>
    <w:uiPriority w:val="0"/>
    <w:pPr>
      <w:jc w:val="left"/>
    </w:pPr>
  </w:style>
  <w:style w:type="paragraph" w:styleId="8">
    <w:name w:val="Body Text"/>
    <w:basedOn w:val="1"/>
    <w:next w:val="1"/>
    <w:autoRedefine/>
    <w:qFormat/>
    <w:uiPriority w:val="0"/>
    <w:rPr>
      <w:rFonts w:ascii="宋体" w:hAnsi="宋体"/>
      <w:sz w:val="28"/>
    </w:rPr>
  </w:style>
  <w:style w:type="paragraph" w:styleId="9">
    <w:name w:val="Body Text Indent"/>
    <w:basedOn w:val="1"/>
    <w:next w:val="1"/>
    <w:autoRedefine/>
    <w:qFormat/>
    <w:uiPriority w:val="0"/>
    <w:pPr>
      <w:spacing w:line="360" w:lineRule="auto"/>
      <w:ind w:firstLine="600" w:firstLineChars="200"/>
    </w:pPr>
    <w:rPr>
      <w:rFonts w:ascii="仿宋_GB2312" w:hAnsi="宋体" w:eastAsia="仿宋_GB2312"/>
      <w:sz w:val="30"/>
    </w:rPr>
  </w:style>
  <w:style w:type="paragraph" w:styleId="10">
    <w:name w:val="Block Text"/>
    <w:basedOn w:val="1"/>
    <w:autoRedefine/>
    <w:qFormat/>
    <w:uiPriority w:val="99"/>
    <w:pPr>
      <w:adjustRightInd w:val="0"/>
      <w:ind w:left="420" w:right="33"/>
      <w:textAlignment w:val="baseline"/>
    </w:pPr>
    <w:rPr>
      <w:sz w:val="24"/>
    </w:rPr>
  </w:style>
  <w:style w:type="paragraph" w:styleId="11">
    <w:name w:val="Plain Text"/>
    <w:basedOn w:val="1"/>
    <w:next w:val="1"/>
    <w:autoRedefine/>
    <w:qFormat/>
    <w:uiPriority w:val="0"/>
    <w:pPr>
      <w:spacing w:beforeLines="50" w:afterLines="50" w:line="400" w:lineRule="exact"/>
    </w:pPr>
    <w:rPr>
      <w:rFonts w:ascii="宋体" w:hAnsi="Courier New"/>
      <w:sz w:val="24"/>
    </w:rPr>
  </w:style>
  <w:style w:type="paragraph" w:styleId="12">
    <w:name w:val="footer"/>
    <w:basedOn w:val="1"/>
    <w:autoRedefine/>
    <w:qFormat/>
    <w:uiPriority w:val="99"/>
    <w:pPr>
      <w:tabs>
        <w:tab w:val="center" w:pos="4153"/>
        <w:tab w:val="right" w:pos="8306"/>
      </w:tabs>
      <w:snapToGrid w:val="0"/>
      <w:jc w:val="left"/>
    </w:pPr>
    <w:rPr>
      <w:sz w:val="18"/>
      <w:szCs w:val="18"/>
    </w:rPr>
  </w:style>
  <w:style w:type="paragraph" w:styleId="13">
    <w:name w:val="header"/>
    <w:basedOn w:val="1"/>
    <w:autoRedefine/>
    <w:qFormat/>
    <w:uiPriority w:val="99"/>
    <w:pPr>
      <w:pBdr>
        <w:bottom w:val="single" w:color="auto" w:sz="6" w:space="1"/>
      </w:pBdr>
      <w:tabs>
        <w:tab w:val="center" w:pos="4153"/>
        <w:tab w:val="right" w:pos="8306"/>
      </w:tabs>
      <w:adjustRightInd w:val="0"/>
      <w:snapToGrid w:val="0"/>
      <w:spacing w:line="240" w:lineRule="atLeast"/>
      <w:jc w:val="center"/>
      <w:textAlignment w:val="baseline"/>
    </w:pPr>
    <w:rPr>
      <w:rFonts w:ascii="宋体"/>
      <w:kern w:val="0"/>
      <w:sz w:val="18"/>
      <w:szCs w:val="20"/>
    </w:rPr>
  </w:style>
  <w:style w:type="paragraph" w:styleId="14">
    <w:name w:val="Body Text Indent 3"/>
    <w:basedOn w:val="1"/>
    <w:autoRedefine/>
    <w:qFormat/>
    <w:uiPriority w:val="99"/>
    <w:pPr>
      <w:spacing w:line="500" w:lineRule="atLeast"/>
      <w:ind w:firstLine="720" w:firstLineChars="300"/>
    </w:pPr>
    <w:rPr>
      <w:rFonts w:ascii="Times New Roman" w:hAnsi="Times New Roman"/>
      <w:sz w:val="24"/>
    </w:rPr>
  </w:style>
  <w:style w:type="paragraph" w:styleId="15">
    <w:name w:val="Body Text First Indent"/>
    <w:basedOn w:val="8"/>
    <w:next w:val="1"/>
    <w:autoRedefine/>
    <w:qFormat/>
    <w:uiPriority w:val="0"/>
    <w:pPr>
      <w:spacing w:line="312" w:lineRule="auto"/>
      <w:ind w:firstLine="420"/>
    </w:pPr>
  </w:style>
  <w:style w:type="paragraph" w:styleId="16">
    <w:name w:val="Body Text First Indent 2"/>
    <w:basedOn w:val="9"/>
    <w:next w:val="15"/>
    <w:autoRedefine/>
    <w:qFormat/>
    <w:uiPriority w:val="99"/>
    <w:pPr>
      <w:tabs>
        <w:tab w:val="left" w:pos="0"/>
        <w:tab w:val="left" w:pos="993"/>
        <w:tab w:val="left" w:pos="1134"/>
      </w:tabs>
      <w:spacing w:after="120" w:line="240" w:lineRule="auto"/>
      <w:ind w:left="420" w:leftChars="200" w:firstLine="420"/>
    </w:pPr>
    <w:rPr>
      <w:sz w:val="21"/>
      <w:szCs w:val="21"/>
    </w:rPr>
  </w:style>
  <w:style w:type="character" w:styleId="19">
    <w:name w:val="page number"/>
    <w:autoRedefine/>
    <w:qFormat/>
    <w:uiPriority w:val="0"/>
  </w:style>
  <w:style w:type="character" w:styleId="20">
    <w:name w:val="Hyperlink"/>
    <w:autoRedefine/>
    <w:qFormat/>
    <w:uiPriority w:val="99"/>
    <w:rPr>
      <w:color w:val="1F1F1F"/>
      <w:u w:val="none"/>
    </w:rPr>
  </w:style>
  <w:style w:type="character" w:styleId="21">
    <w:name w:val="annotation reference"/>
    <w:basedOn w:val="18"/>
    <w:autoRedefine/>
    <w:qFormat/>
    <w:uiPriority w:val="0"/>
    <w:rPr>
      <w:sz w:val="21"/>
      <w:szCs w:val="21"/>
    </w:rPr>
  </w:style>
  <w:style w:type="paragraph" w:customStyle="1" w:styleId="22">
    <w:name w:val="Default"/>
    <w:next w:val="1"/>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23">
    <w:name w:val="reader-word-laye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4">
    <w:name w:val="BodyText1I2"/>
    <w:basedOn w:val="25"/>
    <w:autoRedefine/>
    <w:qFormat/>
    <w:uiPriority w:val="0"/>
    <w:pPr>
      <w:tabs>
        <w:tab w:val="left" w:pos="720"/>
        <w:tab w:val="left" w:pos="1260"/>
        <w:tab w:val="left" w:pos="2160"/>
        <w:tab w:val="left" w:pos="2880"/>
        <w:tab w:val="left" w:pos="3600"/>
        <w:tab w:val="left" w:pos="4320"/>
        <w:tab w:val="left" w:pos="5040"/>
        <w:tab w:val="left" w:pos="5760"/>
      </w:tabs>
      <w:ind w:firstLine="210"/>
    </w:pPr>
    <w:rPr>
      <w:szCs w:val="24"/>
    </w:rPr>
  </w:style>
  <w:style w:type="paragraph" w:customStyle="1" w:styleId="25">
    <w:name w:val="BodyTextIndent"/>
    <w:basedOn w:val="1"/>
    <w:autoRedefine/>
    <w:qFormat/>
    <w:uiPriority w:val="0"/>
    <w:pPr>
      <w:widowControl/>
      <w:tabs>
        <w:tab w:val="left" w:pos="720"/>
        <w:tab w:val="left" w:pos="1260"/>
        <w:tab w:val="left" w:pos="2160"/>
        <w:tab w:val="left" w:pos="2880"/>
        <w:tab w:val="left" w:pos="3600"/>
        <w:tab w:val="left" w:pos="4320"/>
        <w:tab w:val="left" w:pos="5040"/>
        <w:tab w:val="left" w:pos="5760"/>
      </w:tabs>
      <w:spacing w:line="360" w:lineRule="auto"/>
      <w:ind w:right="25" w:rightChars="12" w:firstLine="720" w:firstLineChars="300"/>
      <w:jc w:val="left"/>
      <w:textAlignment w:val="baseline"/>
    </w:pPr>
    <w:rPr>
      <w:rFonts w:ascii="宋体"/>
      <w:color w:val="000000"/>
      <w:kern w:val="0"/>
      <w:sz w:val="24"/>
      <w:szCs w:val="20"/>
    </w:rPr>
  </w:style>
  <w:style w:type="paragraph" w:customStyle="1" w:styleId="26">
    <w:name w:val="Table Paragraph"/>
    <w:basedOn w:val="1"/>
    <w:autoRedefine/>
    <w:qFormat/>
    <w:uiPriority w:val="1"/>
  </w:style>
  <w:style w:type="paragraph" w:styleId="27">
    <w:name w:val="List Paragraph"/>
    <w:basedOn w:val="1"/>
    <w:autoRedefine/>
    <w:qFormat/>
    <w:uiPriority w:val="0"/>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64</Pages>
  <Words>35448</Words>
  <Characters>37373</Characters>
  <Lines>222</Lines>
  <Paragraphs>62</Paragraphs>
  <TotalTime>183</TotalTime>
  <ScaleCrop>false</ScaleCrop>
  <LinksUpToDate>false</LinksUpToDate>
  <CharactersWithSpaces>38675</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2021-05-17T02:32:00Z</dcterms:created>
  <dc:creator>Administrator.PC-20160716QTOZ</dc:creator>
  <cp:lastModifiedBy>Administrator</cp:lastModifiedBy>
  <dcterms:modified xsi:type="dcterms:W3CDTF">2024-01-12T05:31:15Z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BA2642E4EE394F15BEB223E1FA4122BB_13</vt:lpwstr>
  </property>
  <property fmtid="{D5CDD505-2E9C-101B-9397-08002B2CF9AE}" pid="4" name="KSOSaveFontToCloudKey">
    <vt:lpwstr>240195731_btnclosed</vt:lpwstr>
  </property>
</Properties>
</file>