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both"/>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环境影响评价文件技术评估及编制质量抽查技术服务项目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编号:HZTH-HZSTJ-202401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采购单位:</w:t>
      </w:r>
      <w:r>
        <w:rPr>
          <w:rFonts w:hint="eastAsia"/>
          <w:color w:val="auto"/>
          <w:highlight w:val="none"/>
        </w:rPr>
        <w:t xml:space="preserve"> </w:t>
      </w:r>
      <w:r>
        <w:rPr>
          <w:rFonts w:hint="eastAsia" w:ascii="宋体" w:hAnsi="宋体" w:cs="宋体"/>
          <w:color w:val="auto"/>
          <w:sz w:val="32"/>
          <w:szCs w:val="32"/>
          <w:highlight w:val="none"/>
        </w:rPr>
        <w:t>杭州市生态环境局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采购代理机构:杭州天恒投资建设管理有限公司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28</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6"/>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环境影响评价文件技术评估及编制质量抽查技术服务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Style w:val="76"/>
          <w:rFonts w:hint="eastAsia" w:ascii="宋体" w:hAnsi="宋体" w:eastAsia="宋体" w:cs="宋体"/>
          <w:snapToGrid/>
          <w:color w:val="auto"/>
          <w:kern w:val="2"/>
          <w:sz w:val="24"/>
          <w:szCs w:val="24"/>
          <w:highlight w:val="none"/>
        </w:rPr>
        <w:t>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b/>
          <w:color w:val="auto"/>
          <w:sz w:val="24"/>
          <w:highlight w:val="none"/>
        </w:rPr>
        <w:t>项目编号：</w:t>
      </w:r>
      <w:r>
        <w:rPr>
          <w:rFonts w:ascii="宋体" w:hAnsi="宋体" w:cs="宋体"/>
          <w:color w:val="auto"/>
          <w:sz w:val="24"/>
          <w:highlight w:val="none"/>
        </w:rPr>
        <w:t>HZTH-HZSTJ-202401</w:t>
      </w:r>
    </w:p>
    <w:p>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环境影响评价文件技术评估及编制质量抽查技术服务</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预算金额（元）：1300000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最高限价（元）：1300000</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rPr>
        <w:t>环境影响评价文件技术评估及编制质量抽查技术服务</w:t>
      </w:r>
      <w:r>
        <w:rPr>
          <w:rFonts w:hint="eastAsia" w:hAnsi="宋体" w:cs="宋体"/>
          <w:bCs/>
          <w:snapToGrid/>
          <w:color w:val="auto"/>
          <w:kern w:val="2"/>
          <w:sz w:val="24"/>
          <w:szCs w:val="24"/>
          <w:highlight w:val="none"/>
        </w:rPr>
        <w:t>主要内容：</w:t>
      </w:r>
      <w:r>
        <w:rPr>
          <w:rFonts w:hint="eastAsia" w:hAnsi="宋体" w:cs="宋体"/>
          <w:color w:val="auto"/>
          <w:sz w:val="24"/>
          <w:highlight w:val="none"/>
        </w:rPr>
        <w:t>环境影响评价文件技术评估及编制质量抽查技术服务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自签订合同起至2024年11月30日</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2138697"/>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2138699"/>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根据《建设项目环境影响报告书（表）编制监督管理办法》第九条第二款第四项“受生态环境主管部门或者其他负责审批环境影响报告书（表）的审批部门委托，开展环境影响报告书（表）技术评估的单位”不得作为技术单位编制环境影响报告书（表）；</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tabs>
          <w:tab w:val="left" w:pos="426"/>
        </w:tabs>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名    称：杭州市生态环境局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址：杭州市上城区钱环路160号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艾工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87008660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87008694</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称：杭州天恒投资建设管理有限公司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址：杭州市上城区三里亭路77号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许钰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项目联系方式（询问）：15968892889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潘刚</w:t>
      </w:r>
    </w:p>
    <w:p>
      <w:pPr>
        <w:spacing w:line="360" w:lineRule="auto"/>
        <w:rPr>
          <w:rFonts w:ascii="宋体" w:hAnsi="宋体" w:cs="宋体"/>
          <w:color w:val="auto"/>
          <w:sz w:val="24"/>
          <w:highlight w:val="none"/>
          <w:lang w:eastAsia="zh-TW"/>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0571-86413011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环境影响评价文件技术评估及编制质量抽查技术服务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其他未列明行业（科学研究和技术服务业）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软硬件提供等</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3870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3870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3870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杭州市上城区三里亭路77号前台</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许钰、15968892889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bCs/>
                <w:color w:val="auto"/>
                <w:kern w:val="10"/>
                <w:sz w:val="24"/>
                <w:highlight w:val="none"/>
              </w:rPr>
            </w:pPr>
            <w:r>
              <w:rPr>
                <w:rFonts w:hint="eastAsia" w:cs="Arial" w:asciiTheme="minorEastAsia" w:hAnsiTheme="minorEastAsia" w:eastAsiaTheme="minorEastAsia"/>
                <w:color w:val="auto"/>
                <w:kern w:val="0"/>
                <w:sz w:val="24"/>
                <w:highlight w:val="none"/>
              </w:rPr>
              <w:t>采购代理服务费：</w:t>
            </w:r>
            <w:r>
              <w:rPr>
                <w:rFonts w:hint="eastAsia" w:ascii="宋体" w:hAnsi="宋体"/>
                <w:bCs/>
                <w:color w:val="auto"/>
                <w:kern w:val="10"/>
                <w:sz w:val="24"/>
                <w:highlight w:val="none"/>
              </w:rPr>
              <w:t>本次采购代理服务费由中标人支付。</w:t>
            </w:r>
            <w:r>
              <w:rPr>
                <w:rFonts w:hint="eastAsia" w:ascii="宋体" w:hAnsi="宋体" w:cs="宋体"/>
                <w:snapToGrid w:val="0"/>
                <w:color w:val="auto"/>
                <w:kern w:val="28"/>
                <w:sz w:val="24"/>
                <w:highlight w:val="none"/>
              </w:rPr>
              <w:t>以中标金额为计算基数，</w:t>
            </w:r>
            <w:r>
              <w:rPr>
                <w:rFonts w:hint="eastAsia" w:ascii="宋体" w:hAnsi="宋体"/>
                <w:color w:val="auto"/>
                <w:spacing w:val="-4"/>
                <w:sz w:val="24"/>
                <w:highlight w:val="none"/>
              </w:rPr>
              <w:t>按计价格［2002］1980号《招标代理服务收费管理暂行办法》收费标准进行收取，不足陆仟元按陆仟元收取。</w:t>
            </w:r>
            <w:r>
              <w:rPr>
                <w:rFonts w:hint="eastAsia" w:ascii="宋体" w:hAnsi="宋体"/>
                <w:bCs/>
                <w:color w:val="auto"/>
                <w:kern w:val="10"/>
                <w:sz w:val="24"/>
                <w:highlight w:val="none"/>
              </w:rPr>
              <w:t>采购代理服务费包含在投标总价中，由中标人在接到中标通知书时以人民币方式向采购代理机构一次性支付。</w:t>
            </w:r>
          </w:p>
          <w:p>
            <w:pPr>
              <w:spacing w:line="360" w:lineRule="auto"/>
              <w:rPr>
                <w:rFonts w:ascii="宋体" w:hAnsi="宋体"/>
                <w:bCs/>
                <w:color w:val="auto"/>
                <w:kern w:val="10"/>
                <w:sz w:val="24"/>
                <w:highlight w:val="none"/>
              </w:rPr>
            </w:pPr>
            <w:r>
              <w:rPr>
                <w:rFonts w:hint="eastAsia" w:ascii="宋体" w:hAnsi="宋体"/>
                <w:bCs/>
                <w:color w:val="auto"/>
                <w:kern w:val="10"/>
                <w:sz w:val="24"/>
                <w:highlight w:val="none"/>
              </w:rPr>
              <w:t>相关信息如下：</w:t>
            </w:r>
          </w:p>
          <w:p>
            <w:pPr>
              <w:spacing w:line="360" w:lineRule="auto"/>
              <w:rPr>
                <w:rFonts w:ascii="宋体" w:hAnsi="宋体"/>
                <w:bCs/>
                <w:color w:val="auto"/>
                <w:kern w:val="10"/>
                <w:sz w:val="24"/>
                <w:highlight w:val="none"/>
              </w:rPr>
            </w:pPr>
            <w:r>
              <w:rPr>
                <w:rFonts w:hint="eastAsia" w:ascii="宋体" w:hAnsi="宋体"/>
                <w:bCs/>
                <w:color w:val="auto"/>
                <w:kern w:val="10"/>
                <w:sz w:val="24"/>
                <w:highlight w:val="none"/>
              </w:rPr>
              <w:t>收款单位（户名）：杭州天恒投资建设管理有限公司</w:t>
            </w:r>
          </w:p>
          <w:p>
            <w:pPr>
              <w:spacing w:line="360" w:lineRule="auto"/>
              <w:rPr>
                <w:rFonts w:ascii="宋体" w:hAnsi="宋体"/>
                <w:bCs/>
                <w:color w:val="auto"/>
                <w:kern w:val="10"/>
                <w:sz w:val="24"/>
                <w:highlight w:val="none"/>
              </w:rPr>
            </w:pPr>
            <w:r>
              <w:rPr>
                <w:rFonts w:hint="eastAsia" w:ascii="宋体" w:hAnsi="宋体"/>
                <w:bCs/>
                <w:color w:val="auto"/>
                <w:kern w:val="10"/>
                <w:sz w:val="24"/>
                <w:highlight w:val="none"/>
              </w:rPr>
              <w:t xml:space="preserve">开户银行：农行杭州朝晖支行                            </w:t>
            </w:r>
          </w:p>
          <w:p>
            <w:pPr>
              <w:spacing w:line="360" w:lineRule="auto"/>
              <w:rPr>
                <w:rFonts w:cs="Arial" w:asciiTheme="minorEastAsia" w:hAnsiTheme="minorEastAsia" w:eastAsiaTheme="minorEastAsia"/>
                <w:color w:val="auto"/>
                <w:kern w:val="0"/>
                <w:sz w:val="24"/>
                <w:highlight w:val="none"/>
              </w:rPr>
            </w:pPr>
            <w:r>
              <w:rPr>
                <w:rFonts w:hint="eastAsia" w:ascii="宋体" w:hAnsi="宋体"/>
                <w:bCs/>
                <w:color w:val="auto"/>
                <w:kern w:val="10"/>
                <w:sz w:val="24"/>
                <w:highlight w:val="none"/>
              </w:rPr>
              <w:t>银行账号：</w:t>
            </w:r>
            <w:r>
              <w:rPr>
                <w:rFonts w:ascii="宋体" w:hAnsi="宋体"/>
                <w:bCs/>
                <w:color w:val="auto"/>
                <w:kern w:val="10"/>
                <w:sz w:val="24"/>
                <w:highlight w:val="none"/>
              </w:rPr>
              <w:t xml:space="preserve">19015601040001750   </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1" w:name="第三部分"/>
      <w:bookmarkStart w:id="12" w:name="_Toc164416483"/>
      <w:r>
        <w:rPr>
          <w:rFonts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auto"/>
          <w:highlight w:val="none"/>
        </w:rPr>
      </w:pPr>
      <w:r>
        <w:rPr>
          <w:rFonts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rPr>
        <w:t>采购人应当贯彻落实知识产权保护相关法律法规，应当采购使用正版软件。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 xml:space="preserve">4.5 </w:t>
      </w:r>
      <w:r>
        <w:rPr>
          <w:rFonts w:hint="eastAsia" w:ascii="宋体" w:hAnsi="宋体" w:cs="仿宋"/>
          <w:color w:val="auto"/>
          <w:sz w:val="24"/>
          <w:highlight w:val="none"/>
        </w:rPr>
        <w:t>补偿救济</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highlight w:val="none"/>
        </w:rPr>
      </w:pP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pStyle w:val="5"/>
        <w:adjustRightInd w:val="0"/>
        <w:ind w:left="0" w:firstLine="960" w:firstLineChars="400"/>
        <w:rPr>
          <w:color w:val="auto"/>
          <w:highlight w:val="none"/>
        </w:rPr>
      </w:pPr>
      <w:r>
        <w:rPr>
          <w:rFonts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napToGrid w:val="0"/>
        <w:spacing w:before="0"/>
        <w:ind w:firstLine="480"/>
        <w:rPr>
          <w:rFonts w:ascii="宋体" w:hAnsi="宋体" w:cs="宋体"/>
          <w:color w:val="auto"/>
          <w:highlight w:val="none"/>
        </w:rPr>
      </w:pPr>
      <w:r>
        <w:rPr>
          <w:rFonts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pStyle w:val="130"/>
        <w:snapToGrid w:val="0"/>
        <w:spacing w:before="0"/>
        <w:ind w:firstLine="482"/>
        <w:rPr>
          <w:rStyle w:val="78"/>
          <w:color w:val="auto"/>
          <w:highlight w:val="none"/>
        </w:rPr>
      </w:pPr>
      <w:r>
        <w:rPr>
          <w:rFonts w:hint="eastAsia" w:ascii="宋体" w:hAnsi="宋体" w:cs="宋体"/>
          <w:b/>
          <w:color w:val="auto"/>
          <w:szCs w:val="24"/>
          <w:highlight w:val="none"/>
        </w:rPr>
        <w:t>23.4</w:t>
      </w:r>
      <w:r>
        <w:rPr>
          <w:rFonts w:hint="eastAsia" w:ascii="宋体" w:hAnsi="宋体" w:cs="宋体"/>
          <w:bCs/>
          <w:color w:val="auto"/>
          <w:szCs w:val="24"/>
          <w:highlight w:val="none"/>
        </w:rPr>
        <w:t>由于中标、成交供应商原因导致重新采购的，应当承担支付代理费和专家评审费等费用在内的赔偿责任。</w:t>
      </w:r>
    </w:p>
    <w:p>
      <w:pPr>
        <w:pStyle w:val="79"/>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 xml:space="preserve">30.5 </w:t>
      </w:r>
      <w:r>
        <w:rPr>
          <w:rFonts w:hint="eastAsia" w:ascii="宋体" w:hAnsi="宋体" w:eastAsia="宋体" w:cs="宋体"/>
          <w:b w:val="0"/>
          <w:bCs w:val="0"/>
          <w:color w:val="auto"/>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rPr>
        <w:t>合同管理</w:t>
      </w:r>
      <w:r>
        <w:rPr>
          <w:rFonts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rPr>
        <w:t>人应当按规定做好审核并完成支付。</w:t>
      </w:r>
    </w:p>
    <w:p>
      <w:pPr>
        <w:pStyle w:val="79"/>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8"/>
      <w:bookmarkEnd w:id="16"/>
      <w:bookmarkStart w:id="17" w:name="_Hlt68403820"/>
      <w:bookmarkEnd w:id="17"/>
      <w:bookmarkStart w:id="18" w:name="_Hlt75236290"/>
      <w:bookmarkEnd w:id="18"/>
      <w:bookmarkStart w:id="19" w:name="_Hlt74730295"/>
      <w:bookmarkEnd w:id="19"/>
      <w:bookmarkStart w:id="20" w:name="_Hlt74729768"/>
      <w:bookmarkEnd w:id="20"/>
      <w:bookmarkStart w:id="21" w:name="_Hlt68057669"/>
      <w:bookmarkEnd w:id="21"/>
      <w:bookmarkStart w:id="22" w:name="_Hlt75236011"/>
      <w:bookmarkEnd w:id="22"/>
      <w:bookmarkStart w:id="23" w:name="_Hlt68072990"/>
      <w:bookmarkEnd w:id="23"/>
      <w:bookmarkStart w:id="24" w:name="_Hlt74707468"/>
      <w:bookmarkEnd w:id="24"/>
      <w:bookmarkStart w:id="25" w:name="_Hlt75236101"/>
      <w:bookmarkEnd w:id="25"/>
      <w:bookmarkStart w:id="26" w:name="_Hlt68073093"/>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widowControl/>
        <w:adjustRightInd/>
        <w:spacing w:line="360" w:lineRule="auto"/>
        <w:jc w:val="left"/>
        <w:rPr>
          <w:rFonts w:ascii="宋体" w:hAnsi="宋体" w:cs="宋体"/>
          <w:color w:val="auto"/>
          <w:sz w:val="24"/>
          <w:highlight w:val="none"/>
        </w:rPr>
      </w:pPr>
      <w:r>
        <w:rPr>
          <w:rFonts w:hint="eastAsia" w:ascii="宋体" w:hAnsi="宋体" w:cs="宋体"/>
          <w:b/>
          <w:color w:val="auto"/>
          <w:kern w:val="0"/>
          <w:sz w:val="24"/>
          <w:highlight w:val="none"/>
        </w:rPr>
        <w:t xml:space="preserve">一、项目概况 </w:t>
      </w:r>
    </w:p>
    <w:p>
      <w:pPr>
        <w:widowControl/>
        <w:tabs>
          <w:tab w:val="left" w:pos="3078"/>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1、根据《建设项目环境保护管理条例》、生态环境部、省生态环境厅的</w:t>
      </w:r>
      <w:r>
        <w:rPr>
          <w:rFonts w:hint="eastAsia" w:ascii="宋体" w:hAnsi="宋体" w:cs="宋体"/>
          <w:bCs/>
          <w:color w:val="auto"/>
          <w:sz w:val="24"/>
          <w:highlight w:val="none"/>
          <w:lang w:eastAsia="zh-CN"/>
        </w:rPr>
        <w:t>相关</w:t>
      </w:r>
      <w:r>
        <w:rPr>
          <w:rFonts w:hint="eastAsia" w:ascii="宋体" w:hAnsi="宋体" w:cs="宋体"/>
          <w:bCs/>
          <w:color w:val="auto"/>
          <w:sz w:val="24"/>
          <w:highlight w:val="none"/>
        </w:rPr>
        <w:t>工作</w:t>
      </w:r>
      <w:r>
        <w:rPr>
          <w:rFonts w:hint="eastAsia" w:ascii="宋体" w:hAnsi="宋体" w:cs="宋体"/>
          <w:bCs/>
          <w:color w:val="auto"/>
          <w:sz w:val="24"/>
          <w:highlight w:val="none"/>
          <w:lang w:eastAsia="zh-CN"/>
        </w:rPr>
        <w:t>任务</w:t>
      </w:r>
      <w:r>
        <w:rPr>
          <w:rFonts w:hint="eastAsia" w:ascii="宋体" w:hAnsi="宋体" w:cs="宋体"/>
          <w:bCs/>
          <w:color w:val="auto"/>
          <w:sz w:val="24"/>
          <w:highlight w:val="none"/>
        </w:rPr>
        <w:t>要求，通过购买服务方式委托技术机构对市本级审批的建设项目环境影响评价文件（含辐射）和规划环评报告书进行技术评估，对市本级审批入河排污口设置论证进行专家咨询，对区、县（市）分局已批复的建设项目环境影响评价文件开展抽查复核；对生态环境部、省生态环境厅移交编制数量异常的环评人员编制的环评报告按一定比例开展靶向复核；对生态环境部、省生态环境厅移交和市级抽查存在编制质量问题环评报告提供技术支持；对规划环评落实情况开展抽查技术服务</w:t>
      </w:r>
      <w:r>
        <w:rPr>
          <w:rFonts w:hint="eastAsia" w:ascii="宋体" w:hAnsi="宋体" w:cs="宋体"/>
          <w:bCs/>
          <w:color w:val="auto"/>
          <w:sz w:val="24"/>
          <w:highlight w:val="none"/>
          <w:lang w:eastAsia="zh-CN"/>
        </w:rPr>
        <w:t>等技术支撑工作</w:t>
      </w:r>
      <w:r>
        <w:rPr>
          <w:rFonts w:hint="eastAsia" w:ascii="宋体" w:hAnsi="宋体" w:cs="宋体"/>
          <w:bCs/>
          <w:color w:val="auto"/>
          <w:sz w:val="24"/>
          <w:highlight w:val="none"/>
        </w:rPr>
        <w:t>。</w:t>
      </w:r>
    </w:p>
    <w:p>
      <w:pPr>
        <w:widowControl/>
        <w:tabs>
          <w:tab w:val="left" w:pos="3078"/>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2、预算金额：130万元，最高限价130万元。</w:t>
      </w:r>
    </w:p>
    <w:p>
      <w:pPr>
        <w:widowControl/>
        <w:tabs>
          <w:tab w:val="left" w:pos="3078"/>
        </w:tabs>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3、履行期限：自签订合同起至2024年11月30日。</w:t>
      </w:r>
    </w:p>
    <w:p>
      <w:pPr>
        <w:widowControl/>
        <w:numPr>
          <w:ilvl w:val="255"/>
          <w:numId w:val="0"/>
        </w:numPr>
        <w:adjustRightInd/>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二、</w:t>
      </w:r>
      <w:r>
        <w:rPr>
          <w:rFonts w:hint="eastAsia" w:ascii="宋体" w:hAnsi="宋体" w:cs="宋体"/>
          <w:b/>
          <w:bCs/>
          <w:color w:val="auto"/>
          <w:sz w:val="24"/>
          <w:highlight w:val="none"/>
        </w:rPr>
        <w:t>服务功能需求</w:t>
      </w:r>
    </w:p>
    <w:p>
      <w:pPr>
        <w:widowControl/>
        <w:tabs>
          <w:tab w:val="left" w:pos="3078"/>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1、技术评估</w:t>
      </w:r>
    </w:p>
    <w:p>
      <w:pPr>
        <w:widowControl/>
        <w:tabs>
          <w:tab w:val="left" w:pos="3078"/>
        </w:tabs>
        <w:snapToGrid w:val="0"/>
        <w:spacing w:line="360" w:lineRule="auto"/>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color w:val="auto"/>
          <w:sz w:val="24"/>
          <w:highlight w:val="none"/>
        </w:rPr>
        <w:t>建设项目</w:t>
      </w:r>
      <w:r>
        <w:rPr>
          <w:rFonts w:hint="eastAsia" w:ascii="宋体" w:hAnsi="宋体" w:cs="宋体"/>
          <w:b/>
          <w:bCs/>
          <w:color w:val="auto"/>
          <w:sz w:val="24"/>
          <w:highlight w:val="none"/>
        </w:rPr>
        <w:t>环境影响评价文件评估</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属于市生态环境局本级负责审批的建设项目环境影响评价文件（含辐射）项目。</w:t>
      </w:r>
    </w:p>
    <w:p>
      <w:pPr>
        <w:widowControl/>
        <w:tabs>
          <w:tab w:val="left" w:pos="3078"/>
        </w:tabs>
        <w:snapToGrid w:val="0"/>
        <w:spacing w:line="360" w:lineRule="auto"/>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（2）规划环评报告书评估</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属于市本级生态环境部门召集审查的各类规划环评。</w:t>
      </w:r>
    </w:p>
    <w:p>
      <w:pPr>
        <w:widowControl/>
        <w:tabs>
          <w:tab w:val="left" w:pos="3078"/>
        </w:tabs>
        <w:snapToGrid w:val="0"/>
        <w:spacing w:line="360" w:lineRule="auto"/>
        <w:ind w:left="315" w:leftChars="150"/>
        <w:rPr>
          <w:rFonts w:ascii="宋体" w:hAnsi="宋体" w:cs="宋体"/>
          <w:b/>
          <w:bCs/>
          <w:color w:val="auto"/>
          <w:sz w:val="24"/>
          <w:highlight w:val="none"/>
        </w:rPr>
      </w:pPr>
      <w:r>
        <w:rPr>
          <w:rFonts w:hint="eastAsia" w:ascii="宋体" w:hAnsi="宋体" w:cs="宋体"/>
          <w:b/>
          <w:bCs/>
          <w:color w:val="auto"/>
          <w:sz w:val="24"/>
          <w:highlight w:val="none"/>
        </w:rPr>
        <w:t xml:space="preserve">（3）入河排污口设置论证技术评估 </w:t>
      </w:r>
    </w:p>
    <w:p>
      <w:pPr>
        <w:widowControl/>
        <w:tabs>
          <w:tab w:val="left" w:pos="3078"/>
        </w:tabs>
        <w:snapToGrid w:val="0"/>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属于市本级生态环境部门审批的入河排污口设置论证的技术评估。</w:t>
      </w:r>
    </w:p>
    <w:p>
      <w:pPr>
        <w:widowControl/>
        <w:tabs>
          <w:tab w:val="left" w:pos="3078"/>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2、环境影响评价文件编制质量抽查复核技术服务</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提供区、县（市）分局已批复的建设项目</w:t>
      </w:r>
      <w:r>
        <w:rPr>
          <w:rFonts w:hint="eastAsia" w:ascii="宋体" w:hAnsi="宋体" w:cs="宋体"/>
          <w:color w:val="auto"/>
          <w:sz w:val="24"/>
          <w:highlight w:val="none"/>
        </w:rPr>
        <w:t>环境影响评价文件复核技术</w:t>
      </w:r>
      <w:r>
        <w:rPr>
          <w:rFonts w:hint="eastAsia" w:ascii="宋体" w:hAnsi="宋体" w:cs="宋体"/>
          <w:bCs/>
          <w:color w:val="auto"/>
          <w:sz w:val="24"/>
          <w:highlight w:val="none"/>
        </w:rPr>
        <w:t>服务；</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（2）提供生态环境部、省生态环境厅移交编制数量异常的环评人员编制环评的靶向复核技术服务；</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（3）为生态环境部、省生态环境厅移交和市本级抽查存在编制质量问题环评报告提供技术支持；</w:t>
      </w:r>
    </w:p>
    <w:p>
      <w:pPr>
        <w:widowControl/>
        <w:tabs>
          <w:tab w:val="left" w:pos="3078"/>
        </w:tabs>
        <w:snapToGrid w:val="0"/>
        <w:spacing w:line="360" w:lineRule="auto"/>
        <w:ind w:firstLine="480" w:firstLineChars="200"/>
        <w:rPr>
          <w:color w:val="auto"/>
          <w:highlight w:val="none"/>
        </w:rPr>
      </w:pPr>
      <w:r>
        <w:rPr>
          <w:rFonts w:hint="eastAsia" w:ascii="宋体" w:hAnsi="宋体" w:cs="宋体"/>
          <w:bCs/>
          <w:color w:val="auto"/>
          <w:sz w:val="24"/>
          <w:highlight w:val="none"/>
        </w:rPr>
        <w:t>（4）提供已审批规划环评报告书的抽查复核技术服务，协助复核规划环评落实情况。</w:t>
      </w:r>
    </w:p>
    <w:p>
      <w:pPr>
        <w:widowControl/>
        <w:tabs>
          <w:tab w:val="left" w:pos="3078"/>
        </w:tabs>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3、建设项目环境影响评价技术评审专家及机构管理工作</w:t>
      </w:r>
    </w:p>
    <w:p>
      <w:pPr>
        <w:widowControl/>
        <w:tabs>
          <w:tab w:val="left" w:pos="3078"/>
        </w:tabs>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三、服务质量要求</w:t>
      </w:r>
    </w:p>
    <w:p>
      <w:pPr>
        <w:widowControl/>
        <w:tabs>
          <w:tab w:val="left" w:pos="3078"/>
        </w:tabs>
        <w:snapToGrid w:val="0"/>
        <w:spacing w:line="360" w:lineRule="auto"/>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1、技术评估：</w:t>
      </w:r>
    </w:p>
    <w:p>
      <w:pPr>
        <w:widowControl/>
        <w:tabs>
          <w:tab w:val="left" w:pos="3078"/>
        </w:tabs>
        <w:snapToGrid w:val="0"/>
        <w:spacing w:line="360" w:lineRule="auto"/>
        <w:ind w:left="458" w:leftChars="218"/>
        <w:rPr>
          <w:rFonts w:ascii="宋体" w:hAnsi="宋体" w:cs="宋体"/>
          <w:b/>
          <w:color w:val="auto"/>
          <w:sz w:val="24"/>
          <w:highlight w:val="none"/>
        </w:rPr>
      </w:pPr>
      <w:r>
        <w:rPr>
          <w:rFonts w:hint="eastAsia" w:ascii="宋体" w:hAnsi="宋体" w:cs="宋体"/>
          <w:b/>
          <w:bCs/>
          <w:color w:val="auto"/>
          <w:sz w:val="24"/>
          <w:highlight w:val="none"/>
        </w:rPr>
        <w:t>1.1 技术评估</w:t>
      </w:r>
      <w:r>
        <w:rPr>
          <w:rFonts w:hint="eastAsia" w:ascii="宋体" w:hAnsi="宋体" w:cs="宋体"/>
          <w:b/>
          <w:color w:val="auto"/>
          <w:sz w:val="24"/>
          <w:highlight w:val="none"/>
        </w:rPr>
        <w:t>主要服务要求</w:t>
      </w:r>
    </w:p>
    <w:p>
      <w:pPr>
        <w:widowControl/>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（1）建设项目环境影响评价文件评估</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对建设项目与主要法律法规、规划及有关规范性文件相符性、《建设项目环境保护管理条例》中“四性五不批”进行初步审核，组织协调各有关部门、专家现场考察建设项目选址及其周围环境、建设情况，评估建设项目选址及周边敏感程度，组织各行业专家对环境影响评价文件和建设项目实施的环境可行性进行综合论证并形成书面专家评审意见，</w:t>
      </w:r>
      <w:r>
        <w:rPr>
          <w:rFonts w:hint="eastAsia" w:ascii="宋体" w:hAnsi="宋体" w:cs="宋体"/>
          <w:bCs/>
          <w:color w:val="auto"/>
          <w:sz w:val="24"/>
          <w:highlight w:val="none"/>
          <w:lang w:eastAsia="zh-CN"/>
        </w:rPr>
        <w:t>技术服务单位</w:t>
      </w:r>
      <w:r>
        <w:rPr>
          <w:rFonts w:hint="eastAsia" w:ascii="宋体" w:hAnsi="宋体" w:cs="宋体"/>
          <w:bCs/>
          <w:color w:val="auto"/>
          <w:sz w:val="24"/>
          <w:highlight w:val="none"/>
        </w:rPr>
        <w:t>出具评估意见。</w:t>
      </w:r>
    </w:p>
    <w:p>
      <w:pPr>
        <w:widowControl/>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规划环评报告书</w:t>
      </w:r>
      <w:r>
        <w:rPr>
          <w:rFonts w:hint="eastAsia" w:ascii="宋体" w:hAnsi="宋体" w:cs="宋体"/>
          <w:b/>
          <w:color w:val="auto"/>
          <w:sz w:val="24"/>
          <w:highlight w:val="none"/>
        </w:rPr>
        <w:t>环评评估：</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根据《规划环境影响评价条例》等法律法规及相应技术导则，对市局组织的规划环评报告书进行技术审查，并出具技术审查意见。协助市局组织规划环评审查会及确定审查会参会专家名单。</w:t>
      </w:r>
    </w:p>
    <w:p>
      <w:pPr>
        <w:tabs>
          <w:tab w:val="left" w:pos="3078"/>
        </w:tabs>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（3）入河排污口设置论证技术评估：</w:t>
      </w:r>
      <w:r>
        <w:rPr>
          <w:rFonts w:hint="eastAsia" w:ascii="宋体" w:hAnsi="宋体" w:cs="宋体"/>
          <w:bCs/>
          <w:color w:val="auto"/>
          <w:sz w:val="24"/>
          <w:highlight w:val="none"/>
        </w:rPr>
        <w:t>根据《中华人民共和国水法》、《入河排污口监督管理办法》和《入河排污口管理技术导则》等，组织专家对报告的编制规范性、编制质量和报告结果的可信性开展技术咨询，形成书面专家评审意见。</w:t>
      </w:r>
    </w:p>
    <w:p>
      <w:pPr>
        <w:widowControl/>
        <w:tabs>
          <w:tab w:val="left" w:pos="3078"/>
        </w:tabs>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（4）对可能涉及“邻避效应”的控规调整和控规局调提供技术支撑</w:t>
      </w:r>
      <w:r>
        <w:rPr>
          <w:rFonts w:hint="eastAsia" w:ascii="宋体" w:hAnsi="宋体" w:cs="宋体"/>
          <w:bCs/>
          <w:color w:val="auto"/>
          <w:sz w:val="24"/>
          <w:highlight w:val="none"/>
        </w:rPr>
        <w:t>。组织专家审查控规调整和控规局调，从环境可行性进行综合论证并形成专家意见。</w:t>
      </w:r>
    </w:p>
    <w:p>
      <w:pPr>
        <w:widowControl/>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以上技术评估，技术服务单位均需组织专家评审或者审查，形成专家书面意见；对建设项目环境影响评价文件评估和规划环评报告书评估除形成专家书面意见外，还应出具明确法律法规、规划及有关规范性文件相符性、《建设项目环境保护管理条例》中“四性五不批”评估意见或者技术审查意见。</w:t>
      </w:r>
    </w:p>
    <w:p>
      <w:pPr>
        <w:widowControl/>
        <w:tabs>
          <w:tab w:val="left" w:pos="3078"/>
        </w:tabs>
        <w:snapToGrid w:val="0"/>
        <w:spacing w:line="360" w:lineRule="auto"/>
        <w:ind w:left="458" w:leftChars="218"/>
        <w:rPr>
          <w:rFonts w:ascii="宋体" w:hAnsi="宋体" w:cs="宋体"/>
          <w:b/>
          <w:bCs/>
          <w:color w:val="auto"/>
          <w:sz w:val="24"/>
          <w:highlight w:val="none"/>
        </w:rPr>
      </w:pPr>
      <w:r>
        <w:rPr>
          <w:rFonts w:hint="eastAsia" w:ascii="宋体" w:hAnsi="宋体" w:cs="宋体"/>
          <w:b/>
          <w:bCs/>
          <w:color w:val="auto"/>
          <w:sz w:val="24"/>
          <w:highlight w:val="none"/>
        </w:rPr>
        <w:t>2、抽查复核技术服务</w:t>
      </w:r>
    </w:p>
    <w:p>
      <w:pPr>
        <w:widowControl/>
        <w:tabs>
          <w:tab w:val="left" w:pos="3078"/>
        </w:tabs>
        <w:snapToGrid w:val="0"/>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2.1 编制质量抽查复核技术服务需求：</w:t>
      </w:r>
    </w:p>
    <w:p>
      <w:pPr>
        <w:widowControl/>
        <w:tabs>
          <w:tab w:val="left" w:pos="3078"/>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（1）抽查复核已批复的建设项目环境影响评价文件</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抽查对象为各区、县（市）分局已批复（备案）的建设项目环境影响评价文件（含辐射项目），主要复核内容包括环境影响报告书（表）编制规范性检查和编制质量检查</w:t>
      </w:r>
      <w:r>
        <w:rPr>
          <w:rFonts w:hint="eastAsia" w:ascii="宋体" w:hAnsi="宋体" w:cs="宋体"/>
          <w:color w:val="auto"/>
          <w:sz w:val="24"/>
          <w:highlight w:val="none"/>
          <w:lang w:eastAsia="zh-CN"/>
        </w:rPr>
        <w:t>。并</w:t>
      </w:r>
      <w:r>
        <w:rPr>
          <w:rFonts w:hint="eastAsia" w:ascii="宋体" w:hAnsi="宋体" w:cs="宋体"/>
          <w:color w:val="auto"/>
          <w:sz w:val="24"/>
          <w:highlight w:val="none"/>
        </w:rPr>
        <w:t>提供抽查复核结果，包括抽查和复核名单的汇总，复核结果，存在问题，处理建议等</w:t>
      </w:r>
      <w:r>
        <w:rPr>
          <w:rFonts w:hint="eastAsia" w:ascii="宋体" w:hAnsi="宋体" w:cs="宋体"/>
          <w:bCs/>
          <w:color w:val="auto"/>
          <w:sz w:val="24"/>
          <w:highlight w:val="none"/>
        </w:rPr>
        <w:t>。抽查复核</w:t>
      </w:r>
      <w:r>
        <w:rPr>
          <w:rFonts w:hint="eastAsia" w:ascii="宋体" w:hAnsi="宋体" w:cs="宋体"/>
          <w:bCs/>
          <w:color w:val="auto"/>
          <w:sz w:val="24"/>
          <w:highlight w:val="none"/>
          <w:lang w:val="en-US" w:eastAsia="zh-CN"/>
        </w:rPr>
        <w:t>定期开展</w:t>
      </w:r>
      <w:r>
        <w:rPr>
          <w:rFonts w:hint="eastAsia" w:ascii="宋体" w:hAnsi="宋体" w:cs="宋体"/>
          <w:bCs/>
          <w:color w:val="auto"/>
          <w:sz w:val="24"/>
          <w:highlight w:val="none"/>
        </w:rPr>
        <w:t>，组织专家进行复核</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全年不少于</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00本次</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需于11月中旬前全部完成汇总反馈。</w:t>
      </w:r>
    </w:p>
    <w:p>
      <w:pPr>
        <w:widowControl/>
        <w:numPr>
          <w:ilvl w:val="0"/>
          <w:numId w:val="1"/>
        </w:numPr>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靶向复核生态环境部、省生态环境厅移交编制数量异常的环评人员编制的环评</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
          <w:color w:val="auto"/>
          <w:sz w:val="24"/>
          <w:highlight w:val="none"/>
        </w:rPr>
        <w:t>移交</w:t>
      </w:r>
      <w:r>
        <w:rPr>
          <w:rFonts w:hint="eastAsia" w:ascii="宋体" w:hAnsi="宋体" w:cs="宋体"/>
          <w:bCs/>
          <w:color w:val="auto"/>
          <w:sz w:val="24"/>
          <w:highlight w:val="none"/>
        </w:rPr>
        <w:t>文件的有关要求，对存在编制数量异常的环评人员在杭州市辖区内编制的环评文件按比例要求（原则上不低于10%）及时开展靶向复核，并提供靶向复核结论。</w:t>
      </w:r>
    </w:p>
    <w:p>
      <w:pPr>
        <w:widowControl/>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（3）为生态环境部、省生态环境厅和市级抽查存在编制质量问题环评报告提供技术支持 </w:t>
      </w:r>
    </w:p>
    <w:p>
      <w:pPr>
        <w:widowControl/>
        <w:tabs>
          <w:tab w:val="left" w:pos="3078"/>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对部、省厅移交存在编制质量问题的环评文件进行技术审查。环评单位对生态环境部、省生态环境厅和市级抽查或集中复核的结果提出申诉、行政复议或者行政诉讼的，技术服务单位需要及时响应，提供技术支持和后续服务。</w:t>
      </w:r>
    </w:p>
    <w:p>
      <w:pPr>
        <w:widowControl/>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（4）规划环评落实情况抽查技术服务</w:t>
      </w:r>
    </w:p>
    <w:p>
      <w:pPr>
        <w:keepNext w:val="0"/>
        <w:keepLines w:val="0"/>
        <w:widowControl/>
        <w:suppressLineNumbers w:val="0"/>
        <w:tabs>
          <w:tab w:val="left" w:pos="3078"/>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eastAsia="宋体" w:cs="宋体"/>
          <w:bCs/>
          <w:i w:val="0"/>
          <w:iCs w:val="0"/>
          <w:caps w:val="0"/>
          <w:color w:val="auto"/>
          <w:spacing w:val="0"/>
          <w:kern w:val="2"/>
          <w:sz w:val="24"/>
          <w:szCs w:val="24"/>
          <w:highlight w:val="none"/>
          <w:shd w:val="clear" w:fill="auto"/>
          <w:lang w:val="en-US" w:eastAsia="zh-CN" w:bidi="ar"/>
        </w:rPr>
        <w:t>开展杭州市生态环境局各分局召集组织审查的各类规划环评报告书的抽查复核技术服务；对国家和省级工业园区、特色小镇等规划环评报告书开展落实情况核查。上述两项任务全年不少于15份，其中核查任务不少于8份。</w:t>
      </w:r>
    </w:p>
    <w:p>
      <w:pPr>
        <w:widowControl/>
        <w:tabs>
          <w:tab w:val="left" w:pos="3078"/>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（5）环境影响评价文件审批目录评估</w:t>
      </w:r>
    </w:p>
    <w:p>
      <w:pPr>
        <w:widowControl/>
        <w:tabs>
          <w:tab w:val="left" w:pos="3078"/>
        </w:tabs>
        <w:snapToGrid w:val="0"/>
        <w:spacing w:line="360" w:lineRule="auto"/>
        <w:ind w:firstLine="600" w:firstLineChars="250"/>
        <w:rPr>
          <w:rFonts w:ascii="宋体" w:hAnsi="宋体" w:cs="宋体"/>
          <w:bCs/>
          <w:color w:val="auto"/>
          <w:highlight w:val="none"/>
        </w:rPr>
      </w:pPr>
      <w:r>
        <w:rPr>
          <w:rFonts w:hint="eastAsia" w:ascii="宋体" w:hAnsi="宋体" w:cs="宋体"/>
          <w:bCs/>
          <w:color w:val="auto"/>
          <w:sz w:val="24"/>
          <w:highlight w:val="none"/>
        </w:rPr>
        <w:t>根据省、市规划环评改革成果并结合规划环评落实情况，对杭州市辖区内的建设项目环境影响评价分类管理名录进行评估分析提出意见建议。</w:t>
      </w:r>
    </w:p>
    <w:p>
      <w:pPr>
        <w:widowControl/>
        <w:tabs>
          <w:tab w:val="left" w:pos="3078"/>
        </w:tabs>
        <w:snapToGrid w:val="0"/>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rPr>
        <w:t>（6）配合做好中央生态环境保护督查期间涉及（1）、（2）、（3）、（4）项其他工作。</w:t>
      </w:r>
    </w:p>
    <w:p>
      <w:pPr>
        <w:widowControl/>
        <w:tabs>
          <w:tab w:val="left" w:pos="3078"/>
        </w:tabs>
        <w:snapToGrid w:val="0"/>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2.2建设项目环评复核重点技术服务要求为环境影响报告书（表）编制规范性检查和编制质量检查。编制规范性检查主要包括是否符合《建设项目环境影响报告书（表）编制监督管理办法》第九至十二条、第十四条相关规定，编制质量主要检查是否存有第二十六条、第二十七条情形。</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2.3规划环评抽查技术服务重点为复核规划环评是否为规划优化调整和实施提供合理支撑；规划环评结论及审查意见提出的准入要求、避让敏感区等优化调整建议</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及环保对策措施等落实情况，并协助对实施中已产生重大不良环境影响的规划依法进行核查，同步倒查报告书是否存在抄袭、重要内容缺失、基础资料严重失实甚至弄虚作假等质量问题。</w:t>
      </w:r>
    </w:p>
    <w:p>
      <w:pPr>
        <w:numPr>
          <w:ilvl w:val="0"/>
          <w:numId w:val="2"/>
        </w:num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建设项目环境影响评价技术评审专家及机构管理工作。</w:t>
      </w:r>
    </w:p>
    <w:p>
      <w:pPr>
        <w:numPr>
          <w:ilvl w:val="-1"/>
          <w:numId w:val="0"/>
        </w:numPr>
        <w:spacing w:line="360" w:lineRule="auto"/>
        <w:ind w:firstLine="0" w:firstLineChars="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3.1 按照《浙江省建设项目环境影响评价技术评审专家管理办法（试行）》要求，选派专业人士协助甲方开展技术评估专家管理，并形成报告。</w:t>
      </w:r>
    </w:p>
    <w:p>
      <w:pPr>
        <w:numPr>
          <w:ilvl w:val="-1"/>
          <w:numId w:val="0"/>
        </w:numPr>
        <w:spacing w:line="360" w:lineRule="auto"/>
        <w:ind w:firstLine="0" w:firstLineChars="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3.2根据《浙江省建设项目环境影响评价技术评估机构管理办法（试行）》的要求，选派专业人士协助甲方开展评估机构监督检查，重点检查工作场所、人员配备、质量控制体系、档案管理、技术评估报告质量等内容，并形成报告。</w:t>
      </w:r>
    </w:p>
    <w:p>
      <w:pPr>
        <w:numPr>
          <w:ilvl w:val="0"/>
          <w:numId w:val="2"/>
        </w:numPr>
        <w:spacing w:line="360" w:lineRule="auto"/>
        <w:ind w:firstLine="482" w:firstLineChars="20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若上述工作超出预计工作量的，仍需按照合同约定要求保质保量完成。</w:t>
      </w:r>
    </w:p>
    <w:p>
      <w:pPr>
        <w:numPr>
          <w:ilvl w:val="0"/>
          <w:numId w:val="2"/>
        </w:numPr>
        <w:spacing w:line="360" w:lineRule="auto"/>
        <w:ind w:firstLine="482" w:firstLineChars="20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项目计划安排：9月底之前完成</w:t>
      </w:r>
      <w:r>
        <w:rPr>
          <w:rFonts w:hint="eastAsia" w:ascii="宋体" w:hAnsi="宋体" w:cs="宋体"/>
          <w:b/>
          <w:bCs/>
          <w:color w:val="auto"/>
          <w:sz w:val="24"/>
          <w:highlight w:val="none"/>
        </w:rPr>
        <w:t>抽查复核已批复的建设项目环境影响评价文件</w:t>
      </w:r>
      <w:r>
        <w:rPr>
          <w:rFonts w:hint="eastAsia" w:ascii="宋体" w:hAnsi="宋体" w:cs="宋体"/>
          <w:b/>
          <w:bCs/>
          <w:color w:val="auto"/>
          <w:sz w:val="24"/>
          <w:highlight w:val="none"/>
          <w:lang w:eastAsia="zh-CN"/>
        </w:rPr>
        <w:t>不少于</w:t>
      </w:r>
      <w:r>
        <w:rPr>
          <w:rFonts w:hint="eastAsia" w:ascii="宋体" w:hAnsi="宋体" w:cs="宋体"/>
          <w:b/>
          <w:bCs/>
          <w:color w:val="auto"/>
          <w:sz w:val="24"/>
          <w:highlight w:val="none"/>
          <w:lang w:val="en-US" w:eastAsia="zh-CN"/>
        </w:rPr>
        <w:t>200本次；9月底前完成</w:t>
      </w:r>
      <w:r>
        <w:rPr>
          <w:rFonts w:hint="eastAsia" w:ascii="宋体" w:hAnsi="宋体" w:cs="宋体"/>
          <w:b/>
          <w:color w:val="auto"/>
          <w:sz w:val="24"/>
          <w:highlight w:val="none"/>
        </w:rPr>
        <w:t>规划环评落实情况抽查技术服务</w:t>
      </w:r>
      <w:r>
        <w:rPr>
          <w:rFonts w:hint="eastAsia" w:ascii="宋体" w:hAnsi="宋体" w:cs="宋体"/>
          <w:b/>
          <w:color w:val="auto"/>
          <w:sz w:val="24"/>
          <w:highlight w:val="none"/>
          <w:lang w:eastAsia="zh-CN"/>
        </w:rPr>
        <w:t>不少于</w:t>
      </w:r>
      <w:r>
        <w:rPr>
          <w:rFonts w:hint="eastAsia" w:ascii="宋体" w:hAnsi="宋体" w:cs="宋体"/>
          <w:b/>
          <w:color w:val="auto"/>
          <w:sz w:val="24"/>
          <w:highlight w:val="none"/>
          <w:lang w:val="en-US" w:eastAsia="zh-CN"/>
        </w:rPr>
        <w:t xml:space="preserve">10封。其他工作根据招标人要求进度进行。 </w:t>
      </w:r>
    </w:p>
    <w:p>
      <w:pPr>
        <w:spacing w:line="360" w:lineRule="auto"/>
        <w:ind w:firstLine="0" w:firstLineChars="0"/>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技术服务单位项目团队人员</w:t>
      </w:r>
      <w:r>
        <w:rPr>
          <w:rFonts w:hint="eastAsia" w:ascii="宋体" w:hAnsi="宋体" w:cs="宋体"/>
          <w:b/>
          <w:color w:val="auto"/>
          <w:sz w:val="24"/>
          <w:highlight w:val="none"/>
          <w:lang w:eastAsia="zh-CN"/>
        </w:rPr>
        <w:t>配备</w:t>
      </w:r>
      <w:r>
        <w:rPr>
          <w:rFonts w:hint="eastAsia" w:ascii="宋体" w:hAnsi="宋体" w:cs="宋体"/>
          <w:b/>
          <w:color w:val="auto"/>
          <w:sz w:val="24"/>
          <w:highlight w:val="none"/>
        </w:rPr>
        <w:t>能力要求</w:t>
      </w:r>
      <w:r>
        <w:rPr>
          <w:rFonts w:hint="eastAsia" w:ascii="宋体" w:hAnsi="宋体" w:cs="宋体"/>
          <w:b/>
          <w:color w:val="auto"/>
          <w:sz w:val="24"/>
          <w:highlight w:val="none"/>
          <w:lang w:eastAsia="zh-CN"/>
        </w:rPr>
        <w:t>及其他要求</w:t>
      </w:r>
    </w:p>
    <w:p>
      <w:pPr>
        <w:spacing w:line="360" w:lineRule="auto"/>
        <w:ind w:firstLine="482" w:firstLineChars="200"/>
        <w:rPr>
          <w:rFonts w:ascii="宋体" w:hAnsi="宋体" w:cs="宋体"/>
          <w:color w:val="auto"/>
          <w:spacing w:val="-6"/>
          <w:sz w:val="24"/>
          <w:highlight w:val="none"/>
        </w:rPr>
      </w:pPr>
      <w:r>
        <w:rPr>
          <w:rFonts w:hint="eastAsia" w:ascii="宋体" w:hAnsi="宋体" w:cs="宋体"/>
          <w:b/>
          <w:color w:val="auto"/>
          <w:sz w:val="24"/>
          <w:highlight w:val="none"/>
        </w:rPr>
        <w:t>（1）项目团队负责人要求</w:t>
      </w:r>
      <w:r>
        <w:rPr>
          <w:rFonts w:hint="eastAsia" w:ascii="宋体" w:hAnsi="宋体" w:cs="宋体"/>
          <w:bCs/>
          <w:color w:val="auto"/>
          <w:sz w:val="24"/>
          <w:highlight w:val="none"/>
        </w:rPr>
        <w:t>：具备</w:t>
      </w:r>
      <w:r>
        <w:rPr>
          <w:rFonts w:hint="eastAsia" w:ascii="宋体" w:hAnsi="宋体" w:cs="宋体"/>
          <w:color w:val="auto"/>
          <w:sz w:val="24"/>
          <w:highlight w:val="none"/>
        </w:rPr>
        <w:t>环保专业高工职称和环评工程师证，</w:t>
      </w:r>
      <w:r>
        <w:rPr>
          <w:rFonts w:hint="eastAsia" w:ascii="宋体" w:hAnsi="宋体" w:cs="宋体"/>
          <w:color w:val="auto"/>
          <w:spacing w:val="-6"/>
          <w:sz w:val="24"/>
          <w:highlight w:val="none"/>
        </w:rPr>
        <w:t>具有较好的专业基础、</w:t>
      </w:r>
      <w:r>
        <w:rPr>
          <w:rFonts w:hint="eastAsia" w:ascii="宋体" w:hAnsi="宋体" w:cs="宋体"/>
          <w:color w:val="auto"/>
          <w:spacing w:val="-6"/>
          <w:sz w:val="24"/>
          <w:highlight w:val="none"/>
          <w:lang w:eastAsia="zh-CN"/>
        </w:rPr>
        <w:t>具有同类型项目服务工作经验</w:t>
      </w:r>
      <w:r>
        <w:rPr>
          <w:rFonts w:hint="eastAsia" w:ascii="宋体" w:hAnsi="宋体" w:cs="宋体"/>
          <w:color w:val="auto"/>
          <w:spacing w:val="-6"/>
          <w:sz w:val="24"/>
          <w:highlight w:val="none"/>
        </w:rPr>
        <w:t>。</w:t>
      </w:r>
    </w:p>
    <w:p>
      <w:pPr>
        <w:pStyle w:val="2"/>
        <w:ind w:left="17" w:leftChars="8" w:firstLine="439" w:firstLineChars="183"/>
        <w:rPr>
          <w:rFonts w:hAnsi="宋体" w:cs="宋体"/>
          <w:bCs/>
          <w:color w:val="auto"/>
          <w:szCs w:val="24"/>
          <w:highlight w:val="none"/>
          <w:lang w:val="en-US"/>
        </w:rPr>
      </w:pPr>
      <w:r>
        <w:rPr>
          <w:rFonts w:hint="eastAsia" w:hAnsi="宋体" w:cs="宋体"/>
          <w:color w:val="auto"/>
          <w:szCs w:val="24"/>
          <w:highlight w:val="none"/>
          <w:lang w:val="en-US"/>
        </w:rPr>
        <w:t>（2</w:t>
      </w:r>
      <w:r>
        <w:rPr>
          <w:rFonts w:hint="eastAsia" w:hAnsi="宋体" w:cs="宋体"/>
          <w:bCs/>
          <w:color w:val="auto"/>
          <w:szCs w:val="24"/>
          <w:highlight w:val="none"/>
          <w:lang w:val="en-US"/>
        </w:rPr>
        <w:t>）</w:t>
      </w:r>
      <w:r>
        <w:rPr>
          <w:rFonts w:hint="eastAsia" w:hAnsi="宋体" w:cs="宋体"/>
          <w:b/>
          <w:color w:val="auto"/>
          <w:szCs w:val="24"/>
          <w:highlight w:val="none"/>
          <w:lang w:val="en-US"/>
        </w:rPr>
        <w:t>项目团队人员要求：</w:t>
      </w:r>
      <w:r>
        <w:rPr>
          <w:rFonts w:hint="eastAsia" w:hAnsi="宋体" w:cs="宋体"/>
          <w:bCs/>
          <w:color w:val="auto"/>
          <w:szCs w:val="24"/>
          <w:highlight w:val="none"/>
          <w:lang w:val="en-US"/>
        </w:rPr>
        <w:t>不少于3名具备环评工程师证资格人员、不少于2名具备环保类</w:t>
      </w:r>
      <w:r>
        <w:rPr>
          <w:rFonts w:hint="eastAsia" w:hAnsi="宋体" w:cs="宋体"/>
          <w:bCs/>
          <w:color w:val="auto"/>
          <w:szCs w:val="24"/>
          <w:highlight w:val="none"/>
          <w:lang w:val="en-US" w:eastAsia="zh-CN"/>
        </w:rPr>
        <w:t>专业中级及以上</w:t>
      </w:r>
      <w:r>
        <w:rPr>
          <w:rFonts w:hint="eastAsia" w:hAnsi="宋体" w:cs="宋体"/>
          <w:bCs/>
          <w:color w:val="auto"/>
          <w:szCs w:val="24"/>
          <w:highlight w:val="none"/>
          <w:lang w:val="en-US"/>
        </w:rPr>
        <w:t>专业技术职称人员</w:t>
      </w:r>
      <w:r>
        <w:rPr>
          <w:rFonts w:hint="eastAsia" w:hAnsi="宋体" w:cs="宋体"/>
          <w:bCs/>
          <w:color w:val="auto"/>
          <w:szCs w:val="24"/>
          <w:highlight w:val="none"/>
          <w:lang w:val="en-US" w:eastAsia="zh-CN"/>
        </w:rPr>
        <w:t>，</w:t>
      </w:r>
      <w:r>
        <w:rPr>
          <w:rFonts w:hint="eastAsia" w:ascii="宋体" w:hAnsi="宋体" w:cs="宋体"/>
          <w:color w:val="auto"/>
          <w:sz w:val="24"/>
          <w:highlight w:val="none"/>
          <w:lang w:val="en-US" w:eastAsia="zh-CN"/>
        </w:rPr>
        <w:t>项目团队成员</w:t>
      </w:r>
      <w:r>
        <w:rPr>
          <w:rFonts w:hint="eastAsia" w:hAnsi="宋体" w:cs="宋体"/>
          <w:color w:val="auto"/>
          <w:sz w:val="24"/>
          <w:highlight w:val="none"/>
          <w:lang w:val="en-US" w:eastAsia="zh-CN"/>
        </w:rPr>
        <w:t>需具有</w:t>
      </w:r>
      <w:r>
        <w:rPr>
          <w:rFonts w:hint="eastAsia" w:ascii="宋体" w:hAnsi="宋体" w:cs="宋体"/>
          <w:color w:val="auto"/>
          <w:sz w:val="24"/>
          <w:highlight w:val="none"/>
          <w:lang w:val="en-US" w:eastAsia="zh-CN"/>
        </w:rPr>
        <w:t>农林水利、交通运输、化工、医药、石化、电镀、辐射、火电、建材、化纤、纺织、规划</w:t>
      </w:r>
      <w:r>
        <w:rPr>
          <w:rFonts w:hint="eastAsia" w:hAnsi="宋体" w:cs="宋体"/>
          <w:color w:val="auto"/>
          <w:sz w:val="24"/>
          <w:highlight w:val="none"/>
          <w:lang w:val="en-US" w:eastAsia="zh-CN"/>
        </w:rPr>
        <w:t>、危废</w:t>
      </w:r>
      <w:r>
        <w:rPr>
          <w:rFonts w:hint="eastAsia" w:ascii="宋体" w:hAnsi="宋体" w:cs="宋体"/>
          <w:color w:val="auto"/>
          <w:sz w:val="24"/>
          <w:highlight w:val="none"/>
          <w:lang w:val="en-US" w:eastAsia="zh-CN"/>
        </w:rPr>
        <w:t>项目</w:t>
      </w:r>
      <w:r>
        <w:rPr>
          <w:rFonts w:hint="eastAsia" w:hAnsi="宋体" w:cs="宋体"/>
          <w:color w:val="auto"/>
          <w:sz w:val="24"/>
          <w:highlight w:val="none"/>
          <w:lang w:val="en-US" w:eastAsia="zh-CN"/>
        </w:rPr>
        <w:t>工作经验</w:t>
      </w:r>
      <w:r>
        <w:rPr>
          <w:rFonts w:hint="eastAsia" w:ascii="宋体" w:hAnsi="宋体" w:cs="宋体"/>
          <w:color w:val="auto"/>
          <w:sz w:val="24"/>
          <w:highlight w:val="none"/>
          <w:lang w:val="en-US" w:eastAsia="zh-CN"/>
        </w:rPr>
        <w:t>。</w:t>
      </w:r>
      <w:r>
        <w:rPr>
          <w:rFonts w:hint="eastAsia" w:hAnsi="宋体" w:cs="宋体"/>
          <w:bCs/>
          <w:color w:val="auto"/>
          <w:szCs w:val="24"/>
          <w:highlight w:val="none"/>
          <w:lang w:val="en-US"/>
        </w:rPr>
        <w:t>。</w:t>
      </w:r>
    </w:p>
    <w:p>
      <w:pPr>
        <w:pStyle w:val="2"/>
        <w:ind w:left="17" w:leftChars="8" w:firstLine="439" w:firstLineChars="183"/>
        <w:rPr>
          <w:rFonts w:hAnsi="宋体" w:cs="宋体"/>
          <w:bCs/>
          <w:color w:val="auto"/>
          <w:szCs w:val="24"/>
          <w:highlight w:val="none"/>
          <w:lang w:val="en-US"/>
        </w:rPr>
      </w:pPr>
      <w:r>
        <w:rPr>
          <w:rFonts w:hint="eastAsia" w:hAnsi="宋体" w:cs="宋体"/>
          <w:bCs/>
          <w:color w:val="auto"/>
          <w:szCs w:val="24"/>
          <w:highlight w:val="none"/>
          <w:lang w:val="en-US"/>
        </w:rPr>
        <w:t>（3）熟悉噪声、水和大气的环境预测模型的使用。</w:t>
      </w:r>
    </w:p>
    <w:p>
      <w:pPr>
        <w:pStyle w:val="2"/>
        <w:ind w:left="17" w:leftChars="8" w:firstLine="439" w:firstLineChars="183"/>
        <w:rPr>
          <w:rFonts w:hint="eastAsia" w:hAnsi="宋体" w:cs="宋体"/>
          <w:bCs/>
          <w:color w:val="auto"/>
          <w:szCs w:val="24"/>
          <w:highlight w:val="none"/>
          <w:lang w:val="en-US"/>
        </w:rPr>
      </w:pPr>
      <w:r>
        <w:rPr>
          <w:rFonts w:hint="eastAsia" w:hAnsi="宋体" w:cs="宋体"/>
          <w:bCs/>
          <w:color w:val="auto"/>
          <w:szCs w:val="24"/>
          <w:highlight w:val="none"/>
          <w:lang w:val="en-US"/>
        </w:rPr>
        <w:t>（4）投标人具有省级及以上生态环境部门环境影响评价评审专家库资源的使用保障能力。</w:t>
      </w:r>
    </w:p>
    <w:p>
      <w:pPr>
        <w:pStyle w:val="2"/>
        <w:ind w:left="17" w:leftChars="8" w:firstLine="417" w:firstLineChars="183"/>
        <w:rPr>
          <w:rFonts w:hAnsi="宋体" w:cs="宋体"/>
          <w:color w:val="auto"/>
          <w:szCs w:val="24"/>
          <w:highlight w:val="none"/>
          <w:lang w:val="en-US"/>
        </w:rPr>
      </w:pPr>
      <w:r>
        <w:rPr>
          <w:rFonts w:hint="eastAsia" w:hAnsi="宋体" w:cs="宋体"/>
          <w:color w:val="auto"/>
          <w:spacing w:val="-6"/>
          <w:sz w:val="24"/>
          <w:highlight w:val="none"/>
          <w:lang w:val="en-US" w:eastAsia="zh-CN"/>
        </w:rPr>
        <w:t>（</w:t>
      </w:r>
      <w:r>
        <w:rPr>
          <w:rFonts w:hint="eastAsia" w:ascii="宋体" w:hAnsi="宋体" w:cs="宋体"/>
          <w:color w:val="auto"/>
          <w:spacing w:val="-6"/>
          <w:sz w:val="24"/>
          <w:highlight w:val="none"/>
          <w:lang w:val="en-US" w:eastAsia="zh-CN"/>
        </w:rPr>
        <w:t>5</w:t>
      </w: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熟悉生态环境部门</w:t>
      </w:r>
      <w:r>
        <w:rPr>
          <w:rFonts w:hint="eastAsia" w:ascii="宋体" w:hAnsi="宋体" w:cs="宋体"/>
          <w:color w:val="auto"/>
          <w:spacing w:val="-6"/>
          <w:sz w:val="24"/>
          <w:highlight w:val="none"/>
        </w:rPr>
        <w:t>“三线一单”</w:t>
      </w:r>
      <w:r>
        <w:rPr>
          <w:rFonts w:hint="eastAsia" w:ascii="宋体" w:hAnsi="宋体" w:cs="宋体"/>
          <w:color w:val="auto"/>
          <w:spacing w:val="-6"/>
          <w:sz w:val="24"/>
          <w:highlight w:val="none"/>
          <w:lang w:eastAsia="zh-CN"/>
        </w:rPr>
        <w:t>政策</w:t>
      </w:r>
      <w:r>
        <w:rPr>
          <w:rFonts w:hint="eastAsia" w:ascii="宋体" w:hAnsi="宋体" w:cs="宋体"/>
          <w:color w:val="auto"/>
          <w:spacing w:val="-6"/>
          <w:sz w:val="24"/>
          <w:highlight w:val="none"/>
          <w:lang w:val="en-US" w:eastAsia="zh-CN"/>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）装备保障</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1）具有完整系统的大气、水和噪声的环境影响预测软件。</w:t>
      </w:r>
    </w:p>
    <w:p>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2）配备用于开展技术评估移动办公设施设备（包括笔记本电脑、投影仪、数字化应用软件）。   </w:t>
      </w:r>
    </w:p>
    <w:p>
      <w:pPr>
        <w:spacing w:line="360" w:lineRule="auto"/>
        <w:ind w:firstLine="456" w:firstLineChars="200"/>
        <w:rPr>
          <w:rFonts w:hint="eastAsia" w:ascii="宋体" w:hAnsi="宋体" w:cs="宋体"/>
          <w:b/>
          <w:color w:val="auto"/>
          <w:sz w:val="24"/>
          <w:highlight w:val="none"/>
          <w:lang w:val="en-US" w:eastAsia="zh-CN"/>
        </w:rPr>
      </w:pPr>
      <w:r>
        <w:rPr>
          <w:rFonts w:hint="eastAsia" w:ascii="宋体" w:hAnsi="宋体" w:cs="宋体"/>
          <w:color w:val="auto"/>
          <w:spacing w:val="-6"/>
          <w:sz w:val="24"/>
          <w:highlight w:val="none"/>
          <w:lang w:eastAsia="zh-CN"/>
        </w:rPr>
        <w:t>（</w:t>
      </w:r>
      <w:r>
        <w:rPr>
          <w:rFonts w:hint="eastAsia" w:ascii="宋体" w:hAnsi="宋体" w:cs="宋体"/>
          <w:color w:val="auto"/>
          <w:spacing w:val="-6"/>
          <w:sz w:val="24"/>
          <w:highlight w:val="none"/>
          <w:lang w:val="en-US" w:eastAsia="zh-CN"/>
        </w:rPr>
        <w:t>7</w:t>
      </w:r>
      <w:r>
        <w:rPr>
          <w:rFonts w:hint="eastAsia" w:ascii="宋体" w:hAnsi="宋体" w:cs="宋体"/>
          <w:color w:val="auto"/>
          <w:spacing w:val="-6"/>
          <w:sz w:val="24"/>
          <w:highlight w:val="none"/>
          <w:lang w:eastAsia="zh-CN"/>
        </w:rPr>
        <w:t>）其他条件：</w:t>
      </w:r>
      <w:r>
        <w:rPr>
          <w:rFonts w:hint="eastAsia" w:ascii="宋体" w:hAnsi="宋体" w:cs="宋体"/>
          <w:b/>
          <w:color w:val="auto"/>
          <w:sz w:val="24"/>
          <w:highlight w:val="none"/>
          <w:lang w:val="en-US" w:eastAsia="zh-CN"/>
        </w:rPr>
        <w:t>需具备《浙江省建设项目环境影响评价技术评估机构管理办法（试行）》第三条的条件：“（一）具备固定的工作场所。（二）拥有生态环境及相关专业，具有高级职称的专职评估人员，配备取得环境影响评价工程师职业资格证书人员至少一名，具有独立开展技术评估的经验和能力。（三）建立技术评估质量全过程控制制度，并形成评估工作实施、审核、审定三级及以上质量控制体系。（四）具备档案资料管理设施及场所，建立完整的技术评估档案管理体系，档案包括但不限于评审相关资料、专家抽取记录、专家意见、质量审核意见、技术评估报告等，如进行现场踏勘，还应保留现场踏勘记录及影像资料等。”。</w:t>
      </w:r>
    </w:p>
    <w:p>
      <w:pPr>
        <w:widowControl/>
        <w:adjustRightInd/>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五</w:t>
      </w:r>
      <w:r>
        <w:rPr>
          <w:rFonts w:hint="eastAsia" w:ascii="宋体" w:hAnsi="宋体" w:cs="宋体"/>
          <w:b/>
          <w:bCs/>
          <w:color w:val="auto"/>
          <w:kern w:val="0"/>
          <w:sz w:val="24"/>
          <w:highlight w:val="none"/>
        </w:rPr>
        <w:t>、履约验收</w:t>
      </w:r>
    </w:p>
    <w:p>
      <w:pPr>
        <w:widowControl/>
        <w:adjustRightInd/>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按照采购文件和合同进行验收。根据《杭州市政府采购履约验收暂行办法》杭财采监〔2019〕10 号文，进行履约验收，验收合格报告作为项目支付的依据。初次验收费用由采购人支付。如初次验收未通过，再次验收</w:t>
      </w:r>
      <w:r>
        <w:rPr>
          <w:rFonts w:hint="eastAsia" w:ascii="宋体" w:hAnsi="宋体" w:cs="宋体"/>
          <w:color w:val="auto"/>
          <w:sz w:val="24"/>
          <w:highlight w:val="none"/>
          <w:lang w:val="en-US" w:eastAsia="zh-CN"/>
        </w:rPr>
        <w:t>所有产生</w:t>
      </w:r>
      <w:r>
        <w:rPr>
          <w:rFonts w:hint="eastAsia" w:ascii="宋体" w:hAnsi="宋体" w:cs="宋体"/>
          <w:color w:val="auto"/>
          <w:sz w:val="24"/>
          <w:highlight w:val="none"/>
        </w:rPr>
        <w:t>费用由成交人支付。</w:t>
      </w:r>
    </w:p>
    <w:p>
      <w:pPr>
        <w:widowControl/>
        <w:adjustRightInd/>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六</w:t>
      </w:r>
      <w:r>
        <w:rPr>
          <w:rFonts w:hint="eastAsia" w:ascii="宋体" w:hAnsi="宋体" w:cs="宋体"/>
          <w:b/>
          <w:bCs/>
          <w:color w:val="auto"/>
          <w:kern w:val="0"/>
          <w:sz w:val="24"/>
          <w:highlight w:val="none"/>
        </w:rPr>
        <w:t>、服务标准</w:t>
      </w:r>
    </w:p>
    <w:p>
      <w:pPr>
        <w:spacing w:line="360" w:lineRule="auto"/>
        <w:jc w:val="center"/>
        <w:outlineLvl w:val="0"/>
        <w:rPr>
          <w:rFonts w:ascii="宋体" w:hAnsi="宋体" w:cs="宋体"/>
          <w:b/>
          <w:color w:val="auto"/>
          <w:sz w:val="36"/>
          <w:szCs w:val="36"/>
          <w:highlight w:val="none"/>
        </w:rPr>
      </w:pPr>
      <w:r>
        <w:rPr>
          <w:rFonts w:hint="eastAsia" w:ascii="宋体" w:hAnsi="宋体" w:cs="宋体"/>
          <w:color w:val="auto"/>
          <w:kern w:val="0"/>
          <w:sz w:val="24"/>
          <w:highlight w:val="none"/>
        </w:rPr>
        <w:t>本项目需执行的国家相关标准、行业标准、地方标准或者其他标准、规范。</w:t>
      </w: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98"/>
      <w:bookmarkEnd w:id="28"/>
      <w:bookmarkStart w:id="29" w:name="_Toc184314438"/>
      <w:bookmarkEnd w:id="29"/>
      <w:bookmarkStart w:id="30" w:name="_Toc184313291"/>
      <w:bookmarkEnd w:id="30"/>
      <w:bookmarkStart w:id="31" w:name="_Toc184312112"/>
      <w:bookmarkEnd w:id="31"/>
      <w:bookmarkStart w:id="32" w:name="_Toc184310284"/>
      <w:bookmarkEnd w:id="32"/>
      <w:bookmarkStart w:id="33" w:name="_Toc184314482"/>
      <w:bookmarkEnd w:id="33"/>
      <w:bookmarkStart w:id="34" w:name="_Toc184310279"/>
      <w:bookmarkEnd w:id="34"/>
      <w:bookmarkStart w:id="35" w:name="_Toc184308051"/>
      <w:bookmarkEnd w:id="35"/>
      <w:bookmarkStart w:id="36" w:name="_Toc184313299"/>
      <w:bookmarkEnd w:id="36"/>
      <w:bookmarkStart w:id="37" w:name="_Toc184310273"/>
      <w:bookmarkEnd w:id="37"/>
      <w:bookmarkStart w:id="38" w:name="_Toc184310296"/>
      <w:bookmarkEnd w:id="38"/>
      <w:bookmarkStart w:id="39" w:name="_Toc184313277"/>
      <w:bookmarkEnd w:id="39"/>
      <w:bookmarkStart w:id="40" w:name="_Toc184308044"/>
      <w:bookmarkEnd w:id="40"/>
      <w:bookmarkStart w:id="41" w:name="_Toc184308091"/>
      <w:bookmarkEnd w:id="41"/>
      <w:bookmarkStart w:id="42" w:name="_Toc184312131"/>
      <w:bookmarkEnd w:id="42"/>
      <w:bookmarkStart w:id="43" w:name="_Toc184310336"/>
      <w:bookmarkEnd w:id="43"/>
      <w:bookmarkStart w:id="44" w:name="_Toc184308046"/>
      <w:bookmarkEnd w:id="44"/>
      <w:bookmarkStart w:id="45" w:name="_Toc184313293"/>
      <w:bookmarkEnd w:id="45"/>
      <w:bookmarkStart w:id="46" w:name="_Toc184308101"/>
      <w:bookmarkEnd w:id="46"/>
      <w:bookmarkStart w:id="47" w:name="_Toc184310298"/>
      <w:bookmarkEnd w:id="47"/>
      <w:bookmarkStart w:id="48" w:name="_Toc184314415"/>
      <w:bookmarkEnd w:id="48"/>
      <w:bookmarkStart w:id="49" w:name="_Toc184308062"/>
      <w:bookmarkEnd w:id="49"/>
      <w:bookmarkStart w:id="50" w:name="_Toc184314478"/>
      <w:bookmarkEnd w:id="50"/>
      <w:bookmarkStart w:id="51" w:name="_Toc184308060"/>
      <w:bookmarkEnd w:id="51"/>
      <w:bookmarkStart w:id="52" w:name="_Toc184308059"/>
      <w:bookmarkEnd w:id="52"/>
      <w:bookmarkStart w:id="53" w:name="_Toc184313263"/>
      <w:bookmarkEnd w:id="53"/>
      <w:bookmarkStart w:id="54" w:name="_Toc184310317"/>
      <w:bookmarkEnd w:id="54"/>
      <w:bookmarkStart w:id="55" w:name="_Toc184314420"/>
      <w:bookmarkEnd w:id="55"/>
      <w:bookmarkStart w:id="56" w:name="_Toc184310318"/>
      <w:bookmarkEnd w:id="56"/>
      <w:bookmarkStart w:id="57" w:name="_Toc184312070"/>
      <w:bookmarkEnd w:id="57"/>
      <w:bookmarkStart w:id="58" w:name="_Toc184312088"/>
      <w:bookmarkEnd w:id="58"/>
      <w:bookmarkStart w:id="59" w:name="_Toc184310310"/>
      <w:bookmarkEnd w:id="59"/>
      <w:bookmarkStart w:id="60" w:name="_Toc184308102"/>
      <w:bookmarkEnd w:id="60"/>
      <w:bookmarkStart w:id="61" w:name="_Toc184308063"/>
      <w:bookmarkEnd w:id="61"/>
      <w:bookmarkStart w:id="62" w:name="_Toc184313308"/>
      <w:bookmarkEnd w:id="62"/>
      <w:bookmarkStart w:id="63" w:name="_Toc184312107"/>
      <w:bookmarkEnd w:id="63"/>
      <w:bookmarkStart w:id="64" w:name="_Toc184313239"/>
      <w:bookmarkEnd w:id="64"/>
      <w:bookmarkStart w:id="65" w:name="_Toc184308049"/>
      <w:bookmarkEnd w:id="65"/>
      <w:bookmarkStart w:id="66" w:name="_Toc184310301"/>
      <w:bookmarkEnd w:id="66"/>
      <w:bookmarkStart w:id="67" w:name="_Toc184313283"/>
      <w:bookmarkEnd w:id="67"/>
      <w:bookmarkStart w:id="68" w:name="_Toc184308085"/>
      <w:bookmarkEnd w:id="68"/>
      <w:bookmarkStart w:id="69" w:name="_Toc184312132"/>
      <w:bookmarkEnd w:id="69"/>
      <w:bookmarkStart w:id="70" w:name="_Toc184313255"/>
      <w:bookmarkEnd w:id="70"/>
      <w:bookmarkStart w:id="71" w:name="_Toc184314471"/>
      <w:bookmarkEnd w:id="71"/>
      <w:bookmarkStart w:id="72" w:name="_Toc184308075"/>
      <w:bookmarkEnd w:id="72"/>
      <w:bookmarkStart w:id="73" w:name="_Toc184314428"/>
      <w:bookmarkEnd w:id="73"/>
      <w:bookmarkStart w:id="74" w:name="_Toc184308080"/>
      <w:bookmarkEnd w:id="74"/>
      <w:bookmarkStart w:id="75" w:name="_Toc184312069"/>
      <w:bookmarkEnd w:id="75"/>
      <w:bookmarkStart w:id="76" w:name="_Toc184313279"/>
      <w:bookmarkEnd w:id="76"/>
      <w:bookmarkStart w:id="77" w:name="_Toc184312075"/>
      <w:bookmarkEnd w:id="77"/>
      <w:bookmarkStart w:id="78" w:name="_Toc184312090"/>
      <w:bookmarkEnd w:id="78"/>
      <w:bookmarkStart w:id="79" w:name="_Toc184312076"/>
      <w:bookmarkEnd w:id="79"/>
      <w:bookmarkStart w:id="80" w:name="_Toc184310309"/>
      <w:bookmarkEnd w:id="80"/>
      <w:bookmarkStart w:id="81" w:name="_Toc184314473"/>
      <w:bookmarkEnd w:id="81"/>
      <w:bookmarkStart w:id="82" w:name="_Toc184312134"/>
      <w:bookmarkEnd w:id="82"/>
      <w:bookmarkStart w:id="83" w:name="_Toc184310304"/>
      <w:bookmarkEnd w:id="83"/>
      <w:bookmarkStart w:id="84" w:name="_Toc184314462"/>
      <w:bookmarkEnd w:id="84"/>
      <w:bookmarkStart w:id="85" w:name="_Toc184308098"/>
      <w:bookmarkEnd w:id="85"/>
      <w:bookmarkStart w:id="86" w:name="_Toc184313254"/>
      <w:bookmarkEnd w:id="86"/>
      <w:bookmarkStart w:id="87" w:name="_Toc184312109"/>
      <w:bookmarkEnd w:id="87"/>
      <w:bookmarkStart w:id="88" w:name="_Toc184308079"/>
      <w:bookmarkEnd w:id="88"/>
      <w:bookmarkStart w:id="89" w:name="_Toc184312100"/>
      <w:bookmarkEnd w:id="89"/>
      <w:bookmarkStart w:id="90" w:name="_Toc184314451"/>
      <w:bookmarkEnd w:id="90"/>
      <w:bookmarkStart w:id="91" w:name="_Toc184314411"/>
      <w:bookmarkEnd w:id="91"/>
      <w:bookmarkStart w:id="92" w:name="_Toc184313273"/>
      <w:bookmarkEnd w:id="92"/>
      <w:bookmarkStart w:id="93" w:name="_Toc184313266"/>
      <w:bookmarkEnd w:id="93"/>
      <w:bookmarkStart w:id="94" w:name="_Toc184314431"/>
      <w:bookmarkEnd w:id="94"/>
      <w:bookmarkStart w:id="95" w:name="_Toc184314422"/>
      <w:bookmarkEnd w:id="95"/>
      <w:bookmarkStart w:id="96" w:name="_Toc184314444"/>
      <w:bookmarkEnd w:id="96"/>
      <w:bookmarkStart w:id="97" w:name="_Toc184314435"/>
      <w:bookmarkEnd w:id="97"/>
      <w:bookmarkStart w:id="98" w:name="_Toc184313261"/>
      <w:bookmarkEnd w:id="98"/>
      <w:bookmarkStart w:id="99" w:name="_Toc184312126"/>
      <w:bookmarkEnd w:id="99"/>
      <w:bookmarkStart w:id="100" w:name="_Toc184314454"/>
      <w:bookmarkEnd w:id="100"/>
      <w:bookmarkStart w:id="101" w:name="_Toc184314466"/>
      <w:bookmarkEnd w:id="101"/>
      <w:bookmarkStart w:id="102" w:name="_Toc184310324"/>
      <w:bookmarkEnd w:id="102"/>
      <w:bookmarkStart w:id="103" w:name="_Toc184310306"/>
      <w:bookmarkEnd w:id="103"/>
      <w:bookmarkStart w:id="104" w:name="_Toc184308099"/>
      <w:bookmarkEnd w:id="104"/>
      <w:bookmarkStart w:id="105" w:name="_Toc184313257"/>
      <w:bookmarkEnd w:id="105"/>
      <w:bookmarkStart w:id="106" w:name="_Toc184312113"/>
      <w:bookmarkEnd w:id="106"/>
      <w:bookmarkStart w:id="107" w:name="_Toc184313250"/>
      <w:bookmarkEnd w:id="107"/>
      <w:bookmarkStart w:id="108" w:name="_Toc184312114"/>
      <w:bookmarkEnd w:id="108"/>
      <w:bookmarkStart w:id="109" w:name="_Toc184310277"/>
      <w:bookmarkEnd w:id="109"/>
      <w:bookmarkStart w:id="110" w:name="_Toc184308064"/>
      <w:bookmarkEnd w:id="110"/>
      <w:bookmarkStart w:id="111" w:name="_Toc184314457"/>
      <w:bookmarkEnd w:id="111"/>
      <w:bookmarkStart w:id="112" w:name="_Toc184312127"/>
      <w:bookmarkEnd w:id="112"/>
      <w:bookmarkStart w:id="113" w:name="_Toc184308081"/>
      <w:bookmarkEnd w:id="113"/>
      <w:bookmarkStart w:id="114" w:name="_Toc184308078"/>
      <w:bookmarkEnd w:id="114"/>
      <w:bookmarkStart w:id="115" w:name="_Toc184310328"/>
      <w:bookmarkEnd w:id="115"/>
      <w:bookmarkStart w:id="116" w:name="_Toc184308056"/>
      <w:bookmarkEnd w:id="116"/>
      <w:bookmarkStart w:id="117" w:name="_Toc184314427"/>
      <w:bookmarkEnd w:id="117"/>
      <w:bookmarkStart w:id="118" w:name="_Toc184314418"/>
      <w:bookmarkEnd w:id="118"/>
      <w:bookmarkStart w:id="119" w:name="_Toc184308108"/>
      <w:bookmarkEnd w:id="119"/>
      <w:bookmarkStart w:id="120" w:name="_Toc184312116"/>
      <w:bookmarkEnd w:id="120"/>
      <w:bookmarkStart w:id="121" w:name="_Toc184308037"/>
      <w:bookmarkEnd w:id="121"/>
      <w:bookmarkStart w:id="122" w:name="_Toc184314453"/>
      <w:bookmarkEnd w:id="122"/>
      <w:bookmarkStart w:id="123" w:name="_Toc184314419"/>
      <w:bookmarkEnd w:id="123"/>
      <w:bookmarkStart w:id="124" w:name="_Toc184314436"/>
      <w:bookmarkEnd w:id="124"/>
      <w:bookmarkStart w:id="125" w:name="_Toc184313310"/>
      <w:bookmarkEnd w:id="125"/>
      <w:bookmarkStart w:id="126" w:name="_Toc184310340"/>
      <w:bookmarkEnd w:id="126"/>
      <w:bookmarkStart w:id="127" w:name="_Toc184312072"/>
      <w:bookmarkEnd w:id="127"/>
      <w:bookmarkStart w:id="128" w:name="_Toc184310319"/>
      <w:bookmarkEnd w:id="128"/>
      <w:bookmarkStart w:id="129" w:name="_Toc184312128"/>
      <w:bookmarkEnd w:id="129"/>
      <w:bookmarkStart w:id="130" w:name="_Toc184308087"/>
      <w:bookmarkEnd w:id="130"/>
      <w:bookmarkStart w:id="131" w:name="_Toc184314469"/>
      <w:bookmarkEnd w:id="131"/>
      <w:bookmarkStart w:id="132" w:name="_Toc184313259"/>
      <w:bookmarkEnd w:id="132"/>
      <w:bookmarkStart w:id="133" w:name="_Toc184310299"/>
      <w:bookmarkEnd w:id="133"/>
      <w:bookmarkStart w:id="134" w:name="_Toc184310308"/>
      <w:bookmarkEnd w:id="134"/>
      <w:bookmarkStart w:id="135" w:name="_Toc184314467"/>
      <w:bookmarkEnd w:id="135"/>
      <w:bookmarkStart w:id="136" w:name="_Toc184308070"/>
      <w:bookmarkEnd w:id="136"/>
      <w:bookmarkStart w:id="137" w:name="_Toc184314448"/>
      <w:bookmarkEnd w:id="137"/>
      <w:bookmarkStart w:id="138" w:name="_Toc184310282"/>
      <w:bookmarkEnd w:id="138"/>
      <w:bookmarkStart w:id="139" w:name="_Toc184312121"/>
      <w:bookmarkEnd w:id="139"/>
      <w:bookmarkStart w:id="140" w:name="_Toc184308093"/>
      <w:bookmarkEnd w:id="140"/>
      <w:bookmarkStart w:id="141" w:name="_Toc184313272"/>
      <w:bookmarkEnd w:id="141"/>
      <w:bookmarkStart w:id="142" w:name="_Toc184313290"/>
      <w:bookmarkEnd w:id="142"/>
      <w:bookmarkStart w:id="143" w:name="_Toc184308040"/>
      <w:bookmarkEnd w:id="143"/>
      <w:bookmarkStart w:id="144" w:name="_Toc184314468"/>
      <w:bookmarkEnd w:id="144"/>
      <w:bookmarkStart w:id="145" w:name="_Toc184312089"/>
      <w:bookmarkEnd w:id="145"/>
      <w:bookmarkStart w:id="146" w:name="_Toc184312139"/>
      <w:bookmarkEnd w:id="146"/>
      <w:bookmarkStart w:id="147" w:name="_Toc184310305"/>
      <w:bookmarkEnd w:id="147"/>
      <w:bookmarkStart w:id="148" w:name="_Toc184308107"/>
      <w:bookmarkEnd w:id="148"/>
      <w:bookmarkStart w:id="149" w:name="_Toc184308082"/>
      <w:bookmarkEnd w:id="149"/>
      <w:bookmarkStart w:id="150" w:name="_Toc184313238"/>
      <w:bookmarkEnd w:id="150"/>
      <w:bookmarkStart w:id="151" w:name="_Toc184314417"/>
      <w:bookmarkEnd w:id="151"/>
      <w:bookmarkStart w:id="152" w:name="_Toc184310333"/>
      <w:bookmarkEnd w:id="152"/>
      <w:bookmarkStart w:id="153" w:name="_Toc184310297"/>
      <w:bookmarkEnd w:id="153"/>
      <w:bookmarkStart w:id="154" w:name="_Toc184312082"/>
      <w:bookmarkEnd w:id="154"/>
      <w:bookmarkStart w:id="155" w:name="_Toc184308048"/>
      <w:bookmarkEnd w:id="155"/>
      <w:bookmarkStart w:id="156" w:name="_Toc184310312"/>
      <w:bookmarkEnd w:id="156"/>
      <w:bookmarkStart w:id="157" w:name="_Toc184310314"/>
      <w:bookmarkEnd w:id="157"/>
      <w:bookmarkStart w:id="158" w:name="_Toc184308100"/>
      <w:bookmarkEnd w:id="158"/>
      <w:bookmarkStart w:id="159" w:name="_Toc184313246"/>
      <w:bookmarkEnd w:id="159"/>
      <w:bookmarkStart w:id="160" w:name="_Toc184312119"/>
      <w:bookmarkEnd w:id="160"/>
      <w:bookmarkStart w:id="161" w:name="_Toc184310288"/>
      <w:bookmarkEnd w:id="161"/>
      <w:bookmarkStart w:id="162" w:name="_Toc184312110"/>
      <w:bookmarkEnd w:id="162"/>
      <w:bookmarkStart w:id="163" w:name="_Toc184308084"/>
      <w:bookmarkEnd w:id="163"/>
      <w:bookmarkStart w:id="164" w:name="_Toc184312094"/>
      <w:bookmarkEnd w:id="164"/>
      <w:bookmarkStart w:id="165" w:name="_Toc184312108"/>
      <w:bookmarkEnd w:id="165"/>
      <w:bookmarkStart w:id="166" w:name="_Toc184314450"/>
      <w:bookmarkEnd w:id="166"/>
      <w:bookmarkStart w:id="167" w:name="_Toc184314434"/>
      <w:bookmarkEnd w:id="167"/>
      <w:bookmarkStart w:id="168" w:name="_Toc184314445"/>
      <w:bookmarkEnd w:id="168"/>
      <w:bookmarkStart w:id="169" w:name="_Toc184314452"/>
      <w:bookmarkEnd w:id="169"/>
      <w:bookmarkStart w:id="170" w:name="_Toc184313251"/>
      <w:bookmarkEnd w:id="170"/>
      <w:bookmarkStart w:id="171" w:name="_Toc184312081"/>
      <w:bookmarkEnd w:id="171"/>
      <w:bookmarkStart w:id="172" w:name="_Toc184313274"/>
      <w:bookmarkEnd w:id="172"/>
      <w:bookmarkStart w:id="173" w:name="_Toc184313304"/>
      <w:bookmarkEnd w:id="173"/>
      <w:bookmarkStart w:id="174" w:name="_Toc184313248"/>
      <w:bookmarkEnd w:id="174"/>
      <w:bookmarkStart w:id="175" w:name="_Toc184313265"/>
      <w:bookmarkEnd w:id="175"/>
      <w:bookmarkStart w:id="176" w:name="_Toc184314472"/>
      <w:bookmarkEnd w:id="176"/>
      <w:bookmarkStart w:id="177" w:name="_Toc184310291"/>
      <w:bookmarkEnd w:id="177"/>
      <w:bookmarkStart w:id="178" w:name="_Toc184312071"/>
      <w:bookmarkEnd w:id="178"/>
      <w:bookmarkStart w:id="179" w:name="_Toc184314414"/>
      <w:bookmarkEnd w:id="179"/>
      <w:bookmarkStart w:id="180" w:name="_Toc184313309"/>
      <w:bookmarkEnd w:id="180"/>
      <w:bookmarkStart w:id="181" w:name="_Toc184310335"/>
      <w:bookmarkEnd w:id="181"/>
      <w:bookmarkStart w:id="182" w:name="_Toc184314455"/>
      <w:bookmarkEnd w:id="182"/>
      <w:bookmarkStart w:id="183" w:name="_Toc184314432"/>
      <w:bookmarkEnd w:id="183"/>
      <w:bookmarkStart w:id="184" w:name="_Toc184310321"/>
      <w:bookmarkEnd w:id="184"/>
      <w:bookmarkStart w:id="185" w:name="_Toc184314477"/>
      <w:bookmarkEnd w:id="185"/>
      <w:bookmarkStart w:id="186" w:name="_Toc184310285"/>
      <w:bookmarkEnd w:id="186"/>
      <w:bookmarkStart w:id="187" w:name="_Toc184310316"/>
      <w:bookmarkEnd w:id="187"/>
      <w:bookmarkStart w:id="188" w:name="_Toc184308054"/>
      <w:bookmarkEnd w:id="188"/>
      <w:bookmarkStart w:id="189" w:name="_Toc184312118"/>
      <w:bookmarkEnd w:id="189"/>
      <w:bookmarkStart w:id="190" w:name="_Toc184314474"/>
      <w:bookmarkEnd w:id="190"/>
      <w:bookmarkStart w:id="191" w:name="_Toc184312125"/>
      <w:bookmarkEnd w:id="191"/>
      <w:bookmarkStart w:id="192" w:name="_Toc184308067"/>
      <w:bookmarkEnd w:id="192"/>
      <w:bookmarkStart w:id="193" w:name="_Toc184312138"/>
      <w:bookmarkEnd w:id="193"/>
      <w:bookmarkStart w:id="194" w:name="_Toc184314461"/>
      <w:bookmarkEnd w:id="194"/>
      <w:bookmarkStart w:id="195" w:name="_Toc184312086"/>
      <w:bookmarkEnd w:id="195"/>
      <w:bookmarkStart w:id="196" w:name="_Toc184312122"/>
      <w:bookmarkEnd w:id="196"/>
      <w:bookmarkStart w:id="197" w:name="_Toc184313243"/>
      <w:bookmarkEnd w:id="197"/>
      <w:bookmarkStart w:id="198" w:name="_Toc184313287"/>
      <w:bookmarkEnd w:id="198"/>
      <w:bookmarkStart w:id="199" w:name="_Toc184313275"/>
      <w:bookmarkEnd w:id="199"/>
      <w:bookmarkStart w:id="200" w:name="_Toc184314442"/>
      <w:bookmarkEnd w:id="200"/>
      <w:bookmarkStart w:id="201" w:name="_Toc184313281"/>
      <w:bookmarkEnd w:id="201"/>
      <w:bookmarkStart w:id="202" w:name="_Toc184308061"/>
      <w:bookmarkEnd w:id="202"/>
      <w:bookmarkStart w:id="203" w:name="_Toc184314426"/>
      <w:bookmarkEnd w:id="203"/>
      <w:bookmarkStart w:id="204" w:name="_Toc184308086"/>
      <w:bookmarkEnd w:id="204"/>
      <w:bookmarkStart w:id="205" w:name="_Toc184314412"/>
      <w:bookmarkEnd w:id="205"/>
      <w:bookmarkStart w:id="206" w:name="_Toc184308047"/>
      <w:bookmarkEnd w:id="206"/>
      <w:bookmarkStart w:id="207" w:name="_Toc184314463"/>
      <w:bookmarkEnd w:id="207"/>
      <w:bookmarkStart w:id="208" w:name="_Toc184313306"/>
      <w:bookmarkEnd w:id="208"/>
      <w:bookmarkStart w:id="209" w:name="_Toc184313301"/>
      <w:bookmarkEnd w:id="209"/>
      <w:bookmarkStart w:id="210" w:name="_Toc184308074"/>
      <w:bookmarkEnd w:id="210"/>
      <w:bookmarkStart w:id="211" w:name="_Toc184310323"/>
      <w:bookmarkEnd w:id="211"/>
      <w:bookmarkStart w:id="212" w:name="_Toc184308068"/>
      <w:bookmarkEnd w:id="212"/>
      <w:bookmarkStart w:id="213" w:name="_Toc184313267"/>
      <w:bookmarkEnd w:id="213"/>
      <w:bookmarkStart w:id="214" w:name="_Toc184313269"/>
      <w:bookmarkEnd w:id="214"/>
      <w:bookmarkStart w:id="215" w:name="_Toc184308106"/>
      <w:bookmarkEnd w:id="215"/>
      <w:bookmarkStart w:id="216" w:name="_Toc184314416"/>
      <w:bookmarkEnd w:id="216"/>
      <w:bookmarkStart w:id="217" w:name="_Toc184313245"/>
      <w:bookmarkEnd w:id="217"/>
      <w:bookmarkStart w:id="218" w:name="_Toc184313244"/>
      <w:bookmarkEnd w:id="218"/>
      <w:bookmarkStart w:id="219" w:name="_Toc184313292"/>
      <w:bookmarkEnd w:id="219"/>
      <w:bookmarkStart w:id="220" w:name="_Toc184314433"/>
      <w:bookmarkEnd w:id="220"/>
      <w:bookmarkStart w:id="221" w:name="_Toc184310337"/>
      <w:bookmarkEnd w:id="221"/>
      <w:bookmarkStart w:id="222" w:name="_Toc184312079"/>
      <w:bookmarkEnd w:id="222"/>
      <w:bookmarkStart w:id="223" w:name="_Toc184312105"/>
      <w:bookmarkEnd w:id="223"/>
      <w:bookmarkStart w:id="224" w:name="_Toc184310344"/>
      <w:bookmarkEnd w:id="224"/>
      <w:bookmarkStart w:id="225" w:name="_Toc184310300"/>
      <w:bookmarkEnd w:id="225"/>
      <w:bookmarkStart w:id="226" w:name="_Toc184310313"/>
      <w:bookmarkEnd w:id="226"/>
      <w:bookmarkStart w:id="227" w:name="_Toc184308095"/>
      <w:bookmarkEnd w:id="227"/>
      <w:bookmarkStart w:id="228" w:name="_Toc184313256"/>
      <w:bookmarkEnd w:id="228"/>
      <w:bookmarkStart w:id="229" w:name="_Toc184312133"/>
      <w:bookmarkEnd w:id="229"/>
      <w:bookmarkStart w:id="230" w:name="_Toc184312120"/>
      <w:bookmarkEnd w:id="230"/>
      <w:bookmarkStart w:id="231" w:name="_Toc184310303"/>
      <w:bookmarkEnd w:id="231"/>
      <w:bookmarkStart w:id="232" w:name="_Toc184312102"/>
      <w:bookmarkEnd w:id="232"/>
      <w:bookmarkStart w:id="233" w:name="_Toc184314447"/>
      <w:bookmarkEnd w:id="233"/>
      <w:bookmarkStart w:id="234" w:name="_Toc184310290"/>
      <w:bookmarkEnd w:id="234"/>
      <w:bookmarkStart w:id="235" w:name="_Toc184308045"/>
      <w:bookmarkEnd w:id="235"/>
      <w:bookmarkStart w:id="236" w:name="_Toc184312067"/>
      <w:bookmarkEnd w:id="236"/>
      <w:bookmarkStart w:id="237" w:name="_Toc184314480"/>
      <w:bookmarkEnd w:id="237"/>
      <w:bookmarkStart w:id="238" w:name="_Toc184313278"/>
      <w:bookmarkEnd w:id="238"/>
      <w:bookmarkStart w:id="239" w:name="_Toc184312093"/>
      <w:bookmarkEnd w:id="239"/>
      <w:bookmarkStart w:id="240" w:name="_Toc184313300"/>
      <w:bookmarkEnd w:id="240"/>
      <w:bookmarkStart w:id="241" w:name="_Toc184312129"/>
      <w:bookmarkEnd w:id="241"/>
      <w:bookmarkStart w:id="242" w:name="_Toc184314410"/>
      <w:bookmarkEnd w:id="242"/>
      <w:bookmarkStart w:id="243" w:name="_Toc184310286"/>
      <w:bookmarkEnd w:id="243"/>
      <w:bookmarkStart w:id="244" w:name="_Toc184313307"/>
      <w:bookmarkEnd w:id="244"/>
      <w:bookmarkStart w:id="245" w:name="_Toc184308043"/>
      <w:bookmarkEnd w:id="245"/>
      <w:bookmarkStart w:id="246" w:name="_Toc184312083"/>
      <w:bookmarkEnd w:id="246"/>
      <w:bookmarkStart w:id="247" w:name="_Toc184308053"/>
      <w:bookmarkEnd w:id="247"/>
      <w:bookmarkStart w:id="248" w:name="_Toc184312097"/>
      <w:bookmarkEnd w:id="248"/>
      <w:bookmarkStart w:id="249" w:name="_Toc184308041"/>
      <w:bookmarkEnd w:id="249"/>
      <w:bookmarkStart w:id="250" w:name="_Toc184313289"/>
      <w:bookmarkEnd w:id="250"/>
      <w:bookmarkStart w:id="251" w:name="_Toc184312115"/>
      <w:bookmarkEnd w:id="251"/>
      <w:bookmarkStart w:id="252" w:name="_Toc184308103"/>
      <w:bookmarkEnd w:id="252"/>
      <w:bookmarkStart w:id="253" w:name="_Toc184314458"/>
      <w:bookmarkEnd w:id="253"/>
      <w:bookmarkStart w:id="254" w:name="_Toc184313303"/>
      <w:bookmarkEnd w:id="254"/>
      <w:bookmarkStart w:id="255" w:name="_Toc184313271"/>
      <w:bookmarkEnd w:id="255"/>
      <w:bookmarkStart w:id="256" w:name="_Toc184312077"/>
      <w:bookmarkEnd w:id="256"/>
      <w:bookmarkStart w:id="257" w:name="_Toc184310280"/>
      <w:bookmarkEnd w:id="257"/>
      <w:bookmarkStart w:id="258" w:name="_Toc184312123"/>
      <w:bookmarkEnd w:id="258"/>
      <w:bookmarkStart w:id="259" w:name="_Toc184313286"/>
      <w:bookmarkEnd w:id="259"/>
      <w:bookmarkStart w:id="260" w:name="_Toc184310294"/>
      <w:bookmarkEnd w:id="260"/>
      <w:bookmarkStart w:id="261" w:name="_Toc184312068"/>
      <w:bookmarkEnd w:id="261"/>
      <w:bookmarkStart w:id="262" w:name="_Toc184314456"/>
      <w:bookmarkEnd w:id="262"/>
      <w:bookmarkStart w:id="263" w:name="_Toc184310315"/>
      <w:bookmarkEnd w:id="263"/>
      <w:bookmarkStart w:id="264" w:name="_Toc184312092"/>
      <w:bookmarkEnd w:id="264"/>
      <w:bookmarkStart w:id="265" w:name="_Toc184312091"/>
      <w:bookmarkEnd w:id="265"/>
      <w:bookmarkStart w:id="266" w:name="_Toc184310339"/>
      <w:bookmarkEnd w:id="266"/>
      <w:bookmarkStart w:id="267" w:name="_Toc184308088"/>
      <w:bookmarkEnd w:id="267"/>
      <w:bookmarkStart w:id="268" w:name="_Toc184312106"/>
      <w:bookmarkEnd w:id="268"/>
      <w:bookmarkStart w:id="269" w:name="_Toc184312084"/>
      <w:bookmarkEnd w:id="269"/>
      <w:bookmarkStart w:id="270" w:name="_Toc184310295"/>
      <w:bookmarkEnd w:id="270"/>
      <w:bookmarkStart w:id="271" w:name="_Toc184314425"/>
      <w:bookmarkEnd w:id="271"/>
      <w:bookmarkStart w:id="272" w:name="_Toc184308073"/>
      <w:bookmarkEnd w:id="272"/>
      <w:bookmarkStart w:id="273" w:name="_Toc184314439"/>
      <w:bookmarkEnd w:id="273"/>
      <w:bookmarkStart w:id="274" w:name="_Toc184312080"/>
      <w:bookmarkEnd w:id="274"/>
      <w:bookmarkStart w:id="275" w:name="_Toc184310325"/>
      <w:bookmarkEnd w:id="275"/>
      <w:bookmarkStart w:id="276" w:name="_Toc184314440"/>
      <w:bookmarkEnd w:id="276"/>
      <w:bookmarkStart w:id="277" w:name="_Toc184312074"/>
      <w:bookmarkEnd w:id="277"/>
      <w:bookmarkStart w:id="278" w:name="_Toc184310341"/>
      <w:bookmarkEnd w:id="278"/>
      <w:bookmarkStart w:id="279" w:name="_Toc184308104"/>
      <w:bookmarkEnd w:id="279"/>
      <w:bookmarkStart w:id="280" w:name="_Toc184310275"/>
      <w:bookmarkEnd w:id="280"/>
      <w:bookmarkStart w:id="281" w:name="_Toc184314476"/>
      <w:bookmarkEnd w:id="281"/>
      <w:bookmarkStart w:id="282" w:name="_Toc184314446"/>
      <w:bookmarkEnd w:id="282"/>
      <w:bookmarkStart w:id="283" w:name="_Toc184314460"/>
      <w:bookmarkEnd w:id="283"/>
      <w:bookmarkStart w:id="284" w:name="_Toc184314465"/>
      <w:bookmarkEnd w:id="284"/>
      <w:bookmarkStart w:id="285" w:name="_Toc184312085"/>
      <w:bookmarkEnd w:id="285"/>
      <w:bookmarkStart w:id="286" w:name="_Toc184310283"/>
      <w:bookmarkEnd w:id="286"/>
      <w:bookmarkStart w:id="287" w:name="_Toc184308092"/>
      <w:bookmarkEnd w:id="287"/>
      <w:bookmarkStart w:id="288" w:name="_Toc184308055"/>
      <w:bookmarkEnd w:id="288"/>
      <w:bookmarkStart w:id="289" w:name="_Toc184312111"/>
      <w:bookmarkEnd w:id="289"/>
      <w:bookmarkStart w:id="290" w:name="_Toc184310287"/>
      <w:bookmarkEnd w:id="290"/>
      <w:bookmarkStart w:id="291" w:name="_Toc184313260"/>
      <w:bookmarkEnd w:id="291"/>
      <w:bookmarkStart w:id="292" w:name="_Toc184308076"/>
      <w:bookmarkEnd w:id="292"/>
      <w:bookmarkStart w:id="293" w:name="_Toc184310276"/>
      <w:bookmarkEnd w:id="293"/>
      <w:bookmarkStart w:id="294" w:name="_Toc184314459"/>
      <w:bookmarkEnd w:id="294"/>
      <w:bookmarkStart w:id="295" w:name="_Toc184312078"/>
      <w:bookmarkEnd w:id="295"/>
      <w:bookmarkStart w:id="296" w:name="_Toc184310293"/>
      <w:bookmarkEnd w:id="296"/>
      <w:bookmarkStart w:id="297" w:name="_Toc184312117"/>
      <w:bookmarkEnd w:id="297"/>
      <w:bookmarkStart w:id="298" w:name="_Toc184310338"/>
      <w:bookmarkEnd w:id="298"/>
      <w:bookmarkStart w:id="299" w:name="_Toc184308096"/>
      <w:bookmarkEnd w:id="299"/>
      <w:bookmarkStart w:id="300" w:name="_Toc184310322"/>
      <w:bookmarkEnd w:id="300"/>
      <w:bookmarkStart w:id="301" w:name="_Toc184312135"/>
      <w:bookmarkEnd w:id="301"/>
      <w:bookmarkStart w:id="302" w:name="_Toc184312130"/>
      <w:bookmarkEnd w:id="302"/>
      <w:bookmarkStart w:id="303" w:name="_Toc184314475"/>
      <w:bookmarkEnd w:id="303"/>
      <w:bookmarkStart w:id="304" w:name="_Toc184313253"/>
      <w:bookmarkEnd w:id="304"/>
      <w:bookmarkStart w:id="305" w:name="_Toc184308094"/>
      <w:bookmarkEnd w:id="305"/>
      <w:bookmarkStart w:id="306" w:name="_Toc184310311"/>
      <w:bookmarkEnd w:id="306"/>
      <w:bookmarkStart w:id="307" w:name="_Toc184310343"/>
      <w:bookmarkEnd w:id="307"/>
      <w:bookmarkStart w:id="308" w:name="_Toc184314423"/>
      <w:bookmarkEnd w:id="308"/>
      <w:bookmarkStart w:id="309" w:name="_Toc184310342"/>
      <w:bookmarkEnd w:id="309"/>
      <w:bookmarkStart w:id="310" w:name="_Toc184308071"/>
      <w:bookmarkEnd w:id="310"/>
      <w:bookmarkStart w:id="311" w:name="_Toc184308072"/>
      <w:bookmarkEnd w:id="311"/>
      <w:bookmarkStart w:id="312" w:name="_Toc184308038"/>
      <w:bookmarkEnd w:id="312"/>
      <w:bookmarkStart w:id="313" w:name="_Toc184314441"/>
      <w:bookmarkEnd w:id="313"/>
      <w:bookmarkStart w:id="314" w:name="_Toc184308069"/>
      <w:bookmarkEnd w:id="314"/>
      <w:bookmarkStart w:id="315" w:name="_Toc184312099"/>
      <w:bookmarkEnd w:id="315"/>
      <w:bookmarkStart w:id="316" w:name="_Toc184313258"/>
      <w:bookmarkEnd w:id="316"/>
      <w:bookmarkStart w:id="317" w:name="_Toc184308105"/>
      <w:bookmarkEnd w:id="317"/>
      <w:bookmarkStart w:id="318" w:name="_Toc184314449"/>
      <w:bookmarkEnd w:id="318"/>
      <w:bookmarkStart w:id="319" w:name="_Toc184313282"/>
      <w:bookmarkEnd w:id="319"/>
      <w:bookmarkStart w:id="320" w:name="_Toc184313284"/>
      <w:bookmarkEnd w:id="320"/>
      <w:bookmarkStart w:id="321" w:name="_Toc184308097"/>
      <w:bookmarkEnd w:id="321"/>
      <w:bookmarkStart w:id="322" w:name="_Toc184313298"/>
      <w:bookmarkEnd w:id="322"/>
      <w:bookmarkStart w:id="323" w:name="_Toc184310327"/>
      <w:bookmarkEnd w:id="323"/>
      <w:bookmarkStart w:id="324" w:name="_Toc184310326"/>
      <w:bookmarkEnd w:id="324"/>
      <w:bookmarkStart w:id="325" w:name="_Toc184308036"/>
      <w:bookmarkEnd w:id="325"/>
      <w:bookmarkStart w:id="326" w:name="_Toc184314430"/>
      <w:bookmarkEnd w:id="326"/>
      <w:bookmarkStart w:id="327" w:name="_Toc184313294"/>
      <w:bookmarkEnd w:id="327"/>
      <w:bookmarkStart w:id="328" w:name="_Toc184310281"/>
      <w:bookmarkEnd w:id="328"/>
      <w:bookmarkStart w:id="329" w:name="_Toc184310330"/>
      <w:bookmarkEnd w:id="329"/>
      <w:bookmarkStart w:id="330" w:name="_Toc184313241"/>
      <w:bookmarkEnd w:id="330"/>
      <w:bookmarkStart w:id="331" w:name="_Toc184313268"/>
      <w:bookmarkEnd w:id="331"/>
      <w:bookmarkStart w:id="332" w:name="_Toc184312103"/>
      <w:bookmarkEnd w:id="332"/>
      <w:bookmarkStart w:id="333" w:name="_Toc184312124"/>
      <w:bookmarkEnd w:id="333"/>
      <w:bookmarkStart w:id="334" w:name="_Toc184313247"/>
      <w:bookmarkEnd w:id="334"/>
      <w:bookmarkStart w:id="335" w:name="_Toc184310332"/>
      <w:bookmarkEnd w:id="335"/>
      <w:bookmarkStart w:id="336" w:name="_Toc184313297"/>
      <w:bookmarkEnd w:id="336"/>
      <w:bookmarkStart w:id="337" w:name="_Toc184310320"/>
      <w:bookmarkEnd w:id="337"/>
      <w:bookmarkStart w:id="338" w:name="_Toc184313264"/>
      <w:bookmarkEnd w:id="338"/>
      <w:bookmarkStart w:id="339" w:name="_Toc184314479"/>
      <w:bookmarkEnd w:id="339"/>
      <w:bookmarkStart w:id="340" w:name="_Toc184308077"/>
      <w:bookmarkEnd w:id="340"/>
      <w:bookmarkStart w:id="341" w:name="_Toc184313276"/>
      <w:bookmarkEnd w:id="341"/>
      <w:bookmarkStart w:id="342" w:name="_Toc184310307"/>
      <w:bookmarkEnd w:id="342"/>
      <w:bookmarkStart w:id="343" w:name="_Toc184308066"/>
      <w:bookmarkEnd w:id="343"/>
      <w:bookmarkStart w:id="344" w:name="_Toc184313270"/>
      <w:bookmarkEnd w:id="344"/>
      <w:bookmarkStart w:id="345" w:name="_Toc184308058"/>
      <w:bookmarkEnd w:id="345"/>
      <w:bookmarkStart w:id="346" w:name="_Toc184312073"/>
      <w:bookmarkEnd w:id="346"/>
      <w:bookmarkStart w:id="347" w:name="_Toc184313296"/>
      <w:bookmarkEnd w:id="347"/>
      <w:bookmarkStart w:id="348" w:name="_Toc184308052"/>
      <w:bookmarkEnd w:id="348"/>
      <w:bookmarkStart w:id="349" w:name="_Toc184310329"/>
      <w:bookmarkEnd w:id="349"/>
      <w:bookmarkStart w:id="350" w:name="_Toc184314464"/>
      <w:bookmarkEnd w:id="350"/>
      <w:bookmarkStart w:id="351" w:name="_Toc184310278"/>
      <w:bookmarkEnd w:id="351"/>
      <w:bookmarkStart w:id="352" w:name="_Toc184314481"/>
      <w:bookmarkEnd w:id="352"/>
      <w:bookmarkStart w:id="353" w:name="_Toc184314421"/>
      <w:bookmarkEnd w:id="353"/>
      <w:bookmarkStart w:id="354" w:name="_Toc184308050"/>
      <w:bookmarkEnd w:id="354"/>
      <w:bookmarkStart w:id="355" w:name="_Toc184313288"/>
      <w:bookmarkEnd w:id="355"/>
      <w:bookmarkStart w:id="356" w:name="_Toc184308083"/>
      <w:bookmarkEnd w:id="356"/>
      <w:bookmarkStart w:id="357" w:name="_Toc184310274"/>
      <w:bookmarkEnd w:id="357"/>
      <w:bookmarkStart w:id="358" w:name="_Toc184310292"/>
      <w:bookmarkEnd w:id="358"/>
      <w:bookmarkStart w:id="359" w:name="_Toc184312095"/>
      <w:bookmarkEnd w:id="359"/>
      <w:bookmarkStart w:id="360" w:name="_Toc184313242"/>
      <w:bookmarkEnd w:id="360"/>
      <w:bookmarkStart w:id="361" w:name="_Toc184313262"/>
      <w:bookmarkEnd w:id="361"/>
      <w:bookmarkStart w:id="362" w:name="_Toc184308042"/>
      <w:bookmarkEnd w:id="362"/>
      <w:bookmarkStart w:id="363" w:name="_Toc184313249"/>
      <w:bookmarkEnd w:id="363"/>
      <w:bookmarkStart w:id="364" w:name="_Toc184313252"/>
      <w:bookmarkEnd w:id="364"/>
      <w:bookmarkStart w:id="365" w:name="_Toc184314443"/>
      <w:bookmarkEnd w:id="365"/>
      <w:bookmarkStart w:id="366" w:name="_Toc184314413"/>
      <w:bookmarkEnd w:id="366"/>
      <w:bookmarkStart w:id="367" w:name="_Toc184312137"/>
      <w:bookmarkEnd w:id="367"/>
      <w:bookmarkStart w:id="368" w:name="_Toc184312136"/>
      <w:bookmarkEnd w:id="368"/>
      <w:bookmarkStart w:id="369" w:name="_Toc184313305"/>
      <w:bookmarkEnd w:id="369"/>
      <w:bookmarkStart w:id="370" w:name="_Toc184312087"/>
      <w:bookmarkEnd w:id="370"/>
      <w:bookmarkStart w:id="371" w:name="_Toc184308057"/>
      <w:bookmarkEnd w:id="371"/>
      <w:bookmarkStart w:id="372" w:name="_Toc184310272"/>
      <w:bookmarkEnd w:id="372"/>
      <w:bookmarkStart w:id="373" w:name="_Toc184313285"/>
      <w:bookmarkEnd w:id="373"/>
      <w:bookmarkStart w:id="374" w:name="_Toc184310289"/>
      <w:bookmarkEnd w:id="374"/>
      <w:bookmarkStart w:id="375" w:name="_Toc184308090"/>
      <w:bookmarkEnd w:id="375"/>
      <w:bookmarkStart w:id="376" w:name="_Toc184313295"/>
      <w:bookmarkEnd w:id="376"/>
      <w:bookmarkStart w:id="377" w:name="_Toc184314429"/>
      <w:bookmarkEnd w:id="377"/>
      <w:bookmarkStart w:id="378" w:name="_Toc184310334"/>
      <w:bookmarkEnd w:id="378"/>
      <w:bookmarkStart w:id="379" w:name="_Toc184314437"/>
      <w:bookmarkEnd w:id="379"/>
      <w:bookmarkStart w:id="380" w:name="_Toc184314424"/>
      <w:bookmarkEnd w:id="380"/>
      <w:bookmarkStart w:id="381" w:name="_Toc184310331"/>
      <w:bookmarkEnd w:id="381"/>
      <w:bookmarkStart w:id="382" w:name="_Toc184314470"/>
      <w:bookmarkEnd w:id="382"/>
      <w:bookmarkStart w:id="383" w:name="_Toc184312104"/>
      <w:bookmarkEnd w:id="383"/>
      <w:bookmarkStart w:id="384" w:name="_Toc184308065"/>
      <w:bookmarkEnd w:id="384"/>
      <w:bookmarkStart w:id="385" w:name="_Toc184312101"/>
      <w:bookmarkEnd w:id="385"/>
      <w:bookmarkStart w:id="386" w:name="_Toc184312096"/>
      <w:bookmarkEnd w:id="386"/>
      <w:bookmarkStart w:id="387" w:name="_Toc184308089"/>
      <w:bookmarkEnd w:id="387"/>
      <w:bookmarkStart w:id="388" w:name="_Toc184313302"/>
      <w:bookmarkEnd w:id="388"/>
      <w:bookmarkStart w:id="389" w:name="_Toc184308039"/>
      <w:bookmarkEnd w:id="389"/>
      <w:bookmarkStart w:id="390" w:name="_Toc184313280"/>
      <w:bookmarkEnd w:id="390"/>
      <w:bookmarkStart w:id="391" w:name="_Toc184310302"/>
      <w:bookmarkEnd w:id="391"/>
      <w:bookmarkStart w:id="392" w:name="_Toc184313240"/>
      <w:bookmarkEnd w:id="392"/>
      <w:r>
        <w:rPr>
          <w:rFonts w:hint="eastAsia" w:ascii="宋体" w:hAnsi="宋体" w:cs="宋体"/>
          <w:b/>
          <w:color w:val="auto"/>
          <w:sz w:val="36"/>
          <w:szCs w:val="36"/>
          <w:highlight w:val="none"/>
        </w:rPr>
        <w:t>评标办法</w:t>
      </w:r>
    </w:p>
    <w:tbl>
      <w:tblPr>
        <w:tblStyle w:val="62"/>
        <w:tblpPr w:leftFromText="180" w:rightFromText="180" w:vertAnchor="text" w:horzAnchor="page" w:tblpX="1799" w:tblpY="662"/>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30"/>
        <w:gridCol w:w="579"/>
        <w:gridCol w:w="139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777" w:type="dxa"/>
            <w:vAlign w:val="center"/>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130" w:type="dxa"/>
            <w:vAlign w:val="center"/>
          </w:tcPr>
          <w:p>
            <w:pPr>
              <w:widowControl/>
              <w:snapToGrid w:val="0"/>
              <w:spacing w:line="360" w:lineRule="auto"/>
              <w:ind w:firstLine="1560" w:firstLineChars="650"/>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579" w:type="dxa"/>
            <w:vAlign w:val="center"/>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397" w:type="dxa"/>
            <w:vAlign w:val="center"/>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581" w:type="dxa"/>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777" w:type="dxa"/>
            <w:vAlign w:val="center"/>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1</w:t>
            </w:r>
          </w:p>
        </w:tc>
        <w:tc>
          <w:tcPr>
            <w:tcW w:w="5130"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widowControl/>
              <w:snapToGrid w:val="0"/>
              <w:spacing w:line="360" w:lineRule="auto"/>
              <w:outlineLvl w:val="0"/>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本项目不适用</w:t>
            </w:r>
            <w:r>
              <w:rPr>
                <w:rFonts w:hint="eastAsia" w:ascii="宋体" w:hAnsi="宋体" w:cs="宋体"/>
                <w:color w:val="auto"/>
                <w:sz w:val="24"/>
                <w:highlight w:val="none"/>
                <w:lang w:eastAsia="zh-CN"/>
              </w:rPr>
              <w:t>）</w:t>
            </w:r>
          </w:p>
        </w:tc>
        <w:tc>
          <w:tcPr>
            <w:tcW w:w="579" w:type="dxa"/>
            <w:vAlign w:val="center"/>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10</w:t>
            </w:r>
          </w:p>
        </w:tc>
        <w:tc>
          <w:tcPr>
            <w:tcW w:w="1397" w:type="dxa"/>
            <w:vAlign w:val="center"/>
          </w:tcPr>
          <w:p>
            <w:pPr>
              <w:widowControl/>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c>
          <w:tcPr>
            <w:tcW w:w="1581" w:type="dxa"/>
          </w:tcPr>
          <w:p>
            <w:pPr>
              <w:widowControl/>
              <w:snapToGrid w:val="0"/>
              <w:spacing w:line="360" w:lineRule="auto"/>
              <w:outlineLvl w:val="0"/>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130" w:type="dxa"/>
            <w:vAlign w:val="center"/>
          </w:tcPr>
          <w:p>
            <w:pPr>
              <w:widowControl/>
              <w:snapToGrid w:val="0"/>
              <w:spacing w:line="360" w:lineRule="auto"/>
              <w:outlineLvl w:val="0"/>
              <w:rPr>
                <w:rFonts w:ascii="宋体" w:hAnsi="宋体" w:cs="宋体"/>
                <w:b/>
                <w:bCs/>
                <w:color w:val="auto"/>
                <w:sz w:val="24"/>
                <w:highlight w:val="none"/>
              </w:rPr>
            </w:pPr>
            <w:r>
              <w:rPr>
                <w:rFonts w:hint="eastAsia" w:ascii="宋体" w:hAnsi="宋体" w:cs="宋体"/>
                <w:b/>
                <w:bCs/>
                <w:color w:val="auto"/>
                <w:sz w:val="24"/>
                <w:highlight w:val="none"/>
              </w:rPr>
              <w:t>业绩分：</w:t>
            </w:r>
          </w:p>
          <w:p>
            <w:pPr>
              <w:widowControl/>
              <w:snapToGrid w:val="0"/>
              <w:spacing w:line="360" w:lineRule="auto"/>
              <w:outlineLvl w:val="0"/>
              <w:rPr>
                <w:rFonts w:ascii="宋体" w:hAnsi="宋体" w:cs="宋体"/>
                <w:color w:val="auto"/>
                <w:sz w:val="24"/>
                <w:highlight w:val="none"/>
              </w:rPr>
            </w:pPr>
            <w:r>
              <w:rPr>
                <w:rFonts w:hint="eastAsia" w:ascii="宋体" w:hAnsi="宋体" w:cs="宋体"/>
                <w:color w:val="auto"/>
                <w:sz w:val="24"/>
                <w:highlight w:val="none"/>
              </w:rPr>
              <w:t>投标人自2021年1月1日以来（以成果报告时间为准）同类项目业绩：每提供1份业绩材料得0.5分，最高得1分。</w:t>
            </w:r>
          </w:p>
          <w:p>
            <w:pPr>
              <w:widowControl/>
              <w:snapToGrid w:val="0"/>
              <w:spacing w:line="360" w:lineRule="auto"/>
              <w:outlineLvl w:val="0"/>
              <w:rPr>
                <w:rFonts w:ascii="宋体" w:hAnsi="宋体" w:cs="宋体"/>
                <w:b/>
                <w:bCs/>
                <w:color w:val="auto"/>
                <w:sz w:val="24"/>
                <w:highlight w:val="none"/>
              </w:rPr>
            </w:pPr>
            <w:r>
              <w:rPr>
                <w:rFonts w:hint="eastAsia" w:ascii="宋体" w:hAnsi="宋体" w:cs="宋体"/>
                <w:b/>
                <w:bCs/>
                <w:color w:val="auto"/>
                <w:sz w:val="24"/>
                <w:highlight w:val="none"/>
              </w:rPr>
              <w:t>证明材料：</w:t>
            </w:r>
            <w:r>
              <w:rPr>
                <w:rFonts w:ascii="宋体" w:hAnsi="宋体" w:cs="宋体"/>
                <w:b/>
                <w:bCs/>
                <w:color w:val="auto"/>
                <w:sz w:val="24"/>
                <w:highlight w:val="none"/>
              </w:rPr>
              <w:t xml:space="preserve"> </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成果报告</w:t>
            </w:r>
            <w:r>
              <w:rPr>
                <w:rFonts w:hint="eastAsia" w:ascii="宋体" w:hAnsi="宋体" w:cs="宋体"/>
                <w:color w:val="auto"/>
                <w:sz w:val="24"/>
                <w:highlight w:val="none"/>
              </w:rPr>
              <w:t>扫描复印件；</w:t>
            </w:r>
          </w:p>
          <w:p>
            <w:pPr>
              <w:widowControl/>
              <w:snapToGrid w:val="0"/>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此类业绩与项目负责人业绩重复不得分。</w:t>
            </w:r>
          </w:p>
          <w:p>
            <w:pPr>
              <w:widowControl/>
              <w:snapToGrid w:val="0"/>
              <w:spacing w:line="360" w:lineRule="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同类项目</w:t>
            </w:r>
            <w:r>
              <w:rPr>
                <w:rFonts w:hint="eastAsia" w:ascii="宋体" w:hAnsi="宋体" w:cs="宋体"/>
                <w:color w:val="auto"/>
                <w:sz w:val="24"/>
                <w:highlight w:val="none"/>
                <w:lang w:val="en-US" w:eastAsia="zh-CN"/>
              </w:rPr>
              <w:t>指：环境影响评价文件技术评估或编制质量抽查技术评估。</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130" w:type="dxa"/>
            <w:vAlign w:val="center"/>
          </w:tcPr>
          <w:p>
            <w:pPr>
              <w:widowControl/>
              <w:snapToGrid w:val="0"/>
              <w:spacing w:line="360" w:lineRule="auto"/>
              <w:outlineLvl w:val="0"/>
              <w:rPr>
                <w:rFonts w:ascii="宋体" w:hAnsi="宋体" w:cs="宋体"/>
                <w:b/>
                <w:bCs/>
                <w:color w:val="auto"/>
                <w:sz w:val="24"/>
                <w:highlight w:val="none"/>
              </w:rPr>
            </w:pPr>
            <w:r>
              <w:rPr>
                <w:rFonts w:hint="eastAsia" w:ascii="宋体" w:hAnsi="宋体" w:cs="宋体"/>
                <w:b/>
                <w:bCs/>
                <w:color w:val="auto"/>
                <w:sz w:val="24"/>
                <w:highlight w:val="none"/>
              </w:rPr>
              <w:t>项目计划安排：</w:t>
            </w:r>
          </w:p>
          <w:p>
            <w:pPr>
              <w:widowControl/>
              <w:shd w:val="clear" w:color="auto" w:fill="FFFFFF"/>
              <w:adjustRightInd/>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提供整体项目进度安排表，具备合理性、科学性得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分，项目安排存在欠缺得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项目安排与</w:t>
            </w:r>
            <w:r>
              <w:rPr>
                <w:rFonts w:hint="eastAsia" w:ascii="宋体" w:hAnsi="宋体" w:cs="宋体"/>
                <w:color w:val="auto"/>
                <w:sz w:val="24"/>
                <w:highlight w:val="none"/>
              </w:rPr>
              <w:t>项目匹配性低得1分</w:t>
            </w:r>
            <w:r>
              <w:rPr>
                <w:rFonts w:hint="eastAsia" w:ascii="宋体" w:hAnsi="宋体" w:cs="宋体"/>
                <w:color w:val="auto"/>
                <w:sz w:val="24"/>
                <w:highlight w:val="none"/>
                <w:lang w:eastAsia="zh-CN"/>
              </w:rPr>
              <w:t>，</w:t>
            </w:r>
            <w:r>
              <w:rPr>
                <w:rFonts w:hint="eastAsia" w:ascii="宋体" w:hAnsi="宋体" w:cs="宋体"/>
                <w:bCs/>
                <w:color w:val="auto"/>
                <w:sz w:val="24"/>
                <w:highlight w:val="none"/>
              </w:rPr>
              <w:t>无此内容不得分</w:t>
            </w:r>
            <w:r>
              <w:rPr>
                <w:rFonts w:hint="eastAsia" w:ascii="宋体" w:hAnsi="宋体" w:cs="宋体"/>
                <w:bCs/>
                <w:color w:val="auto"/>
                <w:sz w:val="24"/>
                <w:highlight w:val="none"/>
                <w:lang w:eastAsia="zh-CN"/>
              </w:rPr>
              <w:t>。</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4</w:t>
            </w:r>
          </w:p>
        </w:tc>
        <w:tc>
          <w:tcPr>
            <w:tcW w:w="5130" w:type="dxa"/>
            <w:vAlign w:val="center"/>
          </w:tcPr>
          <w:p>
            <w:pPr>
              <w:pStyle w:val="21"/>
              <w:spacing w:line="360" w:lineRule="auto"/>
              <w:jc w:val="both"/>
              <w:rPr>
                <w:rFonts w:ascii="宋体" w:hAnsi="宋体" w:cs="宋体"/>
                <w:color w:val="auto"/>
                <w:sz w:val="24"/>
                <w:highlight w:val="none"/>
              </w:rPr>
            </w:pPr>
            <w:r>
              <w:rPr>
                <w:rFonts w:hint="eastAsia" w:ascii="宋体" w:hAnsi="宋体" w:cs="宋体"/>
                <w:b/>
                <w:color w:val="auto"/>
                <w:sz w:val="24"/>
                <w:highlight w:val="none"/>
              </w:rPr>
              <w:t>项目团队负责人：</w:t>
            </w:r>
            <w:r>
              <w:rPr>
                <w:rFonts w:hint="eastAsia" w:ascii="宋体" w:hAnsi="宋体" w:cs="宋体"/>
                <w:color w:val="auto"/>
                <w:sz w:val="24"/>
                <w:highlight w:val="none"/>
              </w:rPr>
              <w:br w:type="textWrapping"/>
            </w:r>
            <w:r>
              <w:rPr>
                <w:rFonts w:hint="eastAsia" w:ascii="宋体" w:hAnsi="宋体" w:cs="宋体"/>
                <w:color w:val="auto"/>
                <w:sz w:val="24"/>
                <w:highlight w:val="none"/>
              </w:rPr>
              <w:t>1、项目团队负责人具有环保专业高级职称及以上且环评工程师得3分，每一个条件不满足扣1.5分；</w:t>
            </w:r>
            <w:r>
              <w:rPr>
                <w:rFonts w:hint="eastAsia" w:ascii="宋体" w:hAnsi="宋体" w:cs="宋体"/>
                <w:color w:val="auto"/>
                <w:sz w:val="24"/>
                <w:highlight w:val="none"/>
              </w:rPr>
              <w:br w:type="textWrapping"/>
            </w:r>
            <w:r>
              <w:rPr>
                <w:rFonts w:hint="eastAsia" w:ascii="宋体" w:hAnsi="宋体" w:cs="宋体"/>
                <w:color w:val="auto"/>
                <w:sz w:val="24"/>
                <w:highlight w:val="none"/>
              </w:rPr>
              <w:t>2、</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有</w:t>
            </w:r>
            <w:r>
              <w:rPr>
                <w:rFonts w:hint="eastAsia" w:ascii="宋体" w:hAnsi="宋体" w:cs="宋体"/>
                <w:color w:val="auto"/>
                <w:sz w:val="24"/>
                <w:highlight w:val="none"/>
                <w:lang w:eastAsia="zh-CN"/>
              </w:rPr>
              <w:t>同类型项目</w:t>
            </w:r>
            <w:r>
              <w:rPr>
                <w:rFonts w:hint="eastAsia" w:ascii="宋体" w:hAnsi="宋体" w:cs="宋体"/>
                <w:color w:val="auto"/>
                <w:sz w:val="24"/>
                <w:highlight w:val="none"/>
              </w:rPr>
              <w:t>工作的经验得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pStyle w:val="21"/>
              <w:spacing w:line="360" w:lineRule="auto"/>
              <w:jc w:val="both"/>
              <w:rPr>
                <w:rFonts w:hint="eastAsia" w:ascii="宋体" w:hAnsi="宋体" w:cs="宋体"/>
                <w:color w:val="auto"/>
                <w:sz w:val="24"/>
                <w:highlight w:val="none"/>
              </w:rPr>
            </w:pPr>
            <w:r>
              <w:rPr>
                <w:rFonts w:hint="eastAsia" w:ascii="宋体" w:hAnsi="宋体" w:cs="宋体"/>
                <w:b/>
                <w:color w:val="auto"/>
                <w:sz w:val="24"/>
                <w:highlight w:val="none"/>
              </w:rPr>
              <w:t>证明材料：</w:t>
            </w:r>
            <w:r>
              <w:rPr>
                <w:rFonts w:hint="eastAsia" w:ascii="宋体" w:hAnsi="宋体" w:cs="宋体"/>
                <w:color w:val="auto"/>
                <w:sz w:val="24"/>
                <w:highlight w:val="none"/>
              </w:rPr>
              <w:t>1、提供相关证书</w:t>
            </w:r>
            <w:r>
              <w:rPr>
                <w:rFonts w:hint="eastAsia" w:ascii="宋体" w:hAnsi="宋体" w:cs="宋体"/>
                <w:color w:val="auto"/>
                <w:sz w:val="24"/>
                <w:highlight w:val="none"/>
                <w:lang w:eastAsia="zh-CN"/>
              </w:rPr>
              <w:t>、社保或劳动合同等</w:t>
            </w:r>
            <w:r>
              <w:rPr>
                <w:rFonts w:hint="eastAsia" w:ascii="宋体" w:hAnsi="宋体" w:cs="宋体"/>
                <w:color w:val="auto"/>
                <w:sz w:val="24"/>
                <w:highlight w:val="none"/>
              </w:rPr>
              <w:t>证明材料扫描复印件 ；</w:t>
            </w:r>
          </w:p>
          <w:p>
            <w:pPr>
              <w:pStyle w:val="21"/>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2、提供项目合同或成果报告</w:t>
            </w:r>
            <w:r>
              <w:rPr>
                <w:rFonts w:hint="eastAsia" w:ascii="宋体" w:hAnsi="宋体" w:cs="宋体"/>
                <w:color w:val="auto"/>
                <w:sz w:val="24"/>
                <w:highlight w:val="none"/>
              </w:rPr>
              <w:t>扫描复印件</w:t>
            </w:r>
            <w:r>
              <w:rPr>
                <w:rFonts w:hint="eastAsia" w:ascii="宋体" w:hAnsi="宋体" w:cs="宋体"/>
                <w:color w:val="auto"/>
                <w:sz w:val="24"/>
                <w:highlight w:val="none"/>
                <w:lang w:val="en-US" w:eastAsia="zh-CN"/>
              </w:rPr>
              <w:t>。</w:t>
            </w:r>
          </w:p>
          <w:p>
            <w:pPr>
              <w:pStyle w:val="21"/>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若联合体投标的，项目团队负责人由牵头人派遣。</w:t>
            </w:r>
          </w:p>
          <w:p>
            <w:pPr>
              <w:pStyle w:val="21"/>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同类项目</w:t>
            </w:r>
            <w:r>
              <w:rPr>
                <w:rFonts w:hint="eastAsia" w:ascii="宋体" w:hAnsi="宋体" w:cs="宋体"/>
                <w:color w:val="auto"/>
                <w:sz w:val="24"/>
                <w:highlight w:val="none"/>
                <w:lang w:val="en-US" w:eastAsia="zh-CN"/>
              </w:rPr>
              <w:t>指：环境影响评价文件技术评估或编制质量抽查技术评估。</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581" w:type="dxa"/>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5130" w:type="dxa"/>
            <w:vAlign w:val="center"/>
          </w:tcPr>
          <w:p>
            <w:pPr>
              <w:widowControl/>
              <w:numPr>
                <w:ilvl w:val="0"/>
                <w:numId w:val="0"/>
              </w:numPr>
              <w:adjustRightInd/>
              <w:spacing w:line="360" w:lineRule="auto"/>
              <w:rPr>
                <w:rFonts w:ascii="宋体" w:hAnsi="宋体" w:cs="宋体"/>
                <w:color w:val="auto"/>
                <w:sz w:val="24"/>
                <w:highlight w:val="none"/>
              </w:rPr>
            </w:pPr>
            <w:r>
              <w:rPr>
                <w:rFonts w:hint="eastAsia" w:ascii="宋体" w:hAnsi="宋体" w:cs="宋体"/>
                <w:b/>
                <w:color w:val="auto"/>
                <w:sz w:val="24"/>
                <w:highlight w:val="none"/>
              </w:rPr>
              <w:t>项目团队人员：</w:t>
            </w:r>
          </w:p>
          <w:p>
            <w:pPr>
              <w:widowControl/>
              <w:numPr>
                <w:ilvl w:val="0"/>
                <w:numId w:val="0"/>
              </w:numPr>
              <w:adjustRightInd/>
              <w:spacing w:line="360" w:lineRule="auto"/>
              <w:rPr>
                <w:rFonts w:ascii="宋体" w:hAnsi="宋体" w:cs="宋体"/>
                <w:color w:val="auto"/>
                <w:sz w:val="24"/>
                <w:highlight w:val="none"/>
              </w:rPr>
            </w:pPr>
            <w:r>
              <w:rPr>
                <w:rFonts w:hint="eastAsia" w:ascii="宋体" w:hAnsi="宋体" w:cs="宋体"/>
                <w:color w:val="auto"/>
                <w:sz w:val="24"/>
                <w:highlight w:val="none"/>
              </w:rPr>
              <w:t>1.项目团队组成成员（不包含项目负责人），取得环评工程师证的，每提供一个证明材料得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pPr>
              <w:widowControl/>
              <w:numPr>
                <w:ilvl w:val="0"/>
                <w:numId w:val="0"/>
              </w:numPr>
              <w:adjustRightInd/>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2.取得环保类专业高级专业技术职称的，每提供一个证明材料得1分，最高得4分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取得</w:t>
            </w:r>
            <w:r>
              <w:rPr>
                <w:rFonts w:hint="eastAsia" w:ascii="宋体" w:hAnsi="宋体" w:cs="宋体"/>
                <w:color w:val="auto"/>
                <w:sz w:val="24"/>
                <w:highlight w:val="none"/>
              </w:rPr>
              <w:t>环保类专业</w:t>
            </w:r>
            <w:r>
              <w:rPr>
                <w:rFonts w:hint="eastAsia" w:ascii="宋体" w:hAnsi="宋体" w:cs="宋体"/>
                <w:color w:val="auto"/>
                <w:sz w:val="24"/>
                <w:highlight w:val="none"/>
                <w:lang w:eastAsia="zh-CN"/>
              </w:rPr>
              <w:t>中</w:t>
            </w:r>
            <w:r>
              <w:rPr>
                <w:rFonts w:hint="eastAsia" w:ascii="宋体" w:hAnsi="宋体" w:cs="宋体"/>
                <w:color w:val="auto"/>
                <w:sz w:val="24"/>
                <w:highlight w:val="none"/>
              </w:rPr>
              <w:t>级专业技术职称的，每提供一个证明材料得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4分。</w:t>
            </w:r>
          </w:p>
          <w:p>
            <w:pPr>
              <w:widowControl/>
              <w:numPr>
                <w:ilvl w:val="0"/>
                <w:numId w:val="0"/>
              </w:numPr>
              <w:adjustRightInd/>
              <w:spacing w:line="360" w:lineRule="auto"/>
              <w:rPr>
                <w:rFonts w:hint="eastAsia" w:ascii="宋体" w:hAnsi="宋体" w:cs="宋体"/>
                <w:color w:val="auto"/>
                <w:sz w:val="24"/>
                <w:highlight w:val="none"/>
                <w:lang w:val="en-US" w:eastAsia="zh-CN"/>
              </w:rPr>
            </w:pPr>
            <w:r>
              <w:rPr>
                <w:rFonts w:hint="default" w:ascii="宋体" w:hAnsi="宋体" w:cs="宋体"/>
                <w:color w:val="auto"/>
                <w:sz w:val="24"/>
                <w:highlight w:val="none"/>
                <w:lang w:val="en-US" w:eastAsia="zh-CN"/>
              </w:rPr>
              <w:t>3</w:t>
            </w:r>
            <w:r>
              <w:rPr>
                <w:rFonts w:hint="eastAsia" w:ascii="宋体" w:hAnsi="宋体" w:cs="宋体"/>
                <w:color w:val="auto"/>
                <w:sz w:val="24"/>
                <w:highlight w:val="none"/>
                <w:lang w:val="en-US" w:eastAsia="zh-CN"/>
              </w:rPr>
              <w:t>、项目团队成员每参与过一个农林水利、交通运输、化工、医药、石化、电镀、辐射、火电、建材、化纤、纺织、规划、危废专业环境影响评价文件技术评估服务或编制质量抽查技术服务项目的得0.2分，最高得2分。（同种类项目不重复得分）</w:t>
            </w:r>
          </w:p>
          <w:p>
            <w:pPr>
              <w:widowControl/>
              <w:numPr>
                <w:ilvl w:val="0"/>
                <w:numId w:val="0"/>
              </w:numPr>
              <w:adjustRightInd/>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同一人同时具备环评工程师和高级职称证书可重复得分。</w:t>
            </w:r>
          </w:p>
          <w:p>
            <w:pPr>
              <w:widowControl/>
              <w:numPr>
                <w:ilvl w:val="0"/>
                <w:numId w:val="0"/>
              </w:numPr>
              <w:adjustRightInd/>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2、项目团队成员作为评估人员参与环评文件技术评估或评审专家参与环评文件技术评估、抽查技术服务项目的均可得分。</w:t>
            </w:r>
          </w:p>
          <w:p>
            <w:pPr>
              <w:widowControl/>
              <w:numPr>
                <w:ilvl w:val="0"/>
                <w:numId w:val="0"/>
              </w:numPr>
              <w:adjustRightInd/>
              <w:spacing w:line="360" w:lineRule="auto"/>
              <w:rPr>
                <w:rFonts w:hint="eastAsia" w:ascii="宋体" w:hAnsi="宋体" w:cs="宋体"/>
                <w:color w:val="auto"/>
                <w:sz w:val="24"/>
                <w:highlight w:val="none"/>
              </w:rPr>
            </w:pPr>
            <w:r>
              <w:rPr>
                <w:rFonts w:hint="eastAsia" w:ascii="宋体" w:hAnsi="宋体" w:cs="宋体"/>
                <w:b/>
                <w:color w:val="auto"/>
                <w:sz w:val="24"/>
                <w:highlight w:val="none"/>
              </w:rPr>
              <w:t>证明材料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提供相关证书</w:t>
            </w:r>
            <w:r>
              <w:rPr>
                <w:rFonts w:hint="eastAsia" w:ascii="宋体" w:hAnsi="宋体" w:cs="宋体"/>
                <w:color w:val="auto"/>
                <w:sz w:val="24"/>
                <w:highlight w:val="none"/>
                <w:lang w:eastAsia="zh-CN"/>
              </w:rPr>
              <w:t>、社保或劳动合同等</w:t>
            </w:r>
            <w:r>
              <w:rPr>
                <w:rFonts w:hint="eastAsia" w:ascii="宋体" w:hAnsi="宋体" w:cs="宋体"/>
                <w:color w:val="auto"/>
                <w:sz w:val="24"/>
                <w:highlight w:val="none"/>
              </w:rPr>
              <w:t>证明材料扫描复印件 ；</w:t>
            </w:r>
          </w:p>
          <w:p>
            <w:pPr>
              <w:widowControl/>
              <w:numPr>
                <w:ilvl w:val="0"/>
                <w:numId w:val="0"/>
              </w:num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提供相关证书</w:t>
            </w:r>
            <w:r>
              <w:rPr>
                <w:rFonts w:hint="eastAsia" w:ascii="宋体" w:hAnsi="宋体" w:cs="宋体"/>
                <w:color w:val="auto"/>
                <w:sz w:val="24"/>
                <w:highlight w:val="none"/>
                <w:lang w:eastAsia="zh-CN"/>
              </w:rPr>
              <w:t>、社保或劳动合同等</w:t>
            </w:r>
            <w:r>
              <w:rPr>
                <w:rFonts w:hint="eastAsia" w:ascii="宋体" w:hAnsi="宋体" w:cs="宋体"/>
                <w:color w:val="auto"/>
                <w:sz w:val="24"/>
                <w:highlight w:val="none"/>
              </w:rPr>
              <w:t>证明材料扫描复印件 ；</w:t>
            </w:r>
          </w:p>
          <w:p>
            <w:pPr>
              <w:widowControl/>
              <w:numPr>
                <w:ilvl w:val="0"/>
                <w:numId w:val="0"/>
              </w:numPr>
              <w:adjustRightInd/>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3、提相关证明材料。</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6</w:t>
            </w:r>
          </w:p>
        </w:tc>
        <w:tc>
          <w:tcPr>
            <w:tcW w:w="5130" w:type="dxa"/>
            <w:vAlign w:val="center"/>
          </w:tcPr>
          <w:p>
            <w:pPr>
              <w:widowControl/>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建设项目环境影响评价文件评估方案：</w:t>
            </w:r>
          </w:p>
          <w:p>
            <w:pPr>
              <w:widowControl/>
              <w:snapToGrid w:val="0"/>
              <w:spacing w:line="360" w:lineRule="auto"/>
              <w:outlineLvl w:val="0"/>
              <w:rPr>
                <w:rFonts w:ascii="宋体" w:hAnsi="宋体" w:cs="宋体"/>
                <w:color w:val="auto"/>
                <w:sz w:val="24"/>
                <w:highlight w:val="none"/>
              </w:rPr>
            </w:pPr>
            <w:r>
              <w:rPr>
                <w:rFonts w:hint="eastAsia" w:ascii="宋体" w:hAnsi="宋体" w:cs="宋体"/>
                <w:color w:val="auto"/>
                <w:sz w:val="24"/>
                <w:highlight w:val="none"/>
              </w:rPr>
              <w:t>1.阐述投标人对环评文件技术评估初步审核思路，思路清晰得3分，思路有欠缺得2分，与项目匹配性低得1分，与本项目无关或无此内容不得分。</w:t>
            </w:r>
          </w:p>
          <w:p>
            <w:pPr>
              <w:widowControl/>
              <w:snapToGrid w:val="0"/>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2.提供投标人协调相关部门及组织专家的评审方案措施。方案内容详实且具备可操作性得3分，方案内容有欠缺得2分，方案内容与项目匹配性低得1分，无此内容不得分。    </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6</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7</w:t>
            </w:r>
          </w:p>
        </w:tc>
        <w:tc>
          <w:tcPr>
            <w:tcW w:w="5130" w:type="dxa"/>
            <w:vAlign w:val="center"/>
          </w:tcPr>
          <w:p>
            <w:pPr>
              <w:widowControl/>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规划环评报告书审查方案：</w:t>
            </w:r>
          </w:p>
          <w:p>
            <w:pPr>
              <w:widowControl/>
              <w:adjustRightInd/>
              <w:spacing w:line="360" w:lineRule="auto"/>
              <w:rPr>
                <w:rFonts w:ascii="宋体" w:hAnsi="宋体" w:cs="宋体"/>
                <w:color w:val="auto"/>
                <w:sz w:val="24"/>
                <w:highlight w:val="none"/>
              </w:rPr>
            </w:pPr>
            <w:r>
              <w:rPr>
                <w:rFonts w:hint="eastAsia" w:ascii="宋体" w:hAnsi="宋体" w:cs="宋体"/>
                <w:color w:val="auto"/>
                <w:sz w:val="24"/>
                <w:highlight w:val="none"/>
              </w:rPr>
              <w:t>1.提供规划环评报告书审查协助，组织各部门和专家开展审查。方案详实可行具备可操作性得3分，方案内容有欠缺得2分，与项目匹配性低得1分，</w:t>
            </w:r>
            <w:r>
              <w:rPr>
                <w:rFonts w:hint="eastAsia" w:ascii="宋体" w:hAnsi="宋体" w:cs="宋体"/>
                <w:bCs/>
                <w:color w:val="auto"/>
                <w:sz w:val="24"/>
                <w:highlight w:val="none"/>
              </w:rPr>
              <w:t>无此内容不得分</w:t>
            </w:r>
            <w:r>
              <w:rPr>
                <w:rFonts w:hint="eastAsia" w:ascii="宋体" w:hAnsi="宋体" w:cs="宋体"/>
                <w:color w:val="auto"/>
                <w:sz w:val="24"/>
                <w:highlight w:val="none"/>
              </w:rPr>
              <w:t>。</w:t>
            </w:r>
          </w:p>
          <w:p>
            <w:pPr>
              <w:widowControl/>
              <w:adjustRightInd/>
              <w:spacing w:line="360" w:lineRule="auto"/>
              <w:rPr>
                <w:rFonts w:ascii="宋体" w:hAnsi="宋体" w:cs="宋体"/>
                <w:bCs/>
                <w:color w:val="auto"/>
                <w:sz w:val="24"/>
                <w:highlight w:val="none"/>
              </w:rPr>
            </w:pPr>
            <w:r>
              <w:rPr>
                <w:rFonts w:hint="eastAsia" w:ascii="宋体" w:hAnsi="宋体" w:cs="宋体"/>
                <w:color w:val="auto"/>
                <w:sz w:val="24"/>
                <w:highlight w:val="none"/>
              </w:rPr>
              <w:t>2.根据规划环评报告书，出具规划环评报告书的技术审查意见范例。审查意见范例规范全面详实得3分，内容有欠缺得2分，与项目匹配性低得1分，</w:t>
            </w:r>
            <w:r>
              <w:rPr>
                <w:rFonts w:hint="eastAsia" w:ascii="宋体" w:hAnsi="宋体" w:cs="宋体"/>
                <w:bCs/>
                <w:color w:val="auto"/>
                <w:sz w:val="24"/>
                <w:highlight w:val="none"/>
              </w:rPr>
              <w:t>无此内容不得分</w:t>
            </w:r>
            <w:r>
              <w:rPr>
                <w:rFonts w:hint="eastAsia" w:ascii="宋体" w:hAnsi="宋体" w:cs="宋体"/>
                <w:color w:val="auto"/>
                <w:sz w:val="24"/>
                <w:highlight w:val="none"/>
              </w:rPr>
              <w:t>。</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6</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8</w:t>
            </w:r>
          </w:p>
        </w:tc>
        <w:tc>
          <w:tcPr>
            <w:tcW w:w="5130" w:type="dxa"/>
            <w:vAlign w:val="center"/>
          </w:tcPr>
          <w:p>
            <w:pPr>
              <w:widowControl/>
              <w:numPr>
                <w:ilvl w:val="255"/>
                <w:numId w:val="0"/>
              </w:num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入河排污口设置论证技术评估方案：</w:t>
            </w:r>
          </w:p>
          <w:p>
            <w:pPr>
              <w:widowControl/>
              <w:numPr>
                <w:ilvl w:val="0"/>
                <w:numId w:val="0"/>
              </w:numPr>
              <w:snapToGrid w:val="0"/>
              <w:spacing w:line="360" w:lineRule="auto"/>
              <w:outlineLvl w:val="0"/>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提供入河排污口设置论证技术评估的评审专家组织方案，专家组织方案内容详实得3分，专家组织方案有欠缺得2分，与本项目要求匹配性低的得1分，无此内容不得分。</w:t>
            </w:r>
          </w:p>
          <w:p>
            <w:pPr>
              <w:widowControl/>
              <w:numPr>
                <w:ilvl w:val="0"/>
                <w:numId w:val="0"/>
              </w:numPr>
              <w:snapToGrid w:val="0"/>
              <w:spacing w:line="360" w:lineRule="auto"/>
              <w:outlineLvl w:val="0"/>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rPr>
              <w:t>根据专家意见，提供后续服务跟踪方案或者建议的。有内容且针对本项目得2分，否则不得分。</w:t>
            </w:r>
          </w:p>
          <w:p>
            <w:pPr>
              <w:widowControl/>
              <w:shd w:val="clear" w:color="auto" w:fill="FFFFFF"/>
              <w:adjustRightInd/>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证明材料：提供相关证明材料。</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主观分，第2点为客观分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9</w:t>
            </w:r>
          </w:p>
        </w:tc>
        <w:tc>
          <w:tcPr>
            <w:tcW w:w="5130" w:type="dxa"/>
            <w:vAlign w:val="center"/>
          </w:tcPr>
          <w:p>
            <w:pPr>
              <w:widowControl/>
              <w:numPr>
                <w:ilvl w:val="255"/>
                <w:numId w:val="0"/>
              </w:numPr>
              <w:snapToGrid w:val="0"/>
              <w:spacing w:line="360" w:lineRule="auto"/>
              <w:outlineLvl w:val="0"/>
              <w:rPr>
                <w:rFonts w:ascii="宋体" w:hAnsi="宋体" w:cs="宋体"/>
                <w:color w:val="auto"/>
                <w:sz w:val="24"/>
                <w:highlight w:val="none"/>
              </w:rPr>
            </w:pPr>
            <w:r>
              <w:rPr>
                <w:rFonts w:hint="eastAsia" w:ascii="宋体" w:hAnsi="宋体" w:cs="宋体"/>
                <w:b/>
                <w:bCs/>
                <w:color w:val="auto"/>
                <w:sz w:val="24"/>
                <w:highlight w:val="none"/>
              </w:rPr>
              <w:t>对可能涉及“邻避效应”的控规调整和控规局调提供技术支撑方案：</w:t>
            </w:r>
            <w:r>
              <w:rPr>
                <w:rFonts w:hint="eastAsia" w:ascii="宋体" w:hAnsi="宋体" w:cs="宋体"/>
                <w:color w:val="auto"/>
                <w:sz w:val="24"/>
                <w:highlight w:val="none"/>
              </w:rPr>
              <w:br w:type="textWrapping"/>
            </w:r>
            <w:r>
              <w:rPr>
                <w:rFonts w:hint="eastAsia" w:ascii="宋体" w:hAnsi="宋体" w:cs="宋体"/>
                <w:color w:val="auto"/>
                <w:sz w:val="24"/>
                <w:highlight w:val="none"/>
              </w:rPr>
              <w:t>提供对可能涉及“邻避效应”的控规调整和控规局调提供技术支撑方案，方案内容详实得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分，方案内容有欠缺得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分，无此内容不得分。</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77" w:type="dxa"/>
            <w:vAlign w:val="center"/>
          </w:tcPr>
          <w:p>
            <w:pPr>
              <w:widowControl/>
              <w:snapToGri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130" w:type="dxa"/>
            <w:vAlign w:val="center"/>
          </w:tcPr>
          <w:p>
            <w:pPr>
              <w:widowControl/>
              <w:snapToGrid w:val="0"/>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区、县（市）已批复的建设项目环境影响评价文件抽查复核：</w:t>
            </w:r>
          </w:p>
          <w:p>
            <w:pPr>
              <w:widowControl/>
              <w:snapToGrid w:val="0"/>
              <w:spacing w:line="360" w:lineRule="auto"/>
              <w:outlineLvl w:val="0"/>
              <w:rPr>
                <w:rFonts w:ascii="宋体" w:hAnsi="宋体" w:cs="宋体"/>
                <w:color w:val="auto"/>
                <w:sz w:val="24"/>
                <w:highlight w:val="none"/>
              </w:rPr>
            </w:pPr>
            <w:r>
              <w:rPr>
                <w:rFonts w:hint="eastAsia" w:ascii="宋体" w:hAnsi="宋体" w:cs="宋体"/>
                <w:bCs/>
                <w:color w:val="auto"/>
                <w:sz w:val="24"/>
                <w:highlight w:val="none"/>
              </w:rPr>
              <w:t>1、提供抽</w:t>
            </w:r>
            <w:r>
              <w:rPr>
                <w:rFonts w:hint="eastAsia" w:ascii="宋体" w:hAnsi="宋体" w:cs="宋体"/>
                <w:color w:val="auto"/>
                <w:sz w:val="24"/>
                <w:highlight w:val="none"/>
              </w:rPr>
              <w:t>查复核方案包括：</w:t>
            </w:r>
            <w:r>
              <w:rPr>
                <w:rFonts w:hint="eastAsia" w:ascii="宋体" w:hAnsi="宋体" w:cs="宋体"/>
                <w:color w:val="auto"/>
                <w:sz w:val="24"/>
                <w:highlight w:val="none"/>
              </w:rPr>
              <w:br w:type="textWrapping"/>
            </w:r>
            <w:r>
              <w:rPr>
                <w:rFonts w:hint="eastAsia" w:ascii="宋体" w:hAnsi="宋体" w:cs="宋体"/>
                <w:color w:val="auto"/>
                <w:sz w:val="24"/>
                <w:highlight w:val="none"/>
              </w:rPr>
              <w:t>①抽查复核的时间计划安排：计划安排符合工作进度要求的得3分，计划安排与整体工作推进有出入的得2分，计划安排与项目要求匹配程度低得1分，</w:t>
            </w:r>
            <w:r>
              <w:rPr>
                <w:rFonts w:hint="eastAsia" w:ascii="宋体" w:hAnsi="宋体" w:cs="宋体"/>
                <w:bCs/>
                <w:color w:val="auto"/>
                <w:sz w:val="24"/>
                <w:highlight w:val="none"/>
              </w:rPr>
              <w:t>无此内容不得分</w:t>
            </w:r>
            <w:r>
              <w:rPr>
                <w:rFonts w:hint="eastAsia" w:ascii="宋体" w:hAnsi="宋体" w:cs="宋体"/>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②专家评审组织方案：专家评审组织方案详细全面得3分，方案内容有欠缺得2分，方案内容与项目要求匹配程度低得1分，无此内容不得分。</w:t>
            </w:r>
            <w:r>
              <w:rPr>
                <w:rFonts w:hint="eastAsia" w:ascii="宋体" w:hAnsi="宋体" w:cs="宋体"/>
                <w:color w:val="auto"/>
                <w:sz w:val="24"/>
                <w:highlight w:val="none"/>
              </w:rPr>
              <w:br w:type="textWrapping"/>
            </w:r>
            <w:r>
              <w:rPr>
                <w:rFonts w:hint="eastAsia" w:ascii="宋体" w:hAnsi="宋体" w:cs="宋体"/>
                <w:color w:val="auto"/>
                <w:sz w:val="24"/>
                <w:highlight w:val="none"/>
              </w:rPr>
              <w:t>③抽查复核的内容要求：抽查复核的要求规范，依据全面得3分，抽查复核内容有所欠缺得2分，抽查复核内容与项目要求匹配程度低得1分，无此内容不得分。</w:t>
            </w:r>
            <w:r>
              <w:rPr>
                <w:rFonts w:hint="eastAsia" w:ascii="宋体" w:hAnsi="宋体" w:cs="宋体"/>
                <w:color w:val="auto"/>
                <w:sz w:val="24"/>
                <w:highlight w:val="none"/>
              </w:rPr>
              <w:br w:type="textWrapping"/>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组织保障健全：组织保障有力可行的得3分，组织保障有欠缺的得2分，与项目要求匹配程度低得1分，</w:t>
            </w:r>
            <w:r>
              <w:rPr>
                <w:rFonts w:hint="eastAsia" w:ascii="宋体" w:hAnsi="宋体" w:cs="宋体"/>
                <w:bCs/>
                <w:color w:val="auto"/>
                <w:sz w:val="24"/>
                <w:highlight w:val="none"/>
              </w:rPr>
              <w:t>无此内容不得分</w:t>
            </w:r>
            <w:r>
              <w:rPr>
                <w:rFonts w:hint="eastAsia" w:ascii="宋体" w:hAnsi="宋体" w:cs="宋体"/>
                <w:color w:val="auto"/>
                <w:sz w:val="24"/>
                <w:highlight w:val="none"/>
              </w:rPr>
              <w:t>。</w:t>
            </w:r>
          </w:p>
          <w:p>
            <w:pPr>
              <w:widowControl/>
              <w:snapToGrid w:val="0"/>
              <w:spacing w:line="360" w:lineRule="auto"/>
              <w:outlineLvl w:val="0"/>
              <w:rPr>
                <w:rFonts w:ascii="宋体" w:hAnsi="宋体" w:cs="宋体"/>
                <w:bCs/>
                <w:color w:val="auto"/>
                <w:sz w:val="24"/>
                <w:highlight w:val="none"/>
              </w:rPr>
            </w:pPr>
            <w:r>
              <w:rPr>
                <w:rFonts w:hint="eastAsia" w:ascii="宋体" w:hAnsi="宋体" w:cs="宋体"/>
                <w:color w:val="auto"/>
                <w:sz w:val="24"/>
                <w:highlight w:val="none"/>
              </w:rPr>
              <w:t>2.提供抽查复核结果，包括抽查和复核名单的汇总，复核结果，存在问题，处理建议等。结果内容全面可行得3分，结果内容较全面得2分，结果内容与项目要求匹配程度低得1分，</w:t>
            </w:r>
            <w:r>
              <w:rPr>
                <w:rFonts w:hint="eastAsia" w:ascii="宋体" w:hAnsi="宋体" w:cs="宋体"/>
                <w:bCs/>
                <w:color w:val="auto"/>
                <w:sz w:val="24"/>
                <w:highlight w:val="none"/>
              </w:rPr>
              <w:t>无此内容不得分</w:t>
            </w:r>
            <w:r>
              <w:rPr>
                <w:rFonts w:hint="eastAsia" w:ascii="宋体" w:hAnsi="宋体" w:cs="宋体"/>
                <w:color w:val="auto"/>
                <w:sz w:val="24"/>
                <w:highlight w:val="none"/>
              </w:rPr>
              <w:t>。</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15</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777"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5130" w:type="dxa"/>
            <w:vAlign w:val="center"/>
          </w:tcPr>
          <w:p>
            <w:pPr>
              <w:widowControl/>
              <w:shd w:val="clear" w:color="auto" w:fill="FFFFFF"/>
              <w:adjustRightInd/>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编制数量异常的环评人员编制的环评开展靶向复核：</w:t>
            </w:r>
          </w:p>
          <w:p>
            <w:pPr>
              <w:widowControl/>
              <w:shd w:val="clear" w:color="auto" w:fill="FFFFFF"/>
              <w:adjustRightInd/>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rPr>
              <w:t>提供编制数量异常的环评人员编制的环评开展靶向复核方案，方案内容体现完整性可操作性并能及时响应得3分，方案有欠缺得2分，与本项目要求匹配程度低的得1分，无此内容不得分。</w:t>
            </w:r>
          </w:p>
        </w:tc>
        <w:tc>
          <w:tcPr>
            <w:tcW w:w="579" w:type="dxa"/>
            <w:vAlign w:val="center"/>
          </w:tcPr>
          <w:p>
            <w:pPr>
              <w:widowControl/>
              <w:snapToGrid w:val="0"/>
              <w:spacing w:line="360" w:lineRule="auto"/>
              <w:jc w:val="center"/>
              <w:outlineLvl w:val="0"/>
              <w:rPr>
                <w:rFonts w:hint="default" w:ascii="宋体" w:hAnsi="宋体" w:cs="宋体"/>
                <w:color w:val="auto"/>
                <w:sz w:val="24"/>
                <w:highlight w:val="none"/>
                <w:lang w:val="en-US"/>
              </w:rPr>
            </w:pPr>
            <w:r>
              <w:rPr>
                <w:rFonts w:hint="default" w:ascii="宋体" w:hAnsi="宋体" w:cs="宋体"/>
                <w:color w:val="auto"/>
                <w:sz w:val="24"/>
                <w:highlight w:val="none"/>
                <w:lang w:val="en-US"/>
              </w:rPr>
              <w:t>3</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7"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5130" w:type="dxa"/>
            <w:vAlign w:val="center"/>
          </w:tcPr>
          <w:p>
            <w:pPr>
              <w:widowControl/>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为部、省移交和市级抽查存在编制质量问题环评报告提供技术支持：</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1.提供技术支持方案，包括负责部、省移交存在编制质量问题的技术审查，方案内容详实得3分，方案有欠缺得2分，方案内容与本项目要求匹配程度低得1分，无此内容不得分；</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2.提供后续服务响应服务方案。方案内容详实得3分，方案有欠缺得2分，方案内容与本项目要求匹配程度低得1分，无此内容不得分。</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6</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77"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5130" w:type="dxa"/>
            <w:vAlign w:val="center"/>
          </w:tcPr>
          <w:p>
            <w:pPr>
              <w:widowControl/>
              <w:snapToGrid w:val="0"/>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规划环评落实情况抽查技术服务：</w:t>
            </w:r>
          </w:p>
          <w:p>
            <w:pPr>
              <w:widowControl/>
              <w:shd w:val="clear" w:color="auto" w:fill="FFFFFF"/>
              <w:adjustRightInd/>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提供配合生态环境部门开展各类规划环评报告书的抽查复核技术服务方案，方案全面举措可行得3分，方案和举措基本完整、可行得2分，方案和举措与本项目要求匹配程度低得1分，无此内容不得分。</w:t>
            </w:r>
          </w:p>
          <w:p>
            <w:pPr>
              <w:widowControl/>
              <w:shd w:val="clear" w:color="auto" w:fill="FFFFFF"/>
              <w:adjustRightInd/>
              <w:snapToGrid w:val="0"/>
              <w:spacing w:line="360"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提供对国家和省级工业园区、特色小镇等规划环评报告书开展落实情况核查方案，方案全面举措可行得3分，方案和举措基本完整、可行得2分，方案和举措与本项目要求匹配程度低得1分，无此内容不得分。</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Align w:val="center"/>
          </w:tcPr>
          <w:p>
            <w:pPr>
              <w:widowControl/>
              <w:snapToGri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130" w:type="dxa"/>
            <w:vAlign w:val="center"/>
          </w:tcPr>
          <w:p>
            <w:pPr>
              <w:widowControl/>
              <w:numPr>
                <w:ilvl w:val="-1"/>
                <w:numId w:val="0"/>
              </w:numPr>
              <w:shd w:val="clear" w:color="auto" w:fill="auto"/>
              <w:tabs>
                <w:tab w:val="left" w:pos="3078"/>
              </w:tabs>
              <w:adjustRightInd/>
              <w:snapToGrid w:val="0"/>
              <w:spacing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环境影响评价文件审批目录评估：</w:t>
            </w:r>
          </w:p>
          <w:p>
            <w:pPr>
              <w:widowControl/>
              <w:numPr>
                <w:ilvl w:val="-1"/>
                <w:numId w:val="0"/>
              </w:numPr>
              <w:shd w:val="clear" w:color="auto" w:fill="auto"/>
              <w:tabs>
                <w:tab w:val="left" w:pos="3078"/>
              </w:tabs>
              <w:adjustRightInd/>
              <w:snapToGrid w:val="0"/>
              <w:spacing w:line="360" w:lineRule="auto"/>
              <w:ind w:left="0" w:firstLine="0" w:firstLineChars="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eastAsia="zh-CN"/>
              </w:rPr>
              <w:t>提供环境影响评价文件审批目录评估方案，</w:t>
            </w:r>
            <w:r>
              <w:rPr>
                <w:rFonts w:hint="eastAsia" w:ascii="宋体" w:hAnsi="宋体" w:cs="宋体"/>
                <w:bCs/>
                <w:color w:val="auto"/>
                <w:sz w:val="24"/>
                <w:highlight w:val="none"/>
              </w:rPr>
              <w:t>方案内容</w:t>
            </w:r>
            <w:r>
              <w:rPr>
                <w:rFonts w:hint="eastAsia" w:ascii="宋体" w:hAnsi="宋体" w:cs="宋体"/>
                <w:bCs/>
                <w:color w:val="auto"/>
                <w:sz w:val="24"/>
                <w:highlight w:val="none"/>
                <w:lang w:eastAsia="zh-CN"/>
              </w:rPr>
              <w:t>完整可行且能及时响应的</w:t>
            </w:r>
            <w:r>
              <w:rPr>
                <w:rFonts w:hint="eastAsia" w:ascii="宋体" w:hAnsi="宋体" w:cs="宋体"/>
                <w:bCs/>
                <w:color w:val="auto"/>
                <w:sz w:val="24"/>
                <w:highlight w:val="none"/>
              </w:rPr>
              <w:t>得3分，方案有欠缺得2分，方案内容与本项目要求匹配程度低得1分，无此内容不得分。</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97" w:type="dxa"/>
            <w:vAlign w:val="center"/>
          </w:tcPr>
          <w:p>
            <w:pPr>
              <w:widowControl/>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vAlign w:val="center"/>
          </w:tcPr>
          <w:p>
            <w:pPr>
              <w:widowControl/>
              <w:snapToGri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130" w:type="dxa"/>
            <w:vAlign w:val="center"/>
          </w:tcPr>
          <w:p>
            <w:pPr>
              <w:widowControl/>
              <w:shd w:val="clear" w:color="auto" w:fill="FFFFFF"/>
              <w:adjustRightInd/>
              <w:snapToGrid w:val="0"/>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专业技术软件及设备配备：</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1.具备用于开展技术评估移动办公设施设备（包括笔记本电脑、投影仪、打印复印机</w:t>
            </w:r>
            <w:r>
              <w:rPr>
                <w:rFonts w:hint="eastAsia" w:ascii="宋体" w:hAnsi="宋体" w:cs="宋体"/>
                <w:bCs/>
                <w:color w:val="auto"/>
                <w:sz w:val="24"/>
                <w:highlight w:val="none"/>
                <w:lang w:eastAsia="zh-CN"/>
              </w:rPr>
              <w:t>、无人机、测距仪、噪声仪</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每有一项</w:t>
            </w:r>
            <w:r>
              <w:rPr>
                <w:rFonts w:hint="eastAsia" w:ascii="宋体" w:hAnsi="宋体" w:cs="宋体"/>
                <w:bCs/>
                <w:color w:val="auto"/>
                <w:sz w:val="24"/>
                <w:highlight w:val="none"/>
              </w:rPr>
              <w:t>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最高得</w:t>
            </w:r>
            <w:r>
              <w:rPr>
                <w:rFonts w:hint="eastAsia" w:ascii="宋体" w:hAnsi="宋体" w:cs="宋体"/>
                <w:bCs/>
                <w:color w:val="auto"/>
                <w:sz w:val="24"/>
                <w:highlight w:val="none"/>
                <w:lang w:val="en-US" w:eastAsia="zh-CN"/>
              </w:rPr>
              <w:t>3分</w:t>
            </w:r>
            <w:r>
              <w:rPr>
                <w:rFonts w:hint="eastAsia" w:ascii="宋体" w:hAnsi="宋体" w:cs="宋体"/>
                <w:bCs/>
                <w:color w:val="auto"/>
                <w:sz w:val="24"/>
                <w:highlight w:val="none"/>
              </w:rPr>
              <w:t>，全无的不得分。</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
                <w:bCs/>
                <w:color w:val="auto"/>
                <w:sz w:val="24"/>
                <w:highlight w:val="none"/>
              </w:rPr>
              <w:t>证明材料：</w:t>
            </w:r>
            <w:r>
              <w:rPr>
                <w:rFonts w:hint="eastAsia" w:ascii="宋体" w:hAnsi="宋体" w:cs="宋体"/>
                <w:bCs/>
                <w:color w:val="auto"/>
                <w:sz w:val="24"/>
                <w:highlight w:val="none"/>
                <w:lang w:val="en-US" w:eastAsia="zh-CN"/>
              </w:rPr>
              <w:t>提供设备清单及相关证明材料</w:t>
            </w:r>
            <w:r>
              <w:rPr>
                <w:rFonts w:hint="eastAsia" w:ascii="宋体" w:hAnsi="宋体" w:cs="宋体"/>
                <w:bCs/>
                <w:color w:val="auto"/>
                <w:sz w:val="24"/>
                <w:highlight w:val="none"/>
              </w:rPr>
              <w:t>。</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2.与环境影响评价相关导则预测有关的软件（包括大气、水和噪声）使用方案，三项均有的得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分，有两项的得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分，有一项的得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分，无相关软件的不得分。</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
                <w:bCs/>
                <w:color w:val="auto"/>
                <w:sz w:val="24"/>
                <w:highlight w:val="none"/>
              </w:rPr>
              <w:t>证明材料：</w:t>
            </w:r>
            <w:r>
              <w:rPr>
                <w:rFonts w:hint="eastAsia" w:ascii="宋体" w:hAnsi="宋体" w:cs="宋体"/>
                <w:bCs/>
                <w:color w:val="auto"/>
                <w:sz w:val="24"/>
                <w:highlight w:val="none"/>
              </w:rPr>
              <w:t>相关证明材料。</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熟悉</w:t>
            </w:r>
            <w:r>
              <w:rPr>
                <w:rFonts w:hint="eastAsia" w:ascii="宋体" w:hAnsi="宋体" w:cs="宋体"/>
                <w:bCs/>
                <w:color w:val="auto"/>
                <w:sz w:val="24"/>
                <w:highlight w:val="none"/>
              </w:rPr>
              <w:t>“三线一单”</w:t>
            </w:r>
            <w:r>
              <w:rPr>
                <w:rFonts w:hint="eastAsia" w:ascii="宋体" w:hAnsi="宋体" w:cs="宋体"/>
                <w:bCs/>
                <w:color w:val="auto"/>
                <w:sz w:val="24"/>
                <w:highlight w:val="none"/>
                <w:lang w:eastAsia="zh-CN"/>
              </w:rPr>
              <w:t>政策，掌握现有政策信息全面的</w:t>
            </w:r>
            <w:r>
              <w:rPr>
                <w:rFonts w:hint="eastAsia" w:ascii="宋体" w:hAnsi="宋体" w:cs="宋体"/>
                <w:bCs/>
                <w:color w:val="auto"/>
                <w:sz w:val="24"/>
                <w:highlight w:val="none"/>
              </w:rPr>
              <w:t>得3分，</w:t>
            </w:r>
            <w:r>
              <w:rPr>
                <w:rFonts w:hint="eastAsia" w:ascii="宋体" w:hAnsi="宋体" w:cs="宋体"/>
                <w:bCs/>
                <w:color w:val="auto"/>
                <w:sz w:val="24"/>
                <w:highlight w:val="none"/>
                <w:lang w:eastAsia="zh-CN"/>
              </w:rPr>
              <w:t>掌握现有政策信息较全面的</w:t>
            </w:r>
            <w:r>
              <w:rPr>
                <w:rFonts w:hint="eastAsia" w:ascii="宋体" w:hAnsi="宋体" w:cs="宋体"/>
                <w:bCs/>
                <w:color w:val="auto"/>
                <w:sz w:val="24"/>
                <w:highlight w:val="none"/>
              </w:rPr>
              <w:t>，得2分，</w:t>
            </w:r>
            <w:r>
              <w:rPr>
                <w:rFonts w:hint="eastAsia" w:ascii="宋体" w:hAnsi="宋体" w:cs="宋体"/>
                <w:bCs/>
                <w:color w:val="auto"/>
                <w:sz w:val="24"/>
                <w:highlight w:val="none"/>
                <w:lang w:eastAsia="zh-CN"/>
              </w:rPr>
              <w:t>掌握现有政策信息缺失的</w:t>
            </w:r>
            <w:r>
              <w:rPr>
                <w:rFonts w:hint="eastAsia" w:ascii="宋体" w:hAnsi="宋体" w:cs="宋体"/>
                <w:bCs/>
                <w:color w:val="auto"/>
                <w:sz w:val="24"/>
                <w:highlight w:val="none"/>
              </w:rPr>
              <w:t>得1分，内容不涉及的不得分。</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397"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客观分，第3点为主观分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vAlign w:val="center"/>
          </w:tcPr>
          <w:p>
            <w:pPr>
              <w:widowControl/>
              <w:snapToGri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130" w:type="dxa"/>
            <w:vAlign w:val="center"/>
          </w:tcPr>
          <w:p>
            <w:pPr>
              <w:widowControl/>
              <w:shd w:val="clear" w:color="auto" w:fill="FFFFFF"/>
              <w:adjustRightInd/>
              <w:snapToGrid w:val="0"/>
              <w:spacing w:line="360" w:lineRule="auto"/>
              <w:jc w:val="left"/>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eastAsia="zh-CN"/>
              </w:rPr>
              <w:t>档案资料管理及管理体系：</w:t>
            </w:r>
          </w:p>
          <w:p>
            <w:pPr>
              <w:widowControl/>
              <w:numPr>
                <w:ilvl w:val="0"/>
                <w:numId w:val="3"/>
              </w:numPr>
              <w:shd w:val="clear" w:color="auto" w:fill="FFFFFF"/>
              <w:adjustRightInd/>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投标人具备档案资料管理的设施及场所。有的得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分，否则不得分。</w:t>
            </w:r>
          </w:p>
          <w:p>
            <w:pPr>
              <w:widowControl/>
              <w:numPr>
                <w:ilvl w:val="-1"/>
                <w:numId w:val="0"/>
              </w:numPr>
              <w:shd w:val="clear" w:color="auto" w:fill="FFFFFF"/>
              <w:adjustRightInd/>
              <w:snapToGrid w:val="0"/>
              <w:spacing w:line="360" w:lineRule="auto"/>
              <w:jc w:val="left"/>
              <w:rPr>
                <w:rFonts w:hint="default" w:ascii="宋体" w:hAnsi="宋体" w:cs="宋体"/>
                <w:bCs/>
                <w:color w:val="auto"/>
                <w:sz w:val="24"/>
                <w:highlight w:val="none"/>
                <w:lang w:val="en-US" w:eastAsia="zh-CN"/>
              </w:rPr>
            </w:pPr>
            <w:r>
              <w:rPr>
                <w:rFonts w:hint="eastAsia" w:ascii="宋体" w:hAnsi="宋体" w:cs="宋体"/>
                <w:bCs/>
                <w:color w:val="auto"/>
                <w:sz w:val="24"/>
                <w:highlight w:val="none"/>
                <w:lang w:eastAsia="zh-CN"/>
              </w:rPr>
              <w:t>证明材料：相关证明材料。</w:t>
            </w:r>
          </w:p>
          <w:p>
            <w:pPr>
              <w:widowControl/>
              <w:numPr>
                <w:ilvl w:val="0"/>
                <w:numId w:val="3"/>
              </w:numPr>
              <w:shd w:val="clear" w:color="auto" w:fill="FFFFFF"/>
              <w:adjustRightInd/>
              <w:snapToGri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建立完整的技术评估档案管理体系，档案管理体系完整的得</w:t>
            </w:r>
            <w:r>
              <w:rPr>
                <w:rFonts w:hint="eastAsia" w:ascii="宋体" w:hAnsi="宋体" w:cs="宋体"/>
                <w:bCs/>
                <w:color w:val="auto"/>
                <w:sz w:val="24"/>
                <w:highlight w:val="none"/>
                <w:lang w:val="en-US" w:eastAsia="zh-CN"/>
              </w:rPr>
              <w:t>2分，有欠缺的得1分，</w:t>
            </w:r>
            <w:r>
              <w:rPr>
                <w:rFonts w:hint="eastAsia" w:ascii="宋体" w:hAnsi="宋体" w:cs="宋体"/>
                <w:bCs/>
                <w:color w:val="auto"/>
                <w:sz w:val="24"/>
                <w:highlight w:val="none"/>
              </w:rPr>
              <w:t>无此内容不得分</w:t>
            </w:r>
            <w:r>
              <w:rPr>
                <w:rFonts w:hint="eastAsia" w:ascii="宋体" w:hAnsi="宋体" w:cs="宋体"/>
                <w:bCs/>
                <w:color w:val="auto"/>
                <w:sz w:val="24"/>
                <w:highlight w:val="none"/>
                <w:lang w:val="en-US" w:eastAsia="zh-CN"/>
              </w:rPr>
              <w:t>。</w:t>
            </w:r>
          </w:p>
        </w:tc>
        <w:tc>
          <w:tcPr>
            <w:tcW w:w="579" w:type="dxa"/>
            <w:vAlign w:val="center"/>
          </w:tcPr>
          <w:p>
            <w:pPr>
              <w:widowControl/>
              <w:snapToGrid w:val="0"/>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97" w:type="dxa"/>
            <w:vAlign w:val="center"/>
          </w:tcPr>
          <w:p>
            <w:pPr>
              <w:widowControl/>
              <w:snapToGri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客观分，第</w:t>
            </w:r>
            <w:r>
              <w:rPr>
                <w:rFonts w:hint="eastAsia" w:ascii="宋体" w:hAnsi="宋体" w:cs="宋体"/>
                <w:color w:val="auto"/>
                <w:sz w:val="24"/>
                <w:highlight w:val="none"/>
                <w:lang w:val="en-US" w:eastAsia="zh-CN"/>
              </w:rPr>
              <w:t>2点为主观分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5130" w:type="dxa"/>
            <w:vAlign w:val="center"/>
          </w:tcPr>
          <w:p>
            <w:pPr>
              <w:widowControl/>
              <w:numPr>
                <w:ilvl w:val="-1"/>
                <w:numId w:val="0"/>
              </w:numPr>
              <w:shd w:val="clear" w:color="auto" w:fill="FFFFFF"/>
              <w:adjustRightInd/>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质量控制方面：</w:t>
            </w:r>
          </w:p>
          <w:p>
            <w:pPr>
              <w:widowControl/>
              <w:numPr>
                <w:ilvl w:val="0"/>
                <w:numId w:val="0"/>
              </w:numPr>
              <w:shd w:val="clear" w:color="auto" w:fill="FFFFFF"/>
              <w:adjustRightInd/>
              <w:snapToGrid w:val="0"/>
              <w:spacing w:line="360" w:lineRule="auto"/>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具备完整的项目质量控制体系，与管理部门目标要求的响应机制，以保证评估结果的客观公正。</w:t>
            </w:r>
            <w:r>
              <w:rPr>
                <w:rFonts w:hint="eastAsia" w:ascii="宋体" w:hAnsi="宋体" w:cs="宋体"/>
                <w:bCs/>
                <w:color w:val="auto"/>
                <w:sz w:val="24"/>
                <w:highlight w:val="none"/>
                <w:lang w:eastAsia="zh-CN"/>
              </w:rPr>
              <w:t>提供完整的项目质量控制体系</w:t>
            </w:r>
          </w:p>
          <w:p>
            <w:pPr>
              <w:widowControl/>
              <w:numPr>
                <w:ilvl w:val="0"/>
                <w:numId w:val="0"/>
              </w:numPr>
              <w:shd w:val="clear" w:color="auto" w:fill="FFFFFF"/>
              <w:adjustRightInd/>
              <w:snapToGrid w:val="0"/>
              <w:spacing w:line="360" w:lineRule="auto"/>
              <w:jc w:val="left"/>
              <w:textAlignment w:val="auto"/>
              <w:rPr>
                <w:rFonts w:ascii="宋体" w:hAnsi="宋体" w:cs="宋体"/>
                <w:color w:val="auto"/>
                <w:kern w:val="0"/>
                <w:sz w:val="24"/>
                <w:highlight w:val="none"/>
              </w:rPr>
            </w:pPr>
            <w:r>
              <w:rPr>
                <w:rFonts w:hint="eastAsia" w:ascii="宋体" w:hAnsi="宋体" w:cs="宋体"/>
                <w:bCs/>
                <w:color w:val="auto"/>
                <w:sz w:val="24"/>
                <w:highlight w:val="none"/>
                <w:lang w:eastAsia="zh-CN"/>
              </w:rPr>
              <w:t>的得</w:t>
            </w:r>
            <w:r>
              <w:rPr>
                <w:rFonts w:hint="eastAsia" w:ascii="宋体" w:hAnsi="宋体" w:cs="宋体"/>
                <w:bCs/>
                <w:color w:val="auto"/>
                <w:sz w:val="24"/>
                <w:highlight w:val="none"/>
                <w:lang w:val="en-US" w:eastAsia="zh-CN"/>
              </w:rPr>
              <w:t>2分； 有欠缺的得1分；</w:t>
            </w:r>
            <w:r>
              <w:rPr>
                <w:rFonts w:hint="eastAsia" w:ascii="宋体" w:hAnsi="宋体" w:cs="宋体"/>
                <w:bCs/>
                <w:color w:val="auto"/>
                <w:sz w:val="24"/>
                <w:highlight w:val="none"/>
              </w:rPr>
              <w:t>无此内容不得分</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br w:type="textWrapping"/>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投标人具有技术评估质量全过程控制制度，并形成评估工作实施、审核、审定三级及以上质量控制体系。提供技术评估质量全过程控制制度工作管理流程和管理规定文件的得</w:t>
            </w:r>
            <w:r>
              <w:rPr>
                <w:rFonts w:hint="eastAsia" w:ascii="宋体" w:hAnsi="宋体" w:cs="宋体"/>
                <w:bCs/>
                <w:color w:val="auto"/>
                <w:sz w:val="24"/>
                <w:highlight w:val="none"/>
                <w:lang w:val="en-US" w:eastAsia="zh-CN"/>
              </w:rPr>
              <w:t>1分，无文件不得分。</w:t>
            </w:r>
          </w:p>
          <w:p>
            <w:pPr>
              <w:widowControl/>
              <w:numPr>
                <w:ilvl w:val="0"/>
                <w:numId w:val="0"/>
              </w:numPr>
              <w:shd w:val="clear" w:color="auto" w:fill="FFFFFF"/>
              <w:adjustRightInd/>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承诺使用</w:t>
            </w:r>
            <w:r>
              <w:rPr>
                <w:rFonts w:hint="eastAsia" w:ascii="宋体" w:hAnsi="宋体" w:cs="宋体"/>
                <w:bCs/>
                <w:color w:val="auto"/>
                <w:sz w:val="24"/>
                <w:highlight w:val="none"/>
              </w:rPr>
              <w:t>生态环境部门环境影响评价技术评估专家库系统内专家保障方案得2分；</w:t>
            </w:r>
            <w:r>
              <w:rPr>
                <w:rFonts w:hint="eastAsia" w:ascii="宋体" w:hAnsi="宋体" w:cs="宋体"/>
                <w:bCs/>
                <w:color w:val="auto"/>
                <w:sz w:val="24"/>
                <w:highlight w:val="none"/>
                <w:u w:val="single"/>
              </w:rPr>
              <w:t>提供生态环境部门环境影响评价技术评估专家库系统内专家保障方案有欠缺得1分</w:t>
            </w:r>
            <w:r>
              <w:rPr>
                <w:rFonts w:hint="eastAsia" w:ascii="宋体" w:hAnsi="宋体" w:cs="宋体"/>
                <w:bCs/>
                <w:color w:val="auto"/>
                <w:sz w:val="24"/>
                <w:highlight w:val="none"/>
              </w:rPr>
              <w:t>；不满足不得分。</w:t>
            </w:r>
          </w:p>
        </w:tc>
        <w:tc>
          <w:tcPr>
            <w:tcW w:w="579" w:type="dxa"/>
            <w:vAlign w:val="center"/>
          </w:tcPr>
          <w:p>
            <w:pPr>
              <w:widowControl/>
              <w:snapToGrid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397" w:type="dxa"/>
            <w:vAlign w:val="center"/>
          </w:tcPr>
          <w:p>
            <w:pPr>
              <w:widowControl/>
              <w:snapToGrid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主观分，第</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点为客观分</w:t>
            </w:r>
          </w:p>
        </w:tc>
        <w:tc>
          <w:tcPr>
            <w:tcW w:w="1581" w:type="dxa"/>
            <w:vAlign w:val="center"/>
          </w:tcPr>
          <w:p>
            <w:pPr>
              <w:widowControl/>
              <w:snapToGrid w:val="0"/>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77" w:type="dxa"/>
            <w:vAlign w:val="center"/>
          </w:tcPr>
          <w:p>
            <w:pPr>
              <w:widowControl/>
              <w:snapToGrid w:val="0"/>
              <w:spacing w:line="360" w:lineRule="auto"/>
              <w:ind w:firstLine="240" w:firstLineChars="1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5130" w:type="dxa"/>
            <w:vAlign w:val="center"/>
          </w:tcPr>
          <w:p>
            <w:pPr>
              <w:widowControl/>
              <w:shd w:val="clear" w:color="auto" w:fill="FFFFFF"/>
              <w:adjustRightInd/>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合理化建议和改进措施：</w:t>
            </w:r>
          </w:p>
          <w:p>
            <w:pPr>
              <w:widowControl/>
              <w:shd w:val="clear" w:color="auto" w:fill="FFFFFF"/>
              <w:adjustRightInd/>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投标人提出对本项目的合理化建议并提出改进措施，建议条理清晰措施可行得</w:t>
            </w:r>
            <w:r>
              <w:rPr>
                <w:rFonts w:hint="eastAsia" w:ascii="宋体" w:hAnsi="宋体" w:cs="宋体"/>
                <w:bCs/>
                <w:color w:val="auto"/>
                <w:sz w:val="24"/>
                <w:highlight w:val="none"/>
                <w:lang w:eastAsia="zh-CN"/>
              </w:rPr>
              <w:t>3</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建议有所欠缺得</w:t>
            </w:r>
            <w:r>
              <w:rPr>
                <w:rFonts w:hint="eastAsia" w:ascii="宋体" w:hAnsi="宋体" w:cs="宋体"/>
                <w:bCs/>
                <w:color w:val="auto"/>
                <w:sz w:val="24"/>
                <w:highlight w:val="none"/>
                <w:lang w:val="en-US" w:eastAsia="zh-CN"/>
              </w:rPr>
              <w:t>2分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建议和举措与项目适配性不高得1分， 建议条理不清晰或完全不适配本项目不得分。</w:t>
            </w:r>
          </w:p>
        </w:tc>
        <w:tc>
          <w:tcPr>
            <w:tcW w:w="579" w:type="dxa"/>
            <w:vAlign w:val="center"/>
          </w:tcPr>
          <w:p>
            <w:pPr>
              <w:widowControl/>
              <w:snapToGrid w:val="0"/>
              <w:spacing w:line="360" w:lineRule="auto"/>
              <w:ind w:firstLine="120" w:firstLineChars="5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97" w:type="dxa"/>
            <w:vAlign w:val="center"/>
          </w:tcPr>
          <w:p>
            <w:pPr>
              <w:widowControl/>
              <w:snapToGrid w:val="0"/>
              <w:spacing w:line="360" w:lineRule="auto"/>
              <w:ind w:firstLine="120" w:firstLineChars="50"/>
              <w:jc w:val="center"/>
              <w:outlineLvl w:val="0"/>
              <w:rPr>
                <w:rFonts w:ascii="宋体" w:hAnsi="宋体" w:cs="宋体"/>
                <w:color w:val="auto"/>
                <w:sz w:val="24"/>
                <w:highlight w:val="none"/>
              </w:rPr>
            </w:pPr>
            <w:r>
              <w:rPr>
                <w:rFonts w:hint="eastAsia" w:ascii="宋体" w:hAnsi="宋体" w:cs="宋体"/>
                <w:color w:val="auto"/>
                <w:sz w:val="24"/>
                <w:highlight w:val="none"/>
              </w:rPr>
              <w:t>主观分</w:t>
            </w:r>
          </w:p>
        </w:tc>
        <w:tc>
          <w:tcPr>
            <w:tcW w:w="1581" w:type="dxa"/>
            <w:vAlign w:val="center"/>
          </w:tcPr>
          <w:p>
            <w:pPr>
              <w:widowControl/>
              <w:snapToGrid w:val="0"/>
              <w:spacing w:line="360" w:lineRule="auto"/>
              <w:jc w:val="center"/>
              <w:outlineLvl w:val="0"/>
              <w:rPr>
                <w:rFonts w:ascii="宋体" w:hAnsi="宋体" w:cs="宋体"/>
                <w:color w:val="auto"/>
                <w:sz w:val="24"/>
                <w:highlight w:val="none"/>
              </w:rPr>
            </w:pPr>
          </w:p>
        </w:tc>
      </w:tr>
    </w:tbl>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_Toc86217003"/>
      <w:bookmarkStart w:id="394" w:name="第五部分"/>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hint="eastAsia" w:ascii="宋体" w:hAnsi="宋体" w:eastAsia="宋体" w:cs="宋体"/>
          <w:color w:val="auto"/>
          <w:szCs w:val="24"/>
          <w:highlight w:val="none"/>
          <w:lang w:eastAsia="zh-CN"/>
        </w:rPr>
      </w:pPr>
      <w:r>
        <w:rPr>
          <w:rFonts w:hint="eastAsia" w:ascii="宋体" w:hAnsi="宋体" w:cs="宋体"/>
          <w:color w:val="auto"/>
          <w:sz w:val="24"/>
          <w:highlight w:val="none"/>
        </w:rPr>
        <w:t>项目名称：</w:t>
      </w:r>
      <w:r>
        <w:rPr>
          <w:rFonts w:hint="eastAsia" w:ascii="宋体" w:hAnsi="宋体" w:cs="宋体"/>
          <w:b w:val="0"/>
          <w:bCs/>
          <w:color w:val="auto"/>
          <w:spacing w:val="-6"/>
          <w:sz w:val="24"/>
          <w:szCs w:val="24"/>
          <w:highlight w:val="none"/>
          <w:lang w:eastAsia="zh-CN"/>
        </w:rPr>
        <w:t>环境影响评价文件技术评估及编制质量抽查技术服务</w:t>
      </w: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甲方：杭州市生态环境局</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p>
    <w:p>
      <w:pPr>
        <w:spacing w:before="120" w:line="22" w:lineRule="atLeast"/>
        <w:rPr>
          <w:rFonts w:ascii="宋体" w:hAnsi="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lang w:eastAsia="zh-CN"/>
        </w:rPr>
        <w:t>杭州市</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签订日期：年月日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杭州市生态环境局</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公开招标</w:t>
      </w:r>
      <w:r>
        <w:rPr>
          <w:rFonts w:hint="eastAsia" w:ascii="宋体" w:hAnsi="宋体"/>
          <w:color w:val="auto"/>
          <w:sz w:val="24"/>
          <w:highlight w:val="none"/>
          <w:u w:val="none"/>
          <w:lang w:eastAsia="zh-CN"/>
        </w:rPr>
        <w:t>方式</w:t>
      </w:r>
      <w:r>
        <w:rPr>
          <w:rFonts w:hint="eastAsia" w:ascii="宋体" w:hAnsi="宋体"/>
          <w:color w:val="auto"/>
          <w:sz w:val="24"/>
          <w:highlight w:val="none"/>
        </w:rPr>
        <w:t>对</w:t>
      </w:r>
      <w:r>
        <w:rPr>
          <w:rFonts w:hint="eastAsia" w:ascii="宋体" w:hAnsi="宋体" w:cs="宋体"/>
          <w:color w:val="auto"/>
          <w:spacing w:val="-6"/>
          <w:sz w:val="24"/>
          <w:szCs w:val="24"/>
          <w:highlight w:val="none"/>
          <w:u w:val="single"/>
          <w:lang w:val="en-US" w:eastAsia="zh-CN"/>
        </w:rPr>
        <w:t>环境影响评价文件技术评估及编制质量抽查技术服务</w:t>
      </w:r>
      <w:r>
        <w:rPr>
          <w:rFonts w:hint="eastAsia" w:ascii="宋体" w:hAnsi="宋体" w:cs="宋体"/>
          <w:color w:val="auto"/>
          <w:sz w:val="24"/>
          <w:highlight w:val="none"/>
          <w:u w:val="single"/>
        </w:rPr>
        <w:t xml:space="preserve"> </w:t>
      </w:r>
      <w:r>
        <w:rPr>
          <w:rFonts w:hint="eastAsia" w:ascii="宋体" w:hAnsi="宋体"/>
          <w:color w:val="auto"/>
          <w:sz w:val="24"/>
          <w:highlight w:val="none"/>
        </w:rPr>
        <w:t>项目进行了采购。采购人确定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lang w:eastAsia="zh-CN"/>
        </w:rPr>
        <w:t>杭州市生态环境局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15367"/>
      <w:bookmarkStart w:id="396" w:name="_Toc20421"/>
      <w:bookmarkStart w:id="397" w:name="_Toc22967"/>
      <w:bookmarkStart w:id="398" w:name="_Toc19273"/>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6311"/>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1.2.1 </w:t>
      </w:r>
      <w:r>
        <w:rPr>
          <w:rFonts w:hint="eastAsia" w:ascii="宋体" w:hAnsi="宋体" w:cs="Times New Roman"/>
          <w:color w:val="auto"/>
          <w:sz w:val="24"/>
          <w:highlight w:val="none"/>
        </w:rPr>
        <w:t>服务</w:t>
      </w:r>
      <w:r>
        <w:rPr>
          <w:rFonts w:hint="eastAsia" w:ascii="宋体" w:hAnsi="宋体" w:cs="Times New Roman"/>
          <w:color w:val="auto"/>
          <w:sz w:val="24"/>
          <w:highlight w:val="none"/>
          <w:lang w:eastAsia="zh-CN"/>
        </w:rPr>
        <w:t>内容</w:t>
      </w:r>
      <w:r>
        <w:rPr>
          <w:rFonts w:ascii="宋体" w:hAnsi="宋体" w:cs="Times New Roman"/>
          <w:color w:val="auto"/>
          <w:sz w:val="24"/>
          <w:highlight w:val="none"/>
        </w:rPr>
        <w:t>：</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中标后依据招标文件要求和投标文件进行制定</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w:t>
      </w:r>
    </w:p>
    <w:p>
      <w:pP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1.2.2 </w:t>
      </w:r>
      <w:r>
        <w:rPr>
          <w:rFonts w:hint="eastAsia" w:ascii="宋体" w:hAnsi="宋体" w:cs="Times New Roman"/>
          <w:color w:val="auto"/>
          <w:sz w:val="24"/>
          <w:highlight w:val="none"/>
        </w:rPr>
        <w:t>服务质量保证</w:t>
      </w:r>
      <w:r>
        <w:rPr>
          <w:rFonts w:ascii="宋体" w:hAnsi="宋体" w:cs="Times New Roman"/>
          <w:color w:val="auto"/>
          <w:sz w:val="24"/>
          <w:highlight w:val="none"/>
        </w:rPr>
        <w:t>：</w:t>
      </w:r>
      <w:r>
        <w:rPr>
          <w:rFonts w:hint="eastAsia" w:ascii="宋体" w:hAnsi="宋体" w:cs="Times New Roman"/>
          <w:color w:val="auto"/>
          <w:sz w:val="24"/>
          <w:highlight w:val="none"/>
        </w:rPr>
        <w:t>乙方需按投标文件配备足够的技术人员保证甲方技术服务需求。严格按照法律法规、技术规范以及招标文件、服务质量技术承诺等要求开展技术评估和复核。形成的评估报告和复核结果需满足相关工作要求，时限要求满足甲方工作要</w:t>
      </w:r>
      <w:r>
        <w:rPr>
          <w:rFonts w:hint="eastAsia" w:ascii="宋体" w:hAnsi="宋体" w:cs="Times New Roman"/>
          <w:color w:val="auto"/>
          <w:sz w:val="24"/>
          <w:highlight w:val="none"/>
          <w:lang w:eastAsia="zh-CN"/>
        </w:rPr>
        <w:t>求</w:t>
      </w:r>
      <w:r>
        <w:rPr>
          <w:rFonts w:hint="eastAsia" w:ascii="宋体" w:hAnsi="宋体" w:cs="Times New Roman"/>
          <w:color w:val="auto"/>
          <w:sz w:val="24"/>
          <w:highlight w:val="none"/>
        </w:rPr>
        <w:t>；</w:t>
      </w:r>
    </w:p>
    <w:p>
      <w:pP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1.2.3 </w:t>
      </w:r>
      <w:r>
        <w:rPr>
          <w:rFonts w:hint="eastAsia" w:ascii="宋体" w:hAnsi="宋体" w:cs="Times New Roman"/>
          <w:color w:val="auto"/>
          <w:sz w:val="24"/>
          <w:highlight w:val="none"/>
        </w:rPr>
        <w:t>技术保障：；</w:t>
      </w:r>
    </w:p>
    <w:p>
      <w:pPr>
        <w:spacing w:line="5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1.2.4 服务人员组成：</w:t>
      </w:r>
      <w:r>
        <w:rPr>
          <w:rFonts w:ascii="宋体" w:hAnsi="宋体" w:cs="Times New Roman"/>
          <w:color w:val="auto"/>
          <w:sz w:val="24"/>
          <w:highlight w:val="none"/>
        </w:rPr>
        <w:t xml:space="preserve">  </w:t>
      </w:r>
      <w:r>
        <w:rPr>
          <w:rFonts w:hint="eastAsia" w:ascii="宋体" w:hAnsi="宋体" w:cs="Times New Roman"/>
          <w:color w:val="auto"/>
          <w:sz w:val="24"/>
          <w:highlight w:val="none"/>
        </w:rPr>
        <w:t>；</w:t>
      </w:r>
    </w:p>
    <w:p>
      <w:pPr>
        <w:spacing w:line="560" w:lineRule="exact"/>
        <w:ind w:firstLine="482" w:firstLineChars="200"/>
        <w:outlineLvl w:val="0"/>
        <w:rPr>
          <w:rFonts w:ascii="宋体" w:hAnsi="宋体"/>
          <w:b/>
          <w:color w:val="auto"/>
          <w:sz w:val="24"/>
          <w:highlight w:val="none"/>
        </w:rPr>
      </w:pPr>
      <w:bookmarkStart w:id="405" w:name="_Toc21124"/>
      <w:bookmarkStart w:id="406" w:name="_Toc5635"/>
      <w:bookmarkStart w:id="407" w:name="_Toc13918"/>
      <w:bookmarkStart w:id="408" w:name="_Toc4929"/>
      <w:bookmarkStart w:id="409" w:name="_Toc1386"/>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9"/>
              <w:spacing w:line="560" w:lineRule="exact"/>
              <w:ind w:firstLine="200"/>
              <w:jc w:val="center"/>
              <w:rPr>
                <w:rFonts w:hAnsi="宋体"/>
                <w:color w:val="auto"/>
                <w:sz w:val="24"/>
                <w:szCs w:val="24"/>
                <w:highlight w:val="none"/>
              </w:rPr>
            </w:pPr>
          </w:p>
        </w:tc>
      </w:tr>
    </w:tbl>
    <w:p>
      <w:pPr>
        <w:spacing w:line="560" w:lineRule="exact"/>
        <w:ind w:firstLine="480" w:firstLineChars="200"/>
        <w:rPr>
          <w:rFonts w:hint="eastAsia" w:ascii="宋体" w:hAnsi="宋体" w:cs="Times New Roman"/>
          <w:color w:val="auto"/>
          <w:sz w:val="24"/>
          <w:highlight w:val="none"/>
        </w:rPr>
      </w:pPr>
      <w:bookmarkStart w:id="410" w:name="_Toc1814"/>
      <w:bookmarkStart w:id="411" w:name="_Toc10340"/>
      <w:bookmarkStart w:id="412" w:name="_Toc22618"/>
      <w:bookmarkStart w:id="413" w:name="_Toc3625"/>
      <w:bookmarkStart w:id="414" w:name="_Toc31421"/>
      <w:bookmarkStart w:id="415" w:name="_Toc8772"/>
      <w:bookmarkStart w:id="416" w:name="_Toc4760"/>
      <w:bookmarkStart w:id="417" w:name="_Toc11108"/>
      <w:r>
        <w:rPr>
          <w:rFonts w:hint="eastAsia" w:ascii="宋体" w:hAnsi="宋体" w:cs="Times New Roman"/>
          <w:color w:val="auto"/>
          <w:sz w:val="24"/>
          <w:highlight w:val="none"/>
        </w:rPr>
        <w:t>注：以上合同总价包括履行项目服务的人工费、材料费、交通费、税费等所需的一切费用。</w:t>
      </w:r>
    </w:p>
    <w:p>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lang w:eastAsia="zh-CN"/>
        </w:rPr>
        <w:t>不</w:t>
      </w:r>
      <w:r>
        <w:rPr>
          <w:rFonts w:hint="eastAsia"/>
          <w:color w:val="auto"/>
          <w:highlight w:val="none"/>
        </w:rPr>
        <w:t>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2" w:firstLineChars="200"/>
        <w:outlineLvl w:val="0"/>
        <w:rPr>
          <w:rFonts w:ascii="宋体" w:hAnsi="宋体"/>
          <w:color w:val="auto"/>
          <w:sz w:val="24"/>
          <w:highlight w:val="none"/>
          <w:u w:val="single"/>
        </w:rPr>
      </w:pPr>
      <w:bookmarkStart w:id="418" w:name="_Toc3079"/>
      <w:bookmarkStart w:id="419" w:name="_Toc2375"/>
      <w:bookmarkStart w:id="420" w:name="_Toc8586"/>
      <w:bookmarkStart w:id="421" w:name="_Toc5698"/>
      <w:bookmarkStart w:id="422" w:name="_Toc24662"/>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3" w:name="_Toc9497"/>
      <w:bookmarkStart w:id="424" w:name="_Toc18683"/>
      <w:bookmarkStart w:id="425" w:name="_Toc32454"/>
      <w:bookmarkStart w:id="426" w:name="_Toc30329"/>
      <w:bookmarkStart w:id="42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pPr>
        <w:spacing w:line="560" w:lineRule="exact"/>
        <w:ind w:firstLine="482" w:firstLineChars="200"/>
        <w:outlineLvl w:val="0"/>
        <w:rPr>
          <w:rFonts w:ascii="宋体" w:hAnsi="宋体" w:cs="宋体"/>
          <w:b/>
          <w:color w:val="auto"/>
          <w:sz w:val="24"/>
          <w:highlight w:val="none"/>
        </w:rPr>
      </w:pPr>
      <w:bookmarkStart w:id="428" w:name="_Toc28375"/>
      <w:bookmarkStart w:id="429" w:name="_Toc16021"/>
      <w:bookmarkStart w:id="430" w:name="_Toc15583"/>
      <w:r>
        <w:rPr>
          <w:rFonts w:hint="eastAsia" w:ascii="宋体" w:hAnsi="宋体" w:cs="宋体"/>
          <w:b/>
          <w:color w:val="auto"/>
          <w:sz w:val="24"/>
          <w:highlight w:val="none"/>
        </w:rPr>
        <w:t>1.9合同争议的解决</w:t>
      </w:r>
      <w:bookmarkEnd w:id="428"/>
      <w:bookmarkEnd w:id="429"/>
      <w:bookmarkEnd w:id="43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1" w:name="_Toc7245"/>
      <w:bookmarkStart w:id="432" w:name="_Toc11173"/>
      <w:bookmarkStart w:id="433" w:name="_Toc15322"/>
      <w:r>
        <w:rPr>
          <w:rFonts w:hint="eastAsia" w:ascii="宋体" w:hAnsi="宋体" w:cs="宋体"/>
          <w:b/>
          <w:color w:val="auto"/>
          <w:sz w:val="24"/>
          <w:highlight w:val="none"/>
        </w:rPr>
        <w:t>2.0 合同生效</w:t>
      </w:r>
      <w:bookmarkEnd w:id="431"/>
      <w:bookmarkEnd w:id="432"/>
      <w:bookmarkEnd w:id="43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第二部分合同一般条款</w:t>
      </w:r>
    </w:p>
    <w:p>
      <w:pPr>
        <w:spacing w:line="560" w:lineRule="exact"/>
        <w:ind w:firstLine="482" w:firstLineChars="200"/>
        <w:outlineLvl w:val="0"/>
        <w:rPr>
          <w:rFonts w:ascii="宋体" w:hAnsi="宋体"/>
          <w:b/>
          <w:color w:val="auto"/>
          <w:sz w:val="24"/>
          <w:highlight w:val="none"/>
        </w:rPr>
      </w:pPr>
      <w:bookmarkStart w:id="434" w:name="_Toc31297"/>
      <w:bookmarkStart w:id="435" w:name="_Toc19680"/>
      <w:bookmarkStart w:id="436" w:name="_Toc5228"/>
      <w:bookmarkStart w:id="437" w:name="_Toc25079"/>
      <w:bookmarkStart w:id="438" w:name="_Toc14021"/>
      <w:r>
        <w:rPr>
          <w:rFonts w:ascii="宋体" w:hAnsi="宋体"/>
          <w:b/>
          <w:color w:val="auto"/>
          <w:sz w:val="24"/>
          <w:highlight w:val="none"/>
        </w:rPr>
        <w:t>2.1 定义</w:t>
      </w:r>
      <w:bookmarkEnd w:id="434"/>
      <w:bookmarkEnd w:id="435"/>
      <w:bookmarkEnd w:id="436"/>
      <w:bookmarkEnd w:id="437"/>
      <w:bookmarkEnd w:id="438"/>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39" w:name="_Toc16752"/>
      <w:bookmarkStart w:id="440" w:name="_Toc3769"/>
      <w:bookmarkStart w:id="441" w:name="_Toc31402"/>
      <w:bookmarkStart w:id="442" w:name="_Toc19539"/>
      <w:bookmarkStart w:id="443" w:name="_Toc23289"/>
      <w:r>
        <w:rPr>
          <w:rFonts w:ascii="宋体" w:hAnsi="宋体"/>
          <w:b/>
          <w:color w:val="auto"/>
          <w:sz w:val="24"/>
          <w:highlight w:val="none"/>
        </w:rPr>
        <w:t>2.2 技术规范</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4" w:name="_Toc4133"/>
      <w:bookmarkStart w:id="445" w:name="_Toc27945"/>
      <w:bookmarkStart w:id="446" w:name="_Toc13673"/>
      <w:bookmarkStart w:id="447" w:name="_Toc9161"/>
      <w:bookmarkStart w:id="448" w:name="_Toc12412"/>
      <w:r>
        <w:rPr>
          <w:rFonts w:ascii="宋体" w:hAnsi="宋体"/>
          <w:b/>
          <w:color w:val="auto"/>
          <w:sz w:val="24"/>
          <w:highlight w:val="none"/>
        </w:rPr>
        <w:t>2.3 知识产权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49" w:name="_Toc31233"/>
      <w:bookmarkStart w:id="450" w:name="_Toc32670"/>
      <w:bookmarkStart w:id="451" w:name="_Toc22011"/>
      <w:bookmarkStart w:id="452" w:name="_Toc15447"/>
      <w:bookmarkStart w:id="453" w:name="_Toc26555"/>
      <w:r>
        <w:rPr>
          <w:rFonts w:ascii="宋体" w:hAnsi="宋体"/>
          <w:b/>
          <w:color w:val="auto"/>
          <w:sz w:val="24"/>
          <w:highlight w:val="none"/>
        </w:rPr>
        <w:t>2.5 结算方式和付款条件</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4" w:name="_Toc16163"/>
      <w:bookmarkStart w:id="455" w:name="_Toc30507"/>
      <w:bookmarkStart w:id="456" w:name="_Toc13154"/>
      <w:bookmarkStart w:id="457" w:name="_Toc13467"/>
      <w:bookmarkStart w:id="458" w:name="_Toc18990"/>
      <w:r>
        <w:rPr>
          <w:rFonts w:ascii="宋体" w:hAnsi="宋体"/>
          <w:b/>
          <w:color w:val="auto"/>
          <w:sz w:val="24"/>
          <w:highlight w:val="none"/>
        </w:rPr>
        <w:t>2.6 技术资料和保密义务</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5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2" w:name="_Toc21830"/>
      <w:bookmarkStart w:id="463" w:name="_Toc23368"/>
      <w:bookmarkStart w:id="464" w:name="_Toc10663"/>
      <w:bookmarkStart w:id="465" w:name="_Toc42"/>
      <w:bookmarkStart w:id="466" w:name="_Toc26689"/>
      <w:r>
        <w:rPr>
          <w:rFonts w:ascii="宋体" w:hAnsi="宋体"/>
          <w:b/>
          <w:color w:val="auto"/>
          <w:sz w:val="24"/>
          <w:highlight w:val="none"/>
        </w:rPr>
        <w:t>2.10 合同转让和分包</w:t>
      </w:r>
      <w:bookmarkEnd w:id="462"/>
      <w:bookmarkEnd w:id="463"/>
      <w:bookmarkEnd w:id="464"/>
      <w:bookmarkEnd w:id="465"/>
      <w:bookmarkEnd w:id="466"/>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67" w:name="_Toc25571"/>
      <w:bookmarkStart w:id="468" w:name="_Toc26633"/>
      <w:bookmarkStart w:id="469" w:name="_Toc14371"/>
      <w:bookmarkStart w:id="470" w:name="_Toc4720"/>
      <w:bookmarkStart w:id="471" w:name="_Toc32494"/>
      <w:r>
        <w:rPr>
          <w:rFonts w:ascii="宋体" w:hAnsi="宋体"/>
          <w:b/>
          <w:color w:val="auto"/>
          <w:sz w:val="24"/>
          <w:highlight w:val="none"/>
        </w:rPr>
        <w:t>2.11 不可抗力</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2" w:name="_Toc25783"/>
      <w:bookmarkStart w:id="473" w:name="_Toc24465"/>
      <w:bookmarkStart w:id="474" w:name="_Toc3638"/>
      <w:bookmarkStart w:id="475" w:name="_Toc23854"/>
      <w:bookmarkStart w:id="476" w:name="_Toc14115"/>
      <w:r>
        <w:rPr>
          <w:rFonts w:ascii="宋体" w:hAnsi="宋体"/>
          <w:b/>
          <w:color w:val="auto"/>
          <w:sz w:val="24"/>
          <w:highlight w:val="none"/>
        </w:rPr>
        <w:t>2.12 税费</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77" w:name="_Toc26883"/>
      <w:bookmarkStart w:id="478" w:name="_Toc25525"/>
      <w:bookmarkStart w:id="479" w:name="_Toc30105"/>
      <w:bookmarkStart w:id="480" w:name="_Toc7315"/>
      <w:bookmarkStart w:id="481" w:name="_Toc14814"/>
      <w:r>
        <w:rPr>
          <w:rFonts w:ascii="宋体" w:hAnsi="宋体"/>
          <w:b/>
          <w:color w:val="auto"/>
          <w:sz w:val="24"/>
          <w:highlight w:val="none"/>
        </w:rPr>
        <w:t>2.13 乙方破产</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23323"/>
      <w:bookmarkStart w:id="483" w:name="_Toc2016"/>
      <w:bookmarkStart w:id="484" w:name="_Toc1123"/>
      <w:r>
        <w:rPr>
          <w:rFonts w:ascii="宋体" w:hAnsi="宋体"/>
          <w:b/>
          <w:color w:val="auto"/>
          <w:sz w:val="24"/>
          <w:highlight w:val="none"/>
        </w:rPr>
        <w:t>2.14 合同中止、终止</w:t>
      </w:r>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5" w:name="_Toc1969"/>
      <w:bookmarkStart w:id="486" w:name="_Toc17363"/>
      <w:bookmarkStart w:id="487" w:name="_Toc14525"/>
      <w:r>
        <w:rPr>
          <w:rFonts w:ascii="宋体" w:hAnsi="宋体"/>
          <w:b/>
          <w:color w:val="auto"/>
          <w:sz w:val="24"/>
          <w:highlight w:val="none"/>
        </w:rPr>
        <w:t>2.15 检验和验收</w:t>
      </w:r>
      <w:bookmarkEnd w:id="485"/>
      <w:bookmarkEnd w:id="486"/>
      <w:bookmarkEnd w:id="487"/>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2308"/>
      <w:bookmarkStart w:id="489" w:name="_Toc25198"/>
      <w:bookmarkStart w:id="490" w:name="_Toc31892"/>
      <w:bookmarkStart w:id="491" w:name="_Toc12666"/>
      <w:bookmarkStart w:id="492" w:name="_Toc9808"/>
      <w:r>
        <w:rPr>
          <w:rFonts w:ascii="宋体" w:hAnsi="宋体"/>
          <w:b/>
          <w:color w:val="auto"/>
          <w:sz w:val="24"/>
          <w:highlight w:val="none"/>
        </w:rPr>
        <w:t>2.16 通知和送达</w:t>
      </w:r>
      <w:bookmarkEnd w:id="488"/>
      <w:bookmarkEnd w:id="489"/>
      <w:bookmarkEnd w:id="490"/>
      <w:bookmarkEnd w:id="491"/>
      <w:bookmarkEnd w:id="492"/>
    </w:p>
    <w:p>
      <w:pPr>
        <w:spacing w:line="560" w:lineRule="exact"/>
        <w:ind w:firstLine="480" w:firstLineChars="200"/>
        <w:rPr>
          <w:rFonts w:ascii="宋体" w:hAnsi="宋体"/>
          <w:color w:val="auto"/>
          <w:sz w:val="24"/>
          <w:highlight w:val="none"/>
        </w:rPr>
      </w:pPr>
      <w:bookmarkStart w:id="493" w:name="_Toc27674"/>
      <w:bookmarkStart w:id="49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3"/>
      <w:bookmarkEnd w:id="494"/>
    </w:p>
    <w:p>
      <w:pPr>
        <w:spacing w:line="560" w:lineRule="exact"/>
        <w:ind w:firstLine="482" w:firstLineChars="200"/>
        <w:outlineLvl w:val="0"/>
        <w:rPr>
          <w:rFonts w:ascii="宋体" w:hAnsi="宋体"/>
          <w:b/>
          <w:color w:val="auto"/>
          <w:sz w:val="24"/>
          <w:highlight w:val="none"/>
        </w:rPr>
      </w:pPr>
      <w:bookmarkStart w:id="495" w:name="_Toc28906"/>
      <w:bookmarkStart w:id="496" w:name="_Toc20808"/>
      <w:bookmarkStart w:id="497" w:name="_Toc12254"/>
      <w:bookmarkStart w:id="498" w:name="_Toc27644"/>
      <w:bookmarkStart w:id="499"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5"/>
      <w:bookmarkEnd w:id="496"/>
      <w:bookmarkEnd w:id="497"/>
      <w:bookmarkEnd w:id="498"/>
      <w:bookmarkEnd w:id="499"/>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0" w:name="_Toc30599"/>
      <w:bookmarkStart w:id="501" w:name="_Toc4355"/>
      <w:bookmarkStart w:id="502" w:name="_Toc18540"/>
      <w:r>
        <w:rPr>
          <w:rFonts w:hint="eastAsia" w:ascii="宋体" w:hAnsi="宋体" w:cs="宋体"/>
          <w:b/>
          <w:color w:val="auto"/>
          <w:sz w:val="24"/>
          <w:highlight w:val="none"/>
        </w:rPr>
        <w:t>2.18 计量单位</w:t>
      </w:r>
      <w:bookmarkEnd w:id="500"/>
      <w:bookmarkEnd w:id="501"/>
      <w:bookmarkEnd w:id="5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3" w:name="_Toc331685784"/>
      <w:bookmarkEnd w:id="503"/>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hint="default" w:ascii="宋体" w:hAnsi="宋体" w:cs="宋体"/>
                <w:color w:val="auto"/>
                <w:sz w:val="24"/>
                <w:highlight w:val="none"/>
                <w:lang w:val="en-US"/>
              </w:rPr>
            </w:pPr>
            <w:r>
              <w:rPr>
                <w:rFonts w:hint="default" w:ascii="宋体" w:hAnsi="宋体" w:cs="宋体"/>
                <w:color w:val="auto"/>
                <w:sz w:val="24"/>
                <w:highlight w:val="none"/>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default" w:ascii="宋体" w:hAnsi="宋体" w:cs="宋体"/>
                <w:color w:val="auto"/>
                <w:sz w:val="24"/>
                <w:highlight w:val="none"/>
                <w:lang w:val="en-US"/>
              </w:rPr>
            </w:pPr>
            <w:r>
              <w:rPr>
                <w:rFonts w:hint="default" w:ascii="宋体" w:hAnsi="宋体" w:cs="宋体"/>
                <w:color w:val="auto"/>
                <w:sz w:val="24"/>
                <w:highlight w:val="none"/>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合同签订7个工作日内，支付合同总金额的50%</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付款方式：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第一阶段：合同签订7个工作日内，支付合同总金额的50%；即人民币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元）；第二阶段：</w:t>
            </w:r>
            <w:r>
              <w:rPr>
                <w:rFonts w:hint="eastAsia" w:ascii="宋体" w:hAnsi="宋体" w:cs="宋体"/>
                <w:color w:val="auto"/>
                <w:sz w:val="24"/>
                <w:highlight w:val="none"/>
                <w:lang w:eastAsia="zh-CN"/>
              </w:rPr>
              <w:t>2024</w:t>
            </w:r>
            <w:r>
              <w:rPr>
                <w:rFonts w:hint="eastAsia" w:ascii="宋体" w:hAnsi="宋体" w:cs="宋体"/>
                <w:color w:val="auto"/>
                <w:sz w:val="24"/>
                <w:highlight w:val="none"/>
              </w:rPr>
              <w:t>年9月底前，技术服务方按时完成环评文件质量抽查任务的三分之二工作量，支付合同总金额的40%；即人民币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元）；第三阶段：待技术服务方提供的技术论证报告满足服务质量要求并通过采购方验收后，支付10%尾款，即人民币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元）。超出完成标书内工作量，不增加合同款。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本合同签订之日起</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u w:val="single"/>
              </w:rPr>
              <w:t>杭州市甲方指定地点</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按要求做好工作，提供纸质版报告成果文件。完成300本环评文件复核，完成15个开展规划环评复核或落实情况核查，完成9次涉及“邻避效应”的控规调整和控规局调，完成10个建设项目技术评估，完成5个辐射项目技术评估，完成5个规划环评技术评估；以上个体项目为预估数，具体份数根据甲方实际工作需开展，数量超出，仍按成交价履约，后续不予追加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hint="default" w:ascii="宋体" w:hAnsi="宋体" w:cs="宋体"/>
                <w:color w:val="auto"/>
                <w:sz w:val="24"/>
                <w:highlight w:val="none"/>
                <w:lang w:val="en-US"/>
              </w:rPr>
            </w:pPr>
            <w:r>
              <w:rPr>
                <w:rFonts w:hint="eastAsia" w:ascii="宋体" w:hAnsi="宋体" w:eastAsia="宋体" w:cs="宋体"/>
                <w:color w:val="auto"/>
                <w:sz w:val="24"/>
                <w:szCs w:val="24"/>
                <w:highlight w:val="none"/>
              </w:rPr>
              <w:t>乙方逾期履行合同的，至逾期之日起，未完成环评文件复核扣除人民币2000元/次，未按甲方要求开展规划环评复核或落实情况核查的扣5000元/次，涉及“邻避效应”的控规调整和控规局调的未完成扣款5000元/次，未完成建设项目技术评估扣25000元/次整，未完成辐射项目扣20000元/次，未完成规划环评扣30000元/次，上述内容按甲方要求进行完成，按实结算。完成工作总量达到成交价的不进行扣款，超出甲方要求工作量，不增加合同款，未完成按上述扣款要求进行扣款，扣款上限为成交价，并继续履行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446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446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464" w:type="pct"/>
            <w:vAlign w:val="center"/>
          </w:tcPr>
          <w:p>
            <w:pPr>
              <w:spacing w:line="360" w:lineRule="auto"/>
              <w:ind w:right="-420" w:righ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合同涉及技术成果的归属和收益的分成：成果归属甲方，无受益分成。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因不可抗力致使合同有变更必要的，双方当事人应在发生后6小时内以书面形式变更合同；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446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4464"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4464"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1.乙方交付前应对项目成果及相关材料作出全面检查和整理，并将相关纸质材料提交给甲方；乙方提供的项目成果应满足第二条服务质量要求并通过验收。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2.根据《杭州市政府采购履约验收暂行办法》杭财采监〔2019〕10 号文，进行履约验收，验收合格报告作为项目支付的依据。项目验收、评审等相关费用由甲方负责。因乙方原因，首次验收未通过，重新验收产生的相关费用由乙方负责。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4464" w:type="pct"/>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份，甲方、乙方各执叁份</w:t>
            </w:r>
            <w:r>
              <w:rPr>
                <w:rFonts w:hint="eastAsia" w:ascii="宋体" w:hAnsi="宋体" w:eastAsia="宋体" w:cs="宋体"/>
                <w:color w:val="auto"/>
                <w:sz w:val="24"/>
                <w:szCs w:val="24"/>
                <w:highlight w:val="none"/>
                <w:lang w:eastAsia="zh-CN"/>
              </w:rPr>
              <w:t>。</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bookmarkStart w:id="514" w:name="_GoBack"/>
      <w:bookmarkEnd w:id="514"/>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杭州市生态环境局、杭州天恒投资建设管理有限公司：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杭州市生态环境局、杭州天恒投资建设管理有限公司：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4" w:name="_Hlk101257010"/>
      <w:r>
        <w:rPr>
          <w:rFonts w:hint="eastAsia" w:ascii="宋体" w:hAnsi="宋体" w:cs="宋体"/>
          <w:color w:val="auto"/>
          <w:sz w:val="24"/>
          <w:highlight w:val="none"/>
        </w:rPr>
        <w:t>（如果有)</w:t>
      </w:r>
      <w:bookmarkEnd w:id="50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tabs>
          <w:tab w:val="left" w:pos="2835"/>
        </w:tabs>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tabs>
          <w:tab w:val="left" w:pos="2835"/>
        </w:tabs>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tabs>
          <w:tab w:val="left" w:pos="2835"/>
        </w:tabs>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color w:val="auto"/>
          <w:highlight w:val="none"/>
        </w:rPr>
      </w:pPr>
      <w:r>
        <w:rPr>
          <w:rFonts w:ascii="宋体" w:hAnsi="宋体" w:cs="宋体"/>
          <w:color w:val="auto"/>
          <w:sz w:val="24"/>
          <w:highlight w:val="none"/>
        </w:rPr>
        <w:t>2.3.2</w:t>
      </w:r>
      <w:r>
        <w:rPr>
          <w:rFonts w:hint="eastAsia" w:ascii="宋体" w:hAnsi="宋体" w:cs="宋体"/>
          <w:color w:val="auto"/>
          <w:sz w:val="24"/>
          <w:highlight w:val="none"/>
        </w:rPr>
        <w:t>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79"/>
        <w:spacing w:line="360" w:lineRule="auto"/>
        <w:ind w:firstLine="960" w:firstLineChars="400"/>
        <w:rPr>
          <w:rFonts w:ascii="宋体" w:hAnsi="宋体" w:cs="宋体"/>
          <w:color w:val="auto"/>
          <w:sz w:val="24"/>
          <w:highlight w:val="none"/>
        </w:rPr>
      </w:pPr>
      <w:r>
        <w:rPr>
          <w:rFonts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杭州市生态环境局、杭州天恒投资建设管理有限公司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杭州市生态环境局、杭州天恒投资建设管理有限公司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杭州市生态环境局、杭州天恒投资建设管理有限公司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pStyle w:val="79"/>
        <w:rPr>
          <w:color w:val="auto"/>
          <w:highlight w:val="none"/>
        </w:rPr>
      </w:pPr>
    </w:p>
    <w:p>
      <w:pPr>
        <w:pStyle w:val="79"/>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杭州市生态环境局、杭州天恒投资建设管理有限公司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kern w:val="0"/>
          <w:sz w:val="24"/>
          <w:highlight w:val="none"/>
          <w:lang w:val="zh-CN"/>
        </w:rPr>
        <w:t>【招标编号：</w:t>
      </w:r>
      <w:r>
        <w:rPr>
          <w:rFonts w:ascii="宋体" w:hAnsi="宋体" w:cs="宋体"/>
          <w:color w:val="auto"/>
          <w:sz w:val="24"/>
          <w:highlight w:val="none"/>
        </w:rPr>
        <w:t>HZTH-HZSTJ-202401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pPr>
        <w:pStyle w:val="5"/>
        <w:keepNext w:val="0"/>
        <w:numPr>
          <w:ilvl w:val="255"/>
          <w:numId w:val="0"/>
        </w:numPr>
        <w:tabs>
          <w:tab w:val="clear" w:pos="432"/>
        </w:tabs>
        <w:snapToGrid w:val="0"/>
        <w:spacing w:before="120" w:after="12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79"/>
        <w:ind w:firstLine="480"/>
        <w:rPr>
          <w:rFonts w:ascii="宋体" w:hAnsi="宋体" w:cs="宋体"/>
          <w:b/>
          <w:color w:val="auto"/>
          <w:sz w:val="24"/>
          <w:highlight w:val="none"/>
        </w:rPr>
      </w:pPr>
    </w:p>
    <w:p>
      <w:pPr>
        <w:pStyle w:val="79"/>
        <w:ind w:firstLine="480"/>
        <w:rPr>
          <w:rFonts w:ascii="宋体" w:hAnsi="宋体" w:cs="宋体"/>
          <w:b/>
          <w:color w:val="auto"/>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5" w:name="OLE_LINK14"/>
      <w:bookmarkStart w:id="506" w:name="OLE_LINK13"/>
      <w:r>
        <w:rPr>
          <w:rFonts w:hint="eastAsia" w:ascii="宋体" w:hAnsi="宋体" w:cs="宋体"/>
          <w:b/>
          <w:color w:val="auto"/>
          <w:spacing w:val="6"/>
          <w:sz w:val="32"/>
          <w:szCs w:val="32"/>
          <w:highlight w:val="none"/>
        </w:rPr>
        <w:t>残疾人福利性单位声明函</w:t>
      </w:r>
    </w:p>
    <w:bookmarkEnd w:id="505"/>
    <w:bookmarkEnd w:id="50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杭州市生态环境局、杭州天恒投资建设管理有限公司：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环境影响评价文件技术评估及编制质量抽查技术服务</w:t>
      </w:r>
      <w:r>
        <w:rPr>
          <w:rFonts w:hint="eastAsia" w:ascii="宋体" w:hAnsi="宋体" w:cs="宋体"/>
          <w:color w:val="auto"/>
          <w:sz w:val="24"/>
          <w:highlight w:val="none"/>
        </w:rPr>
        <w:t>【招标编号：</w:t>
      </w:r>
      <w:r>
        <w:rPr>
          <w:rFonts w:ascii="宋体" w:hAnsi="宋体" w:cs="宋体"/>
          <w:color w:val="auto"/>
          <w:sz w:val="24"/>
          <w:highlight w:val="none"/>
        </w:rPr>
        <w:t>HZTH-HZSTJ-202401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杭州市生态环境局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环境影响评价文件技术评估及编制质量抽查技术服务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319"/>
        <w:snapToGrid w:val="0"/>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政府采购活动现场确认声明书</w:t>
      </w:r>
    </w:p>
    <w:p>
      <w:pPr>
        <w:pStyle w:val="319"/>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u w:val="single"/>
        </w:rPr>
        <w:t>（采购人、采购代理机构）</w:t>
      </w:r>
      <w:r>
        <w:rPr>
          <w:rFonts w:hint="eastAsia" w:ascii="宋体" w:hAnsi="宋体" w:eastAsia="宋体" w:cs="宋体"/>
          <w:color w:val="auto"/>
          <w:sz w:val="24"/>
          <w:szCs w:val="24"/>
        </w:rPr>
        <w:t>：</w:t>
      </w:r>
    </w:p>
    <w:p>
      <w:pPr>
        <w:pStyle w:val="319"/>
        <w:adjustRightInd w:val="0"/>
        <w:snapToGrid w:val="0"/>
        <w:spacing w:before="120" w:beforeLines="50" w:line="32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（单位全称）</w:t>
      </w:r>
      <w:r>
        <w:rPr>
          <w:rFonts w:hint="eastAsia" w:ascii="宋体" w:hAnsi="宋体" w:eastAsia="宋体" w:cs="宋体"/>
          <w:color w:val="auto"/>
          <w:spacing w:val="6"/>
          <w:sz w:val="24"/>
          <w:szCs w:val="24"/>
        </w:rPr>
        <w:t>负责人</w:t>
      </w:r>
      <w:r>
        <w:rPr>
          <w:rFonts w:hint="eastAsia" w:ascii="宋体" w:hAnsi="宋体" w:eastAsia="宋体" w:cs="宋体"/>
          <w:color w:val="auto"/>
          <w:spacing w:val="6"/>
          <w:sz w:val="24"/>
          <w:szCs w:val="24"/>
          <w:u w:val="single"/>
        </w:rPr>
        <w:t xml:space="preserve">        （法人姓名）</w:t>
      </w:r>
      <w:r>
        <w:rPr>
          <w:rFonts w:hint="eastAsia" w:ascii="宋体" w:hAnsi="宋体" w:eastAsia="宋体" w:cs="宋体"/>
          <w:color w:val="auto"/>
          <w:spacing w:val="6"/>
          <w:sz w:val="24"/>
          <w:szCs w:val="24"/>
        </w:rPr>
        <w:t>合法授权参加项目</w:t>
      </w:r>
      <w:r>
        <w:rPr>
          <w:rFonts w:hint="eastAsia" w:ascii="宋体" w:hAnsi="宋体" w:eastAsia="宋体" w:cs="宋体"/>
          <w:color w:val="auto"/>
          <w:spacing w:val="6"/>
          <w:sz w:val="24"/>
          <w:szCs w:val="24"/>
          <w:u w:val="single"/>
        </w:rPr>
        <w:t>（编号：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pPr>
        <w:pStyle w:val="839"/>
        <w:widowControl/>
        <w:numPr>
          <w:ilvl w:val="0"/>
          <w:numId w:val="6"/>
        </w:numPr>
        <w:tabs>
          <w:tab w:val="clear" w:pos="8268"/>
        </w:tabs>
        <w:snapToGrid w:val="0"/>
        <w:spacing w:before="120" w:beforeLines="50" w:line="320" w:lineRule="exact"/>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p>
    <w:p>
      <w:pPr>
        <w:pStyle w:val="839"/>
        <w:widowControl/>
        <w:snapToGrid w:val="0"/>
        <w:spacing w:before="120" w:beforeLines="50" w:line="320" w:lineRule="exact"/>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pPr>
        <w:pStyle w:val="839"/>
        <w:widowControl/>
        <w:snapToGrid w:val="0"/>
        <w:spacing w:before="120" w:beforeLines="50" w:line="320" w:lineRule="exact"/>
        <w:ind w:firstLine="484" w:firstLineChars="20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pPr>
        <w:pStyle w:val="839"/>
        <w:widowControl/>
        <w:snapToGrid w:val="0"/>
        <w:spacing w:before="120" w:beforeLines="50" w:line="320" w:lineRule="exact"/>
        <w:ind w:firstLine="509" w:firstLineChars="202"/>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p>
    <w:p>
      <w:pPr>
        <w:pStyle w:val="319"/>
        <w:adjustRightInd w:val="0"/>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A.法定代表人或负责人或实际控制人是同一人</w:t>
      </w:r>
    </w:p>
    <w:p>
      <w:pPr>
        <w:pStyle w:val="319"/>
        <w:adjustRightInd w:val="0"/>
        <w:snapToGrid w:val="0"/>
        <w:spacing w:line="360" w:lineRule="auto"/>
        <w:ind w:firstLine="200"/>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B.法定代表人或负责人或实际控制人是夫妻关系</w:t>
      </w:r>
    </w:p>
    <w:p>
      <w:pPr>
        <w:pStyle w:val="319"/>
        <w:adjustRightInd w:val="0"/>
        <w:snapToGrid w:val="0"/>
        <w:spacing w:line="360" w:lineRule="auto"/>
        <w:ind w:firstLine="200"/>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C.法定代表人或负责人或实际控制人是直系血亲关系</w:t>
      </w:r>
    </w:p>
    <w:p>
      <w:pPr>
        <w:pStyle w:val="319"/>
        <w:adjustRightInd w:val="0"/>
        <w:snapToGrid w:val="0"/>
        <w:spacing w:line="360" w:lineRule="auto"/>
        <w:ind w:firstLine="200"/>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D.法定代表人或负责人或实际控制人存在三代以内旁系血亲关系</w:t>
      </w:r>
    </w:p>
    <w:p>
      <w:pPr>
        <w:pStyle w:val="319"/>
        <w:adjustRightInd w:val="0"/>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E.法定代表人或负责人或实际控制人存在近姻亲关系</w:t>
      </w:r>
    </w:p>
    <w:p>
      <w:pPr>
        <w:pStyle w:val="319"/>
        <w:adjustRightInd w:val="0"/>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F.法定代表人或负责人或实际控制人存在股份控制或实际控制关系</w:t>
      </w:r>
    </w:p>
    <w:p>
      <w:pPr>
        <w:pStyle w:val="319"/>
        <w:adjustRightInd w:val="0"/>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G.存在共同直接或间接投资设立子公司、联营企业和合营企业情况</w:t>
      </w:r>
    </w:p>
    <w:p>
      <w:pPr>
        <w:pStyle w:val="319"/>
        <w:adjustRightInd w:val="0"/>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H.存在分级代理或代销关系、同一生产制造商关系、管理关系、重要业务（占主营业务收入50%以上）或重要财务往来关系（如融资）等其他实质性控制关系</w:t>
      </w:r>
    </w:p>
    <w:p>
      <w:pPr>
        <w:pStyle w:val="319"/>
        <w:adjustRightInd w:val="0"/>
        <w:snapToGrid w:val="0"/>
        <w:spacing w:line="360" w:lineRule="auto"/>
        <w:ind w:firstLine="200"/>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I.其他利害关系情况。</w:t>
      </w:r>
    </w:p>
    <w:p>
      <w:pPr>
        <w:pStyle w:val="839"/>
        <w:widowControl/>
        <w:numPr>
          <w:ilvl w:val="0"/>
          <w:numId w:val="7"/>
        </w:numPr>
        <w:tabs>
          <w:tab w:val="clear" w:pos="8268"/>
        </w:tabs>
        <w:snapToGrid w:val="0"/>
        <w:spacing w:after="120" w:line="360" w:lineRule="auto"/>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pPr>
        <w:pStyle w:val="839"/>
        <w:widowControl/>
        <w:numPr>
          <w:ilvl w:val="0"/>
          <w:numId w:val="7"/>
        </w:numPr>
        <w:tabs>
          <w:tab w:val="clear" w:pos="8268"/>
        </w:tabs>
        <w:snapToGrid w:val="0"/>
        <w:spacing w:after="120" w:line="360" w:lineRule="auto"/>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我发现供应商之间存在或可能存在上述第二条第项利害关系。</w:t>
      </w:r>
    </w:p>
    <w:p>
      <w:pPr>
        <w:pStyle w:val="839"/>
        <w:widowControl/>
        <w:numPr>
          <w:ilvl w:val="0"/>
          <w:numId w:val="7"/>
        </w:numPr>
        <w:tabs>
          <w:tab w:val="clear" w:pos="8268"/>
        </w:tabs>
        <w:snapToGrid w:val="0"/>
        <w:spacing w:after="120" w:line="360" w:lineRule="auto"/>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经检查确认所有供应商投标文件□不存在密封包装问题  □存在密封包装问题（具体指出）。</w:t>
      </w:r>
    </w:p>
    <w:p>
      <w:pPr>
        <w:pStyle w:val="319"/>
        <w:adjustRightInd w:val="0"/>
        <w:snapToGrid w:val="0"/>
        <w:spacing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（供应商代表签名）</w:t>
      </w:r>
    </w:p>
    <w:p>
      <w:pPr>
        <w:ind w:firstLine="480"/>
        <w:jc w:val="righ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pPr>
        <w:snapToGrid w:val="0"/>
        <w:spacing w:line="360" w:lineRule="auto"/>
        <w:rPr>
          <w:rFonts w:hint="eastAsia" w:ascii="宋体" w:hAnsi="宋体" w:eastAsia="宋体" w:cs="宋体"/>
          <w:color w:val="auto"/>
          <w:sz w:val="24"/>
          <w:szCs w:val="24"/>
        </w:rPr>
      </w:pPr>
    </w:p>
    <w:p>
      <w:pPr>
        <w:snapToGrid w:val="0"/>
        <w:spacing w:line="360" w:lineRule="auto"/>
        <w:rPr>
          <w:rFonts w:ascii="宋体" w:hAnsi="宋体" w:cs="宋体"/>
          <w:bCs/>
          <w:color w:val="auto"/>
          <w:sz w:val="24"/>
          <w:highlight w:val="none"/>
        </w:rPr>
      </w:pPr>
      <w:r>
        <w:rPr>
          <w:rFonts w:hint="eastAsia" w:ascii="宋体" w:hAnsi="宋体" w:eastAsia="宋体" w:cs="宋体"/>
          <w:b/>
          <w:color w:val="auto"/>
          <w:sz w:val="24"/>
          <w:szCs w:val="24"/>
        </w:rPr>
        <w:t>注：结束解密后，供应商通过邮件形式将经授权代表签署的《政府采购活动现场确认声明书》扫描件发至代理机构经办人邮箱（邮箱地址：</w:t>
      </w:r>
      <w:r>
        <w:rPr>
          <w:rFonts w:hint="eastAsia" w:ascii="宋体" w:hAnsi="宋体" w:cs="宋体"/>
          <w:b/>
          <w:color w:val="auto"/>
          <w:sz w:val="24"/>
          <w:szCs w:val="24"/>
          <w:lang w:val="en-US" w:eastAsia="zh-CN"/>
        </w:rPr>
        <w:t>372146423</w:t>
      </w:r>
      <w:r>
        <w:rPr>
          <w:rFonts w:hint="eastAsia" w:ascii="宋体" w:hAnsi="宋体" w:eastAsia="宋体" w:cs="宋体"/>
          <w:b/>
          <w:color w:val="auto"/>
          <w:sz w:val="24"/>
          <w:szCs w:val="24"/>
        </w:rPr>
        <w:t>@qq.com，联系人：</w:t>
      </w:r>
      <w:r>
        <w:rPr>
          <w:rFonts w:hint="eastAsia" w:ascii="宋体" w:hAnsi="宋体" w:cs="宋体"/>
          <w:b/>
          <w:color w:val="auto"/>
          <w:sz w:val="24"/>
          <w:szCs w:val="24"/>
          <w:lang w:eastAsia="zh-CN"/>
        </w:rPr>
        <w:t>许钰</w:t>
      </w:r>
      <w:r>
        <w:rPr>
          <w:rFonts w:hint="eastAsia" w:ascii="宋体" w:hAnsi="宋体" w:eastAsia="宋体" w:cs="宋体"/>
          <w:b/>
          <w:color w:val="auto"/>
          <w:sz w:val="24"/>
          <w:szCs w:val="24"/>
        </w:rPr>
        <w:t>，电话：</w:t>
      </w:r>
      <w:r>
        <w:rPr>
          <w:rFonts w:hint="eastAsia" w:ascii="宋体" w:hAnsi="宋体" w:cs="宋体"/>
          <w:b/>
          <w:color w:val="auto"/>
          <w:sz w:val="24"/>
          <w:szCs w:val="24"/>
          <w:lang w:val="en-US" w:eastAsia="zh-CN"/>
        </w:rPr>
        <w:t>15968892889</w:t>
      </w:r>
      <w:r>
        <w:rPr>
          <w:rFonts w:hint="eastAsia" w:ascii="宋体" w:hAnsi="宋体" w:eastAsia="宋体" w:cs="宋体"/>
          <w:b/>
          <w:color w:val="auto"/>
          <w:sz w:val="24"/>
          <w:szCs w:val="24"/>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0" w:name="_Toc91899912"/>
    <w:bookmarkStart w:id="511" w:name="_Toc36110187"/>
    <w:bookmarkStart w:id="512" w:name="_Toc131845147"/>
    <w:bookmarkStart w:id="513" w:name="_Toc164085800"/>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731DA"/>
    <w:multiLevelType w:val="singleLevel"/>
    <w:tmpl w:val="EFF731DA"/>
    <w:lvl w:ilvl="0" w:tentative="0">
      <w:start w:val="3"/>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1F3D770"/>
    <w:multiLevelType w:val="singleLevel"/>
    <w:tmpl w:val="61F3D770"/>
    <w:lvl w:ilvl="0" w:tentative="0">
      <w:start w:val="1"/>
      <w:numFmt w:val="decimal"/>
      <w:lvlText w:val="%1."/>
      <w:lvlJc w:val="left"/>
      <w:pPr>
        <w:tabs>
          <w:tab w:val="left" w:pos="312"/>
        </w:tabs>
      </w:pPr>
    </w:lvl>
  </w:abstractNum>
  <w:abstractNum w:abstractNumId="6">
    <w:nsid w:val="7DCDB5D6"/>
    <w:multiLevelType w:val="singleLevel"/>
    <w:tmpl w:val="7DCDB5D6"/>
    <w:lvl w:ilvl="0" w:tentative="0">
      <w:start w:val="2"/>
      <w:numFmt w:val="decimal"/>
      <w:suff w:val="nothing"/>
      <w:lvlText w:val="（%1）"/>
      <w:lvlJc w:val="left"/>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YmJmNDM1MWRiODQ3ZjIwNTAxMDE4MTVlZDNmND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69"/>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69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247"/>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884"/>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6F7F"/>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DD4"/>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95"/>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4B"/>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450"/>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165"/>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56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CF5"/>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4F72"/>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195"/>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02B"/>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536"/>
    <w:rsid w:val="009517E4"/>
    <w:rsid w:val="009518D4"/>
    <w:rsid w:val="009520BC"/>
    <w:rsid w:val="009521D2"/>
    <w:rsid w:val="00952403"/>
    <w:rsid w:val="00952589"/>
    <w:rsid w:val="00952BD8"/>
    <w:rsid w:val="00953573"/>
    <w:rsid w:val="0095370A"/>
    <w:rsid w:val="009537C0"/>
    <w:rsid w:val="00953D5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CC5"/>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215"/>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78"/>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5B7"/>
    <w:rsid w:val="00C46BFA"/>
    <w:rsid w:val="00C46DDF"/>
    <w:rsid w:val="00C47F6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2E5F"/>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966"/>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BB6"/>
    <w:rsid w:val="00D86EC6"/>
    <w:rsid w:val="00D87418"/>
    <w:rsid w:val="00D87A39"/>
    <w:rsid w:val="00D87FE6"/>
    <w:rsid w:val="00D90BC3"/>
    <w:rsid w:val="00D90C93"/>
    <w:rsid w:val="00D90CF4"/>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101"/>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0F"/>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9AA"/>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100"/>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6F3"/>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04BBB"/>
    <w:rsid w:val="03DD35E4"/>
    <w:rsid w:val="04076900"/>
    <w:rsid w:val="041A5A3B"/>
    <w:rsid w:val="042311BA"/>
    <w:rsid w:val="042B157A"/>
    <w:rsid w:val="044B1789"/>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22ED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E36B7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F4368"/>
    <w:rsid w:val="153F7895"/>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F2F54"/>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80661"/>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660EE"/>
    <w:rsid w:val="37EE7094"/>
    <w:rsid w:val="38296C89"/>
    <w:rsid w:val="383002EB"/>
    <w:rsid w:val="38586797"/>
    <w:rsid w:val="387B121C"/>
    <w:rsid w:val="38A30A45"/>
    <w:rsid w:val="38BC0149"/>
    <w:rsid w:val="38D87D1C"/>
    <w:rsid w:val="39636459"/>
    <w:rsid w:val="396B7F6C"/>
    <w:rsid w:val="39B417A9"/>
    <w:rsid w:val="39FC5695"/>
    <w:rsid w:val="3A006D8E"/>
    <w:rsid w:val="3A133697"/>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B4663"/>
    <w:rsid w:val="3C5F759A"/>
    <w:rsid w:val="3C6C525A"/>
    <w:rsid w:val="3CCE23CB"/>
    <w:rsid w:val="3CD17D17"/>
    <w:rsid w:val="3D3C7F39"/>
    <w:rsid w:val="3D440F09"/>
    <w:rsid w:val="3D4504A0"/>
    <w:rsid w:val="3D8734BB"/>
    <w:rsid w:val="3D9A11D4"/>
    <w:rsid w:val="3DA16D89"/>
    <w:rsid w:val="3DA364BE"/>
    <w:rsid w:val="3DE041CB"/>
    <w:rsid w:val="3E0B6E71"/>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F539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F0BA7"/>
    <w:rsid w:val="477B778F"/>
    <w:rsid w:val="478203EC"/>
    <w:rsid w:val="47B025FA"/>
    <w:rsid w:val="47D737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220E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0F53DB"/>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32EBD"/>
    <w:rsid w:val="5E261785"/>
    <w:rsid w:val="5E4A7017"/>
    <w:rsid w:val="5E552BBA"/>
    <w:rsid w:val="5E611C10"/>
    <w:rsid w:val="5E7A0F3F"/>
    <w:rsid w:val="5EFC7377"/>
    <w:rsid w:val="5F06174D"/>
    <w:rsid w:val="5F222B1B"/>
    <w:rsid w:val="5F3A3602"/>
    <w:rsid w:val="5F45733B"/>
    <w:rsid w:val="5F6277C6"/>
    <w:rsid w:val="5F665AB0"/>
    <w:rsid w:val="5F6D0B1D"/>
    <w:rsid w:val="5F8D0B82"/>
    <w:rsid w:val="5FCC5339"/>
    <w:rsid w:val="5FE34A5B"/>
    <w:rsid w:val="5FFE1E36"/>
    <w:rsid w:val="60232584"/>
    <w:rsid w:val="606C4922"/>
    <w:rsid w:val="607330CE"/>
    <w:rsid w:val="60825176"/>
    <w:rsid w:val="608C055C"/>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B15989"/>
    <w:rsid w:val="62F40B65"/>
    <w:rsid w:val="62FC2CFE"/>
    <w:rsid w:val="63024505"/>
    <w:rsid w:val="635600A5"/>
    <w:rsid w:val="635B1DB5"/>
    <w:rsid w:val="63697F2F"/>
    <w:rsid w:val="63711FED"/>
    <w:rsid w:val="63880DDC"/>
    <w:rsid w:val="638D750D"/>
    <w:rsid w:val="63AC6CC0"/>
    <w:rsid w:val="64055776"/>
    <w:rsid w:val="64240056"/>
    <w:rsid w:val="643E143A"/>
    <w:rsid w:val="64491666"/>
    <w:rsid w:val="648B6EEF"/>
    <w:rsid w:val="64964E36"/>
    <w:rsid w:val="64C158BF"/>
    <w:rsid w:val="64CE2EAA"/>
    <w:rsid w:val="653C3090"/>
    <w:rsid w:val="65854376"/>
    <w:rsid w:val="658767BE"/>
    <w:rsid w:val="65892531"/>
    <w:rsid w:val="66195831"/>
    <w:rsid w:val="662E75B1"/>
    <w:rsid w:val="66342C2E"/>
    <w:rsid w:val="663E784C"/>
    <w:rsid w:val="668B6A45"/>
    <w:rsid w:val="66CC0FE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E71B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B642F"/>
    <w:rsid w:val="76C87133"/>
    <w:rsid w:val="76CD08D5"/>
    <w:rsid w:val="76DB4B92"/>
    <w:rsid w:val="76FD013A"/>
    <w:rsid w:val="77052AA4"/>
    <w:rsid w:val="77136511"/>
    <w:rsid w:val="77340A39"/>
    <w:rsid w:val="77351FD0"/>
    <w:rsid w:val="77472422"/>
    <w:rsid w:val="777F31F2"/>
    <w:rsid w:val="77BF2045"/>
    <w:rsid w:val="77D1700D"/>
    <w:rsid w:val="77EC04CC"/>
    <w:rsid w:val="78775729"/>
    <w:rsid w:val="78A42DB0"/>
    <w:rsid w:val="78A656AB"/>
    <w:rsid w:val="78B2245C"/>
    <w:rsid w:val="78E172CC"/>
    <w:rsid w:val="78EA1D1F"/>
    <w:rsid w:val="7904172F"/>
    <w:rsid w:val="790F7E27"/>
    <w:rsid w:val="79297BCF"/>
    <w:rsid w:val="792A231A"/>
    <w:rsid w:val="79316829"/>
    <w:rsid w:val="79460494"/>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D395F"/>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174B36"/>
    <w:rsid w:val="7D491C6C"/>
    <w:rsid w:val="7D5429C0"/>
    <w:rsid w:val="7D6E6D43"/>
    <w:rsid w:val="7DB57A34"/>
    <w:rsid w:val="7DE60973"/>
    <w:rsid w:val="7DEF0916"/>
    <w:rsid w:val="7E1E5218"/>
    <w:rsid w:val="7E9A4E1F"/>
    <w:rsid w:val="7EA7723A"/>
    <w:rsid w:val="7EF56FBB"/>
    <w:rsid w:val="7EFFAB67"/>
    <w:rsid w:val="7F0768EB"/>
    <w:rsid w:val="7F143BEC"/>
    <w:rsid w:val="7F715AF2"/>
    <w:rsid w:val="7F886E69"/>
    <w:rsid w:val="7F9FAF74"/>
    <w:rsid w:val="7FD34D39"/>
    <w:rsid w:val="7FE01FC3"/>
    <w:rsid w:val="BB7FA927"/>
    <w:rsid w:val="C7FC8463"/>
    <w:rsid w:val="CEDF6879"/>
    <w:rsid w:val="F5FFD31F"/>
    <w:rsid w:val="FDFFC9FF"/>
    <w:rsid w:val="FEEC2549"/>
    <w:rsid w:val="FEFE1A5C"/>
    <w:rsid w:val="FF7DD22B"/>
    <w:rsid w:val="FFB3A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0"/>
    <w:autoRedefine/>
    <w:qFormat/>
    <w:uiPriority w:val="0"/>
    <w:pPr>
      <w:ind w:firstLine="420"/>
    </w:pPr>
    <w:rPr>
      <w:rFonts w:hAnsi="Calibri" w:cs="Times New Roman"/>
      <w:snapToGrid/>
      <w:szCs w:val="20"/>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6461</Words>
  <Characters>36828</Characters>
  <Lines>306</Lines>
  <Paragraphs>86</Paragraphs>
  <TotalTime>28</TotalTime>
  <ScaleCrop>false</ScaleCrop>
  <LinksUpToDate>false</LinksUpToDate>
  <CharactersWithSpaces>43203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wda</dc:creator>
  <cp:lastModifiedBy>X.Y.</cp:lastModifiedBy>
  <cp:lastPrinted>2021-12-30T11:06:00Z</cp:lastPrinted>
  <dcterms:modified xsi:type="dcterms:W3CDTF">2024-04-28T06:02:21Z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017AE7E0AB8014777C9DF265479842A1</vt:lpwstr>
  </property>
</Properties>
</file>