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adjustRightInd/>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adjustRightInd/>
        <w:spacing w:line="360" w:lineRule="auto"/>
        <w:jc w:val="center"/>
        <w:rPr>
          <w:rFonts w:ascii="仿宋" w:hAnsi="仿宋" w:eastAsia="仿宋" w:cs="宋体"/>
          <w:b/>
          <w:sz w:val="48"/>
          <w:szCs w:val="48"/>
        </w:rPr>
      </w:pPr>
    </w:p>
    <w:p>
      <w:pPr>
        <w:adjustRightInd/>
        <w:spacing w:line="360" w:lineRule="auto"/>
        <w:jc w:val="center"/>
        <w:rPr>
          <w:rFonts w:ascii="仿宋" w:hAnsi="仿宋" w:eastAsia="仿宋" w:cs="宋体"/>
          <w:sz w:val="44"/>
          <w:szCs w:val="48"/>
        </w:rPr>
      </w:pPr>
      <w:r>
        <w:rPr>
          <w:rFonts w:hint="eastAsia" w:ascii="仿宋" w:hAnsi="仿宋" w:eastAsia="仿宋" w:cs="宋体"/>
          <w:sz w:val="44"/>
          <w:szCs w:val="48"/>
        </w:rPr>
        <w:t>2024-2026年杭州市主城区路灯照明设施养护</w:t>
      </w:r>
    </w:p>
    <w:p>
      <w:pPr>
        <w:adjustRightInd/>
        <w:spacing w:line="360" w:lineRule="auto"/>
        <w:jc w:val="center"/>
        <w:rPr>
          <w:rFonts w:ascii="仿宋" w:hAnsi="仿宋" w:eastAsia="仿宋" w:cs="宋体"/>
          <w:sz w:val="48"/>
          <w:szCs w:val="48"/>
        </w:rPr>
      </w:pPr>
      <w:r>
        <w:rPr>
          <w:rFonts w:hint="eastAsia" w:ascii="仿宋" w:hAnsi="仿宋" w:eastAsia="仿宋" w:cs="宋体"/>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宋体"/>
          <w:sz w:val="30"/>
          <w:szCs w:val="30"/>
        </w:rPr>
      </w:pPr>
      <w:r>
        <w:rPr>
          <w:rFonts w:hint="eastAsia" w:ascii="仿宋" w:hAnsi="仿宋" w:eastAsia="仿宋" w:cs="宋体"/>
          <w:sz w:val="30"/>
          <w:szCs w:val="30"/>
        </w:rPr>
        <w:t>编号:</w:t>
      </w:r>
      <w:r>
        <w:rPr>
          <w:rFonts w:ascii="仿宋" w:hAnsi="仿宋" w:eastAsia="仿宋" w:cs="宋体"/>
          <w:sz w:val="30"/>
          <w:szCs w:val="30"/>
        </w:rPr>
        <w:t>HZTH-SRJGFZZX-20230</w:t>
      </w:r>
      <w:r>
        <w:rPr>
          <w:rFonts w:hint="eastAsia" w:ascii="仿宋" w:hAnsi="仿宋" w:eastAsia="仿宋" w:cs="宋体"/>
          <w:sz w:val="30"/>
          <w:szCs w:val="30"/>
        </w:rPr>
        <w:t>2</w:t>
      </w:r>
    </w:p>
    <w:p>
      <w:pPr>
        <w:adjustRightInd/>
        <w:spacing w:line="360" w:lineRule="auto"/>
        <w:rPr>
          <w:rFonts w:ascii="仿宋" w:hAnsi="仿宋" w:eastAsia="仿宋" w:cs="宋体"/>
          <w:sz w:val="28"/>
          <w:szCs w:val="20"/>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32"/>
          <w:szCs w:val="32"/>
        </w:rPr>
      </w:pPr>
      <w:r>
        <w:rPr>
          <w:rFonts w:hint="eastAsia" w:ascii="仿宋" w:hAnsi="仿宋" w:eastAsia="仿宋" w:cs="宋体"/>
          <w:sz w:val="32"/>
          <w:szCs w:val="32"/>
        </w:rPr>
        <w:t>杭州市市容景观发展中心</w:t>
      </w:r>
    </w:p>
    <w:p>
      <w:pPr>
        <w:spacing w:line="360" w:lineRule="auto"/>
        <w:jc w:val="center"/>
        <w:rPr>
          <w:rFonts w:ascii="仿宋" w:hAnsi="仿宋" w:eastAsia="仿宋" w:cs="宋体"/>
          <w:bCs/>
          <w:sz w:val="32"/>
          <w:szCs w:val="32"/>
        </w:rPr>
      </w:pPr>
      <w:r>
        <w:rPr>
          <w:rFonts w:hint="eastAsia" w:ascii="仿宋" w:hAnsi="仿宋" w:eastAsia="仿宋" w:cs="宋体"/>
          <w:bCs/>
          <w:sz w:val="32"/>
          <w:szCs w:val="32"/>
        </w:rPr>
        <w:t>杭州天恒投资建设管理有限公司</w:t>
      </w:r>
    </w:p>
    <w:p>
      <w:pPr>
        <w:snapToGrid w:val="0"/>
        <w:spacing w:line="360" w:lineRule="auto"/>
        <w:jc w:val="center"/>
        <w:rPr>
          <w:rFonts w:ascii="仿宋" w:hAnsi="仿宋" w:eastAsia="仿宋" w:cs="宋体"/>
          <w:bCs/>
          <w:sz w:val="32"/>
          <w:szCs w:val="32"/>
        </w:rPr>
      </w:pPr>
      <w:r>
        <w:rPr>
          <w:rFonts w:hint="eastAsia" w:ascii="仿宋" w:hAnsi="仿宋" w:eastAsia="仿宋" w:cs="宋体"/>
          <w:bCs/>
          <w:sz w:val="32"/>
          <w:szCs w:val="32"/>
        </w:rPr>
        <w:t>二〇二三年十一月</w:t>
      </w:r>
      <w:r>
        <w:rPr>
          <w:rFonts w:hint="eastAsia" w:ascii="仿宋" w:hAnsi="仿宋" w:eastAsia="仿宋" w:cs="宋体"/>
          <w:bCs/>
          <w:sz w:val="32"/>
          <w:szCs w:val="32"/>
          <w:lang w:val="en-US" w:eastAsia="zh-CN"/>
        </w:rPr>
        <w:t>二十九</w:t>
      </w:r>
      <w:r>
        <w:rPr>
          <w:rFonts w:hint="eastAsia" w:ascii="仿宋" w:hAnsi="仿宋" w:eastAsia="仿宋" w:cs="宋体"/>
          <w:bCs/>
          <w:sz w:val="32"/>
          <w:szCs w:val="32"/>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pStyle w:val="634"/>
        <w:rPr>
          <w:rFonts w:ascii="仿宋" w:hAnsi="仿宋" w:eastAsia="仿宋"/>
        </w:rPr>
      </w:pPr>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宋体"/>
          <w:sz w:val="24"/>
          <w:u w:val="single"/>
        </w:rPr>
        <w:t>2024-2026年杭州市主城区路灯照明设施养护项目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snapToGrid/>
          <w:color w:val="auto"/>
          <w:kern w:val="2"/>
          <w:sz w:val="24"/>
          <w:szCs w:val="24"/>
        </w:rPr>
        <w:t>https://www.zcygov.cn/）获取（下载）招标文件，并于202</w:t>
      </w:r>
      <w:r>
        <w:rPr>
          <w:rStyle w:val="76"/>
          <w:rFonts w:hint="eastAsia" w:ascii="仿宋" w:hAnsi="仿宋" w:eastAsia="仿宋" w:cs="宋体"/>
          <w:snapToGrid/>
          <w:color w:val="auto"/>
          <w:kern w:val="2"/>
          <w:sz w:val="24"/>
          <w:szCs w:val="24"/>
          <w:lang w:val="en-US" w:eastAsia="zh-CN"/>
        </w:rPr>
        <w:t>3</w:t>
      </w:r>
      <w:r>
        <w:rPr>
          <w:rStyle w:val="76"/>
          <w:rFonts w:hint="eastAsia" w:ascii="仿宋" w:hAnsi="仿宋" w:eastAsia="仿宋" w:cs="宋体"/>
          <w:snapToGrid/>
          <w:color w:val="auto"/>
          <w:kern w:val="2"/>
          <w:sz w:val="24"/>
          <w:szCs w:val="24"/>
        </w:rPr>
        <w:t>年</w:t>
      </w:r>
      <w:r>
        <w:rPr>
          <w:rStyle w:val="76"/>
          <w:rFonts w:hint="eastAsia" w:ascii="仿宋" w:hAnsi="仿宋" w:eastAsia="仿宋" w:cs="宋体"/>
          <w:snapToGrid/>
          <w:color w:val="auto"/>
          <w:kern w:val="2"/>
          <w:sz w:val="24"/>
          <w:szCs w:val="24"/>
          <w:lang w:val="en-US" w:eastAsia="zh-CN"/>
        </w:rPr>
        <w:t>12</w:t>
      </w:r>
      <w:r>
        <w:rPr>
          <w:rStyle w:val="76"/>
          <w:rFonts w:hint="eastAsia" w:ascii="仿宋" w:hAnsi="仿宋" w:eastAsia="仿宋" w:cs="宋体"/>
          <w:snapToGrid/>
          <w:color w:val="auto"/>
          <w:kern w:val="2"/>
          <w:sz w:val="24"/>
          <w:szCs w:val="24"/>
        </w:rPr>
        <w:t>月</w:t>
      </w:r>
      <w:r>
        <w:rPr>
          <w:rStyle w:val="76"/>
          <w:rFonts w:hint="eastAsia" w:ascii="仿宋" w:hAnsi="仿宋" w:eastAsia="仿宋" w:cs="宋体"/>
          <w:snapToGrid/>
          <w:color w:val="auto"/>
          <w:kern w:val="2"/>
          <w:sz w:val="24"/>
          <w:szCs w:val="24"/>
          <w:lang w:val="en-US" w:eastAsia="zh-CN"/>
        </w:rPr>
        <w:t>20</w:t>
      </w:r>
      <w:r>
        <w:rPr>
          <w:rStyle w:val="76"/>
          <w:rFonts w:hint="eastAsia" w:ascii="仿宋" w:hAnsi="仿宋" w:eastAsia="仿宋" w:cs="宋体"/>
          <w:snapToGrid/>
          <w:color w:val="auto"/>
          <w:kern w:val="2"/>
          <w:sz w:val="24"/>
          <w:szCs w:val="24"/>
        </w:rPr>
        <w:t>日</w:t>
      </w:r>
      <w:r>
        <w:rPr>
          <w:rStyle w:val="76"/>
          <w:rFonts w:hint="eastAsia" w:ascii="仿宋" w:hAnsi="仿宋" w:eastAsia="仿宋" w:cs="宋体"/>
          <w:snapToGrid/>
          <w:color w:val="auto"/>
          <w:kern w:val="2"/>
          <w:sz w:val="24"/>
          <w:szCs w:val="24"/>
          <w:lang w:val="en-US" w:eastAsia="zh-CN"/>
        </w:rPr>
        <w:t>09</w:t>
      </w:r>
      <w:r>
        <w:rPr>
          <w:rStyle w:val="76"/>
          <w:rFonts w:hint="eastAsia" w:ascii="仿宋" w:hAnsi="仿宋" w:eastAsia="仿宋" w:cs="宋体"/>
          <w:snapToGrid/>
          <w:color w:val="auto"/>
          <w:kern w:val="2"/>
          <w:sz w:val="24"/>
          <w:szCs w:val="24"/>
        </w:rPr>
        <w:t>点</w:t>
      </w:r>
      <w:r>
        <w:rPr>
          <w:rStyle w:val="76"/>
          <w:rFonts w:hint="eastAsia" w:ascii="仿宋" w:hAnsi="仿宋" w:eastAsia="仿宋" w:cs="宋体"/>
          <w:snapToGrid/>
          <w:color w:val="auto"/>
          <w:kern w:val="2"/>
          <w:sz w:val="24"/>
          <w:szCs w:val="24"/>
          <w:lang w:val="en-US" w:eastAsia="zh-CN"/>
        </w:rPr>
        <w:t>00</w:t>
      </w:r>
      <w:r>
        <w:rPr>
          <w:rStyle w:val="76"/>
          <w:rFonts w:hint="eastAsia" w:ascii="仿宋" w:hAnsi="仿宋" w:eastAsia="仿宋" w:cs="宋体"/>
          <w:snapToGrid/>
          <w:color w:val="auto"/>
          <w:kern w:val="2"/>
          <w:sz w:val="24"/>
          <w:szCs w:val="24"/>
        </w:rPr>
        <w:t>分</w:t>
      </w:r>
      <w:r>
        <w:rPr>
          <w:rStyle w:val="76"/>
          <w:rFonts w:hint="eastAsia" w:ascii="仿宋" w:hAnsi="仿宋" w:eastAsia="仿宋" w:cs="宋体"/>
          <w:bCs/>
          <w:snapToGrid/>
          <w:color w:val="auto"/>
          <w:kern w:val="2"/>
          <w:sz w:val="24"/>
          <w:szCs w:val="24"/>
        </w:rPr>
        <w:t>00秒</w:t>
      </w:r>
      <w:r>
        <w:rPr>
          <w:rStyle w:val="76"/>
          <w:rFonts w:hint="eastAsia" w:ascii="仿宋" w:hAnsi="仿宋" w:eastAsia="仿宋" w:cs="宋体"/>
          <w:bCs/>
          <w:snapToGrid/>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ascii="仿宋" w:hAnsi="仿宋" w:eastAsia="仿宋" w:cs="宋体"/>
          <w:sz w:val="24"/>
        </w:rPr>
      </w:pPr>
      <w:r>
        <w:rPr>
          <w:rFonts w:hint="eastAsia" w:ascii="仿宋" w:hAnsi="仿宋" w:eastAsia="仿宋" w:cs="宋体"/>
          <w:b/>
          <w:sz w:val="24"/>
        </w:rPr>
        <w:t>项目编号：</w:t>
      </w:r>
      <w:r>
        <w:rPr>
          <w:rFonts w:ascii="仿宋" w:hAnsi="仿宋" w:eastAsia="仿宋" w:cs="宋体"/>
          <w:sz w:val="24"/>
        </w:rPr>
        <w:t>HZTH-SRJGFZZX-202302</w:t>
      </w:r>
    </w:p>
    <w:p>
      <w:pPr>
        <w:spacing w:line="360" w:lineRule="auto"/>
        <w:rPr>
          <w:rFonts w:ascii="仿宋" w:hAnsi="仿宋" w:eastAsia="仿宋" w:cs="宋体"/>
          <w:sz w:val="24"/>
        </w:rPr>
      </w:pPr>
      <w:r>
        <w:rPr>
          <w:rFonts w:hint="eastAsia" w:ascii="仿宋" w:hAnsi="仿宋" w:eastAsia="仿宋" w:cs="宋体"/>
          <w:b/>
          <w:sz w:val="24"/>
        </w:rPr>
        <w:t xml:space="preserve"> 项目名称：</w:t>
      </w:r>
      <w:r>
        <w:rPr>
          <w:rFonts w:hint="eastAsia" w:ascii="仿宋" w:hAnsi="仿宋" w:eastAsia="仿宋" w:cs="宋体"/>
          <w:sz w:val="24"/>
          <w:u w:val="single"/>
        </w:rPr>
        <w:t>2024-2026年杭州市主城区路灯照明设施养护项目</w:t>
      </w:r>
    </w:p>
    <w:p>
      <w:pPr>
        <w:spacing w:line="360" w:lineRule="auto"/>
        <w:rPr>
          <w:rFonts w:ascii="仿宋" w:hAnsi="仿宋" w:eastAsia="仿宋" w:cs="宋体"/>
          <w:sz w:val="24"/>
        </w:rPr>
      </w:pPr>
      <w:r>
        <w:rPr>
          <w:rFonts w:hint="eastAsia" w:ascii="仿宋" w:hAnsi="仿宋" w:eastAsia="仿宋" w:cs="宋体"/>
          <w:b/>
          <w:sz w:val="24"/>
        </w:rPr>
        <w:t xml:space="preserve"> 预算金额（元）：119100000（39700000元/年）</w:t>
      </w:r>
    </w:p>
    <w:p>
      <w:pPr>
        <w:spacing w:line="360" w:lineRule="auto"/>
        <w:ind w:firstLine="480"/>
        <w:rPr>
          <w:rFonts w:ascii="仿宋" w:hAnsi="仿宋" w:eastAsia="仿宋" w:cs="宋体"/>
          <w:sz w:val="24"/>
        </w:rPr>
      </w:pPr>
      <w:r>
        <w:rPr>
          <w:rFonts w:hint="eastAsia" w:ascii="仿宋" w:hAnsi="仿宋" w:eastAsia="仿宋" w:cs="宋体"/>
          <w:b/>
          <w:sz w:val="24"/>
        </w:rPr>
        <w:t>最高限价（元）：39700000元/年</w:t>
      </w:r>
    </w:p>
    <w:p>
      <w:pPr>
        <w:pStyle w:val="5"/>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Cs/>
          <w:snapToGrid/>
          <w:color w:val="auto"/>
          <w:kern w:val="2"/>
          <w:sz w:val="24"/>
          <w:szCs w:val="24"/>
        </w:rPr>
        <w:t>2024-2026年杭州市主城区路灯照明设施养护项目主要内容：包括杭州市主城区范围内的城市道路、桥梁、游步道、广场、公园、绿地、老旧住宅小区等区域内的市管路灯及附属设施的日常维护、防盗管理等工作，</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仿宋" w:hAnsi="仿宋" w:eastAsia="仿宋" w:cs="宋体"/>
        </w:rPr>
      </w:pPr>
      <w:r>
        <w:rPr>
          <w:rFonts w:hint="eastAsia" w:ascii="仿宋" w:hAnsi="仿宋" w:eastAsia="仿宋" w:cs="宋体"/>
          <w:b/>
        </w:rPr>
        <w:t>合同履约期限：2024年1月1日起三年，合同一年一签。</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Segoe UI Symbol" w:eastAsia="仿宋" w:cs="Segoe UI Symbol"/>
          <w:color w:val="auto"/>
          <w:kern w:val="0"/>
          <w:sz w:val="24"/>
        </w:rPr>
        <w:t>☐</w:t>
      </w:r>
      <w:r>
        <w:rPr>
          <w:rFonts w:hint="eastAsia" w:ascii="仿宋" w:hAnsi="仿宋" w:eastAsia="仿宋" w:cs="宋体"/>
          <w:b/>
          <w:color w:val="auto"/>
          <w:sz w:val="24"/>
        </w:rPr>
        <w:t>是；</w:t>
      </w:r>
      <w:r>
        <w:rPr>
          <w:rFonts w:ascii="仿宋" w:hAnsi="仿宋" w:eastAsia="仿宋" w:cs="宋体"/>
          <w:color w:val="auto"/>
          <w:kern w:val="0"/>
          <w:sz w:val="24"/>
        </w:rPr>
        <w:sym w:font="Wingdings" w:char="00FE"/>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hint="eastAsia" w:ascii="仿宋" w:hAnsi="仿宋" w:eastAsia="仿宋" w:cs="宋体"/>
          <w:snapToGrid w:val="0"/>
          <w:kern w:val="28"/>
          <w:sz w:val="24"/>
          <w:szCs w:val="20"/>
        </w:rPr>
        <w:t>2.落实政府采购政策需满足的资格要求：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hint="eastAsia" w:ascii="仿宋" w:hAnsi="仿宋" w:eastAsia="仿宋" w:cs="宋体"/>
          <w:sz w:val="24"/>
        </w:rPr>
        <w:t>3.本项目的特定资格要求：同时具备建设行政主管部门颁发的城市及道路照明工程专业承包二级及以上和承装（修、试）电力设施许可证三级及以上资质；</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w:t>
      </w:r>
      <w:r>
        <w:rPr>
          <w:rFonts w:hint="eastAsia" w:ascii="仿宋" w:hAnsi="仿宋" w:eastAsia="仿宋" w:cs="宋体"/>
          <w:sz w:val="24"/>
          <w:u w:val="single"/>
          <w:lang w:val="en-US" w:eastAsia="zh-CN"/>
        </w:rPr>
        <w:t>3</w:t>
      </w:r>
      <w:r>
        <w:rPr>
          <w:rFonts w:hint="eastAsia" w:ascii="仿宋" w:hAnsi="仿宋" w:eastAsia="仿宋" w:cs="宋体"/>
          <w:sz w:val="24"/>
          <w:u w:val="single"/>
        </w:rPr>
        <w:t>年</w:t>
      </w:r>
      <w:r>
        <w:rPr>
          <w:rFonts w:hint="eastAsia" w:ascii="仿宋" w:hAnsi="仿宋" w:eastAsia="仿宋" w:cs="宋体"/>
          <w:sz w:val="24"/>
          <w:u w:val="single"/>
          <w:lang w:val="en-US" w:eastAsia="zh-CN"/>
        </w:rPr>
        <w:t>12</w:t>
      </w:r>
      <w:r>
        <w:rPr>
          <w:rFonts w:hint="eastAsia" w:ascii="仿宋" w:hAnsi="仿宋" w:eastAsia="仿宋" w:cs="宋体"/>
          <w:sz w:val="24"/>
          <w:u w:val="single"/>
        </w:rPr>
        <w:t>月</w:t>
      </w:r>
      <w:r>
        <w:rPr>
          <w:rFonts w:hint="eastAsia" w:ascii="仿宋" w:hAnsi="仿宋" w:eastAsia="仿宋" w:cs="宋体"/>
          <w:sz w:val="24"/>
          <w:u w:val="single"/>
          <w:lang w:val="en-US" w:eastAsia="zh-CN"/>
        </w:rPr>
        <w:t>20</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2023 年</w:t>
      </w:r>
      <w:r>
        <w:rPr>
          <w:rFonts w:hint="eastAsia" w:ascii="仿宋" w:hAnsi="仿宋" w:eastAsia="仿宋" w:cs="宋体"/>
          <w:sz w:val="24"/>
          <w:u w:val="single"/>
          <w:lang w:val="en-US" w:eastAsia="zh-CN"/>
        </w:rPr>
        <w:t>12</w:t>
      </w:r>
      <w:r>
        <w:rPr>
          <w:rFonts w:hint="eastAsia" w:ascii="仿宋" w:hAnsi="仿宋" w:eastAsia="仿宋" w:cs="宋体"/>
          <w:sz w:val="24"/>
          <w:u w:val="single"/>
        </w:rPr>
        <w:t>月</w:t>
      </w:r>
      <w:r>
        <w:rPr>
          <w:rFonts w:hint="eastAsia" w:ascii="仿宋" w:hAnsi="仿宋" w:eastAsia="仿宋" w:cs="宋体"/>
          <w:sz w:val="24"/>
          <w:u w:val="single"/>
          <w:lang w:val="en-US" w:eastAsia="zh-CN"/>
        </w:rPr>
        <w:t>20</w:t>
      </w:r>
      <w:r>
        <w:rPr>
          <w:rFonts w:hint="eastAsia" w:ascii="仿宋" w:hAnsi="仿宋" w:eastAsia="仿宋" w:cs="宋体"/>
          <w:sz w:val="24"/>
          <w:u w:val="single"/>
        </w:rPr>
        <w:t>日</w:t>
      </w:r>
      <w:r>
        <w:rPr>
          <w:rFonts w:hint="eastAsia" w:ascii="仿宋" w:hAnsi="仿宋" w:eastAsia="仿宋" w:cs="宋体"/>
          <w:sz w:val="24"/>
          <w:u w:val="single"/>
          <w:lang w:val="en-US" w:eastAsia="zh-CN"/>
        </w:rPr>
        <w:t>09</w:t>
      </w:r>
      <w:r>
        <w:rPr>
          <w:rFonts w:hint="eastAsia" w:ascii="仿宋" w:hAnsi="仿宋" w:eastAsia="仿宋" w:cs="宋体"/>
          <w:sz w:val="24"/>
          <w:u w:val="single"/>
        </w:rPr>
        <w:t>点</w:t>
      </w:r>
      <w:r>
        <w:rPr>
          <w:rFonts w:hint="eastAsia" w:ascii="仿宋" w:hAnsi="仿宋" w:eastAsia="仿宋" w:cs="宋体"/>
          <w:sz w:val="24"/>
          <w:u w:val="single"/>
          <w:lang w:val="en-US" w:eastAsia="zh-CN"/>
        </w:rPr>
        <w:t>00</w:t>
      </w:r>
      <w:r>
        <w:rPr>
          <w:rFonts w:hint="eastAsia" w:ascii="仿宋" w:hAnsi="仿宋" w:eastAsia="仿宋" w:cs="宋体"/>
          <w:sz w:val="24"/>
          <w:u w:val="single"/>
        </w:rPr>
        <w:t>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2023年</w:t>
      </w:r>
      <w:r>
        <w:rPr>
          <w:rFonts w:hint="eastAsia" w:ascii="仿宋" w:hAnsi="仿宋" w:eastAsia="仿宋" w:cs="宋体"/>
          <w:sz w:val="24"/>
          <w:u w:val="single"/>
          <w:lang w:val="en-US" w:eastAsia="zh-CN"/>
        </w:rPr>
        <w:t>12</w:t>
      </w:r>
      <w:r>
        <w:rPr>
          <w:rFonts w:hint="eastAsia" w:ascii="仿宋" w:hAnsi="仿宋" w:eastAsia="仿宋" w:cs="宋体"/>
          <w:sz w:val="24"/>
          <w:u w:val="single"/>
        </w:rPr>
        <w:t>月</w:t>
      </w:r>
      <w:r>
        <w:rPr>
          <w:rFonts w:hint="eastAsia" w:ascii="仿宋" w:hAnsi="仿宋" w:eastAsia="仿宋" w:cs="宋体"/>
          <w:sz w:val="24"/>
          <w:u w:val="single"/>
          <w:lang w:val="en-US" w:eastAsia="zh-CN"/>
        </w:rPr>
        <w:t>20</w:t>
      </w:r>
      <w:r>
        <w:rPr>
          <w:rFonts w:hint="eastAsia" w:ascii="仿宋" w:hAnsi="仿宋" w:eastAsia="仿宋" w:cs="宋体"/>
          <w:sz w:val="24"/>
          <w:u w:val="single"/>
        </w:rPr>
        <w:t>日</w:t>
      </w:r>
      <w:r>
        <w:rPr>
          <w:rFonts w:hint="eastAsia" w:ascii="仿宋" w:hAnsi="仿宋" w:eastAsia="仿宋" w:cs="宋体"/>
          <w:sz w:val="24"/>
          <w:u w:val="single"/>
          <w:lang w:val="en-US" w:eastAsia="zh-CN"/>
        </w:rPr>
        <w:t>09</w:t>
      </w:r>
      <w:r>
        <w:rPr>
          <w:rFonts w:hint="eastAsia" w:ascii="仿宋" w:hAnsi="仿宋" w:eastAsia="仿宋" w:cs="宋体"/>
          <w:sz w:val="24"/>
          <w:u w:val="single"/>
        </w:rPr>
        <w:t>点</w:t>
      </w:r>
      <w:r>
        <w:rPr>
          <w:rFonts w:hint="eastAsia" w:ascii="仿宋" w:hAnsi="仿宋" w:eastAsia="仿宋" w:cs="宋体"/>
          <w:sz w:val="24"/>
          <w:u w:val="single"/>
          <w:lang w:val="en-US" w:eastAsia="zh-CN"/>
        </w:rPr>
        <w:t>00</w:t>
      </w:r>
      <w:r>
        <w:rPr>
          <w:rFonts w:hint="eastAsia" w:ascii="仿宋" w:hAnsi="仿宋" w:eastAsia="仿宋" w:cs="宋体"/>
          <w:sz w:val="24"/>
          <w:u w:val="single"/>
        </w:rPr>
        <w:t>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w:t>
      </w:r>
      <w:bookmarkStart w:id="425" w:name="_GoBack"/>
      <w:bookmarkEnd w:id="425"/>
      <w:r>
        <w:rPr>
          <w:rFonts w:ascii="仿宋" w:hAnsi="仿宋" w:eastAsia="仿宋" w:cs="宋体"/>
          <w:sz w:val="24"/>
        </w:rPr>
        <w:t>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rPr>
          <w:rFonts w:ascii="仿宋" w:hAnsi="仿宋" w:eastAsia="仿宋" w:cs="宋体"/>
          <w:sz w:val="24"/>
        </w:rPr>
      </w:pPr>
      <w:r>
        <w:rPr>
          <w:rFonts w:hint="eastAsia" w:ascii="仿宋" w:hAnsi="仿宋" w:eastAsia="仿宋" w:cs="宋体"/>
          <w:sz w:val="24"/>
        </w:rPr>
        <w:t xml:space="preserve">名    称：杭州市市容景观发展中心 </w:t>
      </w:r>
    </w:p>
    <w:p>
      <w:pPr>
        <w:spacing w:line="360" w:lineRule="auto"/>
        <w:ind w:firstLine="480"/>
        <w:rPr>
          <w:rFonts w:ascii="仿宋" w:hAnsi="仿宋" w:eastAsia="仿宋" w:cs="宋体"/>
          <w:sz w:val="24"/>
        </w:rPr>
      </w:pPr>
      <w:r>
        <w:rPr>
          <w:rFonts w:hint="eastAsia" w:ascii="仿宋" w:hAnsi="仿宋" w:eastAsia="仿宋" w:cs="宋体"/>
          <w:sz w:val="24"/>
        </w:rPr>
        <w:t>地    址：杭州市拱墅区体育场路231号市政大楼；</w:t>
      </w:r>
    </w:p>
    <w:p>
      <w:pPr>
        <w:spacing w:line="360" w:lineRule="auto"/>
        <w:ind w:firstLine="480"/>
        <w:rPr>
          <w:rFonts w:ascii="仿宋" w:hAnsi="仿宋" w:eastAsia="仿宋" w:cs="宋体"/>
          <w:sz w:val="24"/>
        </w:rPr>
      </w:pPr>
      <w:r>
        <w:rPr>
          <w:rFonts w:hint="eastAsia" w:ascii="仿宋" w:hAnsi="仿宋" w:eastAsia="仿宋" w:cs="宋体"/>
          <w:sz w:val="24"/>
        </w:rPr>
        <w:t xml:space="preserve">传    真：/ </w:t>
      </w:r>
    </w:p>
    <w:p>
      <w:pPr>
        <w:spacing w:line="360" w:lineRule="auto"/>
        <w:ind w:firstLine="480"/>
        <w:rPr>
          <w:rFonts w:ascii="仿宋" w:hAnsi="仿宋" w:eastAsia="仿宋" w:cs="宋体"/>
          <w:sz w:val="24"/>
        </w:rPr>
      </w:pPr>
      <w:r>
        <w:rPr>
          <w:rFonts w:hint="eastAsia" w:ascii="仿宋" w:hAnsi="仿宋" w:eastAsia="仿宋" w:cs="宋体"/>
          <w:sz w:val="24"/>
        </w:rPr>
        <w:t xml:space="preserve">项目联系人（询问）：蒋工    </w:t>
      </w:r>
    </w:p>
    <w:p>
      <w:pPr>
        <w:spacing w:line="360" w:lineRule="auto"/>
        <w:ind w:firstLine="480"/>
        <w:rPr>
          <w:rFonts w:ascii="仿宋" w:hAnsi="仿宋" w:eastAsia="仿宋" w:cs="宋体"/>
          <w:sz w:val="24"/>
        </w:rPr>
      </w:pPr>
      <w:r>
        <w:rPr>
          <w:rFonts w:hint="eastAsia" w:ascii="仿宋" w:hAnsi="仿宋" w:eastAsia="仿宋" w:cs="宋体"/>
          <w:sz w:val="24"/>
        </w:rPr>
        <w:t>项目联系方式（询问）：0571-85386396</w:t>
      </w:r>
    </w:p>
    <w:p>
      <w:pPr>
        <w:spacing w:line="360" w:lineRule="auto"/>
        <w:ind w:firstLine="480"/>
        <w:rPr>
          <w:rFonts w:ascii="仿宋" w:hAnsi="仿宋" w:eastAsia="仿宋" w:cs="宋体"/>
          <w:sz w:val="24"/>
        </w:rPr>
      </w:pPr>
      <w:r>
        <w:rPr>
          <w:rFonts w:hint="eastAsia" w:ascii="仿宋" w:hAnsi="仿宋" w:eastAsia="仿宋" w:cs="宋体"/>
          <w:sz w:val="24"/>
        </w:rPr>
        <w:t xml:space="preserve">质疑联系人：王工  </w:t>
      </w:r>
    </w:p>
    <w:p>
      <w:pPr>
        <w:spacing w:line="360" w:lineRule="auto"/>
        <w:ind w:firstLine="480"/>
        <w:rPr>
          <w:rFonts w:ascii="仿宋" w:hAnsi="仿宋" w:eastAsia="仿宋" w:cs="宋体"/>
          <w:sz w:val="24"/>
        </w:rPr>
      </w:pPr>
      <w:r>
        <w:rPr>
          <w:rFonts w:hint="eastAsia" w:ascii="仿宋" w:hAnsi="仿宋" w:eastAsia="仿宋" w:cs="宋体"/>
          <w:sz w:val="24"/>
        </w:rPr>
        <w:t xml:space="preserve">质疑联系方式：0571-86982722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名称：杭州天恒投资建设管理有限公司</w:t>
      </w:r>
    </w:p>
    <w:p>
      <w:pPr>
        <w:spacing w:line="360" w:lineRule="auto"/>
        <w:ind w:firstLine="480"/>
        <w:rPr>
          <w:rFonts w:ascii="仿宋" w:hAnsi="仿宋" w:eastAsia="仿宋" w:cs="宋体"/>
          <w:sz w:val="24"/>
        </w:rPr>
      </w:pPr>
      <w:r>
        <w:rPr>
          <w:rFonts w:hint="eastAsia" w:ascii="仿宋" w:hAnsi="仿宋" w:eastAsia="仿宋" w:cs="宋体"/>
          <w:sz w:val="24"/>
        </w:rPr>
        <w:t>地址：杭州市上城区三里亭路77号</w:t>
      </w:r>
    </w:p>
    <w:p>
      <w:pPr>
        <w:spacing w:line="360" w:lineRule="auto"/>
        <w:ind w:firstLine="480"/>
        <w:rPr>
          <w:rFonts w:ascii="仿宋" w:hAnsi="仿宋" w:eastAsia="仿宋" w:cs="宋体"/>
          <w:sz w:val="24"/>
        </w:rPr>
      </w:pPr>
      <w:r>
        <w:rPr>
          <w:rFonts w:hint="eastAsia" w:ascii="仿宋" w:hAnsi="仿宋" w:eastAsia="仿宋" w:cs="宋体"/>
          <w:sz w:val="24"/>
        </w:rPr>
        <w:t>传    真：0571-86413752</w:t>
      </w:r>
    </w:p>
    <w:p>
      <w:pPr>
        <w:spacing w:line="360" w:lineRule="auto"/>
        <w:ind w:firstLine="480"/>
        <w:rPr>
          <w:rFonts w:ascii="仿宋" w:hAnsi="仿宋" w:eastAsia="仿宋" w:cs="宋体"/>
          <w:sz w:val="24"/>
        </w:rPr>
      </w:pPr>
      <w:r>
        <w:rPr>
          <w:rFonts w:hint="eastAsia" w:ascii="仿宋" w:hAnsi="仿宋" w:eastAsia="仿宋" w:cs="宋体"/>
          <w:sz w:val="24"/>
        </w:rPr>
        <w:t>项目联系人（询问）：许钰</w:t>
      </w:r>
    </w:p>
    <w:p>
      <w:pPr>
        <w:spacing w:line="360" w:lineRule="auto"/>
        <w:ind w:firstLine="480"/>
        <w:rPr>
          <w:rFonts w:ascii="仿宋" w:hAnsi="仿宋" w:eastAsia="仿宋" w:cs="宋体"/>
          <w:sz w:val="24"/>
        </w:rPr>
      </w:pPr>
      <w:r>
        <w:rPr>
          <w:rFonts w:hint="eastAsia" w:ascii="仿宋" w:hAnsi="仿宋" w:eastAsia="仿宋" w:cs="宋体"/>
          <w:sz w:val="24"/>
        </w:rPr>
        <w:t>项目联系方式（询问）：15968892889</w:t>
      </w:r>
    </w:p>
    <w:p>
      <w:pPr>
        <w:spacing w:line="360" w:lineRule="auto"/>
        <w:ind w:firstLine="480"/>
        <w:rPr>
          <w:rFonts w:ascii="仿宋" w:hAnsi="仿宋" w:eastAsia="仿宋" w:cs="宋体"/>
          <w:sz w:val="24"/>
        </w:rPr>
      </w:pPr>
      <w:r>
        <w:rPr>
          <w:rFonts w:hint="eastAsia" w:ascii="仿宋" w:hAnsi="仿宋" w:eastAsia="仿宋" w:cs="宋体"/>
          <w:sz w:val="24"/>
        </w:rPr>
        <w:t>质疑联系人：潘刚</w:t>
      </w:r>
    </w:p>
    <w:p>
      <w:pPr>
        <w:spacing w:line="360" w:lineRule="auto"/>
        <w:ind w:firstLine="480"/>
        <w:rPr>
          <w:rFonts w:ascii="仿宋" w:hAnsi="仿宋" w:eastAsia="仿宋" w:cs="宋体"/>
          <w:sz w:val="24"/>
        </w:rPr>
      </w:pPr>
      <w:r>
        <w:rPr>
          <w:rFonts w:hint="eastAsia" w:ascii="仿宋" w:hAnsi="仿宋" w:eastAsia="仿宋" w:cs="宋体"/>
          <w:sz w:val="24"/>
        </w:rPr>
        <w:t>质疑联系方式：0571-86413011</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rPr>
          <w:rFonts w:ascii="仿宋" w:hAnsi="仿宋" w:eastAsia="仿宋" w:cs="宋体"/>
          <w:sz w:val="24"/>
        </w:rPr>
      </w:pPr>
      <w:r>
        <w:rPr>
          <w:rFonts w:hint="eastAsia" w:ascii="仿宋" w:hAnsi="仿宋" w:eastAsia="仿宋" w:cs="宋体"/>
          <w:sz w:val="24"/>
        </w:rPr>
        <w:t xml:space="preserve">   名    称：杭州市财政局政府采购监管处 /浙江省政府采购行政裁决服务中心（杭州）</w:t>
      </w:r>
    </w:p>
    <w:p>
      <w:pPr>
        <w:spacing w:line="360" w:lineRule="auto"/>
        <w:rPr>
          <w:rFonts w:ascii="仿宋" w:hAnsi="仿宋" w:eastAsia="仿宋" w:cs="宋体"/>
          <w:sz w:val="24"/>
        </w:rPr>
      </w:pPr>
      <w:r>
        <w:rPr>
          <w:rFonts w:hint="eastAsia" w:ascii="仿宋" w:hAnsi="仿宋" w:eastAsia="仿宋" w:cs="宋体"/>
          <w:sz w:val="24"/>
        </w:rPr>
        <w:t xml:space="preserve">    地    址：杭州市上城区四季青街道新业路市民之家G03办公室 </w:t>
      </w:r>
    </w:p>
    <w:p>
      <w:pPr>
        <w:spacing w:line="360" w:lineRule="auto"/>
        <w:rPr>
          <w:rFonts w:ascii="仿宋" w:hAnsi="仿宋" w:eastAsia="仿宋" w:cs="宋体"/>
          <w:sz w:val="24"/>
        </w:rPr>
      </w:pPr>
      <w:r>
        <w:rPr>
          <w:rFonts w:hint="eastAsia" w:ascii="仿宋" w:hAnsi="仿宋" w:eastAsia="仿宋" w:cs="宋体"/>
          <w:sz w:val="24"/>
        </w:rPr>
        <w:t xml:space="preserve">    传    真： /</w:t>
      </w:r>
    </w:p>
    <w:p>
      <w:pPr>
        <w:spacing w:line="360" w:lineRule="auto"/>
        <w:rPr>
          <w:rFonts w:ascii="仿宋" w:hAnsi="仿宋" w:eastAsia="仿宋" w:cs="宋体"/>
          <w:sz w:val="24"/>
        </w:rPr>
      </w:pPr>
      <w:r>
        <w:rPr>
          <w:rFonts w:hint="eastAsia" w:ascii="仿宋" w:hAnsi="仿宋" w:eastAsia="仿宋" w:cs="宋体"/>
          <w:sz w:val="24"/>
        </w:rPr>
        <w:t xml:space="preserve">    联系人 ：朱女士、王女士</w:t>
      </w:r>
    </w:p>
    <w:p>
      <w:pPr>
        <w:spacing w:line="360" w:lineRule="auto"/>
        <w:ind w:firstLine="480"/>
        <w:rPr>
          <w:rFonts w:ascii="仿宋" w:hAnsi="仿宋" w:eastAsia="仿宋" w:cs="宋体"/>
          <w:sz w:val="24"/>
        </w:rPr>
      </w:pPr>
      <w:r>
        <w:rPr>
          <w:rFonts w:hint="eastAsia" w:ascii="仿宋" w:hAnsi="仿宋" w:eastAsia="仿宋" w:cs="宋体"/>
          <w:sz w:val="24"/>
        </w:rPr>
        <w:t xml:space="preserve">监督投诉电话：电话：0571-85252453   </w:t>
      </w:r>
    </w:p>
    <w:p>
      <w:pPr>
        <w:spacing w:line="360" w:lineRule="auto"/>
        <w:ind w:firstLine="480"/>
        <w:rPr>
          <w:rFonts w:ascii="仿宋" w:hAnsi="仿宋" w:eastAsia="仿宋" w:cs="宋体"/>
          <w:sz w:val="24"/>
        </w:rPr>
      </w:pPr>
      <w:r>
        <w:rPr>
          <w:rFonts w:hint="eastAsia" w:ascii="仿宋" w:hAnsi="仿宋" w:eastAsia="仿宋" w:cs="宋体"/>
          <w:sz w:val="24"/>
        </w:rPr>
        <w:t>政策咨询：陈先生、厉先生，0571-89580460、89580456</w:t>
      </w:r>
    </w:p>
    <w:p>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kern w:val="0"/>
                <w:sz w:val="24"/>
              </w:rPr>
            </w:pPr>
            <w:r>
              <w:rPr>
                <w:rFonts w:hint="eastAsia" w:ascii="仿宋" w:hAnsi="仿宋" w:eastAsia="仿宋" w:cs="宋体"/>
                <w:kern w:val="0"/>
                <w:sz w:val="24"/>
              </w:rPr>
              <w:t>（1）标的：</w:t>
            </w:r>
            <w:r>
              <w:rPr>
                <w:rFonts w:hint="eastAsia" w:ascii="仿宋" w:hAnsi="仿宋" w:eastAsia="仿宋" w:cs="宋体"/>
                <w:sz w:val="24"/>
                <w:u w:val="single"/>
              </w:rPr>
              <w:t>2024-2026年杭州市主城区路灯照明设施养护项目</w:t>
            </w:r>
            <w:r>
              <w:rPr>
                <w:rFonts w:hint="eastAsia" w:ascii="仿宋" w:hAnsi="仿宋" w:eastAsia="仿宋" w:cs="宋体"/>
                <w:kern w:val="0"/>
                <w:sz w:val="24"/>
              </w:rPr>
              <w:t>，属于</w:t>
            </w:r>
            <w:r>
              <w:rPr>
                <w:rFonts w:hint="eastAsia" w:ascii="仿宋" w:hAnsi="仿宋" w:eastAsia="仿宋" w:cs="宋体"/>
                <w:kern w:val="0"/>
                <w:sz w:val="24"/>
                <w:u w:val="single"/>
              </w:rPr>
              <w:t>其他未列明</w:t>
            </w:r>
            <w:r>
              <w:rPr>
                <w:rFonts w:hint="eastAsia" w:ascii="仿宋" w:hAnsi="仿宋" w:eastAsia="仿宋"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p>
            <w:pPr>
              <w:spacing w:line="360" w:lineRule="auto"/>
              <w:rPr>
                <w:rFonts w:ascii="仿宋" w:hAnsi="仿宋" w:eastAsia="仿宋" w:cs="宋体"/>
              </w:rPr>
            </w:pPr>
            <w:r>
              <w:rPr>
                <w:rFonts w:hint="eastAsia" w:ascii="仿宋" w:hAnsi="仿宋" w:eastAsia="仿宋"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同意将非主体、非关键性的工作分包。</w:t>
            </w:r>
            <w:r>
              <w:rPr>
                <w:rFonts w:hint="eastAsia" w:ascii="仿宋" w:hAnsi="仿宋" w:eastAsia="仿宋" w:cs="宋体"/>
                <w:kern w:val="0"/>
                <w:sz w:val="24"/>
              </w:rPr>
              <w:t>☐ B</w:t>
            </w:r>
            <w:r>
              <w:rPr>
                <w:rFonts w:hint="eastAsia" w:ascii="仿宋" w:hAnsi="仿宋" w:eastAsia="仿宋" w:cs="宋体"/>
                <w:sz w:val="24"/>
              </w:rPr>
              <w:t>不同意分包。</w:t>
            </w:r>
          </w:p>
          <w:p>
            <w:pPr>
              <w:spacing w:line="360" w:lineRule="auto"/>
              <w:rPr>
                <w:rFonts w:ascii="仿宋" w:hAnsi="仿宋" w:eastAsia="仿宋" w:cs="宋体"/>
                <w:sz w:val="24"/>
              </w:rPr>
            </w:pPr>
            <w:r>
              <w:rPr>
                <w:rFonts w:hint="eastAsia" w:ascii="仿宋" w:hAnsi="仿宋" w:eastAsia="仿宋"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sz w:val="24"/>
                <w:szCs w:val="20"/>
              </w:rPr>
            </w:pPr>
            <w:r>
              <w:rPr>
                <w:rFonts w:hint="eastAsia" w:ascii="仿宋" w:hAnsi="仿宋" w:eastAsia="仿宋" w:cs="宋体"/>
                <w:kern w:val="0"/>
                <w:sz w:val="24"/>
              </w:rPr>
              <w:t>☐B组织，</w:t>
            </w:r>
            <w:r>
              <w:rPr>
                <w:rFonts w:hint="eastAsia" w:ascii="仿宋" w:hAnsi="仿宋" w:eastAsia="仿宋" w:cs="宋体"/>
                <w:sz w:val="24"/>
              </w:rPr>
              <w:t>时间：,地点：，联系人：，联系方式：</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00" w:lineRule="exact"/>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p>
            <w:pPr>
              <w:spacing w:line="300" w:lineRule="exact"/>
              <w:rPr>
                <w:rFonts w:ascii="仿宋" w:hAnsi="仿宋" w:eastAsia="仿宋" w:cs="宋体"/>
                <w:kern w:val="0"/>
                <w:sz w:val="24"/>
              </w:rPr>
            </w:pPr>
            <w:r>
              <w:rPr>
                <w:rFonts w:hint="eastAsia" w:ascii="仿宋" w:hAnsi="MS Gothic" w:eastAsia="MS Gothic" w:cs="宋体"/>
                <w:kern w:val="0"/>
                <w:sz w:val="24"/>
              </w:rPr>
              <w:t>☐</w:t>
            </w:r>
            <w:r>
              <w:rPr>
                <w:rFonts w:hint="eastAsia" w:ascii="仿宋" w:hAnsi="仿宋" w:eastAsia="仿宋" w:cs="宋体"/>
                <w:kern w:val="0"/>
                <w:sz w:val="24"/>
              </w:rPr>
              <w:t>B要求提供，</w:t>
            </w:r>
          </w:p>
          <w:p>
            <w:pPr>
              <w:spacing w:line="300" w:lineRule="exact"/>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kern w:val="0"/>
                <w:sz w:val="24"/>
              </w:rPr>
              <w:t>；</w:t>
            </w:r>
          </w:p>
          <w:p>
            <w:pPr>
              <w:spacing w:line="300" w:lineRule="exact"/>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kern w:val="0"/>
                <w:sz w:val="24"/>
              </w:rPr>
              <w:t>；</w:t>
            </w:r>
          </w:p>
          <w:p>
            <w:pPr>
              <w:spacing w:line="300" w:lineRule="exact"/>
              <w:rPr>
                <w:rFonts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评标办法</w:t>
            </w:r>
            <w:r>
              <w:rPr>
                <w:rFonts w:hint="eastAsia" w:ascii="仿宋" w:hAnsi="仿宋" w:eastAsia="仿宋" w:cs="宋体"/>
                <w:kern w:val="0"/>
                <w:sz w:val="24"/>
              </w:rPr>
              <w:t>；</w:t>
            </w:r>
          </w:p>
          <w:p>
            <w:pPr>
              <w:spacing w:line="300" w:lineRule="exact"/>
              <w:rPr>
                <w:rFonts w:ascii="仿宋" w:hAnsi="仿宋" w:eastAsia="仿宋" w:cs="宋体"/>
                <w:kern w:val="0"/>
                <w:sz w:val="24"/>
              </w:rPr>
            </w:pPr>
            <w:r>
              <w:rPr>
                <w:rFonts w:hint="eastAsia" w:ascii="仿宋" w:hAnsi="仿宋" w:eastAsia="仿宋" w:cs="宋体"/>
                <w:kern w:val="0"/>
                <w:sz w:val="24"/>
              </w:rPr>
              <w:t>（4）是否需要随样品提交检测报告：</w:t>
            </w:r>
            <w:r>
              <w:rPr>
                <w:rFonts w:hint="eastAsia" w:ascii="仿宋" w:hAnsi="MS Gothic" w:eastAsia="MS Gothic" w:cs="宋体"/>
                <w:kern w:val="0"/>
                <w:sz w:val="24"/>
              </w:rPr>
              <w:t>☐</w:t>
            </w:r>
            <w:r>
              <w:rPr>
                <w:rFonts w:hint="eastAsia" w:ascii="仿宋" w:hAnsi="仿宋" w:eastAsia="仿宋" w:cs="宋体"/>
                <w:kern w:val="0"/>
                <w:sz w:val="24"/>
              </w:rPr>
              <w:t>否；☐是，检测机构的要求</w:t>
            </w:r>
            <w:r>
              <w:rPr>
                <w:rFonts w:hint="eastAsia" w:ascii="仿宋" w:hAnsi="仿宋" w:eastAsia="仿宋" w:cs="宋体"/>
                <w:sz w:val="24"/>
              </w:rPr>
              <w:t>：</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kern w:val="0"/>
                <w:sz w:val="24"/>
              </w:rPr>
              <w:t>。</w:t>
            </w:r>
          </w:p>
          <w:p>
            <w:pPr>
              <w:spacing w:line="300" w:lineRule="exact"/>
              <w:rPr>
                <w:rFonts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kern w:val="0"/>
                <w:sz w:val="24"/>
              </w:rPr>
              <w:t>；地点：；联系人</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rPr>
              <w:t>。请投标人在上述时间内提供样品并按规定位置安装完毕。超过截止时间的，采购人或采购代理机构将不予接收，并将清场并封闭样品现场。</w:t>
            </w:r>
          </w:p>
          <w:p>
            <w:pPr>
              <w:spacing w:line="300" w:lineRule="exact"/>
              <w:rPr>
                <w:rFonts w:ascii="仿宋" w:hAnsi="仿宋" w:eastAsia="仿宋" w:cs="宋体"/>
                <w:sz w:val="24"/>
              </w:rPr>
            </w:pPr>
            <w:r>
              <w:rPr>
                <w:rFonts w:hint="eastAsia" w:ascii="仿宋" w:hAnsi="仿宋" w:eastAsia="仿宋"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00" w:lineRule="exact"/>
              <w:rPr>
                <w:rFonts w:ascii="仿宋" w:hAnsi="仿宋" w:eastAsia="仿宋" w:cs="宋体"/>
                <w:b/>
                <w:sz w:val="24"/>
              </w:rPr>
            </w:pPr>
            <w:r>
              <w:rPr>
                <w:rFonts w:hint="eastAsia" w:ascii="仿宋" w:hAnsi="仿宋" w:eastAsia="仿宋"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kern w:val="0"/>
                <w:sz w:val="24"/>
              </w:rPr>
            </w:pPr>
            <w:r>
              <w:rPr>
                <w:rFonts w:hint="eastAsia" w:ascii="仿宋" w:hAnsi="仿宋" w:eastAsia="仿宋" w:cs="宋体"/>
                <w:kern w:val="0"/>
                <w:sz w:val="24"/>
              </w:rPr>
              <w:t>☐B组织。</w:t>
            </w:r>
          </w:p>
          <w:p>
            <w:pPr>
              <w:snapToGrid w:val="0"/>
              <w:spacing w:line="360" w:lineRule="auto"/>
              <w:rPr>
                <w:rFonts w:ascii="仿宋" w:hAnsi="仿宋" w:eastAsia="仿宋" w:cs="宋体"/>
                <w:kern w:val="0"/>
                <w:sz w:val="24"/>
              </w:rPr>
            </w:pPr>
            <w:r>
              <w:rPr>
                <w:rFonts w:hint="eastAsia" w:ascii="仿宋" w:hAnsi="仿宋" w:eastAsia="仿宋" w:cs="宋体"/>
                <w:kern w:val="0"/>
                <w:sz w:val="24"/>
              </w:rPr>
              <w:t>（1）在评标时安排每个投标人进行方案讲解演示。每个投标人时间不超过</w:t>
            </w:r>
            <w:r>
              <w:rPr>
                <w:rFonts w:hint="eastAsia" w:ascii="仿宋" w:hAnsi="仿宋" w:eastAsia="仿宋" w:cs="宋体"/>
                <w:kern w:val="0"/>
                <w:sz w:val="24"/>
                <w:u w:val="single"/>
              </w:rPr>
              <w:t>20（编制时可根据项目情况进行调整）</w:t>
            </w:r>
            <w:r>
              <w:rPr>
                <w:rFonts w:hint="eastAsia" w:ascii="仿宋" w:hAnsi="仿宋" w:eastAsia="仿宋" w:cs="宋体"/>
                <w:kern w:val="0"/>
                <w:sz w:val="24"/>
              </w:rPr>
              <w:t>分钟，讲解次序以投标文件解密时间先后次序为准，讲解演示人员不超过</w:t>
            </w:r>
            <w:r>
              <w:rPr>
                <w:rFonts w:hint="eastAsia" w:ascii="仿宋" w:hAnsi="仿宋" w:eastAsia="仿宋" w:cs="宋体"/>
                <w:kern w:val="0"/>
                <w:sz w:val="24"/>
                <w:u w:val="single"/>
              </w:rPr>
              <w:t>3（编制时可根据项目情况进行调整）</w:t>
            </w:r>
            <w:r>
              <w:rPr>
                <w:rFonts w:hint="eastAsia" w:ascii="仿宋" w:hAnsi="仿宋" w:eastAsia="仿宋" w:cs="宋体"/>
                <w:kern w:val="0"/>
                <w:sz w:val="24"/>
              </w:rPr>
              <w:t>人。讲解演示结束后按要求解答评标委员会提问。</w:t>
            </w:r>
          </w:p>
          <w:p>
            <w:pPr>
              <w:snapToGrid w:val="0"/>
              <w:spacing w:line="360" w:lineRule="auto"/>
              <w:rPr>
                <w:rFonts w:ascii="仿宋" w:hAnsi="仿宋" w:eastAsia="仿宋" w:cs="宋体"/>
                <w:kern w:val="0"/>
                <w:sz w:val="24"/>
              </w:rPr>
            </w:pPr>
            <w:r>
              <w:rPr>
                <w:rFonts w:hint="eastAsia" w:ascii="仿宋" w:hAnsi="仿宋" w:eastAsia="仿宋" w:cs="宋体"/>
                <w:kern w:val="0"/>
                <w:sz w:val="24"/>
              </w:rPr>
              <w:t>（2）方案讲解演示可选择以下其中一种方式：</w:t>
            </w:r>
          </w:p>
          <w:p>
            <w:pPr>
              <w:snapToGrid w:val="0"/>
              <w:spacing w:line="360" w:lineRule="auto"/>
              <w:rPr>
                <w:rFonts w:ascii="仿宋" w:hAnsi="仿宋" w:eastAsia="仿宋" w:cs="宋体"/>
                <w:kern w:val="0"/>
                <w:sz w:val="24"/>
              </w:rPr>
            </w:pPr>
            <w:r>
              <w:rPr>
                <w:rFonts w:hint="eastAsia" w:ascii="仿宋" w:hAnsi="仿宋" w:eastAsia="仿宋"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kern w:val="0"/>
                <w:sz w:val="24"/>
              </w:rPr>
            </w:pPr>
            <w:r>
              <w:rPr>
                <w:rFonts w:hint="eastAsia" w:ascii="仿宋" w:hAnsi="仿宋" w:eastAsia="仿宋"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kern w:val="0"/>
                <w:sz w:val="24"/>
                <w:lang w:val="zh-CN"/>
              </w:rPr>
            </w:pPr>
            <w:r>
              <w:rPr>
                <w:rFonts w:hint="eastAsia" w:ascii="仿宋" w:hAnsi="仿宋" w:eastAsia="仿宋"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kern w:val="0"/>
                <w:sz w:val="24"/>
                <w:lang w:val="zh-CN"/>
              </w:rPr>
            </w:pPr>
            <w:r>
              <w:rPr>
                <w:rFonts w:hint="eastAsia" w:ascii="仿宋" w:hAnsi="仿宋" w:eastAsia="仿宋"/>
                <w:kern w:val="0"/>
                <w:sz w:val="24"/>
                <w:lang w:val="zh-CN"/>
              </w:rPr>
              <w:t>有关本项目实施所需的所有费用（应考虑完成本项目全部内容可能发生的各项费用，即人工费、材料设备（仪器）</w:t>
            </w:r>
            <w:r>
              <w:rPr>
                <w:rFonts w:hint="eastAsia" w:ascii="仿宋" w:hAnsi="仿宋" w:eastAsia="仿宋"/>
                <w:kern w:val="0"/>
                <w:sz w:val="24"/>
              </w:rPr>
              <w:t>使用</w:t>
            </w:r>
            <w:r>
              <w:rPr>
                <w:rFonts w:hint="eastAsia" w:ascii="仿宋" w:hAnsi="仿宋" w:eastAsia="仿宋"/>
                <w:kern w:val="0"/>
                <w:sz w:val="24"/>
                <w:lang w:val="zh-CN"/>
              </w:rPr>
              <w:t>费、交通费、通讯费、拆除费、</w:t>
            </w:r>
            <w:r>
              <w:rPr>
                <w:rFonts w:hint="eastAsia" w:ascii="仿宋" w:hAnsi="仿宋" w:eastAsia="仿宋"/>
                <w:kern w:val="0"/>
                <w:sz w:val="24"/>
              </w:rPr>
              <w:t>破损</w:t>
            </w:r>
            <w:r>
              <w:rPr>
                <w:rFonts w:hint="eastAsia" w:ascii="仿宋" w:hAnsi="仿宋" w:eastAsia="仿宋"/>
                <w:kern w:val="0"/>
                <w:sz w:val="24"/>
                <w:lang w:val="zh-CN"/>
              </w:rPr>
              <w:t>修复费、</w:t>
            </w:r>
            <w:r>
              <w:rPr>
                <w:rFonts w:hint="eastAsia" w:ascii="仿宋" w:hAnsi="仿宋" w:eastAsia="仿宋"/>
                <w:kern w:val="0"/>
                <w:sz w:val="24"/>
              </w:rPr>
              <w:t>组织措施费、技术措施费、</w:t>
            </w:r>
            <w:r>
              <w:rPr>
                <w:rFonts w:hint="eastAsia" w:ascii="仿宋" w:hAnsi="仿宋" w:eastAsia="仿宋"/>
                <w:kern w:val="0"/>
                <w:sz w:val="24"/>
                <w:lang w:val="zh-CN"/>
              </w:rPr>
              <w:t>成果资料</w:t>
            </w:r>
            <w:r>
              <w:rPr>
                <w:rFonts w:hint="eastAsia" w:ascii="仿宋" w:hAnsi="仿宋" w:eastAsia="仿宋"/>
                <w:kern w:val="0"/>
                <w:sz w:val="24"/>
              </w:rPr>
              <w:t>打印装订</w:t>
            </w:r>
            <w:r>
              <w:rPr>
                <w:rFonts w:hint="eastAsia" w:ascii="仿宋" w:hAnsi="仿宋" w:eastAsia="仿宋"/>
                <w:kern w:val="0"/>
                <w:sz w:val="24"/>
                <w:lang w:val="zh-CN"/>
              </w:rPr>
              <w:t>费、企业管理费、利润、税金等。</w:t>
            </w:r>
            <w:r>
              <w:rPr>
                <w:rFonts w:hint="eastAsia" w:ascii="仿宋" w:hAnsi="仿宋" w:eastAsia="仿宋" w:cs="仿宋"/>
                <w:kern w:val="0"/>
                <w:sz w:val="24"/>
                <w:lang w:val="zh-CN"/>
              </w:rPr>
              <w:t>其中，人员</w:t>
            </w:r>
            <w:r>
              <w:rPr>
                <w:rFonts w:hint="eastAsia" w:ascii="仿宋" w:hAnsi="仿宋" w:eastAsia="仿宋" w:cs="仿宋"/>
                <w:kern w:val="0"/>
                <w:sz w:val="24"/>
              </w:rPr>
              <w:t>每月</w:t>
            </w:r>
            <w:r>
              <w:rPr>
                <w:rFonts w:hint="eastAsia" w:ascii="仿宋" w:hAnsi="仿宋" w:eastAsia="仿宋" w:cs="仿宋"/>
                <w:kern w:val="0"/>
                <w:sz w:val="24"/>
                <w:lang w:val="zh-CN"/>
              </w:rPr>
              <w:t>工资不得低于杭州市最低工资标准，</w:t>
            </w:r>
            <w:r>
              <w:rPr>
                <w:rFonts w:hint="eastAsia" w:ascii="仿宋" w:hAnsi="仿宋" w:eastAsia="仿宋" w:cs="仿宋"/>
                <w:kern w:val="0"/>
                <w:sz w:val="24"/>
              </w:rPr>
              <w:t>每月按时缴纳社会保险</w:t>
            </w:r>
            <w:r>
              <w:rPr>
                <w:rFonts w:hint="eastAsia" w:ascii="仿宋" w:hAnsi="仿宋" w:eastAsia="仿宋" w:cs="仿宋"/>
                <w:kern w:val="0"/>
                <w:sz w:val="24"/>
                <w:lang w:val="zh-CN"/>
              </w:rPr>
              <w:t>。</w:t>
            </w:r>
            <w:r>
              <w:rPr>
                <w:rFonts w:hint="eastAsia" w:ascii="仿宋" w:hAnsi="仿宋" w:eastAsia="仿宋" w:cs="仿宋"/>
                <w:kern w:val="0"/>
                <w:sz w:val="24"/>
              </w:rPr>
              <w:t>员工</w:t>
            </w:r>
            <w:r>
              <w:rPr>
                <w:rFonts w:hint="eastAsia" w:ascii="仿宋" w:hAnsi="仿宋" w:eastAsia="仿宋" w:cs="仿宋"/>
                <w:kern w:val="0"/>
                <w:sz w:val="24"/>
                <w:lang w:val="zh-CN"/>
              </w:rPr>
              <w:t>加班费支付符合《劳动法》规定</w:t>
            </w:r>
            <w:r>
              <w:rPr>
                <w:rFonts w:hint="eastAsia" w:ascii="仿宋" w:hAnsi="仿宋" w:eastAsia="仿宋"/>
                <w:kern w:val="0"/>
                <w:sz w:val="24"/>
                <w:lang w:val="zh-CN"/>
              </w:rPr>
              <w:t>）均计入报价。</w:t>
            </w:r>
          </w:p>
          <w:p>
            <w:pPr>
              <w:wordWrap w:val="0"/>
              <w:snapToGrid w:val="0"/>
              <w:spacing w:line="360" w:lineRule="exact"/>
              <w:jc w:val="left"/>
              <w:rPr>
                <w:rFonts w:ascii="仿宋" w:hAnsi="仿宋" w:eastAsia="仿宋" w:cs="仿宋_GB2312"/>
                <w:kern w:val="0"/>
                <w:sz w:val="24"/>
                <w:lang w:val="zh-CN"/>
              </w:rPr>
            </w:pPr>
            <w:r>
              <w:rPr>
                <w:rFonts w:hint="eastAsia" w:ascii="仿宋" w:hAnsi="仿宋" w:eastAsia="仿宋" w:cs="仿宋_GB2312"/>
                <w:b/>
                <w:bCs/>
                <w:kern w:val="0"/>
                <w:sz w:val="24"/>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_GB2312"/>
                <w:kern w:val="0"/>
                <w:sz w:val="24"/>
                <w:lang w:val="zh-CN"/>
              </w:rPr>
              <w:t>投标文件中价格全部采用人民币报价。招标文件未列明，而投标人认为必需的费用也需列入报价。</w:t>
            </w:r>
          </w:p>
          <w:p>
            <w:pPr>
              <w:keepLines/>
              <w:widowControl/>
              <w:wordWrap w:val="0"/>
              <w:snapToGrid w:val="0"/>
              <w:spacing w:line="360" w:lineRule="exact"/>
              <w:jc w:val="left"/>
              <w:rPr>
                <w:rFonts w:ascii="仿宋" w:hAnsi="仿宋" w:eastAsia="仿宋" w:cs="宋体"/>
                <w:b/>
                <w:kern w:val="0"/>
                <w:sz w:val="24"/>
                <w:lang w:val="zh-CN"/>
              </w:rPr>
            </w:pPr>
            <w:r>
              <w:rPr>
                <w:rFonts w:hint="eastAsia" w:ascii="仿宋" w:hAnsi="仿宋" w:eastAsia="仿宋" w:cs="仿宋_GB2312"/>
                <w:b/>
                <w:kern w:val="0"/>
                <w:sz w:val="24"/>
                <w:lang w:val="zh-CN"/>
              </w:rPr>
              <w:t>提醒：</w:t>
            </w:r>
            <w:r>
              <w:rPr>
                <w:rFonts w:hint="eastAsia" w:ascii="仿宋" w:hAnsi="仿宋" w:eastAsia="仿宋" w:cs="Arial"/>
                <w:kern w:val="0"/>
                <w:sz w:val="24"/>
              </w:rPr>
              <w:sym w:font="Wingdings" w:char="00A8"/>
            </w:r>
            <w:r>
              <w:rPr>
                <w:rFonts w:hint="eastAsia" w:ascii="仿宋" w:hAnsi="仿宋" w:eastAsia="仿宋" w:cs="仿宋_GB2312"/>
                <w:b/>
                <w:kern w:val="0"/>
                <w:sz w:val="24"/>
                <w:lang w:val="zh-CN"/>
              </w:rPr>
              <w:t>本项目履约验收时委托第三方检测，验收时检测费用由采购人承担，不包含在投标总价中。</w:t>
            </w:r>
            <w:r>
              <w:rPr>
                <w:rFonts w:hint="eastAsia" w:ascii="仿宋" w:hAnsi="仿宋" w:eastAsia="仿宋" w:cs="Arial"/>
                <w:kern w:val="0"/>
                <w:sz w:val="24"/>
              </w:rPr>
              <w:sym w:font="Wingdings" w:char="00FE"/>
            </w:r>
            <w:r>
              <w:rPr>
                <w:rFonts w:hint="eastAsia" w:ascii="仿宋" w:hAnsi="仿宋" w:eastAsia="仿宋" w:cs="仿宋_GB2312"/>
                <w:b/>
                <w:kern w:val="0"/>
                <w:sz w:val="24"/>
                <w:lang w:val="zh-CN"/>
              </w:rPr>
              <w:t>本项目履约验收时不委托第三方检测。</w:t>
            </w:r>
          </w:p>
          <w:p>
            <w:pPr>
              <w:wordWrap w:val="0"/>
              <w:snapToGrid w:val="0"/>
              <w:spacing w:line="360" w:lineRule="exact"/>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wordWrap w:val="0"/>
              <w:snapToGrid w:val="0"/>
              <w:spacing w:line="360" w:lineRule="exact"/>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rPr>
              <w:t>1.</w:t>
            </w:r>
            <w:r>
              <w:rPr>
                <w:rFonts w:hint="eastAsia" w:ascii="仿宋" w:hAnsi="仿宋" w:eastAsia="仿宋" w:cs="仿宋_GB2312"/>
                <w:b/>
                <w:kern w:val="0"/>
                <w:sz w:val="24"/>
                <w:lang w:val="zh-CN"/>
              </w:rPr>
              <w:t>投标文件出现不是唯一的、有选择性投标报价的；</w:t>
            </w:r>
          </w:p>
          <w:p>
            <w:pPr>
              <w:wordWrap w:val="0"/>
              <w:snapToGrid w:val="0"/>
              <w:spacing w:line="360" w:lineRule="exact"/>
              <w:ind w:firstLine="482" w:firstLineChars="200"/>
              <w:jc w:val="left"/>
              <w:rPr>
                <w:rFonts w:ascii="仿宋" w:hAnsi="仿宋" w:eastAsia="仿宋"/>
                <w:kern w:val="0"/>
                <w:sz w:val="24"/>
                <w:lang w:val="zh-CN"/>
              </w:rPr>
            </w:pPr>
            <w:r>
              <w:rPr>
                <w:rFonts w:hint="eastAsia" w:ascii="仿宋" w:hAnsi="仿宋" w:eastAsia="仿宋" w:cs="仿宋_GB2312"/>
                <w:b/>
                <w:kern w:val="0"/>
                <w:sz w:val="24"/>
              </w:rPr>
              <w:t>2.</w:t>
            </w: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wordWrap w:val="0"/>
              <w:spacing w:line="360" w:lineRule="exact"/>
              <w:ind w:firstLine="482" w:firstLineChars="200"/>
              <w:rPr>
                <w:rFonts w:ascii="仿宋" w:hAnsi="仿宋" w:eastAsia="仿宋" w:cs="仿宋_GB2312"/>
                <w:b/>
                <w:sz w:val="24"/>
              </w:rPr>
            </w:pPr>
            <w:r>
              <w:rPr>
                <w:rFonts w:hint="eastAsia" w:ascii="仿宋" w:hAnsi="仿宋" w:eastAsia="仿宋" w:cs="Arial"/>
                <w:b/>
                <w:kern w:val="0"/>
                <w:sz w:val="24"/>
              </w:rPr>
              <w:t>3.报价明显低于其他通过符合性审查投标人的报价，有可能影响产品质量或者不能诚信履约的，未能按要求提供书面说明或者提交相关证明材料证明其报价合理性的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rPr>
              <w:t>;</w:t>
            </w:r>
          </w:p>
          <w:p>
            <w:pPr>
              <w:wordWrap w:val="0"/>
              <w:spacing w:line="360" w:lineRule="exact"/>
              <w:ind w:firstLine="482" w:firstLineChars="200"/>
              <w:rPr>
                <w:rFonts w:ascii="仿宋" w:hAnsi="仿宋" w:eastAsia="仿宋"/>
                <w:sz w:val="24"/>
              </w:rPr>
            </w:pPr>
            <w:r>
              <w:rPr>
                <w:rFonts w:hint="eastAsia" w:ascii="仿宋" w:hAnsi="仿宋" w:eastAsia="仿宋" w:cs="Arial"/>
                <w:b/>
                <w:kern w:val="0"/>
                <w:sz w:val="24"/>
              </w:rPr>
              <w:t>4.投标人对根据修正原则修正后的报价不确认的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备份投标文件送达地点：杭州市上城区三里亭路77号前台；备份投标文件签收人员联系电话：</w:t>
            </w:r>
            <w:r>
              <w:rPr>
                <w:rFonts w:hint="eastAsia" w:ascii="仿宋" w:hAnsi="仿宋" w:eastAsia="仿宋" w:cs="宋体"/>
                <w:kern w:val="28"/>
                <w:sz w:val="24"/>
                <w:szCs w:val="24"/>
                <w:u w:val="single"/>
              </w:rPr>
              <w:t>许钰 15968892889</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240" w:lineRule="auto"/>
              <w:ind w:left="0" w:firstLine="0"/>
              <w:rPr>
                <w:rFonts w:ascii="仿宋" w:eastAsia="仿宋"/>
                <w:b w:val="0"/>
                <w:bCs w:val="0"/>
                <w:snapToGrid w:val="0"/>
                <w:kern w:val="28"/>
                <w:sz w:val="24"/>
                <w:szCs w:val="24"/>
                <w:lang w:val="en-US"/>
              </w:rPr>
            </w:pPr>
            <w:r>
              <w:rPr>
                <w:rFonts w:hint="eastAsia" w:ascii="仿宋" w:eastAsia="仿宋"/>
                <w:b w:val="0"/>
                <w:bCs w:val="0"/>
                <w:snapToGrid w:val="0"/>
                <w:kern w:val="28"/>
                <w:sz w:val="24"/>
                <w:szCs w:val="24"/>
                <w:lang w:val="en-US"/>
              </w:rPr>
              <w:t>1.本次采购代理服务费按36800元收取。</w:t>
            </w:r>
          </w:p>
          <w:p>
            <w:pPr>
              <w:pStyle w:val="2"/>
              <w:spacing w:line="240" w:lineRule="auto"/>
              <w:rPr>
                <w:rFonts w:ascii="仿宋" w:eastAsia="仿宋"/>
                <w:b w:val="0"/>
                <w:bCs w:val="0"/>
                <w:snapToGrid w:val="0"/>
                <w:kern w:val="28"/>
                <w:sz w:val="24"/>
                <w:szCs w:val="24"/>
                <w:lang w:val="en-US"/>
              </w:rPr>
            </w:pPr>
            <w:r>
              <w:rPr>
                <w:rFonts w:hint="eastAsia" w:ascii="仿宋" w:eastAsia="仿宋"/>
                <w:b w:val="0"/>
                <w:bCs w:val="0"/>
                <w:snapToGrid w:val="0"/>
                <w:kern w:val="28"/>
                <w:sz w:val="24"/>
                <w:szCs w:val="24"/>
                <w:lang w:val="en-US"/>
              </w:rPr>
              <w:t>收款人：杭州天恒投资建设管理有限公司</w:t>
            </w:r>
          </w:p>
          <w:p>
            <w:pPr>
              <w:pStyle w:val="2"/>
              <w:spacing w:line="240" w:lineRule="auto"/>
              <w:rPr>
                <w:rFonts w:ascii="仿宋" w:eastAsia="仿宋"/>
                <w:b w:val="0"/>
                <w:bCs w:val="0"/>
                <w:snapToGrid w:val="0"/>
                <w:kern w:val="28"/>
                <w:sz w:val="24"/>
                <w:szCs w:val="24"/>
                <w:lang w:val="en-US"/>
              </w:rPr>
            </w:pPr>
            <w:r>
              <w:rPr>
                <w:rFonts w:hint="eastAsia" w:ascii="仿宋" w:eastAsia="仿宋"/>
                <w:b w:val="0"/>
                <w:bCs w:val="0"/>
                <w:snapToGrid w:val="0"/>
                <w:kern w:val="28"/>
                <w:sz w:val="24"/>
                <w:szCs w:val="24"/>
                <w:lang w:val="en-US"/>
              </w:rPr>
              <w:t>开户银行：农行杭州朝晖支行</w:t>
            </w:r>
          </w:p>
          <w:p>
            <w:pPr>
              <w:pStyle w:val="2"/>
              <w:spacing w:line="240" w:lineRule="auto"/>
              <w:rPr>
                <w:rFonts w:ascii="仿宋" w:eastAsia="仿宋"/>
                <w:b w:val="0"/>
                <w:bCs w:val="0"/>
                <w:snapToGrid w:val="0"/>
                <w:kern w:val="28"/>
                <w:sz w:val="24"/>
                <w:szCs w:val="24"/>
                <w:lang w:val="en-US"/>
              </w:rPr>
            </w:pPr>
            <w:r>
              <w:rPr>
                <w:rFonts w:hint="eastAsia" w:ascii="仿宋" w:eastAsia="仿宋"/>
                <w:b w:val="0"/>
                <w:bCs w:val="0"/>
                <w:snapToGrid w:val="0"/>
                <w:kern w:val="28"/>
                <w:sz w:val="24"/>
                <w:szCs w:val="24"/>
                <w:lang w:val="en-US"/>
              </w:rPr>
              <w:t>账号：19015601040001750</w:t>
            </w:r>
          </w:p>
          <w:p>
            <w:pPr>
              <w:keepNext/>
              <w:keepLines/>
              <w:wordWrap w:val="0"/>
              <w:rPr>
                <w:rFonts w:ascii="仿宋" w:hAnsi="仿宋" w:eastAsia="仿宋"/>
                <w:snapToGrid w:val="0"/>
                <w:kern w:val="28"/>
                <w:sz w:val="24"/>
              </w:rPr>
            </w:pPr>
            <w:r>
              <w:rPr>
                <w:rFonts w:hint="eastAsia" w:ascii="仿宋" w:hAnsi="仿宋" w:eastAsia="仿宋"/>
                <w:snapToGrid w:val="0"/>
                <w:kern w:val="28"/>
                <w:sz w:val="24"/>
              </w:rPr>
              <w:t>采购代理服务费由中标供应商在领取中标通知书时支付。</w:t>
            </w:r>
          </w:p>
          <w:p>
            <w:pPr>
              <w:keepNext/>
              <w:keepLines/>
              <w:wordWrap w:val="0"/>
              <w:rPr>
                <w:rFonts w:ascii="仿宋" w:hAnsi="仿宋" w:eastAsia="仿宋"/>
                <w:snapToGrid w:val="0"/>
                <w:kern w:val="28"/>
                <w:sz w:val="24"/>
              </w:rPr>
            </w:pPr>
            <w:r>
              <w:rPr>
                <w:rFonts w:hint="eastAsia" w:ascii="仿宋" w:hAnsi="仿宋" w:eastAsia="仿宋"/>
                <w:snapToGrid w:val="0"/>
                <w:kern w:val="28"/>
                <w:sz w:val="24"/>
              </w:rPr>
              <w:t>2.投标文件存在下列情况之一的，视为撤回：</w:t>
            </w:r>
          </w:p>
          <w:p>
            <w:pPr>
              <w:keepNext/>
              <w:keepLines/>
              <w:wordWrap w:val="0"/>
              <w:spacing w:line="360" w:lineRule="exact"/>
              <w:rPr>
                <w:rFonts w:ascii="仿宋" w:hAnsi="仿宋" w:eastAsia="仿宋"/>
                <w:snapToGrid w:val="0"/>
                <w:kern w:val="28"/>
                <w:sz w:val="24"/>
              </w:rPr>
            </w:pPr>
            <w:r>
              <w:rPr>
                <w:rFonts w:hint="eastAsia" w:ascii="仿宋" w:hAnsi="仿宋" w:eastAsia="仿宋"/>
                <w:snapToGrid w:val="0"/>
                <w:kern w:val="28"/>
                <w:sz w:val="24"/>
              </w:rPr>
              <w:t>（1）电子投标文件（含备份文件）无法解密的；</w:t>
            </w:r>
          </w:p>
          <w:p>
            <w:pPr>
              <w:keepNext/>
              <w:keepLines/>
              <w:wordWrap w:val="0"/>
              <w:spacing w:line="360" w:lineRule="exact"/>
              <w:rPr>
                <w:rFonts w:ascii="仿宋" w:hAnsi="仿宋" w:eastAsia="仿宋"/>
                <w:snapToGrid w:val="0"/>
                <w:kern w:val="28"/>
                <w:sz w:val="24"/>
              </w:rPr>
            </w:pPr>
            <w:r>
              <w:rPr>
                <w:rFonts w:hint="eastAsia" w:ascii="仿宋" w:hAnsi="仿宋" w:eastAsia="仿宋"/>
                <w:snapToGrid w:val="0"/>
                <w:kern w:val="28"/>
                <w:sz w:val="24"/>
              </w:rPr>
              <w:t>（2）投标文件未按时解密或备份文件无法成功导入的；</w:t>
            </w:r>
          </w:p>
          <w:p>
            <w:pPr>
              <w:keepNext/>
              <w:keepLines/>
              <w:wordWrap w:val="0"/>
              <w:spacing w:line="360" w:lineRule="exact"/>
              <w:jc w:val="left"/>
              <w:rPr>
                <w:rFonts w:ascii="仿宋" w:hAnsi="仿宋" w:eastAsia="仿宋"/>
                <w:snapToGrid w:val="0"/>
                <w:kern w:val="28"/>
                <w:sz w:val="24"/>
              </w:rPr>
            </w:pPr>
            <w:r>
              <w:rPr>
                <w:rFonts w:hint="eastAsia" w:ascii="仿宋" w:hAnsi="仿宋" w:eastAsia="仿宋"/>
                <w:snapToGrid w:val="0"/>
                <w:kern w:val="28"/>
                <w:sz w:val="24"/>
              </w:rPr>
              <w:t>（3）投标截止时间前，投标人仅递交了“备份投标文件”而未将“电子加密投标文件”成功上传至“政府采购云平台”的。</w:t>
            </w:r>
          </w:p>
          <w:p>
            <w:pPr>
              <w:keepNext/>
              <w:keepLines/>
              <w:wordWrap w:val="0"/>
              <w:rPr>
                <w:rFonts w:ascii="仿宋" w:hAnsi="仿宋" w:eastAsia="仿宋"/>
                <w:snapToGrid w:val="0"/>
                <w:kern w:val="28"/>
                <w:sz w:val="24"/>
              </w:rPr>
            </w:pPr>
            <w:r>
              <w:rPr>
                <w:rFonts w:hint="eastAsia" w:ascii="仿宋" w:hAnsi="仿宋" w:eastAsia="仿宋"/>
                <w:snapToGrid w:val="0"/>
                <w:kern w:val="28"/>
                <w:sz w:val="24"/>
              </w:rPr>
              <w:t>3.政采云平台如对电子化开标及评审程序有调整的，按调整后的程序操作。</w:t>
            </w:r>
          </w:p>
          <w:p>
            <w:pPr>
              <w:keepNext/>
              <w:keepLines/>
              <w:wordWrap w:val="0"/>
              <w:spacing w:line="360" w:lineRule="exact"/>
              <w:rPr>
                <w:rFonts w:ascii="仿宋" w:hAnsi="仿宋" w:eastAsia="仿宋" w:cs="仿宋"/>
                <w:sz w:val="24"/>
              </w:rPr>
            </w:pPr>
            <w:r>
              <w:rPr>
                <w:rFonts w:hint="eastAsia" w:ascii="仿宋" w:hAnsi="仿宋" w:eastAsia="仿宋" w:cs="仿宋"/>
                <w:sz w:val="24"/>
              </w:rPr>
              <w:t>4.中标供应商可以在杭州市政府采购网——监管平台上发起支付申请，具体操作详见《杭州市政府采购供应商支付申请操作手册》。</w:t>
            </w:r>
          </w:p>
          <w:p>
            <w:pPr>
              <w:keepNext/>
              <w:keepLines/>
              <w:wordWrap w:val="0"/>
              <w:spacing w:line="360" w:lineRule="exact"/>
              <w:rPr>
                <w:rFonts w:ascii="仿宋" w:hAnsi="仿宋" w:eastAsia="仿宋"/>
                <w:snapToGrid w:val="0"/>
                <w:kern w:val="28"/>
                <w:sz w:val="24"/>
              </w:rPr>
            </w:pPr>
            <w:r>
              <w:rPr>
                <w:rFonts w:hint="eastAsia" w:ascii="仿宋" w:hAnsi="仿宋" w:eastAsia="仿宋" w:cs="仿宋"/>
                <w:sz w:val="24"/>
              </w:rPr>
              <w:t>5.</w:t>
            </w:r>
            <w:r>
              <w:rPr>
                <w:rFonts w:hint="eastAsia" w:ascii="仿宋" w:hAnsi="仿宋" w:eastAsia="仿宋"/>
                <w:snapToGrid w:val="0"/>
                <w:kern w:val="28"/>
                <w:sz w:val="24"/>
              </w:rPr>
              <w:t>现场踏勘：投标人可自行踏勘现场。</w:t>
            </w:r>
          </w:p>
          <w:p>
            <w:pPr>
              <w:pStyle w:val="2"/>
              <w:spacing w:line="240" w:lineRule="auto"/>
              <w:rPr>
                <w:rFonts w:ascii="仿宋" w:eastAsia="仿宋"/>
                <w:lang w:val="en-US"/>
              </w:rPr>
            </w:pPr>
            <w:r>
              <w:rPr>
                <w:rFonts w:hint="eastAsia" w:ascii="仿宋" w:eastAsia="仿宋" w:cs="仿宋"/>
                <w:sz w:val="24"/>
              </w:rPr>
              <w:t>6.放弃中标（成交）资格的供应商，承担代理费和专家评审费等费用。</w:t>
            </w:r>
          </w:p>
        </w:tc>
      </w:tr>
    </w:tbl>
    <w:p>
      <w:pPr>
        <w:snapToGrid w:val="0"/>
        <w:spacing w:line="360" w:lineRule="auto"/>
        <w:jc w:val="center"/>
        <w:rPr>
          <w:rFonts w:ascii="仿宋" w:hAnsi="仿宋" w:eastAsia="仿宋" w:cs="宋体"/>
          <w:b/>
          <w:sz w:val="32"/>
          <w:szCs w:val="20"/>
        </w:rPr>
      </w:pPr>
    </w:p>
    <w:bookmarkEnd w:id="10"/>
    <w:p>
      <w:pPr>
        <w:widowControl/>
        <w:adjustRightInd/>
        <w:jc w:val="left"/>
        <w:rPr>
          <w:rFonts w:ascii="仿宋" w:hAnsi="仿宋" w:eastAsia="仿宋" w:cs="宋体"/>
          <w:b/>
          <w:sz w:val="32"/>
          <w:szCs w:val="20"/>
        </w:rPr>
      </w:pPr>
      <w:bookmarkStart w:id="11" w:name="第三部分"/>
      <w:bookmarkStart w:id="12" w:name="_Toc164416483"/>
      <w:r>
        <w:rPr>
          <w:rFonts w:ascii="仿宋" w:hAnsi="仿宋" w:eastAsia="仿宋" w:cs="宋体"/>
          <w:b/>
          <w:sz w:val="32"/>
          <w:szCs w:val="20"/>
        </w:rPr>
        <w:br w:type="page"/>
      </w: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2.6“电子交易平台”系指本项目政府采购活动所依托的政府采购云平台（https://www.zcygov.cn/）。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ascii="仿宋" w:hAnsi="仿宋" w:eastAsia="仿宋" w:cs="宋体"/>
          <w:kern w:val="0"/>
          <w:sz w:val="24"/>
        </w:rPr>
        <w:t></w:t>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 〕17号）,采购人或者采购代理机构在质疑回复后5个工作日内，在浙江政府采购网的“其他公告”栏目公开质疑答复，答复内容应当完整。质疑函作为附件上传。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28"/>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28"/>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宋体"/>
        </w:rPr>
      </w:pPr>
      <w:r>
        <w:rPr>
          <w:rFonts w:hint="eastAsia" w:ascii="仿宋" w:hAnsi="仿宋" w:eastAsia="仿宋"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28"/>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28"/>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28"/>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28"/>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DVD光盘等存储介质</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28"/>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28"/>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宋体"/>
          <w:b/>
          <w:sz w:val="32"/>
        </w:rPr>
      </w:pPr>
    </w:p>
    <w:p>
      <w:pPr>
        <w:pStyle w:val="128"/>
        <w:spacing w:before="0"/>
        <w:ind w:firstLine="0" w:firstLineChars="0"/>
        <w:jc w:val="center"/>
        <w:rPr>
          <w:rFonts w:ascii="仿宋" w:hAnsi="仿宋" w:eastAsia="仿宋" w:cs="宋体"/>
          <w:b/>
          <w:sz w:val="32"/>
        </w:rPr>
      </w:pPr>
      <w:r>
        <w:rPr>
          <w:rFonts w:hint="eastAsia" w:ascii="仿宋" w:hAnsi="仿宋" w:eastAsia="仿宋" w:cs="宋体"/>
          <w:b/>
          <w:sz w:val="32"/>
        </w:rPr>
        <w:t>四、开标、资格审查与信用信息查询</w:t>
      </w:r>
    </w:p>
    <w:p>
      <w:pPr>
        <w:pStyle w:val="554"/>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54"/>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18.3</w:t>
      </w:r>
      <w:r>
        <w:rPr>
          <w:rFonts w:hint="eastAsia" w:ascii="仿宋" w:hAnsi="仿宋" w:eastAsia="仿宋"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19.1</w:t>
      </w:r>
      <w:r>
        <w:rPr>
          <w:rFonts w:hint="eastAsia" w:ascii="仿宋" w:hAnsi="仿宋" w:eastAsia="仿宋" w:cs="宋体"/>
          <w:sz w:val="24"/>
        </w:rPr>
        <w:t>采购人或采购代理机构依据法律法规和招标文件的规定，对投标人的资格进行审查。</w:t>
      </w:r>
    </w:p>
    <w:p>
      <w:pPr>
        <w:pStyle w:val="128"/>
        <w:spacing w:before="0"/>
        <w:ind w:firstLine="480"/>
        <w:rPr>
          <w:rFonts w:ascii="仿宋" w:hAnsi="仿宋" w:eastAsia="仿宋" w:cs="宋体"/>
        </w:rPr>
      </w:pPr>
      <w:r>
        <w:rPr>
          <w:rFonts w:hint="eastAsia" w:ascii="仿宋" w:hAnsi="仿宋" w:eastAsia="仿宋" w:cs="宋体"/>
          <w:kern w:val="0"/>
          <w:szCs w:val="24"/>
        </w:rPr>
        <w:t>19.2投标人未按照招标文件要求提供与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3对未通过资格审查的投标人，采购人或采购代理机构告知其未通过的原因。</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28"/>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28"/>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sz w:val="24"/>
        </w:rPr>
        <w:t>资格审查情况、评审专家抽取规则、符合性审查情况、</w:t>
      </w:r>
      <w:bookmarkEnd w:id="14"/>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b w:val="0"/>
          <w:bCs w:val="0"/>
          <w:snapToGrid w:val="0"/>
          <w:kern w:val="28"/>
          <w:sz w:val="24"/>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仿宋" w:eastAsia="仿宋"/>
        </w:rPr>
      </w:pPr>
      <w:r>
        <w:rPr>
          <w:rFonts w:ascii="仿宋" w:eastAsia="仿宋"/>
          <w:sz w:val="24"/>
          <w:lang w:val="en-US"/>
        </w:rPr>
        <w:t>27.预付款</w:t>
      </w:r>
    </w:p>
    <w:p>
      <w:pPr>
        <w:adjustRightInd/>
        <w:spacing w:line="360" w:lineRule="auto"/>
        <w:ind w:firstLine="480" w:firstLineChars="200"/>
        <w:rPr>
          <w:rFonts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rPr>
          <w:rFonts w:ascii="仿宋" w:hAnsi="仿宋" w:eastAsia="仿宋"/>
        </w:rPr>
      </w:pPr>
    </w:p>
    <w:p>
      <w:pPr>
        <w:snapToGrid w:val="0"/>
        <w:spacing w:line="360" w:lineRule="auto"/>
        <w:jc w:val="center"/>
        <w:rPr>
          <w:rFonts w:ascii="仿宋" w:hAnsi="仿宋" w:eastAsia="仿宋" w:cs="宋体"/>
          <w:b/>
          <w:sz w:val="24"/>
        </w:rPr>
      </w:pPr>
      <w:r>
        <w:rPr>
          <w:rFonts w:hint="eastAsia" w:ascii="仿宋" w:hAnsi="仿宋" w:eastAsia="仿宋" w:cs="宋体"/>
          <w:b/>
          <w:sz w:val="32"/>
        </w:rPr>
        <w:t>八、电子交易活动的中止</w:t>
      </w:r>
    </w:p>
    <w:p>
      <w:pPr>
        <w:pStyle w:val="128"/>
        <w:snapToGrid w:val="0"/>
        <w:spacing w:before="0"/>
        <w:ind w:firstLine="0" w:firstLineChars="0"/>
        <w:rPr>
          <w:rFonts w:ascii="仿宋" w:hAnsi="仿宋" w:eastAsia="仿宋" w:cs="宋体"/>
        </w:rPr>
      </w:pPr>
      <w:r>
        <w:rPr>
          <w:rFonts w:ascii="仿宋" w:hAnsi="仿宋" w:eastAsia="仿宋" w:cs="宋体"/>
          <w:b/>
          <w:bCs/>
        </w:rPr>
        <w:t>2</w:t>
      </w:r>
      <w:r>
        <w:rPr>
          <w:rFonts w:ascii="仿宋" w:hAnsi="仿宋" w:eastAsia="仿宋" w:cs="宋体"/>
          <w:b/>
          <w:bCs/>
          <w:szCs w:val="24"/>
        </w:rPr>
        <w:t>8</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宋体"/>
        </w:rPr>
      </w:pPr>
      <w:r>
        <w:rPr>
          <w:rFonts w:hint="eastAsia" w:ascii="仿宋" w:hAnsi="仿宋" w:eastAsia="仿宋" w:cs="宋体"/>
        </w:rPr>
        <w:t xml:space="preserve">28.1电子交易平台发生故障而无法登录访问的； </w:t>
      </w:r>
    </w:p>
    <w:p>
      <w:pPr>
        <w:pStyle w:val="128"/>
        <w:snapToGrid w:val="0"/>
        <w:spacing w:before="0"/>
        <w:ind w:firstLine="480"/>
        <w:rPr>
          <w:rFonts w:ascii="仿宋" w:hAnsi="仿宋" w:eastAsia="仿宋" w:cs="宋体"/>
        </w:rPr>
      </w:pPr>
      <w:r>
        <w:rPr>
          <w:rFonts w:hint="eastAsia" w:ascii="仿宋" w:hAnsi="仿宋" w:eastAsia="仿宋" w:cs="宋体"/>
        </w:rPr>
        <w:t>28.2电子交易平台应用或数据库出现错误，不能进行正常操作的；</w:t>
      </w:r>
    </w:p>
    <w:p>
      <w:pPr>
        <w:pStyle w:val="128"/>
        <w:snapToGrid w:val="0"/>
        <w:spacing w:before="0"/>
        <w:ind w:firstLine="480"/>
        <w:rPr>
          <w:rFonts w:ascii="仿宋" w:hAnsi="仿宋" w:eastAsia="仿宋" w:cs="宋体"/>
        </w:rPr>
      </w:pPr>
      <w:r>
        <w:rPr>
          <w:rFonts w:hint="eastAsia" w:ascii="仿宋" w:hAnsi="仿宋" w:eastAsia="仿宋" w:cs="宋体"/>
        </w:rPr>
        <w:t>28.3电子交易平台发现严重安全漏洞，有潜在泄密危险的；</w:t>
      </w:r>
    </w:p>
    <w:p>
      <w:pPr>
        <w:pStyle w:val="128"/>
        <w:snapToGrid w:val="0"/>
        <w:spacing w:before="0"/>
        <w:ind w:firstLine="480"/>
        <w:rPr>
          <w:rFonts w:ascii="仿宋" w:hAnsi="仿宋" w:eastAsia="仿宋" w:cs="宋体"/>
        </w:rPr>
      </w:pPr>
      <w:r>
        <w:rPr>
          <w:rFonts w:hint="eastAsia" w:ascii="仿宋" w:hAnsi="仿宋" w:eastAsia="仿宋" w:cs="宋体"/>
        </w:rPr>
        <w:t xml:space="preserve">28.4病毒发作导致不能进行正常操作的； </w:t>
      </w:r>
    </w:p>
    <w:p>
      <w:pPr>
        <w:pStyle w:val="128"/>
        <w:snapToGrid w:val="0"/>
        <w:spacing w:before="0"/>
        <w:ind w:firstLine="480"/>
        <w:rPr>
          <w:rFonts w:ascii="仿宋" w:hAnsi="仿宋" w:eastAsia="仿宋" w:cs="宋体"/>
        </w:rPr>
      </w:pPr>
      <w:r>
        <w:rPr>
          <w:rFonts w:hint="eastAsia" w:ascii="仿宋" w:hAnsi="仿宋" w:eastAsia="仿宋" w:cs="宋体"/>
        </w:rPr>
        <w:t>28.5其他无法保证电子交易的公平、公正和安全的情况。</w:t>
      </w:r>
    </w:p>
    <w:p>
      <w:pPr>
        <w:pStyle w:val="128"/>
        <w:snapToGrid w:val="0"/>
        <w:spacing w:before="0"/>
        <w:ind w:firstLine="0" w:firstLineChars="0"/>
        <w:rPr>
          <w:rFonts w:ascii="仿宋" w:hAnsi="仿宋" w:eastAsia="仿宋" w:cs="宋体"/>
        </w:rPr>
      </w:pPr>
      <w:r>
        <w:rPr>
          <w:rFonts w:hint="eastAsia" w:ascii="仿宋" w:hAnsi="仿宋" w:eastAsia="仿宋"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07468"/>
      <w:bookmarkEnd w:id="16"/>
      <w:bookmarkStart w:id="17" w:name="_Hlt75236101"/>
      <w:bookmarkEnd w:id="17"/>
      <w:bookmarkStart w:id="18" w:name="_Hlt68072998"/>
      <w:bookmarkEnd w:id="18"/>
      <w:bookmarkStart w:id="19" w:name="_Hlt74730295"/>
      <w:bookmarkEnd w:id="19"/>
      <w:bookmarkStart w:id="20" w:name="_Hlt68403820"/>
      <w:bookmarkEnd w:id="20"/>
      <w:bookmarkStart w:id="21" w:name="_Hlt74714665"/>
      <w:bookmarkEnd w:id="21"/>
      <w:bookmarkStart w:id="22" w:name="_Hlt68057669"/>
      <w:bookmarkEnd w:id="22"/>
      <w:bookmarkStart w:id="23" w:name="_Hlt75236290"/>
      <w:bookmarkEnd w:id="23"/>
      <w:bookmarkStart w:id="24" w:name="_Hlt68072990"/>
      <w:bookmarkEnd w:id="24"/>
      <w:bookmarkStart w:id="25" w:name="_Hlt75236011"/>
      <w:bookmarkEnd w:id="25"/>
      <w:bookmarkStart w:id="26" w:name="_Hlt68073093"/>
      <w:bookmarkEnd w:id="26"/>
    </w:p>
    <w:bookmarkEnd w:id="11"/>
    <w:bookmarkEnd w:id="12"/>
    <w:p>
      <w:pPr>
        <w:pStyle w:val="962"/>
        <w:tabs>
          <w:tab w:val="left" w:pos="471"/>
        </w:tabs>
        <w:spacing w:line="360" w:lineRule="auto"/>
        <w:ind w:firstLine="0"/>
        <w:jc w:val="center"/>
        <w:rPr>
          <w:rFonts w:ascii="仿宋" w:hAnsi="仿宋" w:eastAsia="仿宋" w:cs="宋体"/>
          <w:b/>
          <w:sz w:val="24"/>
          <w:szCs w:val="24"/>
        </w:rPr>
      </w:pPr>
      <w:bookmarkStart w:id="27" w:name="第四部分"/>
    </w:p>
    <w:p>
      <w:pPr>
        <w:pStyle w:val="962"/>
        <w:tabs>
          <w:tab w:val="left" w:pos="471"/>
        </w:tabs>
        <w:spacing w:line="360" w:lineRule="auto"/>
        <w:ind w:firstLine="0"/>
        <w:jc w:val="center"/>
        <w:rPr>
          <w:rFonts w:ascii="仿宋" w:hAnsi="仿宋" w:eastAsia="仿宋" w:cs="宋体"/>
          <w:b/>
          <w:sz w:val="36"/>
          <w:szCs w:val="36"/>
          <w:lang w:eastAsia="zh-CN"/>
        </w:rPr>
      </w:pPr>
      <w:r>
        <w:rPr>
          <w:rFonts w:hint="eastAsia" w:ascii="仿宋" w:hAnsi="仿宋" w:eastAsia="仿宋" w:cs="宋体"/>
          <w:b/>
          <w:sz w:val="36"/>
          <w:szCs w:val="36"/>
        </w:rPr>
        <w:t>第三部分 采购需求</w:t>
      </w:r>
      <w:bookmarkStart w:id="28" w:name="_Toc360109368"/>
      <w:bookmarkStart w:id="29" w:name="_Toc31830"/>
      <w:bookmarkStart w:id="30" w:name="_Toc428547056"/>
    </w:p>
    <w:p>
      <w:pPr>
        <w:pStyle w:val="962"/>
        <w:tabs>
          <w:tab w:val="left" w:pos="471"/>
        </w:tabs>
        <w:spacing w:line="360" w:lineRule="auto"/>
        <w:ind w:firstLine="0"/>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一、项目概况</w:t>
      </w:r>
      <w:bookmarkEnd w:id="28"/>
      <w:bookmarkEnd w:id="29"/>
      <w:bookmarkEnd w:id="30"/>
    </w:p>
    <w:p>
      <w:pPr>
        <w:pStyle w:val="962"/>
        <w:spacing w:line="360" w:lineRule="auto"/>
        <w:ind w:firstLine="48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对杭州市主城区范围内路灯照明设施的光源、灯具及配件、灯杆、支架、配电箱、地上（地下）管道、电线（电缆）、工作井、变压器、配电室、低压配电柜、控制器、标识牌、附属设备及配套智能设备等设施，进行日常维修、检测、更换、保洁、保养、油漆、设施巡查、防盗（看护、处理）、撞杆处理、应急保障（如防汛、抗台、抗雪、临时或重大任务保障）等处置，以保证路灯设施安全正常运行。</w:t>
      </w:r>
    </w:p>
    <w:p>
      <w:pPr>
        <w:pStyle w:val="962"/>
        <w:spacing w:line="360" w:lineRule="auto"/>
        <w:ind w:firstLine="48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养护范围：杭州市主城区范围内的城市道路、桥梁、游步道、广场、公园、绿地、老旧住宅小区等区域内的市管路灯及附属设施。</w:t>
      </w:r>
    </w:p>
    <w:p>
      <w:pPr>
        <w:pStyle w:val="962"/>
        <w:spacing w:line="360" w:lineRule="auto"/>
        <w:ind w:firstLine="480"/>
        <w:rPr>
          <w:rFonts w:ascii="仿宋" w:hAnsi="仿宋" w:eastAsia="仿宋" w:cs="仿宋"/>
          <w:kern w:val="0"/>
          <w:sz w:val="24"/>
          <w:szCs w:val="24"/>
          <w:highlight w:val="yellow"/>
          <w:lang w:val="en-US" w:eastAsia="zh-CN" w:bidi="ar-SA"/>
        </w:rPr>
      </w:pPr>
      <w:r>
        <w:rPr>
          <w:rFonts w:hint="eastAsia" w:ascii="仿宋" w:hAnsi="仿宋" w:eastAsia="仿宋" w:cs="仿宋"/>
          <w:kern w:val="0"/>
          <w:sz w:val="24"/>
          <w:szCs w:val="24"/>
          <w:lang w:val="en-US" w:eastAsia="zh-CN" w:bidi="ar-SA"/>
        </w:rPr>
        <w:t>养护数量：路灯设施基数暂估量为20.7168万盏，以及路灯附属设施（开关控制箱1414座，专用变压器396座，0.4kV地埋电缆5945公里，10kV路灯专用线路75公里），根据实际普查结果动态调整。</w:t>
      </w:r>
    </w:p>
    <w:p>
      <w:pPr>
        <w:pStyle w:val="962"/>
        <w:spacing w:line="360" w:lineRule="auto"/>
        <w:ind w:firstLine="241" w:firstLineChars="100"/>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二、养护服务内容：</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（1）运行与控制：对路灯及附属设施进行日常运行与控制。</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养护巡、检、修：主次干道的功能照明灯具应每周至少巡检一次，支小路的功能照明灯具应每月至少巡检一次；变压器、配电箱(柜)每月巡检一次；架空线路每半年巡检一次；地埋电缆线路每年巡检一次；接地(或接零)装置每年在干燥季节巡检一次；独立的防雷装置应在每年的雷雨季节前巡检一次；漏电保护装置应每季巡检一次；集中控制装置、照明节电装置或其他智慧照明装置每半年巡检一次；中、高杆照明设施的卷扬机、钢丝绳、减速箱、导向滑轮等转动系统和控制系统应每年检修一次,并添加润滑油。设施被盗频发地段应安排防盗人员每天巡查；连续高温、台风、雷雨或冰雪等特殊自然灾害性气候，应按城市照明监管机构要求进行防火、防汛、防台、防雷、抗雪等专项检查，并增加巡检次数，必要时作临时断电处理。</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设施清洁、油漆：景区路灯设施一年清洁四次,其余路灯设施每半年清洁一次；光控探头、监控探头每半个月擦拭一次；灯杆、灯架和配电箱柜等锈蚀或油漆脱落面积10%以内的补漆；主要道路应每年测量一次平均照度；以抱箍形式固定在(处于生长期的)树木上的灯具，应在每年的6-7月份对树木进行一次松绑，必要时更换橡胶垫片。</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照明设施故障修复时间：单灯缺亮，2个工作日内修复；电线裸露、杆线吊挂、灯具脱落、灯杆倾斜、灯杆或门盖缺失、电缆井盖缺失等，应在2个小时内进行安全预措施，并在24小时内修复；城市照明设施专用变压器(本体损坏外)、配电箱故障，2个工作日内修复；发生大面积熄灯故障，24小时内修复；因照明设施被盗或道路挖掘等引起的故障，应及时采取安全措施，并在具备修复条件后3个工作日内修复；被撞损的设施(灯杆、箱变、基础等)，应及时采取安全措施，在具备修复条件后2个工作日内修复；集中控制装置或其他智慧照明装置损坏，或控制时间、地点出现差错的，应在24小时内修复；因特殊情况可在规定时间内提出延期申请。</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（5）设施防腐处理：灯杆、灯架、吊线等受力受压件，以及依附其上的承重螺丝，和控制柜等附属设施，锈蚀深度不超过10%，其他非受力零部件，锈蚀深度不超过25%。锈蚀深度超过要求的零部件，应予以更换。</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（6）活动保障：对政府大型活动，外事等活动提供完善的保障方案和实施24小时值班制度，并确保设施完好率、亮灯率、整洁率达到100%。</w:t>
      </w:r>
    </w:p>
    <w:p>
      <w:pPr>
        <w:pStyle w:val="962"/>
        <w:spacing w:line="480" w:lineRule="auto"/>
        <w:ind w:firstLine="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智能化设备养护：做好智能开关箱所有物联网感知智能设备（一把闸刀设备除外）的日常管理和维护工作（含设备通讯费用），以及单灯控制器（节能改造一期、二期安装的除外）的日常管理维护工作（含设施通讯费）。</w:t>
      </w:r>
    </w:p>
    <w:p>
      <w:pPr>
        <w:pStyle w:val="962"/>
        <w:spacing w:line="480" w:lineRule="auto"/>
        <w:ind w:firstLine="0"/>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三、养护质量标准和要求</w:t>
      </w:r>
    </w:p>
    <w:p>
      <w:pPr>
        <w:pStyle w:val="962"/>
        <w:spacing w:line="480" w:lineRule="auto"/>
        <w:ind w:firstLine="480" w:firstLineChars="20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1.养护质量标准：按照杭州市《城市照明设施养护维修服务标准》（DB3301/T 0165-2018）</w:t>
      </w:r>
      <w:r>
        <w:rPr>
          <w:rFonts w:hint="eastAsia" w:ascii="仿宋" w:hAnsi="仿宋" w:eastAsia="仿宋" w:cs="仿宋"/>
          <w:sz w:val="24"/>
        </w:rPr>
        <w:t>、</w:t>
      </w:r>
      <w:r>
        <w:rPr>
          <w:rFonts w:hint="eastAsia" w:ascii="仿宋" w:hAnsi="仿宋" w:eastAsia="仿宋" w:cs="仿宋"/>
          <w:snapToGrid w:val="0"/>
          <w:kern w:val="0"/>
          <w:sz w:val="24"/>
          <w:lang w:eastAsia="zh-CN"/>
        </w:rPr>
        <w:t>《</w:t>
      </w:r>
      <w:r>
        <w:rPr>
          <w:rFonts w:hint="eastAsia" w:ascii="仿宋" w:hAnsi="仿宋" w:eastAsia="仿宋" w:cs="仿宋"/>
          <w:snapToGrid w:val="0"/>
          <w:kern w:val="0"/>
          <w:sz w:val="24"/>
        </w:rPr>
        <w:t>城市功能照明运行管理规程</w:t>
      </w:r>
      <w:r>
        <w:rPr>
          <w:rFonts w:hint="eastAsia" w:ascii="仿宋" w:hAnsi="仿宋" w:eastAsia="仿宋" w:cs="仿宋"/>
          <w:snapToGrid w:val="0"/>
          <w:kern w:val="0"/>
          <w:sz w:val="24"/>
          <w:lang w:eastAsia="zh-CN"/>
        </w:rPr>
        <w:t>》（</w:t>
      </w:r>
      <w:r>
        <w:rPr>
          <w:rFonts w:hint="eastAsia" w:ascii="仿宋" w:hAnsi="仿宋" w:eastAsia="仿宋" w:cs="仿宋"/>
          <w:snapToGrid w:val="0"/>
          <w:kern w:val="0"/>
          <w:sz w:val="24"/>
          <w:lang w:val="en-US" w:eastAsia="zh-CN"/>
        </w:rPr>
        <w:t>DBJ33/T 1295-2023</w:t>
      </w:r>
      <w:r>
        <w:rPr>
          <w:rFonts w:hint="eastAsia" w:ascii="仿宋" w:hAnsi="仿宋" w:eastAsia="仿宋" w:cs="仿宋"/>
          <w:snapToGrid w:val="0"/>
          <w:kern w:val="0"/>
          <w:sz w:val="24"/>
          <w:lang w:eastAsia="zh-CN"/>
        </w:rPr>
        <w:t>）</w:t>
      </w:r>
      <w:r>
        <w:rPr>
          <w:rFonts w:hint="eastAsia" w:ascii="仿宋" w:hAnsi="仿宋" w:eastAsia="仿宋" w:cs="仿宋"/>
          <w:kern w:val="0"/>
          <w:sz w:val="24"/>
          <w:szCs w:val="24"/>
          <w:lang w:val="en-US" w:eastAsia="zh-CN" w:bidi="ar-SA"/>
        </w:rPr>
        <w:t>、《城市道路照明设计标准》（CJJ45-2015）、《城市道路照明工程施工及验收规程》（CJJ89-2012）及国家有关强制性标准的规定执行。</w:t>
      </w:r>
    </w:p>
    <w:p>
      <w:pPr>
        <w:pStyle w:val="962"/>
        <w:spacing w:line="480" w:lineRule="auto"/>
        <w:ind w:firstLine="480" w:firstLineChars="20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2.养护要求：照明亮灯率达到98%、设施完好率应达到98%，照明亮度、均匀度等技术性指标达到国家标准，全国文明城市复评等活动期间，按上级要求执行。</w:t>
      </w:r>
    </w:p>
    <w:p>
      <w:pPr>
        <w:pStyle w:val="962"/>
        <w:spacing w:line="480" w:lineRule="auto"/>
        <w:ind w:firstLine="0"/>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四、养护期限</w:t>
      </w:r>
    </w:p>
    <w:p>
      <w:pPr>
        <w:pStyle w:val="962"/>
        <w:spacing w:line="480" w:lineRule="auto"/>
        <w:ind w:firstLine="480" w:firstLineChars="200"/>
        <w:rPr>
          <w:rFonts w:ascii="仿宋" w:hAnsi="仿宋" w:eastAsia="仿宋" w:cs="仿宋"/>
          <w:color w:val="FF0000"/>
          <w:kern w:val="0"/>
          <w:sz w:val="24"/>
          <w:szCs w:val="24"/>
          <w:highlight w:val="yellow"/>
          <w:lang w:val="en-US" w:eastAsia="zh-CN" w:bidi="ar-SA"/>
        </w:rPr>
      </w:pPr>
      <w:r>
        <w:rPr>
          <w:rFonts w:hint="eastAsia" w:ascii="仿宋" w:hAnsi="仿宋" w:eastAsia="仿宋" w:cs="仿宋"/>
          <w:kern w:val="0"/>
          <w:sz w:val="24"/>
          <w:szCs w:val="24"/>
          <w:lang w:val="en-US" w:eastAsia="zh-CN" w:bidi="ar-SA"/>
        </w:rPr>
        <w:t>2024年1月1日至2</w:t>
      </w:r>
      <w:r>
        <w:rPr>
          <w:rFonts w:ascii="仿宋" w:hAnsi="仿宋" w:eastAsia="仿宋" w:cs="仿宋"/>
          <w:kern w:val="0"/>
          <w:sz w:val="24"/>
          <w:szCs w:val="24"/>
          <w:lang w:val="en-US" w:eastAsia="zh-CN" w:bidi="ar-SA"/>
        </w:rPr>
        <w:t>02</w:t>
      </w:r>
      <w:r>
        <w:rPr>
          <w:rFonts w:hint="eastAsia" w:ascii="仿宋" w:hAnsi="仿宋" w:eastAsia="仿宋" w:cs="仿宋"/>
          <w:kern w:val="0"/>
          <w:sz w:val="24"/>
          <w:szCs w:val="24"/>
          <w:lang w:val="en-US" w:eastAsia="zh-CN" w:bidi="ar-SA"/>
        </w:rPr>
        <w:t>6年12月31日。合同一年一签，项目在合同期限内，乙方能严格履行合同，绩效评价好，年养护考核合格或以上，可签订下一年合同。</w:t>
      </w:r>
    </w:p>
    <w:p>
      <w:pPr>
        <w:pStyle w:val="962"/>
        <w:spacing w:line="480" w:lineRule="auto"/>
        <w:ind w:firstLine="0"/>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五、养护服务人员要求</w:t>
      </w:r>
    </w:p>
    <w:p>
      <w:pPr>
        <w:snapToGrid w:val="0"/>
        <w:spacing w:line="360" w:lineRule="auto"/>
        <w:ind w:firstLine="480" w:firstLineChars="200"/>
        <w:jc w:val="left"/>
        <w:outlineLvl w:val="0"/>
        <w:rPr>
          <w:rFonts w:ascii="仿宋" w:hAnsi="仿宋" w:eastAsia="仿宋" w:cs="仿宋"/>
          <w:kern w:val="0"/>
          <w:sz w:val="24"/>
        </w:rPr>
      </w:pPr>
      <w:r>
        <w:rPr>
          <w:rFonts w:hint="eastAsia" w:ascii="仿宋" w:hAnsi="仿宋" w:eastAsia="仿宋" w:cs="仿宋"/>
          <w:kern w:val="0"/>
          <w:sz w:val="24"/>
        </w:rPr>
        <w:t xml:space="preserve">①拟派本项目管理人员不少于 </w:t>
      </w:r>
      <w:r>
        <w:rPr>
          <w:rFonts w:hint="eastAsia" w:ascii="仿宋" w:hAnsi="仿宋" w:eastAsia="仿宋" w:cs="仿宋"/>
          <w:kern w:val="0"/>
          <w:sz w:val="24"/>
          <w:lang w:val="en-US" w:eastAsia="zh-CN"/>
        </w:rPr>
        <w:t>3</w:t>
      </w:r>
      <w:r>
        <w:rPr>
          <w:rFonts w:hint="eastAsia" w:ascii="仿宋" w:hAnsi="仿宋" w:eastAsia="仿宋" w:cs="仿宋"/>
          <w:kern w:val="0"/>
          <w:sz w:val="24"/>
        </w:rPr>
        <w:t>人且具有机电安装工程专业二级及以上建造师资质证书，并不得担任本项目以外的其它项目；</w:t>
      </w:r>
    </w:p>
    <w:p>
      <w:pPr>
        <w:snapToGrid w:val="0"/>
        <w:spacing w:line="360" w:lineRule="auto"/>
        <w:ind w:firstLine="480" w:firstLineChars="200"/>
        <w:jc w:val="left"/>
        <w:outlineLvl w:val="0"/>
        <w:rPr>
          <w:rFonts w:ascii="仿宋" w:hAnsi="仿宋" w:eastAsia="仿宋" w:cs="仿宋"/>
          <w:kern w:val="0"/>
          <w:sz w:val="24"/>
        </w:rPr>
      </w:pPr>
      <w:r>
        <w:rPr>
          <w:rFonts w:hint="eastAsia" w:ascii="仿宋" w:hAnsi="仿宋" w:eastAsia="仿宋" w:cs="仿宋"/>
          <w:kern w:val="0"/>
          <w:sz w:val="24"/>
        </w:rPr>
        <w:t>②</w:t>
      </w:r>
      <w:bookmarkStart w:id="31" w:name="_Hlk64983858"/>
      <w:r>
        <w:rPr>
          <w:rFonts w:hint="eastAsia" w:ascii="仿宋" w:hAnsi="仿宋" w:eastAsia="仿宋" w:cs="仿宋"/>
          <w:kern w:val="0"/>
          <w:sz w:val="24"/>
        </w:rPr>
        <w:t>中标人投入本项目的工作人员不少于</w:t>
      </w:r>
      <w:r>
        <w:rPr>
          <w:rFonts w:ascii="仿宋" w:hAnsi="仿宋" w:eastAsia="仿宋" w:cs="仿宋"/>
          <w:kern w:val="0"/>
          <w:sz w:val="24"/>
        </w:rPr>
        <w:t>120</w:t>
      </w:r>
      <w:r>
        <w:rPr>
          <w:rFonts w:hint="eastAsia" w:ascii="仿宋" w:hAnsi="仿宋" w:eastAsia="仿宋" w:cs="仿宋"/>
          <w:kern w:val="0"/>
          <w:sz w:val="24"/>
        </w:rPr>
        <w:t>名（含管理人员、养护操作人员等），且不得担任其它项目的工作</w:t>
      </w:r>
      <w:bookmarkEnd w:id="31"/>
      <w:r>
        <w:rPr>
          <w:rFonts w:hint="eastAsia" w:ascii="仿宋" w:hAnsi="仿宋" w:eastAsia="仿宋" w:cs="仿宋"/>
          <w:kern w:val="0"/>
          <w:sz w:val="24"/>
        </w:rPr>
        <w:t>。如有人员变更，需通过采购人审批并报备，通过审批且通知中标人后，变更人员应在24小时内到位。采购人有权要求中标人撤换不能胜任或玩忽职守、不负责任的工作人员，更换的人员的资历、工作经验、资质等不得低于原班组成员。</w:t>
      </w:r>
    </w:p>
    <w:p>
      <w:pPr>
        <w:snapToGrid w:val="0"/>
        <w:spacing w:line="360" w:lineRule="auto"/>
        <w:ind w:firstLine="480" w:firstLineChars="200"/>
        <w:jc w:val="left"/>
        <w:outlineLvl w:val="0"/>
        <w:rPr>
          <w:rFonts w:ascii="仿宋" w:hAnsi="仿宋" w:eastAsia="仿宋" w:cs="仿宋"/>
          <w:kern w:val="0"/>
          <w:sz w:val="24"/>
        </w:rPr>
      </w:pPr>
      <w:r>
        <w:rPr>
          <w:rFonts w:hint="eastAsia" w:ascii="仿宋" w:hAnsi="仿宋" w:eastAsia="仿宋" w:cs="仿宋"/>
          <w:kern w:val="0"/>
          <w:sz w:val="24"/>
        </w:rPr>
        <w:t>特殊勤务（对政府大型活动，外事等活动）或节假日应根据采购人要求同步增加或减少相应的工作人员。</w:t>
      </w:r>
    </w:p>
    <w:p>
      <w:pPr>
        <w:snapToGrid w:val="0"/>
        <w:spacing w:line="360" w:lineRule="auto"/>
        <w:ind w:firstLine="482" w:firstLineChars="200"/>
        <w:jc w:val="left"/>
        <w:outlineLvl w:val="0"/>
        <w:rPr>
          <w:rFonts w:ascii="仿宋" w:hAnsi="仿宋" w:eastAsia="仿宋" w:cs="仿宋"/>
          <w:kern w:val="0"/>
          <w:sz w:val="24"/>
        </w:rPr>
      </w:pPr>
      <w:r>
        <w:rPr>
          <w:rFonts w:hint="eastAsia" w:ascii="仿宋" w:hAnsi="仿宋" w:eastAsia="仿宋" w:cs="仿宋"/>
          <w:b/>
          <w:bCs/>
          <w:kern w:val="0"/>
          <w:sz w:val="24"/>
        </w:rPr>
        <w:t>注：投入本项目的班组成员需能熟练使用手机APP，按采购人要求安装手机定位APP。</w:t>
      </w:r>
    </w:p>
    <w:p>
      <w:pPr>
        <w:snapToGrid w:val="0"/>
        <w:spacing w:line="360" w:lineRule="auto"/>
        <w:jc w:val="left"/>
        <w:outlineLvl w:val="0"/>
        <w:rPr>
          <w:rFonts w:ascii="仿宋" w:hAnsi="仿宋" w:eastAsia="仿宋" w:cs="仿宋"/>
          <w:kern w:val="0"/>
          <w:sz w:val="24"/>
        </w:rPr>
      </w:pPr>
      <w:r>
        <w:rPr>
          <w:rFonts w:hint="eastAsia" w:ascii="仿宋" w:hAnsi="仿宋" w:eastAsia="仿宋" w:cs="仿宋"/>
          <w:b/>
          <w:bCs/>
          <w:kern w:val="0"/>
          <w:sz w:val="24"/>
        </w:rPr>
        <w:t>六、养护服务设备要求</w:t>
      </w:r>
    </w:p>
    <w:p>
      <w:pPr>
        <w:snapToGrid w:val="0"/>
        <w:spacing w:line="360" w:lineRule="auto"/>
        <w:ind w:firstLine="240" w:firstLineChars="100"/>
        <w:jc w:val="left"/>
        <w:outlineLvl w:val="0"/>
        <w:rPr>
          <w:rFonts w:ascii="仿宋" w:hAnsi="仿宋" w:eastAsia="仿宋" w:cs="仿宋"/>
          <w:kern w:val="0"/>
          <w:sz w:val="24"/>
        </w:rPr>
      </w:pPr>
      <w:r>
        <w:rPr>
          <w:rFonts w:hint="eastAsia" w:ascii="仿宋" w:hAnsi="仿宋" w:eastAsia="仿宋" w:cs="仿宋"/>
          <w:kern w:val="0"/>
          <w:sz w:val="24"/>
        </w:rPr>
        <w:t xml:space="preserve">  用于路灯巡视抢修的皮卡车不少于8辆（自有或租赁）、开展高空作业的专项作业车（自有）不少于</w:t>
      </w:r>
      <w:r>
        <w:rPr>
          <w:rFonts w:ascii="仿宋" w:hAnsi="仿宋" w:eastAsia="仿宋" w:cs="仿宋"/>
          <w:kern w:val="0"/>
          <w:sz w:val="24"/>
        </w:rPr>
        <w:t>4</w:t>
      </w:r>
      <w:r>
        <w:rPr>
          <w:rFonts w:hint="eastAsia" w:ascii="仿宋" w:hAnsi="仿宋" w:eastAsia="仿宋" w:cs="仿宋"/>
          <w:kern w:val="0"/>
          <w:sz w:val="24"/>
        </w:rPr>
        <w:t>辆、发电车（自有）不少于1辆、带电作业车（自有）不少于1辆(车辆行驶证车辆类型必须标明为专项作业车)。</w:t>
      </w:r>
    </w:p>
    <w:p>
      <w:pPr>
        <w:snapToGrid w:val="0"/>
        <w:spacing w:line="360" w:lineRule="auto"/>
        <w:ind w:firstLine="482" w:firstLineChars="200"/>
        <w:jc w:val="left"/>
        <w:outlineLvl w:val="0"/>
        <w:rPr>
          <w:rFonts w:ascii="仿宋" w:hAnsi="仿宋" w:eastAsia="仿宋" w:cs="仿宋"/>
          <w:b/>
          <w:bCs/>
          <w:kern w:val="0"/>
          <w:sz w:val="24"/>
        </w:rPr>
      </w:pPr>
      <w:r>
        <w:rPr>
          <w:rFonts w:hint="eastAsia" w:ascii="仿宋" w:hAnsi="仿宋" w:eastAsia="仿宋" w:cs="仿宋"/>
          <w:b/>
          <w:bCs/>
          <w:kern w:val="0"/>
          <w:sz w:val="24"/>
        </w:rPr>
        <w:t>注：投入本项目的保障车辆均需按采购人要求自行安装GPS定位系统，并于每周一提供设备车辆的轨迹图。</w:t>
      </w:r>
    </w:p>
    <w:p>
      <w:pPr>
        <w:pStyle w:val="963"/>
      </w:pPr>
    </w:p>
    <w:p>
      <w:pPr>
        <w:spacing w:line="360" w:lineRule="auto"/>
        <w:jc w:val="center"/>
        <w:outlineLvl w:val="0"/>
        <w:rPr>
          <w:rFonts w:ascii="仿宋" w:hAnsi="仿宋" w:eastAsia="仿宋" w:cs="宋体"/>
          <w:b/>
          <w:sz w:val="36"/>
          <w:szCs w:val="36"/>
        </w:rPr>
      </w:pPr>
    </w:p>
    <w:p>
      <w:pPr>
        <w:spacing w:line="360" w:lineRule="auto"/>
        <w:jc w:val="center"/>
        <w:outlineLvl w:val="0"/>
        <w:rPr>
          <w:rFonts w:ascii="仿宋" w:hAnsi="仿宋" w:eastAsia="仿宋" w:cs="宋体"/>
          <w:b/>
          <w:sz w:val="36"/>
          <w:szCs w:val="36"/>
        </w:rPr>
      </w:pPr>
      <w:r>
        <w:rPr>
          <w:rFonts w:ascii="仿宋" w:hAnsi="仿宋" w:eastAsia="仿宋" w:cs="宋体"/>
          <w:b/>
          <w:sz w:val="36"/>
          <w:szCs w:val="36"/>
        </w:rPr>
        <w:br w:type="page"/>
      </w:r>
      <w:r>
        <w:rPr>
          <w:rFonts w:hint="eastAsia" w:ascii="仿宋" w:hAnsi="仿宋" w:eastAsia="仿宋" w:cs="宋体"/>
          <w:b/>
          <w:sz w:val="36"/>
          <w:szCs w:val="36"/>
        </w:rPr>
        <w:t xml:space="preserve">第四部分 </w:t>
      </w:r>
      <w:bookmarkStart w:id="32" w:name="_Toc184312100"/>
      <w:bookmarkEnd w:id="32"/>
      <w:bookmarkStart w:id="33" w:name="_Toc184310305"/>
      <w:bookmarkEnd w:id="33"/>
      <w:bookmarkStart w:id="34" w:name="_Toc184314482"/>
      <w:bookmarkEnd w:id="34"/>
      <w:bookmarkStart w:id="35" w:name="_Toc184308099"/>
      <w:bookmarkEnd w:id="35"/>
      <w:bookmarkStart w:id="36" w:name="_Toc184310338"/>
      <w:bookmarkEnd w:id="36"/>
      <w:bookmarkStart w:id="37" w:name="_Toc184310299"/>
      <w:bookmarkEnd w:id="37"/>
      <w:bookmarkStart w:id="38" w:name="_Toc184310303"/>
      <w:bookmarkEnd w:id="38"/>
      <w:bookmarkStart w:id="39" w:name="_Toc184308084"/>
      <w:bookmarkEnd w:id="39"/>
      <w:bookmarkStart w:id="40" w:name="_Toc184314411"/>
      <w:bookmarkEnd w:id="40"/>
      <w:bookmarkStart w:id="41" w:name="_Toc184312086"/>
      <w:bookmarkEnd w:id="41"/>
      <w:bookmarkStart w:id="42" w:name="_Toc184312134"/>
      <w:bookmarkEnd w:id="42"/>
      <w:bookmarkStart w:id="43" w:name="_Toc184308062"/>
      <w:bookmarkEnd w:id="43"/>
      <w:bookmarkStart w:id="44" w:name="_Toc184308090"/>
      <w:bookmarkEnd w:id="44"/>
      <w:bookmarkStart w:id="45" w:name="_Toc184312099"/>
      <w:bookmarkEnd w:id="45"/>
      <w:bookmarkStart w:id="46" w:name="_Toc184313281"/>
      <w:bookmarkEnd w:id="46"/>
      <w:bookmarkStart w:id="47" w:name="_Toc184312136"/>
      <w:bookmarkEnd w:id="47"/>
      <w:bookmarkStart w:id="48" w:name="_Toc184310327"/>
      <w:bookmarkEnd w:id="48"/>
      <w:bookmarkStart w:id="49" w:name="_Toc184312081"/>
      <w:bookmarkEnd w:id="49"/>
      <w:bookmarkStart w:id="50" w:name="_Toc184310335"/>
      <w:bookmarkEnd w:id="50"/>
      <w:bookmarkStart w:id="51" w:name="_Toc184310304"/>
      <w:bookmarkEnd w:id="51"/>
      <w:bookmarkStart w:id="52" w:name="_Toc184314469"/>
      <w:bookmarkEnd w:id="52"/>
      <w:bookmarkStart w:id="53" w:name="_Toc184310288"/>
      <w:bookmarkEnd w:id="53"/>
      <w:bookmarkStart w:id="54" w:name="_Toc184308088"/>
      <w:bookmarkEnd w:id="54"/>
      <w:bookmarkStart w:id="55" w:name="_Toc184314453"/>
      <w:bookmarkEnd w:id="55"/>
      <w:bookmarkStart w:id="56" w:name="_Toc184310273"/>
      <w:bookmarkEnd w:id="56"/>
      <w:bookmarkStart w:id="57" w:name="_Toc184313292"/>
      <w:bookmarkEnd w:id="57"/>
      <w:bookmarkStart w:id="58" w:name="_Toc184313277"/>
      <w:bookmarkEnd w:id="58"/>
      <w:bookmarkStart w:id="59" w:name="_Toc184313278"/>
      <w:bookmarkEnd w:id="59"/>
      <w:bookmarkStart w:id="60" w:name="_Toc184312077"/>
      <w:bookmarkEnd w:id="60"/>
      <w:bookmarkStart w:id="61" w:name="_Toc184308079"/>
      <w:bookmarkEnd w:id="61"/>
      <w:bookmarkStart w:id="62" w:name="_Toc184313252"/>
      <w:bookmarkEnd w:id="62"/>
      <w:bookmarkStart w:id="63" w:name="_Toc184312104"/>
      <w:bookmarkEnd w:id="63"/>
      <w:bookmarkStart w:id="64" w:name="_Toc184310283"/>
      <w:bookmarkEnd w:id="64"/>
      <w:bookmarkStart w:id="65" w:name="_Toc184314425"/>
      <w:bookmarkEnd w:id="65"/>
      <w:bookmarkStart w:id="66" w:name="_Toc184314475"/>
      <w:bookmarkEnd w:id="66"/>
      <w:bookmarkStart w:id="67" w:name="_Toc184308051"/>
      <w:bookmarkEnd w:id="67"/>
      <w:bookmarkStart w:id="68" w:name="_Toc184310274"/>
      <w:bookmarkEnd w:id="68"/>
      <w:bookmarkStart w:id="69" w:name="_Toc184310291"/>
      <w:bookmarkEnd w:id="69"/>
      <w:bookmarkStart w:id="70" w:name="_Toc184312127"/>
      <w:bookmarkEnd w:id="70"/>
      <w:bookmarkStart w:id="71" w:name="_Toc184310329"/>
      <w:bookmarkEnd w:id="71"/>
      <w:bookmarkStart w:id="72" w:name="_Toc184310340"/>
      <w:bookmarkEnd w:id="72"/>
      <w:bookmarkStart w:id="73" w:name="_Toc184310277"/>
      <w:bookmarkEnd w:id="73"/>
      <w:bookmarkStart w:id="74" w:name="_Toc184313306"/>
      <w:bookmarkEnd w:id="74"/>
      <w:bookmarkStart w:id="75" w:name="_Toc184313262"/>
      <w:bookmarkEnd w:id="75"/>
      <w:bookmarkStart w:id="76" w:name="_Toc184313242"/>
      <w:bookmarkEnd w:id="76"/>
      <w:bookmarkStart w:id="77" w:name="_Toc184310285"/>
      <w:bookmarkEnd w:id="77"/>
      <w:bookmarkStart w:id="78" w:name="_Toc184314423"/>
      <w:bookmarkEnd w:id="78"/>
      <w:bookmarkStart w:id="79" w:name="_Toc184314447"/>
      <w:bookmarkEnd w:id="79"/>
      <w:bookmarkStart w:id="80" w:name="_Toc184312098"/>
      <w:bookmarkEnd w:id="80"/>
      <w:bookmarkStart w:id="81" w:name="_Toc184313305"/>
      <w:bookmarkEnd w:id="81"/>
      <w:bookmarkStart w:id="82" w:name="_Toc184310342"/>
      <w:bookmarkEnd w:id="82"/>
      <w:bookmarkStart w:id="83" w:name="_Toc184310279"/>
      <w:bookmarkEnd w:id="83"/>
      <w:bookmarkStart w:id="84" w:name="_Toc184314427"/>
      <w:bookmarkEnd w:id="84"/>
      <w:bookmarkStart w:id="85" w:name="_Toc184313267"/>
      <w:bookmarkEnd w:id="85"/>
      <w:bookmarkStart w:id="86" w:name="_Toc184308055"/>
      <w:bookmarkEnd w:id="86"/>
      <w:bookmarkStart w:id="87" w:name="_Toc184308102"/>
      <w:bookmarkEnd w:id="87"/>
      <w:bookmarkStart w:id="88" w:name="_Toc184310341"/>
      <w:bookmarkEnd w:id="88"/>
      <w:bookmarkStart w:id="89" w:name="_Toc184308045"/>
      <w:bookmarkEnd w:id="89"/>
      <w:bookmarkStart w:id="90" w:name="_Toc184308086"/>
      <w:bookmarkEnd w:id="90"/>
      <w:bookmarkStart w:id="91" w:name="_Toc184314449"/>
      <w:bookmarkEnd w:id="91"/>
      <w:bookmarkStart w:id="92" w:name="_Toc184313271"/>
      <w:bookmarkEnd w:id="92"/>
      <w:bookmarkStart w:id="93" w:name="_Toc184312138"/>
      <w:bookmarkEnd w:id="93"/>
      <w:bookmarkStart w:id="94" w:name="_Toc184314472"/>
      <w:bookmarkEnd w:id="94"/>
      <w:bookmarkStart w:id="95" w:name="_Toc184308076"/>
      <w:bookmarkEnd w:id="95"/>
      <w:bookmarkStart w:id="96" w:name="_Toc184312072"/>
      <w:bookmarkEnd w:id="96"/>
      <w:bookmarkStart w:id="97" w:name="_Toc184314477"/>
      <w:bookmarkEnd w:id="97"/>
      <w:bookmarkStart w:id="98" w:name="_Toc184312137"/>
      <w:bookmarkEnd w:id="98"/>
      <w:bookmarkStart w:id="99" w:name="_Toc184312106"/>
      <w:bookmarkEnd w:id="99"/>
      <w:bookmarkStart w:id="100" w:name="_Toc184312083"/>
      <w:bookmarkEnd w:id="100"/>
      <w:bookmarkStart w:id="101" w:name="_Toc184314413"/>
      <w:bookmarkEnd w:id="101"/>
      <w:bookmarkStart w:id="102" w:name="_Toc184314415"/>
      <w:bookmarkEnd w:id="102"/>
      <w:bookmarkStart w:id="103" w:name="_Toc184313259"/>
      <w:bookmarkEnd w:id="103"/>
      <w:bookmarkStart w:id="104" w:name="_Toc184314444"/>
      <w:bookmarkEnd w:id="104"/>
      <w:bookmarkStart w:id="105" w:name="_Toc184313282"/>
      <w:bookmarkEnd w:id="105"/>
      <w:bookmarkStart w:id="106" w:name="_Toc184314436"/>
      <w:bookmarkEnd w:id="106"/>
      <w:bookmarkStart w:id="107" w:name="_Toc184312131"/>
      <w:bookmarkEnd w:id="107"/>
      <w:bookmarkStart w:id="108" w:name="_Toc184310302"/>
      <w:bookmarkEnd w:id="108"/>
      <w:bookmarkStart w:id="109" w:name="_Toc184314455"/>
      <w:bookmarkEnd w:id="109"/>
      <w:bookmarkStart w:id="110" w:name="_Toc184312085"/>
      <w:bookmarkEnd w:id="110"/>
      <w:bookmarkStart w:id="111" w:name="_Toc184308095"/>
      <w:bookmarkEnd w:id="111"/>
      <w:bookmarkStart w:id="112" w:name="_Toc184310296"/>
      <w:bookmarkEnd w:id="112"/>
      <w:bookmarkStart w:id="113" w:name="_Toc184308049"/>
      <w:bookmarkEnd w:id="113"/>
      <w:bookmarkStart w:id="114" w:name="_Toc184312087"/>
      <w:bookmarkEnd w:id="114"/>
      <w:bookmarkStart w:id="115" w:name="_Toc184310295"/>
      <w:bookmarkEnd w:id="115"/>
      <w:bookmarkStart w:id="116" w:name="_Toc184313246"/>
      <w:bookmarkEnd w:id="116"/>
      <w:bookmarkStart w:id="117" w:name="_Toc184310315"/>
      <w:bookmarkEnd w:id="117"/>
      <w:bookmarkStart w:id="118" w:name="_Toc184308052"/>
      <w:bookmarkEnd w:id="118"/>
      <w:bookmarkStart w:id="119" w:name="_Toc184308103"/>
      <w:bookmarkEnd w:id="119"/>
      <w:bookmarkStart w:id="120" w:name="_Toc184308080"/>
      <w:bookmarkEnd w:id="120"/>
      <w:bookmarkStart w:id="121" w:name="_Toc184310312"/>
      <w:bookmarkEnd w:id="121"/>
      <w:bookmarkStart w:id="122" w:name="_Toc184313276"/>
      <w:bookmarkEnd w:id="122"/>
      <w:bookmarkStart w:id="123" w:name="_Toc184310336"/>
      <w:bookmarkEnd w:id="123"/>
      <w:bookmarkStart w:id="124" w:name="_Toc184314451"/>
      <w:bookmarkEnd w:id="124"/>
      <w:bookmarkStart w:id="125" w:name="_Toc184312126"/>
      <w:bookmarkEnd w:id="125"/>
      <w:bookmarkStart w:id="126" w:name="_Toc184314426"/>
      <w:bookmarkEnd w:id="126"/>
      <w:bookmarkStart w:id="127" w:name="_Toc184308070"/>
      <w:bookmarkEnd w:id="127"/>
      <w:bookmarkStart w:id="128" w:name="_Toc184310321"/>
      <w:bookmarkEnd w:id="128"/>
      <w:bookmarkStart w:id="129" w:name="_Toc184308054"/>
      <w:bookmarkEnd w:id="129"/>
      <w:bookmarkStart w:id="130" w:name="_Toc184314480"/>
      <w:bookmarkEnd w:id="130"/>
      <w:bookmarkStart w:id="131" w:name="_Toc184312075"/>
      <w:bookmarkEnd w:id="131"/>
      <w:bookmarkStart w:id="132" w:name="_Toc184313280"/>
      <w:bookmarkEnd w:id="132"/>
      <w:bookmarkStart w:id="133" w:name="_Toc184314421"/>
      <w:bookmarkEnd w:id="133"/>
      <w:bookmarkStart w:id="134" w:name="_Toc184308066"/>
      <w:bookmarkEnd w:id="134"/>
      <w:bookmarkStart w:id="135" w:name="_Toc184314440"/>
      <w:bookmarkEnd w:id="135"/>
      <w:bookmarkStart w:id="136" w:name="_Toc184312124"/>
      <w:bookmarkEnd w:id="136"/>
      <w:bookmarkStart w:id="137" w:name="_Toc184308056"/>
      <w:bookmarkEnd w:id="137"/>
      <w:bookmarkStart w:id="138" w:name="_Toc184314412"/>
      <w:bookmarkEnd w:id="138"/>
      <w:bookmarkStart w:id="139" w:name="_Toc184314454"/>
      <w:bookmarkEnd w:id="139"/>
      <w:bookmarkStart w:id="140" w:name="_Toc184312128"/>
      <w:bookmarkEnd w:id="140"/>
      <w:bookmarkStart w:id="141" w:name="_Toc184313291"/>
      <w:bookmarkEnd w:id="141"/>
      <w:bookmarkStart w:id="142" w:name="_Toc184308067"/>
      <w:bookmarkEnd w:id="142"/>
      <w:bookmarkStart w:id="143" w:name="_Toc184314459"/>
      <w:bookmarkEnd w:id="143"/>
      <w:bookmarkStart w:id="144" w:name="_Toc184312067"/>
      <w:bookmarkEnd w:id="144"/>
      <w:bookmarkStart w:id="145" w:name="_Toc184314457"/>
      <w:bookmarkEnd w:id="145"/>
      <w:bookmarkStart w:id="146" w:name="_Toc184312111"/>
      <w:bookmarkEnd w:id="146"/>
      <w:bookmarkStart w:id="147" w:name="_Toc184312071"/>
      <w:bookmarkEnd w:id="147"/>
      <w:bookmarkStart w:id="148" w:name="_Toc184314461"/>
      <w:bookmarkEnd w:id="148"/>
      <w:bookmarkStart w:id="149" w:name="_Toc184312120"/>
      <w:bookmarkEnd w:id="149"/>
      <w:bookmarkStart w:id="150" w:name="_Toc184314416"/>
      <w:bookmarkEnd w:id="150"/>
      <w:bookmarkStart w:id="151" w:name="_Toc184308057"/>
      <w:bookmarkEnd w:id="151"/>
      <w:bookmarkStart w:id="152" w:name="_Toc184308104"/>
      <w:bookmarkEnd w:id="152"/>
      <w:bookmarkStart w:id="153" w:name="_Toc184313261"/>
      <w:bookmarkEnd w:id="153"/>
      <w:bookmarkStart w:id="154" w:name="_Toc184312118"/>
      <w:bookmarkEnd w:id="154"/>
      <w:bookmarkStart w:id="155" w:name="_Toc184308089"/>
      <w:bookmarkEnd w:id="155"/>
      <w:bookmarkStart w:id="156" w:name="_Toc184312095"/>
      <w:bookmarkEnd w:id="156"/>
      <w:bookmarkStart w:id="157" w:name="_Toc184308087"/>
      <w:bookmarkEnd w:id="157"/>
      <w:bookmarkStart w:id="158" w:name="_Toc184314456"/>
      <w:bookmarkEnd w:id="158"/>
      <w:bookmarkStart w:id="159" w:name="_Toc184313299"/>
      <w:bookmarkEnd w:id="159"/>
      <w:bookmarkStart w:id="160" w:name="_Toc184313263"/>
      <w:bookmarkEnd w:id="160"/>
      <w:bookmarkStart w:id="161" w:name="_Toc184313255"/>
      <w:bookmarkEnd w:id="161"/>
      <w:bookmarkStart w:id="162" w:name="_Toc184313274"/>
      <w:bookmarkEnd w:id="162"/>
      <w:bookmarkStart w:id="163" w:name="_Toc184312079"/>
      <w:bookmarkEnd w:id="163"/>
      <w:bookmarkStart w:id="164" w:name="_Toc184310308"/>
      <w:bookmarkEnd w:id="164"/>
      <w:bookmarkStart w:id="165" w:name="_Toc184308077"/>
      <w:bookmarkEnd w:id="165"/>
      <w:bookmarkStart w:id="166" w:name="_Toc184310331"/>
      <w:bookmarkEnd w:id="166"/>
      <w:bookmarkStart w:id="167" w:name="_Toc184308042"/>
      <w:bookmarkEnd w:id="167"/>
      <w:bookmarkStart w:id="168" w:name="_Toc184310311"/>
      <w:bookmarkEnd w:id="168"/>
      <w:bookmarkStart w:id="169" w:name="_Toc184310289"/>
      <w:bookmarkEnd w:id="169"/>
      <w:bookmarkStart w:id="170" w:name="_Toc184314479"/>
      <w:bookmarkEnd w:id="170"/>
      <w:bookmarkStart w:id="171" w:name="_Toc184308096"/>
      <w:bookmarkEnd w:id="171"/>
      <w:bookmarkStart w:id="172" w:name="_Toc184312133"/>
      <w:bookmarkEnd w:id="172"/>
      <w:bookmarkStart w:id="173" w:name="_Toc184308072"/>
      <w:bookmarkEnd w:id="173"/>
      <w:bookmarkStart w:id="174" w:name="_Toc184314429"/>
      <w:bookmarkEnd w:id="174"/>
      <w:bookmarkStart w:id="175" w:name="_Toc184314432"/>
      <w:bookmarkEnd w:id="175"/>
      <w:bookmarkStart w:id="176" w:name="_Toc184312073"/>
      <w:bookmarkEnd w:id="176"/>
      <w:bookmarkStart w:id="177" w:name="_Toc184308108"/>
      <w:bookmarkEnd w:id="177"/>
      <w:bookmarkStart w:id="178" w:name="_Toc184313293"/>
      <w:bookmarkEnd w:id="178"/>
      <w:bookmarkStart w:id="179" w:name="_Toc184310297"/>
      <w:bookmarkEnd w:id="179"/>
      <w:bookmarkStart w:id="180" w:name="_Toc184308091"/>
      <w:bookmarkEnd w:id="180"/>
      <w:bookmarkStart w:id="181" w:name="_Toc184310286"/>
      <w:bookmarkEnd w:id="181"/>
      <w:bookmarkStart w:id="182" w:name="_Toc184313285"/>
      <w:bookmarkEnd w:id="182"/>
      <w:bookmarkStart w:id="183" w:name="_Toc184313264"/>
      <w:bookmarkEnd w:id="183"/>
      <w:bookmarkStart w:id="184" w:name="_Toc184308040"/>
      <w:bookmarkEnd w:id="184"/>
      <w:bookmarkStart w:id="185" w:name="_Toc184312094"/>
      <w:bookmarkEnd w:id="185"/>
      <w:bookmarkStart w:id="186" w:name="_Toc184312089"/>
      <w:bookmarkEnd w:id="186"/>
      <w:bookmarkStart w:id="187" w:name="_Toc184313244"/>
      <w:bookmarkEnd w:id="187"/>
      <w:bookmarkStart w:id="188" w:name="_Toc184314419"/>
      <w:bookmarkEnd w:id="188"/>
      <w:bookmarkStart w:id="189" w:name="_Toc184312109"/>
      <w:bookmarkEnd w:id="189"/>
      <w:bookmarkStart w:id="190" w:name="_Toc184312078"/>
      <w:bookmarkEnd w:id="190"/>
      <w:bookmarkStart w:id="191" w:name="_Toc184312132"/>
      <w:bookmarkEnd w:id="191"/>
      <w:bookmarkStart w:id="192" w:name="_Toc184312097"/>
      <w:bookmarkEnd w:id="192"/>
      <w:bookmarkStart w:id="193" w:name="_Toc184312135"/>
      <w:bookmarkEnd w:id="193"/>
      <w:bookmarkStart w:id="194" w:name="_Toc184308069"/>
      <w:bookmarkEnd w:id="194"/>
      <w:bookmarkStart w:id="195" w:name="_Toc184314452"/>
      <w:bookmarkEnd w:id="195"/>
      <w:bookmarkStart w:id="196" w:name="_Toc184314445"/>
      <w:bookmarkEnd w:id="196"/>
      <w:bookmarkStart w:id="197" w:name="_Toc184312082"/>
      <w:bookmarkEnd w:id="197"/>
      <w:bookmarkStart w:id="198" w:name="_Toc184310292"/>
      <w:bookmarkEnd w:id="198"/>
      <w:bookmarkStart w:id="199" w:name="_Toc184314481"/>
      <w:bookmarkEnd w:id="199"/>
      <w:bookmarkStart w:id="200" w:name="_Toc184308044"/>
      <w:bookmarkEnd w:id="200"/>
      <w:bookmarkStart w:id="201" w:name="_Toc184314468"/>
      <w:bookmarkEnd w:id="201"/>
      <w:bookmarkStart w:id="202" w:name="_Toc184310281"/>
      <w:bookmarkEnd w:id="202"/>
      <w:bookmarkStart w:id="203" w:name="_Toc184313301"/>
      <w:bookmarkEnd w:id="203"/>
      <w:bookmarkStart w:id="204" w:name="_Toc184312107"/>
      <w:bookmarkEnd w:id="204"/>
      <w:bookmarkStart w:id="205" w:name="_Toc184314422"/>
      <w:bookmarkEnd w:id="205"/>
      <w:bookmarkStart w:id="206" w:name="_Toc184310301"/>
      <w:bookmarkEnd w:id="206"/>
      <w:bookmarkStart w:id="207" w:name="_Toc184313308"/>
      <w:bookmarkEnd w:id="207"/>
      <w:bookmarkStart w:id="208" w:name="_Toc184308059"/>
      <w:bookmarkEnd w:id="208"/>
      <w:bookmarkStart w:id="209" w:name="_Toc184312130"/>
      <w:bookmarkEnd w:id="209"/>
      <w:bookmarkStart w:id="210" w:name="_Toc184314458"/>
      <w:bookmarkEnd w:id="210"/>
      <w:bookmarkStart w:id="211" w:name="_Toc184313272"/>
      <w:bookmarkEnd w:id="211"/>
      <w:bookmarkStart w:id="212" w:name="_Toc184310284"/>
      <w:bookmarkEnd w:id="212"/>
      <w:bookmarkStart w:id="213" w:name="_Toc184310325"/>
      <w:bookmarkEnd w:id="213"/>
      <w:bookmarkStart w:id="214" w:name="_Toc184310326"/>
      <w:bookmarkEnd w:id="214"/>
      <w:bookmarkStart w:id="215" w:name="_Toc184308097"/>
      <w:bookmarkEnd w:id="215"/>
      <w:bookmarkStart w:id="216" w:name="_Toc184310316"/>
      <w:bookmarkEnd w:id="216"/>
      <w:bookmarkStart w:id="217" w:name="_Toc184308075"/>
      <w:bookmarkEnd w:id="217"/>
      <w:bookmarkStart w:id="218" w:name="_Toc184310317"/>
      <w:bookmarkEnd w:id="218"/>
      <w:bookmarkStart w:id="219" w:name="_Toc184314417"/>
      <w:bookmarkEnd w:id="219"/>
      <w:bookmarkStart w:id="220" w:name="_Toc184313248"/>
      <w:bookmarkEnd w:id="220"/>
      <w:bookmarkStart w:id="221" w:name="_Toc184312080"/>
      <w:bookmarkEnd w:id="221"/>
      <w:bookmarkStart w:id="222" w:name="_Toc184310318"/>
      <w:bookmarkEnd w:id="222"/>
      <w:bookmarkStart w:id="223" w:name="_Toc184312069"/>
      <w:bookmarkEnd w:id="223"/>
      <w:bookmarkStart w:id="224" w:name="_Toc184313288"/>
      <w:bookmarkEnd w:id="224"/>
      <w:bookmarkStart w:id="225" w:name="_Toc184310298"/>
      <w:bookmarkEnd w:id="225"/>
      <w:bookmarkStart w:id="226" w:name="_Toc184314448"/>
      <w:bookmarkEnd w:id="226"/>
      <w:bookmarkStart w:id="227" w:name="_Toc184313268"/>
      <w:bookmarkEnd w:id="227"/>
      <w:bookmarkStart w:id="228" w:name="_Toc184314467"/>
      <w:bookmarkEnd w:id="228"/>
      <w:bookmarkStart w:id="229" w:name="_Toc184308041"/>
      <w:bookmarkEnd w:id="229"/>
      <w:bookmarkStart w:id="230" w:name="_Toc184310323"/>
      <w:bookmarkEnd w:id="230"/>
      <w:bookmarkStart w:id="231" w:name="_Toc184310294"/>
      <w:bookmarkEnd w:id="231"/>
      <w:bookmarkStart w:id="232" w:name="_Toc184312093"/>
      <w:bookmarkEnd w:id="232"/>
      <w:bookmarkStart w:id="233" w:name="_Toc184314420"/>
      <w:bookmarkEnd w:id="233"/>
      <w:bookmarkStart w:id="234" w:name="_Toc184314428"/>
      <w:bookmarkEnd w:id="234"/>
      <w:bookmarkStart w:id="235" w:name="_Toc184310309"/>
      <w:bookmarkEnd w:id="235"/>
      <w:bookmarkStart w:id="236" w:name="_Toc184312076"/>
      <w:bookmarkEnd w:id="236"/>
      <w:bookmarkStart w:id="237" w:name="_Toc184314443"/>
      <w:bookmarkEnd w:id="237"/>
      <w:bookmarkStart w:id="238" w:name="_Toc184314476"/>
      <w:bookmarkEnd w:id="238"/>
      <w:bookmarkStart w:id="239" w:name="_Toc184314438"/>
      <w:bookmarkEnd w:id="239"/>
      <w:bookmarkStart w:id="240" w:name="_Toc184312119"/>
      <w:bookmarkEnd w:id="240"/>
      <w:bookmarkStart w:id="241" w:name="_Toc184314424"/>
      <w:bookmarkEnd w:id="241"/>
      <w:bookmarkStart w:id="242" w:name="_Toc184308071"/>
      <w:bookmarkEnd w:id="242"/>
      <w:bookmarkStart w:id="243" w:name="_Toc184312117"/>
      <w:bookmarkEnd w:id="243"/>
      <w:bookmarkStart w:id="244" w:name="_Toc184308058"/>
      <w:bookmarkEnd w:id="244"/>
      <w:bookmarkStart w:id="245" w:name="_Toc184314466"/>
      <w:bookmarkEnd w:id="245"/>
      <w:bookmarkStart w:id="246" w:name="_Toc184312091"/>
      <w:bookmarkEnd w:id="246"/>
      <w:bookmarkStart w:id="247" w:name="_Toc184308036"/>
      <w:bookmarkEnd w:id="247"/>
      <w:bookmarkStart w:id="248" w:name="_Toc184308078"/>
      <w:bookmarkEnd w:id="248"/>
      <w:bookmarkStart w:id="249" w:name="_Toc184308105"/>
      <w:bookmarkEnd w:id="249"/>
      <w:bookmarkStart w:id="250" w:name="_Toc184312125"/>
      <w:bookmarkEnd w:id="250"/>
      <w:bookmarkStart w:id="251" w:name="_Toc184310275"/>
      <w:bookmarkEnd w:id="251"/>
      <w:bookmarkStart w:id="252" w:name="_Toc184308074"/>
      <w:bookmarkEnd w:id="252"/>
      <w:bookmarkStart w:id="253" w:name="_Toc184308092"/>
      <w:bookmarkEnd w:id="253"/>
      <w:bookmarkStart w:id="254" w:name="_Toc184308061"/>
      <w:bookmarkEnd w:id="254"/>
      <w:bookmarkStart w:id="255" w:name="_Toc184313287"/>
      <w:bookmarkEnd w:id="255"/>
      <w:bookmarkStart w:id="256" w:name="_Toc184310307"/>
      <w:bookmarkEnd w:id="256"/>
      <w:bookmarkStart w:id="257" w:name="_Toc184308043"/>
      <w:bookmarkEnd w:id="257"/>
      <w:bookmarkStart w:id="258" w:name="_Toc184313275"/>
      <w:bookmarkEnd w:id="258"/>
      <w:bookmarkStart w:id="259" w:name="_Toc184308064"/>
      <w:bookmarkEnd w:id="259"/>
      <w:bookmarkStart w:id="260" w:name="_Toc184310320"/>
      <w:bookmarkEnd w:id="260"/>
      <w:bookmarkStart w:id="261" w:name="_Toc184313307"/>
      <w:bookmarkEnd w:id="261"/>
      <w:bookmarkStart w:id="262" w:name="_Toc184312068"/>
      <w:bookmarkEnd w:id="262"/>
      <w:bookmarkStart w:id="263" w:name="_Toc184313253"/>
      <w:bookmarkEnd w:id="263"/>
      <w:bookmarkStart w:id="264" w:name="_Toc184310343"/>
      <w:bookmarkEnd w:id="264"/>
      <w:bookmarkStart w:id="265" w:name="_Toc184314414"/>
      <w:bookmarkEnd w:id="265"/>
      <w:bookmarkStart w:id="266" w:name="_Toc184308093"/>
      <w:bookmarkEnd w:id="266"/>
      <w:bookmarkStart w:id="267" w:name="_Toc184312113"/>
      <w:bookmarkEnd w:id="267"/>
      <w:bookmarkStart w:id="268" w:name="_Toc184314462"/>
      <w:bookmarkEnd w:id="268"/>
      <w:bookmarkStart w:id="269" w:name="_Toc184314441"/>
      <w:bookmarkEnd w:id="269"/>
      <w:bookmarkStart w:id="270" w:name="_Toc184313243"/>
      <w:bookmarkEnd w:id="270"/>
      <w:bookmarkStart w:id="271" w:name="_Toc184314435"/>
      <w:bookmarkEnd w:id="271"/>
      <w:bookmarkStart w:id="272" w:name="_Toc184310319"/>
      <w:bookmarkEnd w:id="272"/>
      <w:bookmarkStart w:id="273" w:name="_Toc184310310"/>
      <w:bookmarkEnd w:id="273"/>
      <w:bookmarkStart w:id="274" w:name="_Toc184308063"/>
      <w:bookmarkEnd w:id="274"/>
      <w:bookmarkStart w:id="275" w:name="_Toc184308047"/>
      <w:bookmarkEnd w:id="275"/>
      <w:bookmarkStart w:id="276" w:name="_Toc184308073"/>
      <w:bookmarkEnd w:id="276"/>
      <w:bookmarkStart w:id="277" w:name="_Toc184313286"/>
      <w:bookmarkEnd w:id="277"/>
      <w:bookmarkStart w:id="278" w:name="_Toc184314418"/>
      <w:bookmarkEnd w:id="278"/>
      <w:bookmarkStart w:id="279" w:name="_Toc184314471"/>
      <w:bookmarkEnd w:id="279"/>
      <w:bookmarkStart w:id="280" w:name="_Toc184312121"/>
      <w:bookmarkEnd w:id="280"/>
      <w:bookmarkStart w:id="281" w:name="_Toc184314410"/>
      <w:bookmarkEnd w:id="281"/>
      <w:bookmarkStart w:id="282" w:name="_Toc184314446"/>
      <w:bookmarkEnd w:id="282"/>
      <w:bookmarkStart w:id="283" w:name="_Toc184314473"/>
      <w:bookmarkEnd w:id="283"/>
      <w:bookmarkStart w:id="284" w:name="_Toc184313269"/>
      <w:bookmarkEnd w:id="284"/>
      <w:bookmarkStart w:id="285" w:name="_Toc184310344"/>
      <w:bookmarkEnd w:id="285"/>
      <w:bookmarkStart w:id="286" w:name="_Toc184308083"/>
      <w:bookmarkEnd w:id="286"/>
      <w:bookmarkStart w:id="287" w:name="_Toc184310328"/>
      <w:bookmarkEnd w:id="287"/>
      <w:bookmarkStart w:id="288" w:name="_Toc184308098"/>
      <w:bookmarkEnd w:id="288"/>
      <w:bookmarkStart w:id="289" w:name="_Toc184313241"/>
      <w:bookmarkEnd w:id="289"/>
      <w:bookmarkStart w:id="290" w:name="_Toc184313257"/>
      <w:bookmarkEnd w:id="290"/>
      <w:bookmarkStart w:id="291" w:name="_Toc184310293"/>
      <w:bookmarkEnd w:id="291"/>
      <w:bookmarkStart w:id="292" w:name="_Toc184313294"/>
      <w:bookmarkEnd w:id="292"/>
      <w:bookmarkStart w:id="293" w:name="_Toc184313238"/>
      <w:bookmarkEnd w:id="293"/>
      <w:bookmarkStart w:id="294" w:name="_Toc184314470"/>
      <w:bookmarkEnd w:id="294"/>
      <w:bookmarkStart w:id="295" w:name="_Toc184310334"/>
      <w:bookmarkEnd w:id="295"/>
      <w:bookmarkStart w:id="296" w:name="_Toc184312101"/>
      <w:bookmarkEnd w:id="296"/>
      <w:bookmarkStart w:id="297" w:name="_Toc184312116"/>
      <w:bookmarkEnd w:id="297"/>
      <w:bookmarkStart w:id="298" w:name="_Toc184310272"/>
      <w:bookmarkEnd w:id="298"/>
      <w:bookmarkStart w:id="299" w:name="_Toc184313296"/>
      <w:bookmarkEnd w:id="299"/>
      <w:bookmarkStart w:id="300" w:name="_Toc184313297"/>
      <w:bookmarkEnd w:id="300"/>
      <w:bookmarkStart w:id="301" w:name="_Toc184313240"/>
      <w:bookmarkEnd w:id="301"/>
      <w:bookmarkStart w:id="302" w:name="_Toc184308060"/>
      <w:bookmarkEnd w:id="302"/>
      <w:bookmarkStart w:id="303" w:name="_Toc184310278"/>
      <w:bookmarkEnd w:id="303"/>
      <w:bookmarkStart w:id="304" w:name="_Toc184313273"/>
      <w:bookmarkEnd w:id="304"/>
      <w:bookmarkStart w:id="305" w:name="_Toc184313304"/>
      <w:bookmarkEnd w:id="305"/>
      <w:bookmarkStart w:id="306" w:name="_Toc184310280"/>
      <w:bookmarkEnd w:id="306"/>
      <w:bookmarkStart w:id="307" w:name="_Toc184313309"/>
      <w:bookmarkEnd w:id="307"/>
      <w:bookmarkStart w:id="308" w:name="_Toc184308038"/>
      <w:bookmarkEnd w:id="308"/>
      <w:bookmarkStart w:id="309" w:name="_Toc184310282"/>
      <w:bookmarkEnd w:id="309"/>
      <w:bookmarkStart w:id="310" w:name="_Toc184314474"/>
      <w:bookmarkEnd w:id="310"/>
      <w:bookmarkStart w:id="311" w:name="_Toc184313283"/>
      <w:bookmarkEnd w:id="311"/>
      <w:bookmarkStart w:id="312" w:name="_Toc184314465"/>
      <w:bookmarkEnd w:id="312"/>
      <w:bookmarkStart w:id="313" w:name="_Toc184314450"/>
      <w:bookmarkEnd w:id="313"/>
      <w:bookmarkStart w:id="314" w:name="_Toc184308050"/>
      <w:bookmarkEnd w:id="314"/>
      <w:bookmarkStart w:id="315" w:name="_Toc184313249"/>
      <w:bookmarkEnd w:id="315"/>
      <w:bookmarkStart w:id="316" w:name="_Toc184314437"/>
      <w:bookmarkEnd w:id="316"/>
      <w:bookmarkStart w:id="317" w:name="_Toc184308065"/>
      <w:bookmarkEnd w:id="317"/>
      <w:bookmarkStart w:id="318" w:name="_Toc184308039"/>
      <w:bookmarkEnd w:id="318"/>
      <w:bookmarkStart w:id="319" w:name="_Toc184308085"/>
      <w:bookmarkEnd w:id="319"/>
      <w:bookmarkStart w:id="320" w:name="_Toc184312074"/>
      <w:bookmarkEnd w:id="320"/>
      <w:bookmarkStart w:id="321" w:name="_Toc184308107"/>
      <w:bookmarkEnd w:id="321"/>
      <w:bookmarkStart w:id="322" w:name="_Toc184313258"/>
      <w:bookmarkEnd w:id="322"/>
      <w:bookmarkStart w:id="323" w:name="_Toc184308046"/>
      <w:bookmarkEnd w:id="323"/>
      <w:bookmarkStart w:id="324" w:name="_Toc184313266"/>
      <w:bookmarkEnd w:id="324"/>
      <w:bookmarkStart w:id="325" w:name="_Toc184308053"/>
      <w:bookmarkEnd w:id="325"/>
      <w:bookmarkStart w:id="326" w:name="_Toc184312139"/>
      <w:bookmarkEnd w:id="326"/>
      <w:bookmarkStart w:id="327" w:name="_Toc184313260"/>
      <w:bookmarkEnd w:id="327"/>
      <w:bookmarkStart w:id="328" w:name="_Toc184308106"/>
      <w:bookmarkEnd w:id="328"/>
      <w:bookmarkStart w:id="329" w:name="_Toc184310287"/>
      <w:bookmarkEnd w:id="329"/>
      <w:bookmarkStart w:id="330" w:name="_Toc184312122"/>
      <w:bookmarkEnd w:id="330"/>
      <w:bookmarkStart w:id="331" w:name="_Toc184312110"/>
      <w:bookmarkEnd w:id="331"/>
      <w:bookmarkStart w:id="332" w:name="_Toc184312096"/>
      <w:bookmarkEnd w:id="332"/>
      <w:bookmarkStart w:id="333" w:name="_Toc184314464"/>
      <w:bookmarkEnd w:id="333"/>
      <w:bookmarkStart w:id="334" w:name="_Toc184313300"/>
      <w:bookmarkEnd w:id="334"/>
      <w:bookmarkStart w:id="335" w:name="_Toc184308101"/>
      <w:bookmarkEnd w:id="335"/>
      <w:bookmarkStart w:id="336" w:name="_Toc184310332"/>
      <w:bookmarkEnd w:id="336"/>
      <w:bookmarkStart w:id="337" w:name="_Toc184308082"/>
      <w:bookmarkEnd w:id="337"/>
      <w:bookmarkStart w:id="338" w:name="_Toc184308094"/>
      <w:bookmarkEnd w:id="338"/>
      <w:bookmarkStart w:id="339" w:name="_Toc184313279"/>
      <w:bookmarkEnd w:id="339"/>
      <w:bookmarkStart w:id="340" w:name="_Toc184313289"/>
      <w:bookmarkEnd w:id="340"/>
      <w:bookmarkStart w:id="341" w:name="_Toc184314463"/>
      <w:bookmarkEnd w:id="341"/>
      <w:bookmarkStart w:id="342" w:name="_Toc184313270"/>
      <w:bookmarkEnd w:id="342"/>
      <w:bookmarkStart w:id="343" w:name="_Toc184314433"/>
      <w:bookmarkEnd w:id="343"/>
      <w:bookmarkStart w:id="344" w:name="_Toc184313303"/>
      <w:bookmarkEnd w:id="344"/>
      <w:bookmarkStart w:id="345" w:name="_Toc184312102"/>
      <w:bookmarkEnd w:id="345"/>
      <w:bookmarkStart w:id="346" w:name="_Toc184312090"/>
      <w:bookmarkEnd w:id="346"/>
      <w:bookmarkStart w:id="347" w:name="_Toc184308048"/>
      <w:bookmarkEnd w:id="347"/>
      <w:bookmarkStart w:id="348" w:name="_Toc184312105"/>
      <w:bookmarkEnd w:id="348"/>
      <w:bookmarkStart w:id="349" w:name="_Toc184312114"/>
      <w:bookmarkEnd w:id="349"/>
      <w:bookmarkStart w:id="350" w:name="_Toc184313251"/>
      <w:bookmarkEnd w:id="350"/>
      <w:bookmarkStart w:id="351" w:name="_Toc184310300"/>
      <w:bookmarkEnd w:id="351"/>
      <w:bookmarkStart w:id="352" w:name="_Toc184314460"/>
      <w:bookmarkEnd w:id="352"/>
      <w:bookmarkStart w:id="353" w:name="_Toc184313302"/>
      <w:bookmarkEnd w:id="353"/>
      <w:bookmarkStart w:id="354" w:name="_Toc184313247"/>
      <w:bookmarkEnd w:id="354"/>
      <w:bookmarkStart w:id="355" w:name="_Toc184310337"/>
      <w:bookmarkEnd w:id="355"/>
      <w:bookmarkStart w:id="356" w:name="_Toc184313298"/>
      <w:bookmarkEnd w:id="356"/>
      <w:bookmarkStart w:id="357" w:name="_Toc184310339"/>
      <w:bookmarkEnd w:id="357"/>
      <w:bookmarkStart w:id="358" w:name="_Toc184313245"/>
      <w:bookmarkEnd w:id="358"/>
      <w:bookmarkStart w:id="359" w:name="_Toc184308100"/>
      <w:bookmarkEnd w:id="359"/>
      <w:bookmarkStart w:id="360" w:name="_Toc184313310"/>
      <w:bookmarkEnd w:id="360"/>
      <w:bookmarkStart w:id="361" w:name="_Toc184310314"/>
      <w:bookmarkEnd w:id="361"/>
      <w:bookmarkStart w:id="362" w:name="_Toc184313290"/>
      <w:bookmarkEnd w:id="362"/>
      <w:bookmarkStart w:id="363" w:name="_Toc184314431"/>
      <w:bookmarkEnd w:id="363"/>
      <w:bookmarkStart w:id="364" w:name="_Toc184313265"/>
      <w:bookmarkEnd w:id="364"/>
      <w:bookmarkStart w:id="365" w:name="_Toc184310290"/>
      <w:bookmarkEnd w:id="365"/>
      <w:bookmarkStart w:id="366" w:name="_Toc184310322"/>
      <w:bookmarkEnd w:id="366"/>
      <w:bookmarkStart w:id="367" w:name="_Toc184313239"/>
      <w:bookmarkEnd w:id="367"/>
      <w:bookmarkStart w:id="368" w:name="_Toc184314478"/>
      <w:bookmarkEnd w:id="368"/>
      <w:bookmarkStart w:id="369" w:name="_Toc184312092"/>
      <w:bookmarkEnd w:id="369"/>
      <w:bookmarkStart w:id="370" w:name="_Toc184308081"/>
      <w:bookmarkEnd w:id="370"/>
      <w:bookmarkStart w:id="371" w:name="_Toc184312088"/>
      <w:bookmarkEnd w:id="371"/>
      <w:bookmarkStart w:id="372" w:name="_Toc184312103"/>
      <w:bookmarkEnd w:id="372"/>
      <w:bookmarkStart w:id="373" w:name="_Toc184310276"/>
      <w:bookmarkEnd w:id="373"/>
      <w:bookmarkStart w:id="374" w:name="_Toc184312115"/>
      <w:bookmarkEnd w:id="374"/>
      <w:bookmarkStart w:id="375" w:name="_Toc184312084"/>
      <w:bookmarkEnd w:id="375"/>
      <w:bookmarkStart w:id="376" w:name="_Toc184310333"/>
      <w:bookmarkEnd w:id="376"/>
      <w:bookmarkStart w:id="377" w:name="_Toc184314434"/>
      <w:bookmarkEnd w:id="377"/>
      <w:bookmarkStart w:id="378" w:name="_Toc184314439"/>
      <w:bookmarkEnd w:id="378"/>
      <w:bookmarkStart w:id="379" w:name="_Toc184308037"/>
      <w:bookmarkEnd w:id="379"/>
      <w:bookmarkStart w:id="380" w:name="_Toc184312070"/>
      <w:bookmarkEnd w:id="380"/>
      <w:bookmarkStart w:id="381" w:name="_Toc184313256"/>
      <w:bookmarkEnd w:id="381"/>
      <w:bookmarkStart w:id="382" w:name="_Toc184310313"/>
      <w:bookmarkEnd w:id="382"/>
      <w:bookmarkStart w:id="383" w:name="_Toc184310324"/>
      <w:bookmarkEnd w:id="383"/>
      <w:bookmarkStart w:id="384" w:name="_Toc184310330"/>
      <w:bookmarkEnd w:id="384"/>
      <w:bookmarkStart w:id="385" w:name="_Toc184312112"/>
      <w:bookmarkEnd w:id="385"/>
      <w:bookmarkStart w:id="386" w:name="_Toc184312123"/>
      <w:bookmarkEnd w:id="386"/>
      <w:bookmarkStart w:id="387" w:name="_Toc184314442"/>
      <w:bookmarkEnd w:id="387"/>
      <w:bookmarkStart w:id="388" w:name="_Toc184312108"/>
      <w:bookmarkEnd w:id="388"/>
      <w:bookmarkStart w:id="389" w:name="_Toc184313284"/>
      <w:bookmarkEnd w:id="389"/>
      <w:bookmarkStart w:id="390" w:name="_Toc184313295"/>
      <w:bookmarkEnd w:id="390"/>
      <w:bookmarkStart w:id="391" w:name="_Toc184310306"/>
      <w:bookmarkEnd w:id="391"/>
      <w:bookmarkStart w:id="392" w:name="_Toc184313250"/>
      <w:bookmarkEnd w:id="392"/>
      <w:bookmarkStart w:id="393" w:name="_Toc184313254"/>
      <w:bookmarkEnd w:id="393"/>
      <w:bookmarkStart w:id="394" w:name="_Toc184314430"/>
      <w:bookmarkEnd w:id="394"/>
      <w:bookmarkStart w:id="395" w:name="_Toc184308068"/>
      <w:bookmarkEnd w:id="395"/>
      <w:bookmarkStart w:id="396" w:name="_Toc184312129"/>
      <w:bookmarkEnd w:id="396"/>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2"/>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20"/>
        <w:gridCol w:w="4678"/>
        <w:gridCol w:w="85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92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名称</w:t>
            </w:r>
          </w:p>
        </w:tc>
        <w:tc>
          <w:tcPr>
            <w:tcW w:w="4678"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992" w:type="dxa"/>
            <w:vAlign w:val="center"/>
          </w:tcPr>
          <w:p>
            <w:pPr>
              <w:snapToGrid w:val="0"/>
              <w:spacing w:line="300" w:lineRule="exact"/>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134" w:type="dxa"/>
          </w:tcPr>
          <w:p>
            <w:pPr>
              <w:snapToGrid w:val="0"/>
              <w:spacing w:line="300" w:lineRule="exact"/>
              <w:jc w:val="center"/>
              <w:rPr>
                <w:rFonts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9"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920" w:type="dxa"/>
            <w:vMerge w:val="restart"/>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
                <w:b/>
                <w:color w:val="auto"/>
                <w:szCs w:val="21"/>
                <w:highlight w:val="none"/>
                <w:lang w:val="zh-CN"/>
              </w:rPr>
              <w:t>维护设施投入</w:t>
            </w:r>
          </w:p>
        </w:tc>
        <w:tc>
          <w:tcPr>
            <w:tcW w:w="4678" w:type="dxa"/>
          </w:tcPr>
          <w:p>
            <w:pPr>
              <w:snapToGrid w:val="0"/>
              <w:spacing w:line="360" w:lineRule="auto"/>
              <w:jc w:val="left"/>
              <w:rPr>
                <w:rFonts w:ascii="仿宋" w:hAnsi="仿宋" w:eastAsia="仿宋" w:cs="仿宋"/>
                <w:color w:val="auto"/>
                <w:szCs w:val="21"/>
                <w:highlight w:val="none"/>
              </w:rPr>
            </w:pPr>
            <w:bookmarkStart w:id="397" w:name="_Hlk64977272"/>
            <w:r>
              <w:rPr>
                <w:rFonts w:hint="eastAsia" w:ascii="仿宋" w:hAnsi="仿宋" w:eastAsia="仿宋" w:cs="仿宋"/>
                <w:color w:val="auto"/>
                <w:szCs w:val="21"/>
                <w:highlight w:val="none"/>
              </w:rPr>
              <w:t>①投标人针对本项目用于路灯巡视抢修的皮卡车</w:t>
            </w:r>
            <w:bookmarkEnd w:id="397"/>
            <w:r>
              <w:rPr>
                <w:rFonts w:hint="eastAsia" w:ascii="仿宋" w:hAnsi="仿宋" w:eastAsia="仿宋" w:cs="仿宋"/>
                <w:color w:val="auto"/>
                <w:szCs w:val="21"/>
                <w:highlight w:val="none"/>
              </w:rPr>
              <w:t>数量及要求符合招标文件要求得2分，</w:t>
            </w:r>
            <w:r>
              <w:rPr>
                <w:rFonts w:hint="eastAsia" w:ascii="仿宋" w:hAnsi="仿宋" w:eastAsia="仿宋" w:cs="宋体"/>
                <w:bCs/>
                <w:color w:val="auto"/>
                <w:szCs w:val="21"/>
                <w:highlight w:val="none"/>
                <w:lang w:val="zh-CN"/>
              </w:rPr>
              <w:t>每增加1辆（</w:t>
            </w:r>
            <w:r>
              <w:rPr>
                <w:rFonts w:hint="eastAsia" w:ascii="仿宋" w:hAnsi="仿宋" w:eastAsia="仿宋" w:cs="宋体"/>
                <w:bCs/>
                <w:color w:val="auto"/>
                <w:szCs w:val="21"/>
                <w:highlight w:val="none"/>
              </w:rPr>
              <w:t>自有或租赁</w:t>
            </w:r>
            <w:r>
              <w:rPr>
                <w:rFonts w:hint="eastAsia" w:ascii="仿宋" w:hAnsi="仿宋" w:eastAsia="仿宋" w:cs="宋体"/>
                <w:bCs/>
                <w:color w:val="auto"/>
                <w:szCs w:val="21"/>
                <w:highlight w:val="none"/>
                <w:lang w:val="zh-CN"/>
              </w:rPr>
              <w:t>）得0.5分，本项最</w:t>
            </w:r>
            <w:r>
              <w:rPr>
                <w:rFonts w:hint="eastAsia" w:ascii="仿宋" w:hAnsi="仿宋" w:eastAsia="仿宋" w:cs="宋体"/>
                <w:bCs/>
                <w:color w:val="auto"/>
                <w:szCs w:val="21"/>
                <w:highlight w:val="none"/>
              </w:rPr>
              <w:t>高</w:t>
            </w:r>
            <w:r>
              <w:rPr>
                <w:rFonts w:hint="eastAsia" w:ascii="仿宋" w:hAnsi="仿宋" w:eastAsia="仿宋" w:cs="宋体"/>
                <w:bCs/>
                <w:color w:val="auto"/>
                <w:szCs w:val="21"/>
                <w:highlight w:val="none"/>
                <w:lang w:val="zh-CN"/>
              </w:rPr>
              <w:t>得4分；</w:t>
            </w:r>
          </w:p>
          <w:p>
            <w:pPr>
              <w:snapToGrid w:val="0"/>
              <w:spacing w:line="360" w:lineRule="auto"/>
              <w:jc w:val="left"/>
              <w:rPr>
                <w:rFonts w:ascii="仿宋" w:hAnsi="仿宋" w:eastAsia="仿宋" w:cs="仿宋"/>
                <w:color w:val="auto"/>
                <w:szCs w:val="21"/>
                <w:highlight w:val="none"/>
              </w:rPr>
            </w:pPr>
            <w:bookmarkStart w:id="398" w:name="_Hlk64980699"/>
            <w:r>
              <w:rPr>
                <w:rFonts w:hint="eastAsia" w:ascii="仿宋" w:hAnsi="仿宋" w:eastAsia="仿宋" w:cs="仿宋"/>
                <w:color w:val="auto"/>
                <w:szCs w:val="21"/>
                <w:highlight w:val="none"/>
              </w:rPr>
              <w:t>②投标人针对本项目用于开展高空作业的专项作业车（自有）</w:t>
            </w:r>
            <w:bookmarkEnd w:id="398"/>
            <w:r>
              <w:rPr>
                <w:rFonts w:hint="eastAsia" w:ascii="仿宋" w:hAnsi="仿宋" w:eastAsia="仿宋" w:cs="仿宋"/>
                <w:color w:val="auto"/>
                <w:szCs w:val="21"/>
                <w:highlight w:val="none"/>
              </w:rPr>
              <w:t>，数量及要求符合招标文件要求得4分，</w:t>
            </w:r>
            <w:r>
              <w:rPr>
                <w:rFonts w:hint="eastAsia" w:ascii="仿宋" w:hAnsi="仿宋" w:eastAsia="仿宋" w:cs="宋体"/>
                <w:bCs/>
                <w:color w:val="auto"/>
                <w:szCs w:val="21"/>
                <w:highlight w:val="none"/>
                <w:lang w:val="zh-CN"/>
              </w:rPr>
              <w:t>每增加1辆（自有）的得2分，最高得4分；每增加1辆（租赁）的得1分，最高得2分。本项最</w:t>
            </w:r>
            <w:r>
              <w:rPr>
                <w:rFonts w:hint="eastAsia" w:ascii="仿宋" w:hAnsi="仿宋" w:eastAsia="仿宋" w:cs="宋体"/>
                <w:bCs/>
                <w:color w:val="auto"/>
                <w:szCs w:val="21"/>
                <w:highlight w:val="none"/>
              </w:rPr>
              <w:t>高</w:t>
            </w:r>
            <w:r>
              <w:rPr>
                <w:rFonts w:hint="eastAsia" w:ascii="仿宋" w:hAnsi="仿宋" w:eastAsia="仿宋" w:cs="宋体"/>
                <w:bCs/>
                <w:color w:val="auto"/>
                <w:szCs w:val="21"/>
                <w:highlight w:val="none"/>
                <w:lang w:val="zh-CN"/>
              </w:rPr>
              <w:t>得8分</w:t>
            </w:r>
            <w:r>
              <w:rPr>
                <w:rFonts w:hint="eastAsia" w:ascii="仿宋" w:hAnsi="仿宋" w:eastAsia="仿宋" w:cs="宋体"/>
                <w:bCs/>
                <w:color w:val="auto"/>
                <w:szCs w:val="21"/>
                <w:highlight w:val="none"/>
              </w:rPr>
              <w:t>,加分车辆最多计两辆</w:t>
            </w:r>
            <w:r>
              <w:rPr>
                <w:rFonts w:hint="eastAsia" w:ascii="仿宋" w:hAnsi="仿宋" w:eastAsia="仿宋" w:cs="仿宋"/>
                <w:color w:val="auto"/>
                <w:szCs w:val="21"/>
                <w:highlight w:val="none"/>
              </w:rPr>
              <w:t>；</w:t>
            </w:r>
          </w:p>
          <w:p>
            <w:pPr>
              <w:snapToGrid w:val="0"/>
              <w:spacing w:line="360" w:lineRule="auto"/>
              <w:jc w:val="left"/>
              <w:rPr>
                <w:rFonts w:ascii="仿宋" w:hAnsi="仿宋" w:eastAsia="仿宋" w:cs="仿宋"/>
                <w:color w:val="auto"/>
                <w:szCs w:val="21"/>
                <w:highlight w:val="none"/>
              </w:rPr>
            </w:pPr>
            <w:bookmarkStart w:id="399" w:name="_Hlk64980715"/>
            <w:r>
              <w:rPr>
                <w:rFonts w:hint="eastAsia" w:ascii="仿宋" w:hAnsi="仿宋" w:eastAsia="仿宋" w:cs="仿宋"/>
                <w:color w:val="auto"/>
                <w:szCs w:val="21"/>
                <w:highlight w:val="none"/>
              </w:rPr>
              <w:t>③投标人针对本项目具备发电车（自有）</w:t>
            </w:r>
            <w:bookmarkEnd w:id="399"/>
            <w:r>
              <w:rPr>
                <w:rFonts w:hint="eastAsia" w:ascii="仿宋" w:hAnsi="仿宋" w:eastAsia="仿宋" w:cs="仿宋"/>
                <w:color w:val="auto"/>
                <w:szCs w:val="21"/>
                <w:highlight w:val="none"/>
              </w:rPr>
              <w:t>，数量及要求符合招标文件要求得2分，</w:t>
            </w:r>
            <w:r>
              <w:rPr>
                <w:rFonts w:hint="eastAsia" w:ascii="仿宋" w:hAnsi="仿宋" w:eastAsia="仿宋" w:cs="宋体"/>
                <w:bCs/>
                <w:color w:val="auto"/>
                <w:szCs w:val="21"/>
                <w:highlight w:val="none"/>
                <w:lang w:val="zh-CN"/>
              </w:rPr>
              <w:t>每增加1辆（自有）的得1分，最高得2分；每增加1辆（租赁）的得0.5分，最高得1分。本项最</w:t>
            </w:r>
            <w:r>
              <w:rPr>
                <w:rFonts w:hint="eastAsia" w:ascii="仿宋" w:hAnsi="仿宋" w:eastAsia="仿宋" w:cs="宋体"/>
                <w:bCs/>
                <w:color w:val="auto"/>
                <w:szCs w:val="21"/>
                <w:highlight w:val="none"/>
              </w:rPr>
              <w:t>高</w:t>
            </w:r>
            <w:r>
              <w:rPr>
                <w:rFonts w:hint="eastAsia" w:ascii="仿宋" w:hAnsi="仿宋" w:eastAsia="仿宋" w:cs="宋体"/>
                <w:bCs/>
                <w:color w:val="auto"/>
                <w:szCs w:val="21"/>
                <w:highlight w:val="none"/>
                <w:lang w:val="zh-CN"/>
              </w:rPr>
              <w:t>得4分</w:t>
            </w:r>
            <w:r>
              <w:rPr>
                <w:rFonts w:hint="eastAsia" w:ascii="仿宋" w:hAnsi="仿宋" w:eastAsia="仿宋" w:cs="宋体"/>
                <w:bCs/>
                <w:color w:val="auto"/>
                <w:szCs w:val="21"/>
                <w:highlight w:val="none"/>
              </w:rPr>
              <w:t>,加分车辆最多计两辆</w:t>
            </w:r>
            <w:r>
              <w:rPr>
                <w:rFonts w:hint="eastAsia" w:ascii="仿宋" w:hAnsi="仿宋" w:eastAsia="仿宋" w:cs="仿宋"/>
                <w:color w:val="auto"/>
                <w:szCs w:val="21"/>
                <w:highlight w:val="none"/>
              </w:rPr>
              <w:t>；</w:t>
            </w:r>
          </w:p>
          <w:p>
            <w:pPr>
              <w:snapToGrid w:val="0"/>
              <w:spacing w:line="360" w:lineRule="auto"/>
              <w:jc w:val="left"/>
              <w:rPr>
                <w:rFonts w:ascii="仿宋" w:hAnsi="仿宋" w:eastAsia="仿宋" w:cs="仿宋"/>
                <w:color w:val="auto"/>
                <w:szCs w:val="21"/>
                <w:highlight w:val="none"/>
              </w:rPr>
            </w:pPr>
            <w:bookmarkStart w:id="400" w:name="_Hlk64980730"/>
            <w:r>
              <w:rPr>
                <w:rFonts w:hint="eastAsia" w:ascii="仿宋" w:hAnsi="仿宋" w:eastAsia="仿宋" w:cs="仿宋"/>
                <w:color w:val="auto"/>
                <w:szCs w:val="21"/>
                <w:highlight w:val="none"/>
              </w:rPr>
              <w:t>④投标人针对本项目具备带电作业车（自有）</w:t>
            </w:r>
            <w:bookmarkEnd w:id="400"/>
            <w:r>
              <w:rPr>
                <w:rFonts w:hint="eastAsia" w:ascii="仿宋" w:hAnsi="仿宋" w:eastAsia="仿宋" w:cs="仿宋"/>
                <w:color w:val="auto"/>
                <w:szCs w:val="21"/>
                <w:highlight w:val="none"/>
              </w:rPr>
              <w:t>数量及要求符合招标文件要求得2分；</w:t>
            </w:r>
          </w:p>
          <w:p>
            <w:pPr>
              <w:snapToGrid w:val="0"/>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证明材料：自有车辆须提供车辆行驶证扫描件、车辆照片、对应车辆保单复印件并加盖公章；租赁车辆需提供租赁合同、车辆行驶证扫描件、对应车辆保单复印件并加盖公章，不提供不得分。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tabs>
                <w:tab w:val="left" w:pos="34"/>
              </w:tabs>
              <w:spacing w:line="360" w:lineRule="auto"/>
              <w:ind w:firstLine="34" w:firstLineChars="16"/>
              <w:jc w:val="left"/>
              <w:rPr>
                <w:rFonts w:ascii="仿宋" w:hAnsi="仿宋" w:eastAsia="仿宋" w:cs="仿宋"/>
                <w:color w:val="auto"/>
                <w:szCs w:val="21"/>
                <w:highlight w:val="none"/>
              </w:rPr>
            </w:pPr>
            <w:bookmarkStart w:id="401" w:name="_Hlk64980854"/>
            <w:r>
              <w:rPr>
                <w:rFonts w:hint="eastAsia" w:ascii="仿宋" w:hAnsi="仿宋" w:eastAsia="仿宋" w:cs="仿宋"/>
                <w:b/>
                <w:color w:val="auto"/>
                <w:szCs w:val="21"/>
                <w:highlight w:val="none"/>
              </w:rPr>
              <w:t>投入的主要工器具及机械设备配置方案</w:t>
            </w:r>
            <w:bookmarkEnd w:id="401"/>
            <w:r>
              <w:rPr>
                <w:rFonts w:hint="eastAsia" w:ascii="仿宋" w:hAnsi="仿宋" w:eastAsia="仿宋" w:cs="仿宋"/>
                <w:b/>
                <w:color w:val="auto"/>
                <w:szCs w:val="21"/>
                <w:highlight w:val="none"/>
                <w:lang w:val="en-US" w:eastAsia="zh-CN"/>
              </w:rPr>
              <w:t>(车辆除外）</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lang w:val="zh-CN"/>
              </w:rPr>
              <w:t>投标人针对本项目</w:t>
            </w:r>
            <w:r>
              <w:rPr>
                <w:rFonts w:hint="eastAsia" w:ascii="仿宋" w:hAnsi="仿宋" w:eastAsia="仿宋" w:cs="仿宋"/>
                <w:color w:val="auto"/>
                <w:szCs w:val="21"/>
                <w:highlight w:val="none"/>
              </w:rPr>
              <w:t>投入的主要工器具及机械设备配置的完整性、针对性等情况。配置齐全、合理得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分；配置有所欠缺的得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分，不提供不得分。</w:t>
            </w:r>
          </w:p>
        </w:tc>
        <w:tc>
          <w:tcPr>
            <w:tcW w:w="850" w:type="dxa"/>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20" w:type="dxa"/>
            <w:vAlign w:val="center"/>
          </w:tcPr>
          <w:p>
            <w:pPr>
              <w:snapToGrid w:val="0"/>
              <w:spacing w:line="360" w:lineRule="auto"/>
              <w:jc w:val="center"/>
              <w:rPr>
                <w:rFonts w:ascii="仿宋" w:hAnsi="仿宋" w:eastAsia="仿宋" w:cs="仿宋_GB2312"/>
                <w:color w:val="auto"/>
                <w:sz w:val="24"/>
                <w:highlight w:val="none"/>
              </w:rPr>
            </w:pPr>
            <w:bookmarkStart w:id="402" w:name="_Hlk64980872"/>
            <w:r>
              <w:rPr>
                <w:rFonts w:hint="eastAsia" w:ascii="仿宋" w:hAnsi="仿宋" w:eastAsia="仿宋" w:cs="仿宋"/>
                <w:b/>
                <w:color w:val="auto"/>
                <w:szCs w:val="21"/>
                <w:highlight w:val="none"/>
              </w:rPr>
              <w:t>投标方案优劣情况</w:t>
            </w:r>
            <w:bookmarkEnd w:id="402"/>
          </w:p>
        </w:tc>
        <w:tc>
          <w:tcPr>
            <w:tcW w:w="4678" w:type="dxa"/>
          </w:tcPr>
          <w:p>
            <w:pPr>
              <w:tabs>
                <w:tab w:val="left" w:pos="318"/>
              </w:tabs>
              <w:snapToGrid w:val="0"/>
              <w:spacing w:line="360" w:lineRule="auto"/>
              <w:jc w:val="left"/>
              <w:rPr>
                <w:rFonts w:ascii="仿宋" w:hAnsi="仿宋" w:eastAsia="仿宋" w:cs="仿宋_GB2312"/>
                <w:color w:val="auto"/>
                <w:sz w:val="24"/>
                <w:highlight w:val="none"/>
              </w:rPr>
            </w:pPr>
            <w:bookmarkStart w:id="403" w:name="_Hlk64980895"/>
            <w:r>
              <w:rPr>
                <w:rFonts w:hint="eastAsia" w:ascii="仿宋" w:hAnsi="仿宋" w:eastAsia="仿宋" w:cs="仿宋"/>
                <w:b/>
                <w:color w:val="auto"/>
                <w:szCs w:val="21"/>
                <w:highlight w:val="none"/>
              </w:rPr>
              <w:t>突发事件、自然灾害处理应急方案</w:t>
            </w:r>
            <w:bookmarkEnd w:id="403"/>
            <w:r>
              <w:rPr>
                <w:rFonts w:hint="eastAsia" w:ascii="仿宋" w:hAnsi="仿宋" w:eastAsia="仿宋" w:cs="仿宋"/>
                <w:b/>
                <w:color w:val="auto"/>
                <w:szCs w:val="21"/>
                <w:highlight w:val="none"/>
              </w:rPr>
              <w:t>：</w:t>
            </w:r>
            <w:r>
              <w:rPr>
                <w:rFonts w:hint="eastAsia" w:ascii="仿宋" w:hAnsi="仿宋" w:eastAsia="仿宋" w:cs="仿宋"/>
                <w:bCs/>
                <w:color w:val="auto"/>
                <w:szCs w:val="21"/>
                <w:highlight w:val="none"/>
              </w:rPr>
              <w:t>①是否建立突发事件、自然灾害处理保障应急预案；②方案对可能遇到的问题及其应对措施的考虑情况。在服务期间巡检、故障处理的组织和联系机制的合理性、有效性，方案科学、可靠且贴合实际的得4分,内容有所欠缺的得2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20" w:type="dxa"/>
            <w:vMerge w:val="restart"/>
            <w:vAlign w:val="center"/>
          </w:tcPr>
          <w:p>
            <w:pPr>
              <w:snapToGrid w:val="0"/>
              <w:spacing w:line="360" w:lineRule="auto"/>
              <w:jc w:val="center"/>
              <w:rPr>
                <w:rFonts w:ascii="仿宋" w:hAnsi="仿宋" w:eastAsia="仿宋" w:cs="仿宋_GB2312"/>
                <w:color w:val="auto"/>
                <w:sz w:val="24"/>
                <w:highlight w:val="none"/>
              </w:rPr>
            </w:pPr>
            <w:bookmarkStart w:id="404" w:name="_Hlk64980906"/>
            <w:r>
              <w:rPr>
                <w:rFonts w:hint="eastAsia" w:ascii="仿宋" w:hAnsi="仿宋" w:eastAsia="仿宋" w:cs="仿宋"/>
                <w:b/>
                <w:color w:val="auto"/>
                <w:szCs w:val="21"/>
                <w:highlight w:val="none"/>
              </w:rPr>
              <w:t>日常维护服务</w:t>
            </w:r>
            <w:bookmarkEnd w:id="404"/>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bCs/>
                <w:color w:val="auto"/>
                <w:szCs w:val="21"/>
                <w:highlight w:val="none"/>
              </w:rPr>
              <w:t>投标人承担重大活动亮灯保障任务的专项方案。保障</w:t>
            </w:r>
            <w:r>
              <w:rPr>
                <w:rFonts w:hint="eastAsia" w:ascii="仿宋" w:hAnsi="仿宋" w:eastAsia="仿宋" w:cs="仿宋"/>
                <w:color w:val="auto"/>
                <w:szCs w:val="21"/>
                <w:highlight w:val="none"/>
              </w:rPr>
              <w:t>措施科学、合理，可行得4分；内容有所欠缺的得2分；不提供不得分。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bCs/>
                <w:color w:val="auto"/>
                <w:szCs w:val="21"/>
                <w:highlight w:val="none"/>
              </w:rPr>
              <w:t>7*24小时受理报修服务值班方案。方案科学、合理、完善</w:t>
            </w:r>
            <w:r>
              <w:rPr>
                <w:rFonts w:hint="eastAsia" w:ascii="仿宋" w:hAnsi="仿宋" w:eastAsia="仿宋" w:cs="仿宋"/>
                <w:color w:val="auto"/>
                <w:szCs w:val="21"/>
                <w:highlight w:val="none"/>
              </w:rPr>
              <w:t>得4分；内容有所欠缺的得2分；不提供不得分。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bCs/>
                <w:color w:val="auto"/>
                <w:szCs w:val="21"/>
                <w:highlight w:val="none"/>
              </w:rPr>
              <w:t>投标人处理数字城管、12345、市民来电等工单的方案。</w:t>
            </w:r>
            <w:r>
              <w:rPr>
                <w:rFonts w:hint="eastAsia" w:ascii="仿宋" w:hAnsi="仿宋" w:eastAsia="仿宋" w:cs="仿宋"/>
                <w:color w:val="auto"/>
                <w:szCs w:val="21"/>
                <w:highlight w:val="none"/>
              </w:rPr>
              <w:t>方案可行且高效得4分；内容有所欠缺的得2分；不提供不得分。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color w:val="auto"/>
                <w:szCs w:val="21"/>
                <w:highlight w:val="none"/>
              </w:rPr>
              <w:t>投标人是否建立定期巡检制度和运行情况报告制度，确保照明设施安全正常运行，亮灯率达到98%，定期出具巡检和运行情况报告，满足要求且贴合实际的得5分,内容有所欠缺的得3分，不提供不得分。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color w:val="auto"/>
                <w:szCs w:val="21"/>
                <w:highlight w:val="none"/>
              </w:rPr>
              <w:t>投标人是否建立服务档案和解决方案资料库等工作台账，满足要求的得4分,内容有所欠缺的得2分；不提供不得分。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
                <w:color w:val="auto"/>
                <w:szCs w:val="21"/>
                <w:highlight w:val="none"/>
                <w:lang w:val="zh-CN"/>
              </w:rPr>
              <w:t>投标人</w:t>
            </w:r>
            <w:r>
              <w:rPr>
                <w:rFonts w:hint="eastAsia" w:ascii="仿宋" w:hAnsi="仿宋" w:eastAsia="仿宋" w:cs="仿宋"/>
                <w:color w:val="auto"/>
                <w:szCs w:val="21"/>
                <w:highlight w:val="none"/>
              </w:rPr>
              <w:t>是否</w:t>
            </w:r>
            <w:r>
              <w:rPr>
                <w:rFonts w:hint="eastAsia" w:ascii="仿宋" w:hAnsi="仿宋" w:eastAsia="仿宋" w:cs="仿宋"/>
                <w:color w:val="auto"/>
                <w:szCs w:val="21"/>
                <w:highlight w:val="none"/>
                <w:lang w:val="zh-CN"/>
              </w:rPr>
              <w:t>具有完善、合理的</w:t>
            </w:r>
            <w:r>
              <w:rPr>
                <w:rFonts w:hint="eastAsia" w:ascii="仿宋" w:hAnsi="仿宋" w:eastAsia="仿宋" w:cs="仿宋"/>
                <w:color w:val="auto"/>
                <w:szCs w:val="21"/>
                <w:highlight w:val="none"/>
              </w:rPr>
              <w:t>安全文明生产制度、交通组织方案</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内容完善合理的得5分，内容有所欠缺的得3分，不提供不得分</w:t>
            </w:r>
            <w:r>
              <w:rPr>
                <w:rFonts w:hint="eastAsia" w:ascii="仿宋" w:hAnsi="仿宋" w:eastAsia="仿宋" w:cs="仿宋"/>
                <w:color w:val="auto"/>
                <w:szCs w:val="21"/>
                <w:highlight w:val="none"/>
                <w:lang w:val="zh-CN"/>
              </w:rPr>
              <w:t>。</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920" w:type="dxa"/>
            <w:vAlign w:val="center"/>
          </w:tcPr>
          <w:p>
            <w:pPr>
              <w:snapToGrid w:val="0"/>
              <w:spacing w:line="360" w:lineRule="auto"/>
              <w:jc w:val="center"/>
              <w:rPr>
                <w:rFonts w:ascii="仿宋" w:hAnsi="仿宋" w:eastAsia="仿宋" w:cs="仿宋_GB2312"/>
                <w:color w:val="auto"/>
                <w:sz w:val="24"/>
                <w:highlight w:val="none"/>
              </w:rPr>
            </w:pPr>
            <w:bookmarkStart w:id="405" w:name="_Hlk64980921"/>
            <w:r>
              <w:rPr>
                <w:rFonts w:hint="eastAsia" w:ascii="仿宋" w:hAnsi="仿宋" w:eastAsia="仿宋" w:cs="仿宋"/>
                <w:b/>
                <w:color w:val="auto"/>
                <w:szCs w:val="21"/>
                <w:highlight w:val="none"/>
              </w:rPr>
              <w:t>维护机构情况</w:t>
            </w:r>
            <w:bookmarkEnd w:id="405"/>
          </w:p>
        </w:tc>
        <w:tc>
          <w:tcPr>
            <w:tcW w:w="4678" w:type="dxa"/>
          </w:tcPr>
          <w:p>
            <w:pPr>
              <w:tabs>
                <w:tab w:val="left" w:pos="900"/>
              </w:tabs>
              <w:spacing w:line="360" w:lineRule="auto"/>
              <w:jc w:val="left"/>
              <w:rPr>
                <w:rFonts w:ascii="仿宋" w:hAnsi="仿宋" w:eastAsia="仿宋" w:cs="仿宋"/>
                <w:bCs/>
                <w:color w:val="auto"/>
                <w:szCs w:val="21"/>
                <w:highlight w:val="none"/>
              </w:rPr>
            </w:pPr>
            <w:bookmarkStart w:id="406" w:name="_Hlk64980943"/>
            <w:bookmarkStart w:id="407" w:name="_Hlk64980949"/>
            <w:r>
              <w:rPr>
                <w:rFonts w:hint="eastAsia" w:ascii="仿宋" w:hAnsi="仿宋" w:eastAsia="仿宋" w:cs="仿宋"/>
                <w:snapToGrid w:val="0"/>
                <w:color w:val="auto"/>
                <w:szCs w:val="21"/>
                <w:highlight w:val="none"/>
              </w:rPr>
              <w:t>①</w:t>
            </w:r>
            <w:r>
              <w:rPr>
                <w:rFonts w:hint="eastAsia" w:ascii="仿宋" w:hAnsi="仿宋" w:eastAsia="仿宋" w:cs="仿宋"/>
                <w:bCs/>
                <w:color w:val="auto"/>
                <w:szCs w:val="21"/>
                <w:highlight w:val="none"/>
              </w:rPr>
              <w:t>投标人在杭州市主城区（上城区、拱墅区、西湖区、风景名胜区）自有或租赁养护基地土地使用面积</w:t>
            </w:r>
            <w:bookmarkEnd w:id="406"/>
            <w:r>
              <w:rPr>
                <w:rFonts w:hint="eastAsia" w:ascii="仿宋" w:hAnsi="仿宋" w:eastAsia="仿宋" w:cs="仿宋"/>
                <w:bCs/>
                <w:color w:val="auto"/>
                <w:szCs w:val="21"/>
                <w:highlight w:val="none"/>
              </w:rPr>
              <w:t>不少于5000平方米的得2分，每增加2000平方米得0.5分，本项最高得3分。</w:t>
            </w:r>
            <w:bookmarkEnd w:id="407"/>
          </w:p>
          <w:p>
            <w:pPr>
              <w:tabs>
                <w:tab w:val="left" w:pos="900"/>
              </w:tabs>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证明材料：须提供产权证明或租赁合同（租赁期限不低于该项目实施期限）及产权证明的复印件并加盖公章，未按要求提供证明材料,不得分。</w:t>
            </w:r>
          </w:p>
          <w:p>
            <w:pPr>
              <w:tabs>
                <w:tab w:val="left" w:pos="900"/>
              </w:tabs>
              <w:spacing w:line="360" w:lineRule="auto"/>
              <w:jc w:val="left"/>
              <w:rPr>
                <w:rFonts w:ascii="仿宋" w:hAnsi="仿宋" w:eastAsia="仿宋" w:cs="仿宋"/>
                <w:bCs/>
                <w:color w:val="auto"/>
                <w:szCs w:val="21"/>
                <w:highlight w:val="none"/>
              </w:rPr>
            </w:pPr>
            <w:bookmarkStart w:id="408" w:name="_Hlk64982691"/>
            <w:r>
              <w:rPr>
                <w:rFonts w:hint="eastAsia" w:ascii="仿宋" w:hAnsi="仿宋" w:eastAsia="仿宋" w:cs="仿宋"/>
                <w:snapToGrid w:val="0"/>
                <w:color w:val="auto"/>
                <w:szCs w:val="21"/>
                <w:highlight w:val="none"/>
              </w:rPr>
              <w:t>②</w:t>
            </w:r>
            <w:r>
              <w:rPr>
                <w:rFonts w:hint="eastAsia" w:ascii="仿宋" w:hAnsi="仿宋" w:eastAsia="仿宋" w:cs="仿宋"/>
                <w:bCs/>
                <w:color w:val="auto"/>
                <w:szCs w:val="21"/>
                <w:highlight w:val="none"/>
              </w:rPr>
              <w:t>投标人在杭州市主城区（上城区、拱墅区、西湖区、风景名胜区）自有或租赁仓库面积达到20000平方米的得2分，</w:t>
            </w:r>
            <w:r>
              <w:rPr>
                <w:rFonts w:hint="eastAsia" w:ascii="仿宋" w:hAnsi="仿宋" w:eastAsia="仿宋" w:cs="仿宋"/>
                <w:color w:val="auto"/>
                <w:szCs w:val="21"/>
                <w:highlight w:val="none"/>
              </w:rPr>
              <w:t>每增加</w:t>
            </w:r>
            <w:r>
              <w:rPr>
                <w:rFonts w:hint="eastAsia" w:ascii="仿宋" w:hAnsi="仿宋" w:eastAsia="仿宋" w:cs="仿宋"/>
                <w:bCs/>
                <w:color w:val="auto"/>
                <w:szCs w:val="21"/>
                <w:highlight w:val="none"/>
              </w:rPr>
              <w:t>10000平方米加1分</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本项最高得4分。</w:t>
            </w:r>
            <w:bookmarkEnd w:id="408"/>
          </w:p>
          <w:p>
            <w:pPr>
              <w:tabs>
                <w:tab w:val="left" w:pos="900"/>
              </w:tabs>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证明材料：提供产权证明或租赁合同（租赁期限不低于该项目实施期限）的复印件并加盖公章，未按要求提供证明材料的不得分。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920" w:type="dxa"/>
            <w:vMerge w:val="restart"/>
            <w:vAlign w:val="center"/>
          </w:tcPr>
          <w:p>
            <w:pPr>
              <w:snapToGrid w:val="0"/>
              <w:spacing w:line="360" w:lineRule="auto"/>
              <w:jc w:val="center"/>
              <w:rPr>
                <w:rFonts w:ascii="仿宋" w:hAnsi="仿宋" w:eastAsia="仿宋" w:cs="仿宋_GB2312"/>
                <w:color w:val="auto"/>
                <w:sz w:val="24"/>
                <w:highlight w:val="none"/>
              </w:rPr>
            </w:pPr>
            <w:bookmarkStart w:id="409" w:name="_Hlk64982829"/>
            <w:r>
              <w:rPr>
                <w:rFonts w:hint="eastAsia" w:ascii="仿宋" w:hAnsi="仿宋" w:eastAsia="仿宋" w:cs="仿宋"/>
                <w:b/>
                <w:color w:val="auto"/>
                <w:szCs w:val="21"/>
                <w:highlight w:val="none"/>
              </w:rPr>
              <w:t>项目维护人员及项目负责人情况</w:t>
            </w:r>
            <w:bookmarkEnd w:id="409"/>
          </w:p>
        </w:tc>
        <w:tc>
          <w:tcPr>
            <w:tcW w:w="4678" w:type="dxa"/>
          </w:tcPr>
          <w:p>
            <w:pPr>
              <w:snapToGrid w:val="0"/>
              <w:spacing w:line="360" w:lineRule="auto"/>
              <w:jc w:val="left"/>
              <w:rPr>
                <w:rFonts w:ascii="仿宋" w:hAnsi="仿宋" w:eastAsia="仿宋" w:cs="仿宋_GB2312"/>
                <w:color w:val="auto"/>
                <w:sz w:val="24"/>
                <w:highlight w:val="none"/>
              </w:rPr>
            </w:pPr>
            <w:bookmarkStart w:id="410" w:name="_Hlk64982851"/>
            <w:r>
              <w:rPr>
                <w:rFonts w:hint="eastAsia" w:ascii="仿宋" w:hAnsi="仿宋" w:eastAsia="仿宋" w:cs="仿宋"/>
                <w:bCs/>
                <w:color w:val="auto"/>
                <w:szCs w:val="21"/>
                <w:highlight w:val="none"/>
              </w:rPr>
              <w:t>投标人是否具有完备的管理组织、管理制度，制度合理、完善</w:t>
            </w:r>
            <w:r>
              <w:rPr>
                <w:rFonts w:hint="eastAsia" w:ascii="仿宋" w:hAnsi="仿宋" w:eastAsia="仿宋" w:cs="仿宋"/>
                <w:color w:val="auto"/>
                <w:szCs w:val="21"/>
                <w:highlight w:val="none"/>
              </w:rPr>
              <w:t>得5分；内容有所欠缺的得3分；不提供不得分。</w:t>
            </w:r>
            <w:bookmarkEnd w:id="410"/>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napToGrid w:val="0"/>
              <w:spacing w:line="360" w:lineRule="auto"/>
              <w:jc w:val="left"/>
              <w:rPr>
                <w:rFonts w:ascii="仿宋" w:hAnsi="仿宋" w:eastAsia="仿宋" w:cs="仿宋"/>
                <w:bCs/>
                <w:color w:val="auto"/>
                <w:szCs w:val="21"/>
                <w:highlight w:val="none"/>
              </w:rPr>
            </w:pPr>
            <w:bookmarkStart w:id="411" w:name="_Hlk64982883"/>
            <w:r>
              <w:rPr>
                <w:rFonts w:hint="eastAsia" w:ascii="仿宋" w:hAnsi="仿宋" w:eastAsia="仿宋" w:cs="仿宋"/>
                <w:bCs/>
                <w:color w:val="auto"/>
                <w:szCs w:val="21"/>
                <w:highlight w:val="none"/>
              </w:rPr>
              <w:t>①拟派项目负责人具有政府部门颁发的机电安装工程专业二级建造师执业资格的得1分，具有政府部门颁发的机电安装工程专业一级建造师执业资格的得2分。</w:t>
            </w:r>
          </w:p>
          <w:p>
            <w:pPr>
              <w:snapToGrid w:val="0"/>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②拟派项目负责人近三年，完成单个金额3000万元以上</w:t>
            </w:r>
            <w:r>
              <w:rPr>
                <w:rFonts w:hint="eastAsia" w:ascii="仿宋" w:hAnsi="仿宋" w:eastAsia="仿宋" w:cs="仿宋"/>
                <w:snapToGrid w:val="0"/>
                <w:color w:val="auto"/>
                <w:szCs w:val="21"/>
                <w:highlight w:val="none"/>
              </w:rPr>
              <w:t>类似养护项目的每个得0.5分</w:t>
            </w:r>
            <w:r>
              <w:rPr>
                <w:rFonts w:hint="eastAsia" w:ascii="仿宋" w:hAnsi="仿宋" w:eastAsia="仿宋" w:cs="仿宋"/>
                <w:bCs/>
                <w:color w:val="auto"/>
                <w:szCs w:val="21"/>
                <w:highlight w:val="none"/>
              </w:rPr>
              <w:t>，最高得1分。</w:t>
            </w:r>
            <w:bookmarkEnd w:id="411"/>
          </w:p>
          <w:p>
            <w:pPr>
              <w:pStyle w:val="2"/>
              <w:ind w:left="0" w:firstLine="0"/>
              <w:rPr>
                <w:rFonts w:ascii="仿宋" w:eastAsia="仿宋" w:cs="仿宋"/>
                <w:b w:val="0"/>
                <w:color w:val="auto"/>
                <w:sz w:val="21"/>
                <w:szCs w:val="21"/>
                <w:highlight w:val="none"/>
                <w:lang w:val="en-US"/>
              </w:rPr>
            </w:pPr>
            <w:r>
              <w:rPr>
                <w:rFonts w:hint="eastAsia" w:ascii="仿宋" w:eastAsia="仿宋" w:cs="仿宋"/>
                <w:b w:val="0"/>
                <w:color w:val="auto"/>
                <w:sz w:val="21"/>
                <w:szCs w:val="21"/>
                <w:highlight w:val="none"/>
                <w:lang w:val="en-US"/>
              </w:rPr>
              <w:t>证明材料:(1)资格证书、项目合同（若项目合同无法体现项目负责人的，再提供甲方出具的相关证明材料）；(2)在投标单位近3个月及以上连续社保交纳记录（开标前20天内社保局出具的单位或个人专用社保证明）。</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tabs>
                <w:tab w:val="left" w:pos="900"/>
              </w:tabs>
              <w:spacing w:line="360" w:lineRule="auto"/>
              <w:jc w:val="left"/>
              <w:rPr>
                <w:rFonts w:ascii="仿宋" w:hAnsi="仿宋" w:eastAsia="仿宋" w:cs="仿宋"/>
                <w:bCs/>
                <w:color w:val="auto"/>
                <w:szCs w:val="21"/>
                <w:highlight w:val="none"/>
              </w:rPr>
            </w:pPr>
            <w:bookmarkStart w:id="412" w:name="_Hlk64983005"/>
            <w:r>
              <w:rPr>
                <w:rFonts w:hint="eastAsia" w:ascii="仿宋" w:hAnsi="仿宋" w:eastAsia="仿宋" w:cs="仿宋"/>
                <w:bCs/>
                <w:color w:val="auto"/>
                <w:szCs w:val="21"/>
                <w:highlight w:val="none"/>
              </w:rPr>
              <w:t>拟担任本项目管理人员具有政府部门颁发的机电安装工程专业二级及以上建造师，</w:t>
            </w:r>
            <w:r>
              <w:rPr>
                <w:rFonts w:hint="eastAsia" w:ascii="仿宋" w:hAnsi="仿宋" w:eastAsia="仿宋" w:cs="仿宋"/>
                <w:color w:val="auto"/>
                <w:szCs w:val="21"/>
                <w:highlight w:val="none"/>
                <w:lang w:val="zh-CN"/>
              </w:rPr>
              <w:t>数量及</w:t>
            </w: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lang w:val="zh-CN"/>
              </w:rPr>
              <w:t>要求符合招标文件</w:t>
            </w:r>
            <w:r>
              <w:rPr>
                <w:rFonts w:hint="eastAsia" w:ascii="仿宋" w:hAnsi="仿宋" w:eastAsia="仿宋" w:cs="仿宋"/>
                <w:color w:val="auto"/>
                <w:szCs w:val="21"/>
                <w:highlight w:val="none"/>
              </w:rPr>
              <w:t>要求得</w:t>
            </w:r>
            <w:r>
              <w:rPr>
                <w:rFonts w:ascii="仿宋" w:hAnsi="仿宋" w:eastAsia="仿宋" w:cs="仿宋"/>
                <w:color w:val="auto"/>
                <w:szCs w:val="21"/>
                <w:highlight w:val="none"/>
              </w:rPr>
              <w:t>2分，</w:t>
            </w:r>
            <w:r>
              <w:rPr>
                <w:rFonts w:hint="eastAsia" w:ascii="仿宋" w:hAnsi="仿宋" w:eastAsia="仿宋" w:cs="仿宋"/>
                <w:color w:val="auto"/>
                <w:szCs w:val="21"/>
                <w:highlight w:val="none"/>
              </w:rPr>
              <w:t>每增加</w:t>
            </w:r>
            <w:r>
              <w:rPr>
                <w:rFonts w:ascii="仿宋" w:hAnsi="仿宋" w:eastAsia="仿宋" w:cs="仿宋"/>
                <w:color w:val="auto"/>
                <w:szCs w:val="21"/>
                <w:highlight w:val="none"/>
              </w:rPr>
              <w:t>1</w:t>
            </w:r>
            <w:r>
              <w:rPr>
                <w:rFonts w:hint="eastAsia" w:ascii="仿宋" w:hAnsi="仿宋" w:eastAsia="仿宋" w:cs="仿宋"/>
                <w:color w:val="auto"/>
                <w:szCs w:val="21"/>
                <w:highlight w:val="none"/>
              </w:rPr>
              <w:t>人得</w:t>
            </w:r>
            <w:r>
              <w:rPr>
                <w:rFonts w:ascii="仿宋" w:hAnsi="仿宋" w:eastAsia="仿宋" w:cs="仿宋"/>
                <w:color w:val="auto"/>
                <w:szCs w:val="21"/>
                <w:highlight w:val="none"/>
              </w:rPr>
              <w:t>1</w:t>
            </w:r>
            <w:r>
              <w:rPr>
                <w:rFonts w:hint="eastAsia" w:ascii="仿宋" w:hAnsi="仿宋" w:eastAsia="仿宋" w:cs="仿宋"/>
                <w:color w:val="auto"/>
                <w:szCs w:val="21"/>
                <w:highlight w:val="none"/>
              </w:rPr>
              <w:t>分，本项最多得</w:t>
            </w:r>
            <w:r>
              <w:rPr>
                <w:rFonts w:hint="eastAsia" w:ascii="仿宋" w:hAnsi="仿宋" w:eastAsia="仿宋" w:cs="仿宋"/>
                <w:b/>
                <w:bCs/>
                <w:color w:val="auto"/>
                <w:szCs w:val="21"/>
                <w:highlight w:val="none"/>
                <w:lang w:eastAsia="zh-CN"/>
              </w:rPr>
              <w:t>5</w:t>
            </w:r>
            <w:r>
              <w:rPr>
                <w:rFonts w:hint="eastAsia" w:ascii="仿宋" w:hAnsi="仿宋" w:eastAsia="仿宋" w:cs="仿宋"/>
                <w:b/>
                <w:bCs/>
                <w:color w:val="auto"/>
                <w:szCs w:val="21"/>
                <w:highlight w:val="none"/>
              </w:rPr>
              <w:t>分</w:t>
            </w:r>
            <w:r>
              <w:rPr>
                <w:rFonts w:hint="eastAsia" w:ascii="仿宋" w:hAnsi="仿宋" w:eastAsia="仿宋" w:cs="仿宋"/>
                <w:b/>
                <w:color w:val="auto"/>
                <w:szCs w:val="21"/>
                <w:highlight w:val="none"/>
              </w:rPr>
              <w:t>（以上人员均要求无在建或维护养护项目）</w:t>
            </w:r>
            <w:bookmarkEnd w:id="412"/>
            <w:r>
              <w:rPr>
                <w:rFonts w:hint="eastAsia" w:ascii="仿宋" w:hAnsi="仿宋" w:eastAsia="仿宋" w:cs="仿宋"/>
                <w:bCs/>
                <w:color w:val="auto"/>
                <w:szCs w:val="21"/>
                <w:highlight w:val="none"/>
              </w:rPr>
              <w:t>。</w:t>
            </w:r>
          </w:p>
          <w:p>
            <w:pPr>
              <w:tabs>
                <w:tab w:val="left" w:pos="900"/>
              </w:tabs>
              <w:spacing w:line="360" w:lineRule="auto"/>
              <w:jc w:val="left"/>
              <w:rPr>
                <w:rFonts w:ascii="仿宋" w:hAnsi="仿宋" w:eastAsia="仿宋" w:cs="仿宋"/>
                <w:b/>
                <w:bCs/>
                <w:color w:val="auto"/>
                <w:szCs w:val="21"/>
                <w:highlight w:val="none"/>
              </w:rPr>
            </w:pPr>
            <w:r>
              <w:rPr>
                <w:rFonts w:hint="eastAsia" w:ascii="仿宋" w:hAnsi="仿宋" w:eastAsia="仿宋" w:cs="仿宋"/>
                <w:b/>
                <w:color w:val="auto"/>
                <w:szCs w:val="21"/>
                <w:highlight w:val="none"/>
              </w:rPr>
              <w:t>证明材料：须提供证书复印件并加盖投标人公章，以及</w:t>
            </w:r>
            <w:r>
              <w:rPr>
                <w:rFonts w:hint="eastAsia" w:ascii="仿宋" w:hAnsi="仿宋" w:eastAsia="仿宋" w:cs="仿宋"/>
                <w:b/>
                <w:bCs/>
                <w:color w:val="auto"/>
                <w:szCs w:val="21"/>
                <w:highlight w:val="none"/>
              </w:rPr>
              <w:t>在投标单位近3个月及以上连续社保交纳记录（开标前20天内社保局出具的单位或个人专用社保证明）。</w:t>
            </w:r>
          </w:p>
        </w:tc>
        <w:tc>
          <w:tcPr>
            <w:tcW w:w="850" w:type="dxa"/>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tabs>
                <w:tab w:val="left" w:pos="900"/>
              </w:tabs>
              <w:spacing w:line="360" w:lineRule="auto"/>
              <w:jc w:val="left"/>
              <w:rPr>
                <w:rFonts w:ascii="仿宋" w:hAnsi="仿宋" w:eastAsia="仿宋" w:cs="仿宋"/>
                <w:b/>
                <w:color w:val="auto"/>
                <w:szCs w:val="21"/>
                <w:highlight w:val="none"/>
              </w:rPr>
            </w:pPr>
            <w:r>
              <w:rPr>
                <w:rFonts w:hint="eastAsia" w:ascii="仿宋" w:hAnsi="仿宋" w:eastAsia="仿宋" w:cs="仿宋"/>
                <w:bCs/>
                <w:color w:val="auto"/>
                <w:szCs w:val="21"/>
                <w:highlight w:val="none"/>
              </w:rPr>
              <w:t>投标人具有从事路灯养护，且拟投入本项目的职工人数达到</w:t>
            </w:r>
            <w:r>
              <w:rPr>
                <w:rFonts w:ascii="仿宋" w:hAnsi="仿宋" w:eastAsia="仿宋" w:cs="仿宋"/>
                <w:bCs/>
                <w:color w:val="auto"/>
                <w:szCs w:val="21"/>
                <w:highlight w:val="none"/>
              </w:rPr>
              <w:t>120人的得</w:t>
            </w:r>
            <w:r>
              <w:rPr>
                <w:rFonts w:hint="eastAsia" w:ascii="仿宋" w:hAnsi="仿宋" w:eastAsia="仿宋" w:cs="仿宋"/>
                <w:bCs/>
                <w:color w:val="auto"/>
                <w:szCs w:val="21"/>
                <w:highlight w:val="none"/>
              </w:rPr>
              <w:t>2分，每增加</w:t>
            </w:r>
            <w:r>
              <w:rPr>
                <w:rFonts w:ascii="仿宋" w:hAnsi="仿宋" w:eastAsia="仿宋" w:cs="仿宋"/>
                <w:bCs/>
                <w:color w:val="auto"/>
                <w:szCs w:val="21"/>
                <w:highlight w:val="none"/>
              </w:rPr>
              <w:t>5</w:t>
            </w:r>
            <w:r>
              <w:rPr>
                <w:rFonts w:hint="eastAsia" w:ascii="仿宋" w:hAnsi="仿宋" w:eastAsia="仿宋" w:cs="仿宋"/>
                <w:bCs/>
                <w:color w:val="auto"/>
                <w:szCs w:val="21"/>
                <w:highlight w:val="none"/>
              </w:rPr>
              <w:t>人得2分，本项最多得</w:t>
            </w:r>
            <w:r>
              <w:rPr>
                <w:rFonts w:hint="eastAsia" w:ascii="仿宋" w:hAnsi="仿宋" w:eastAsia="仿宋" w:cs="仿宋"/>
                <w:b/>
                <w:color w:val="auto"/>
                <w:szCs w:val="21"/>
                <w:highlight w:val="none"/>
              </w:rPr>
              <w:t>12分</w:t>
            </w:r>
            <w:r>
              <w:rPr>
                <w:rFonts w:hint="eastAsia" w:ascii="仿宋" w:hAnsi="仿宋" w:eastAsia="仿宋" w:cs="仿宋"/>
                <w:bCs/>
                <w:color w:val="auto"/>
                <w:szCs w:val="21"/>
                <w:highlight w:val="none"/>
              </w:rPr>
              <w:t>。</w:t>
            </w:r>
          </w:p>
          <w:p>
            <w:pPr>
              <w:tabs>
                <w:tab w:val="left" w:pos="900"/>
              </w:tabs>
              <w:spacing w:line="360" w:lineRule="auto"/>
              <w:jc w:val="left"/>
              <w:rPr>
                <w:rFonts w:ascii="仿宋" w:hAnsi="仿宋" w:eastAsia="仿宋" w:cs="仿宋"/>
                <w:b/>
                <w:bCs/>
                <w:color w:val="auto"/>
                <w:szCs w:val="21"/>
                <w:highlight w:val="none"/>
              </w:rPr>
            </w:pPr>
            <w:r>
              <w:rPr>
                <w:rFonts w:hint="eastAsia" w:ascii="仿宋" w:hAnsi="仿宋" w:eastAsia="仿宋" w:cs="仿宋"/>
                <w:b/>
                <w:color w:val="auto"/>
                <w:szCs w:val="21"/>
                <w:highlight w:val="none"/>
              </w:rPr>
              <w:t>证明材料：须提供</w:t>
            </w:r>
            <w:r>
              <w:rPr>
                <w:rFonts w:hint="eastAsia" w:ascii="仿宋" w:hAnsi="仿宋" w:eastAsia="仿宋" w:cs="仿宋"/>
                <w:b/>
                <w:bCs/>
                <w:color w:val="auto"/>
                <w:szCs w:val="21"/>
                <w:highlight w:val="none"/>
              </w:rPr>
              <w:t>在投标单位近3个月及以上连续社保交纳记录（开标前20天内社保局出具的单位或个人专用社保证明）。</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920" w:type="dxa"/>
            <w:vMerge w:val="restart"/>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b/>
                <w:color w:val="auto"/>
                <w:szCs w:val="21"/>
                <w:highlight w:val="none"/>
              </w:rPr>
              <w:t>投标人的资质和业绩情况</w:t>
            </w:r>
          </w:p>
        </w:tc>
        <w:tc>
          <w:tcPr>
            <w:tcW w:w="4678" w:type="dxa"/>
          </w:tcPr>
          <w:p>
            <w:pPr>
              <w:tabs>
                <w:tab w:val="left" w:pos="900"/>
              </w:tabs>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投标人具备</w:t>
            </w:r>
            <w:r>
              <w:rPr>
                <w:rFonts w:hint="eastAsia" w:ascii="仿宋" w:hAnsi="仿宋" w:eastAsia="仿宋" w:cs="仿宋"/>
                <w:bCs/>
                <w:color w:val="auto"/>
                <w:kern w:val="0"/>
                <w:szCs w:val="21"/>
                <w:highlight w:val="none"/>
              </w:rPr>
              <w:t>承装（修、试）电力设施许可证二级资质的得2分，</w:t>
            </w:r>
            <w:r>
              <w:rPr>
                <w:rFonts w:hint="eastAsia" w:ascii="仿宋" w:hAnsi="仿宋" w:eastAsia="仿宋" w:cs="仿宋"/>
                <w:bCs/>
                <w:color w:val="auto"/>
                <w:szCs w:val="21"/>
                <w:highlight w:val="none"/>
              </w:rPr>
              <w:t>具备</w:t>
            </w:r>
            <w:r>
              <w:rPr>
                <w:rFonts w:hint="eastAsia" w:ascii="仿宋" w:hAnsi="仿宋" w:eastAsia="仿宋" w:cs="仿宋"/>
                <w:bCs/>
                <w:color w:val="auto"/>
                <w:kern w:val="0"/>
                <w:szCs w:val="21"/>
                <w:highlight w:val="none"/>
              </w:rPr>
              <w:t>承装（修、试）电力设施许可证一级资质的得4分，</w:t>
            </w:r>
            <w:r>
              <w:rPr>
                <w:rFonts w:hint="eastAsia" w:ascii="仿宋" w:hAnsi="仿宋" w:eastAsia="仿宋" w:cs="仿宋"/>
                <w:bCs/>
                <w:color w:val="auto"/>
                <w:szCs w:val="21"/>
                <w:highlight w:val="none"/>
              </w:rPr>
              <w:t>没有的不得分。</w:t>
            </w:r>
          </w:p>
          <w:p>
            <w:pPr>
              <w:tabs>
                <w:tab w:val="left" w:pos="900"/>
              </w:tabs>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证明材料：提供</w:t>
            </w:r>
            <w:r>
              <w:rPr>
                <w:rFonts w:hint="eastAsia" w:ascii="仿宋" w:hAnsi="仿宋" w:eastAsia="仿宋" w:cs="仿宋"/>
                <w:b/>
                <w:snapToGrid w:val="0"/>
                <w:color w:val="auto"/>
                <w:kern w:val="0"/>
                <w:szCs w:val="21"/>
                <w:highlight w:val="none"/>
              </w:rPr>
              <w:t>行业主管部门颁发的资质</w:t>
            </w:r>
            <w:r>
              <w:rPr>
                <w:rFonts w:hint="eastAsia" w:ascii="仿宋" w:hAnsi="仿宋" w:eastAsia="仿宋" w:cs="仿宋"/>
                <w:b/>
                <w:color w:val="auto"/>
                <w:szCs w:val="21"/>
                <w:highlight w:val="none"/>
              </w:rPr>
              <w:t>证书复印件并加盖公章。</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16</w:t>
            </w:r>
          </w:p>
        </w:tc>
        <w:tc>
          <w:tcPr>
            <w:tcW w:w="920"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678" w:type="dxa"/>
          </w:tcPr>
          <w:p>
            <w:pPr>
              <w:spacing w:line="360" w:lineRule="auto"/>
              <w:jc w:val="left"/>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投标人自2020年1月1日起每完成过单个合同设施量达15万盏以上路灯（非景观照明）养护项目的得0.5分，本项最高得1分。</w:t>
            </w:r>
          </w:p>
          <w:p>
            <w:pPr>
              <w:pStyle w:val="2"/>
              <w:ind w:left="0" w:firstLine="0"/>
              <w:rPr>
                <w:rFonts w:ascii="仿宋" w:eastAsia="仿宋" w:cs="仿宋"/>
                <w:bCs w:val="0"/>
                <w:snapToGrid w:val="0"/>
                <w:color w:val="auto"/>
                <w:sz w:val="21"/>
                <w:szCs w:val="21"/>
                <w:highlight w:val="none"/>
                <w:lang w:val="en-US"/>
              </w:rPr>
            </w:pPr>
            <w:r>
              <w:rPr>
                <w:rFonts w:hint="eastAsia" w:ascii="仿宋" w:eastAsia="仿宋" w:cs="仿宋"/>
                <w:bCs w:val="0"/>
                <w:snapToGrid w:val="0"/>
                <w:color w:val="auto"/>
                <w:sz w:val="21"/>
                <w:szCs w:val="21"/>
                <w:highlight w:val="none"/>
                <w:lang w:val="en-US"/>
              </w:rPr>
              <w:t>证明材料：附清晰可辨的合同复印件及业主单位出具的养护质量考核等证明，复印件加盖公章。本项目的路灯是指功能性照明，提供景观性照明的业绩视为无效，投标人因单位变更等原因提供变更前单位业绩证明资料的，由项目业主单位确认后，可视为有效业绩，未按要求提供证明材料或证明材料不完整的均不得分。</w:t>
            </w:r>
          </w:p>
        </w:tc>
        <w:tc>
          <w:tcPr>
            <w:tcW w:w="850"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992"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134" w:type="dxa"/>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17</w:t>
            </w:r>
          </w:p>
        </w:tc>
        <w:tc>
          <w:tcPr>
            <w:tcW w:w="920" w:type="dxa"/>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报价</w:t>
            </w:r>
          </w:p>
        </w:tc>
        <w:tc>
          <w:tcPr>
            <w:tcW w:w="4678" w:type="dxa"/>
          </w:tcPr>
          <w:p>
            <w:pPr>
              <w:spacing w:line="360" w:lineRule="auto"/>
              <w:outlineLvl w:val="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有效投标报价的最低价作为评标基准价，其最低报价为满分；按［投标报价得分</w:t>
            </w:r>
            <w:r>
              <w:rPr>
                <w:rFonts w:ascii="仿宋" w:hAnsi="仿宋" w:eastAsia="仿宋" w:cs="仿宋_GB2312"/>
                <w:color w:val="auto"/>
                <w:szCs w:val="21"/>
                <w:highlight w:val="none"/>
              </w:rPr>
              <w:t>=（评标基准价/投标报价）*</w:t>
            </w:r>
            <w:r>
              <w:rPr>
                <w:rFonts w:hint="eastAsia" w:ascii="仿宋" w:hAnsi="仿宋" w:eastAsia="仿宋" w:cs="仿宋_GB2312"/>
                <w:color w:val="auto"/>
                <w:szCs w:val="21"/>
                <w:highlight w:val="none"/>
              </w:rPr>
              <w:t>10</w:t>
            </w:r>
            <w:r>
              <w:rPr>
                <w:rFonts w:ascii="仿宋" w:hAnsi="仿宋" w:eastAsia="仿宋" w:cs="仿宋_GB2312"/>
                <w:color w:val="auto"/>
                <w:szCs w:val="21"/>
                <w:highlight w:val="none"/>
              </w:rPr>
              <w:t>］的计算公式计算。</w:t>
            </w:r>
          </w:p>
          <w:p>
            <w:pPr>
              <w:widowControl/>
              <w:shd w:val="clear" w:color="auto" w:fill="FFFFFF"/>
              <w:adjustRightInd/>
              <w:spacing w:line="360" w:lineRule="auto"/>
              <w:ind w:firstLine="420"/>
              <w:jc w:val="left"/>
              <w:rPr>
                <w:rFonts w:ascii="仿宋" w:hAnsi="仿宋" w:eastAsia="仿宋" w:cs="仿宋_GB2312"/>
                <w:color w:val="auto"/>
                <w:szCs w:val="21"/>
                <w:highlight w:val="none"/>
              </w:rPr>
            </w:pPr>
            <w:r>
              <w:rPr>
                <w:rFonts w:ascii="仿宋" w:hAnsi="仿宋" w:eastAsia="仿宋" w:cs="仿宋_GB2312"/>
                <w:color w:val="auto"/>
                <w:szCs w:val="21"/>
                <w:highlight w:val="none"/>
              </w:rPr>
              <w:t>评标过程中，不得去掉报价中的最高报价和最低报价。</w:t>
            </w:r>
          </w:p>
          <w:p>
            <w:pPr>
              <w:widowControl/>
              <w:shd w:val="clear" w:color="auto" w:fill="FFFFFF"/>
              <w:adjustRightInd/>
              <w:spacing w:line="360" w:lineRule="auto"/>
              <w:ind w:firstLine="420"/>
              <w:jc w:val="left"/>
              <w:rPr>
                <w:rFonts w:ascii="仿宋" w:hAnsi="仿宋" w:eastAsia="仿宋"/>
                <w:color w:val="auto"/>
                <w:szCs w:val="21"/>
                <w:highlight w:val="none"/>
              </w:rPr>
            </w:pPr>
            <w:r>
              <w:rPr>
                <w:rFonts w:hint="eastAsia" w:ascii="仿宋" w:hAnsi="仿宋" w:eastAsia="仿宋" w:cs="仿宋_GB2312"/>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ascii="仿宋" w:hAnsi="仿宋" w:eastAsia="仿宋" w:cs="仿宋_GB2312"/>
                <w:color w:val="auto"/>
                <w:szCs w:val="21"/>
                <w:highlight w:val="none"/>
              </w:rPr>
              <w:t>。</w:t>
            </w:r>
          </w:p>
        </w:tc>
        <w:tc>
          <w:tcPr>
            <w:tcW w:w="850" w:type="dxa"/>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992" w:type="dxa"/>
            <w:vAlign w:val="center"/>
          </w:tcPr>
          <w:p>
            <w:pPr>
              <w:spacing w:line="360" w:lineRule="auto"/>
              <w:jc w:val="center"/>
              <w:outlineLvl w:val="0"/>
              <w:rPr>
                <w:rFonts w:ascii="仿宋" w:hAnsi="仿宋" w:eastAsia="仿宋" w:cs="仿宋_GB2312"/>
                <w:color w:val="auto"/>
                <w:sz w:val="24"/>
                <w:highlight w:val="none"/>
              </w:rPr>
            </w:pPr>
          </w:p>
        </w:tc>
        <w:tc>
          <w:tcPr>
            <w:tcW w:w="1134" w:type="dxa"/>
            <w:vAlign w:val="center"/>
          </w:tcPr>
          <w:p>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128"/>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pPr>
        <w:pStyle w:val="128"/>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p>
      <w:pPr>
        <w:spacing w:line="360" w:lineRule="auto"/>
        <w:jc w:val="center"/>
        <w:outlineLvl w:val="0"/>
        <w:rPr>
          <w:rFonts w:ascii="仿宋" w:hAnsi="仿宋" w:eastAsia="仿宋" w:cs="宋体"/>
          <w:b/>
          <w:sz w:val="36"/>
          <w:szCs w:val="36"/>
        </w:rPr>
      </w:pPr>
      <w:r>
        <w:rPr>
          <w:rFonts w:ascii="仿宋" w:hAnsi="仿宋" w:eastAsia="仿宋" w:cs="宋体"/>
        </w:rPr>
        <w:br w:type="page"/>
      </w:r>
      <w:bookmarkEnd w:id="27"/>
      <w:bookmarkStart w:id="413" w:name="第五部分"/>
      <w:bookmarkStart w:id="414" w:name="_Toc86217003"/>
      <w:r>
        <w:rPr>
          <w:rFonts w:hint="eastAsia" w:ascii="仿宋" w:hAnsi="仿宋" w:eastAsia="仿宋" w:cs="宋体"/>
          <w:b/>
          <w:sz w:val="36"/>
          <w:szCs w:val="36"/>
        </w:rPr>
        <w:t>第五部分 拟签订的合同文本</w:t>
      </w:r>
    </w:p>
    <w:p>
      <w:pPr>
        <w:pStyle w:val="963"/>
        <w:spacing w:after="160" w:line="360" w:lineRule="auto"/>
        <w:rPr>
          <w:rFonts w:ascii="仿宋" w:hAnsi="仿宋" w:eastAsia="仿宋" w:cs="仿宋"/>
          <w:b/>
        </w:rPr>
      </w:pPr>
      <w:r>
        <w:rPr>
          <w:rFonts w:hint="eastAsia" w:ascii="仿宋" w:hAnsi="仿宋" w:eastAsia="仿宋" w:cs="仿宋"/>
          <w:b/>
        </w:rPr>
        <w:t>甲方： 杭州市市容景观发展中心</w:t>
      </w:r>
    </w:p>
    <w:p>
      <w:pPr>
        <w:snapToGrid w:val="0"/>
        <w:spacing w:after="160" w:line="360" w:lineRule="auto"/>
        <w:rPr>
          <w:rFonts w:ascii="仿宋" w:hAnsi="仿宋" w:eastAsia="仿宋" w:cs="仿宋"/>
          <w:b/>
          <w:sz w:val="24"/>
        </w:rPr>
      </w:pPr>
      <w:r>
        <w:rPr>
          <w:rFonts w:hint="eastAsia" w:ascii="仿宋" w:hAnsi="仿宋" w:eastAsia="仿宋" w:cs="仿宋"/>
          <w:b/>
          <w:sz w:val="24"/>
        </w:rPr>
        <w:t xml:space="preserve">乙方：               </w:t>
      </w:r>
    </w:p>
    <w:p>
      <w:pPr>
        <w:pStyle w:val="962"/>
        <w:tabs>
          <w:tab w:val="left" w:pos="808"/>
        </w:tabs>
        <w:spacing w:line="360" w:lineRule="auto"/>
        <w:ind w:firstLine="44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将由杭州市市容景观发展中心（以下简称甲方）与经评审最终确定的成交人（以下简称乙方）结合本项目具体情况协商后签订。以下为甲方提出涉及乙方的主要条款，供应商在招标文件中应对其进行确认或拒绝。如供应商在其响应文件中未做拒绝或提出修改要求的，视为乙方认同接受合同条款。</w:t>
      </w:r>
    </w:p>
    <w:p>
      <w:pPr>
        <w:snapToGrid w:val="0"/>
        <w:spacing w:line="600" w:lineRule="exact"/>
        <w:ind w:firstLine="482" w:firstLineChars="200"/>
        <w:rPr>
          <w:rFonts w:ascii="仿宋" w:hAnsi="仿宋" w:eastAsia="仿宋" w:cs="仿宋"/>
          <w:b/>
          <w:bCs/>
          <w:snapToGrid w:val="0"/>
          <w:sz w:val="24"/>
        </w:rPr>
      </w:pPr>
      <w:r>
        <w:rPr>
          <w:rFonts w:hint="eastAsia" w:ascii="仿宋" w:hAnsi="仿宋" w:eastAsia="仿宋" w:cs="仿宋"/>
          <w:b/>
          <w:bCs/>
          <w:snapToGrid w:val="0"/>
          <w:sz w:val="24"/>
        </w:rPr>
        <w:t>第一条：养护服务期限</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bCs/>
          <w:snapToGrid w:val="0"/>
          <w:sz w:val="24"/>
        </w:rPr>
        <w:t>2024年1月1日起三年，合同一年一签，项目在合同期限内，乙方能严格履行合同，绩效评价好，且年养护考核合格或以上，可签订下一年合同。</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bCs/>
          <w:snapToGrid w:val="0"/>
          <w:sz w:val="24"/>
        </w:rPr>
        <w:t>本次合同服务期限为：</w:t>
      </w:r>
    </w:p>
    <w:p>
      <w:pPr>
        <w:snapToGrid w:val="0"/>
        <w:spacing w:line="600" w:lineRule="exact"/>
        <w:ind w:firstLine="482" w:firstLineChars="200"/>
        <w:rPr>
          <w:rFonts w:ascii="仿宋" w:hAnsi="仿宋" w:eastAsia="仿宋" w:cs="仿宋"/>
          <w:b/>
          <w:bCs/>
          <w:snapToGrid w:val="0"/>
          <w:sz w:val="24"/>
        </w:rPr>
      </w:pPr>
      <w:r>
        <w:rPr>
          <w:rFonts w:hint="eastAsia" w:ascii="仿宋" w:hAnsi="仿宋" w:eastAsia="仿宋" w:cs="仿宋"/>
          <w:b/>
          <w:bCs/>
          <w:snapToGrid w:val="0"/>
          <w:sz w:val="24"/>
        </w:rPr>
        <w:t>第二条：养护目的、范围、数量、总价</w:t>
      </w:r>
    </w:p>
    <w:p>
      <w:pPr>
        <w:pStyle w:val="637"/>
        <w:tabs>
          <w:tab w:val="center" w:pos="4201"/>
          <w:tab w:val="right" w:leader="dot" w:pos="9298"/>
        </w:tabs>
        <w:adjustRightInd w:val="0"/>
        <w:snapToGrid w:val="0"/>
        <w:spacing w:line="600" w:lineRule="exact"/>
        <w:ind w:firstLine="480"/>
        <w:rPr>
          <w:rFonts w:ascii="仿宋" w:hAnsi="仿宋" w:eastAsia="仿宋" w:cs="仿宋"/>
          <w:kern w:val="2"/>
          <w:sz w:val="24"/>
          <w:szCs w:val="24"/>
        </w:rPr>
      </w:pPr>
      <w:r>
        <w:rPr>
          <w:rFonts w:hint="eastAsia" w:ascii="仿宋" w:hAnsi="仿宋" w:eastAsia="仿宋" w:cs="仿宋"/>
          <w:bCs/>
          <w:snapToGrid w:val="0"/>
          <w:sz w:val="24"/>
          <w:szCs w:val="24"/>
        </w:rPr>
        <w:t>1.养护目的：</w:t>
      </w:r>
      <w:r>
        <w:rPr>
          <w:rFonts w:hint="eastAsia" w:ascii="仿宋" w:hAnsi="仿宋" w:eastAsia="仿宋" w:cs="仿宋"/>
          <w:sz w:val="24"/>
          <w:szCs w:val="24"/>
        </w:rPr>
        <w:t>对杭州市主城区（上城区、拱墅区、西湖区、风景名胜区）范围内的路灯照明设施进行养护维修作业，确保路灯设施安全运行。</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bCs/>
          <w:snapToGrid w:val="0"/>
          <w:sz w:val="24"/>
        </w:rPr>
        <w:t>2.养护范围：杭州市主城区范围内的</w:t>
      </w:r>
      <w:r>
        <w:rPr>
          <w:rFonts w:hint="eastAsia" w:ascii="仿宋" w:hAnsi="仿宋" w:eastAsia="仿宋" w:cs="仿宋"/>
          <w:sz w:val="24"/>
        </w:rPr>
        <w:t>城市道路、桥梁、游步道、广场、公园、绿地、</w:t>
      </w:r>
      <w:r>
        <w:rPr>
          <w:rFonts w:hint="eastAsia" w:ascii="仿宋" w:hAnsi="仿宋" w:eastAsia="仿宋" w:cs="仿宋"/>
          <w:bCs/>
          <w:snapToGrid w:val="0"/>
          <w:sz w:val="24"/>
        </w:rPr>
        <w:t>老旧住宅小区等区域内的市管路灯及附属设施。</w:t>
      </w:r>
    </w:p>
    <w:p>
      <w:pPr>
        <w:snapToGrid w:val="0"/>
        <w:spacing w:line="600" w:lineRule="exact"/>
        <w:ind w:firstLine="480" w:firstLineChars="200"/>
        <w:rPr>
          <w:rFonts w:ascii="仿宋" w:hAnsi="仿宋" w:eastAsia="仿宋" w:cs="仿宋"/>
          <w:sz w:val="24"/>
          <w:highlight w:val="yellow"/>
        </w:rPr>
      </w:pPr>
      <w:r>
        <w:rPr>
          <w:rFonts w:hint="eastAsia" w:ascii="仿宋" w:hAnsi="仿宋" w:eastAsia="仿宋" w:cs="仿宋"/>
          <w:sz w:val="24"/>
        </w:rPr>
        <w:t>3.养护数量：甲方上一年合同明确的所有存量路灯设施量和当年新增减路灯设施量，具体根据普查结果动态调整，原则上每半年普查一次。</w:t>
      </w:r>
    </w:p>
    <w:p>
      <w:pPr>
        <w:widowControl/>
        <w:snapToGrid w:val="0"/>
        <w:spacing w:line="600" w:lineRule="exact"/>
        <w:ind w:firstLine="480" w:firstLineChars="200"/>
        <w:jc w:val="left"/>
        <w:rPr>
          <w:rFonts w:ascii="仿宋" w:hAnsi="仿宋" w:eastAsia="仿宋" w:cs="仿宋"/>
          <w:sz w:val="24"/>
        </w:rPr>
      </w:pPr>
      <w:r>
        <w:rPr>
          <w:rFonts w:hint="eastAsia" w:ascii="仿宋" w:hAnsi="仿宋" w:eastAsia="仿宋" w:cs="仿宋"/>
          <w:sz w:val="24"/>
        </w:rPr>
        <w:t>4.合同总价：年养护合同总价为：          （路灯设施总量少于招标设施基数的，按210元/盏·年单价扣除拆除设施的养护费，设施总量高于招标设施基数的，合同总价不变。遇特殊情况停运部分照明设备，停运期间按合同总价/路灯设施总量*50%*停运路灯数量*停运天数/365天的计算方式支付巡查、防盗费用。）。</w:t>
      </w:r>
    </w:p>
    <w:p>
      <w:pPr>
        <w:snapToGrid w:val="0"/>
        <w:spacing w:line="600" w:lineRule="exact"/>
        <w:ind w:firstLine="480" w:firstLineChars="200"/>
        <w:jc w:val="left"/>
        <w:rPr>
          <w:rFonts w:ascii="仿宋" w:hAnsi="仿宋" w:eastAsia="仿宋" w:cs="仿宋"/>
          <w:sz w:val="24"/>
        </w:rPr>
      </w:pPr>
      <w:r>
        <w:rPr>
          <w:rFonts w:hint="eastAsia" w:ascii="仿宋" w:hAnsi="仿宋" w:eastAsia="仿宋" w:cs="仿宋"/>
          <w:sz w:val="24"/>
        </w:rPr>
        <w:t>5.履约保证金：合同签订后10个工作日内，乙方向甲方以支票、汇票、本票或者金融机构、担保机构出具的保函等非现金形式提交合同总价1%的履约保证金。服务期满后，履约验收合格，无质量、服务问题，由甲方向乙方全额无息退还。</w:t>
      </w:r>
    </w:p>
    <w:p>
      <w:pPr>
        <w:snapToGrid w:val="0"/>
        <w:spacing w:line="600" w:lineRule="exact"/>
        <w:ind w:firstLine="482" w:firstLineChars="200"/>
        <w:rPr>
          <w:rFonts w:ascii="仿宋" w:hAnsi="仿宋" w:eastAsia="仿宋" w:cs="仿宋"/>
          <w:b/>
          <w:sz w:val="24"/>
        </w:rPr>
      </w:pPr>
      <w:r>
        <w:rPr>
          <w:rFonts w:hint="eastAsia" w:ascii="仿宋" w:hAnsi="仿宋" w:eastAsia="仿宋" w:cs="仿宋"/>
          <w:b/>
          <w:sz w:val="24"/>
        </w:rPr>
        <w:t>第三条：养护的涵义及内容</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1.养护的涵义：是指对杭州市主城区范围内路灯照明设施的光源、灯具及配件、灯杆、支架、配电箱、地上（地下）管道、电线（电缆）、工作井、变压器、配电室、低压配电柜、控制器、标识牌、附属设备及配套智能设备等设施进行日常维修、检测、更换、保洁、保养、油漆、设施巡查、防盗（看护、处理）、撞杆处理、应急保障（如防汛、抗台、抗雪、临时或重大任务保障）等处置，以保证路灯设施安全正常运行。</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2.养护的内容：</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（1）运行与控制：对路灯及附属设施进行日常运行与控制。</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bCs/>
          <w:snapToGrid w:val="0"/>
          <w:sz w:val="24"/>
        </w:rPr>
        <w:t>（2）养护巡、检、修：主次干道的功能照明灯具应每周至少巡检一次，支小路的功能照明灯具应每月至少巡检一次；变压器、配电箱(柜)每月巡检一次；架空线路每半年巡检一次；地埋电缆线路每年巡检一次；接地(或接零)装置每年在干燥季节巡检一次；独立的防雷装置应在每年的雷雨季节前巡检一次；漏电保护装置应每季巡检一次；集中控制装置、照明节电装置或其他智慧照明装置每半年巡检一次；中、高杆照明设施的卷扬机、钢丝绳、减速箱、导向滑轮等转动系统和控制系统应每年检修一次,并添加润滑油。设施被盗频发地段应安排防盗人员每天巡查；连续高温、台风、雷雨或冰雪等特殊自然灾害性气候，应按城市照明监管机构要求进行防火、防汛、防台、防雷、抗雪等专项检查，并增加巡检次数，必要时作临时断电处理。</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bCs/>
          <w:snapToGrid w:val="0"/>
          <w:sz w:val="24"/>
        </w:rPr>
        <w:t>（3）设施清洁、油漆：景区路灯设施一年清洁不少于四次,其余路灯设施每半年清洁一次；光控探头、监控探头每半个月擦拭一次；灯杆、灯架和配电箱柜等锈蚀或油漆脱落面积10%以内的补漆；主要道路应每年测量一次平均照度；以抱箍形式固定在(处于生长期的)树木上的灯具，应在每年的6-7月份对树木进行一次松绑，必要时更换橡胶垫片。</w:t>
      </w:r>
    </w:p>
    <w:p>
      <w:pPr>
        <w:pStyle w:val="964"/>
        <w:adjustRightInd w:val="0"/>
        <w:snapToGrid w:val="0"/>
        <w:spacing w:line="600" w:lineRule="exact"/>
        <w:ind w:firstLine="480" w:firstLineChars="200"/>
        <w:jc w:val="both"/>
        <w:rPr>
          <w:rFonts w:ascii="仿宋" w:hAnsi="仿宋" w:eastAsia="仿宋" w:cs="仿宋"/>
        </w:rPr>
      </w:pPr>
      <w:r>
        <w:rPr>
          <w:rFonts w:hint="eastAsia" w:ascii="仿宋" w:hAnsi="仿宋" w:eastAsia="仿宋" w:cs="仿宋"/>
        </w:rPr>
        <w:t>（4）</w:t>
      </w:r>
      <w:r>
        <w:rPr>
          <w:rFonts w:hint="eastAsia" w:ascii="仿宋" w:hAnsi="仿宋" w:eastAsia="仿宋" w:cs="仿宋"/>
          <w:bCs/>
        </w:rPr>
        <w:t>照明设施故障修复时间：单灯缺亮，2个工作日内修复；</w:t>
      </w:r>
      <w:r>
        <w:rPr>
          <w:rFonts w:hint="eastAsia" w:ascii="仿宋" w:hAnsi="仿宋" w:eastAsia="仿宋" w:cs="仿宋"/>
        </w:rPr>
        <w:t>电线裸露、杆线吊挂、灯具脱落、灯杆倾斜、灯杆或门盖缺失、电缆井盖缺失等，应在2个小时内进行安全措施，并在24小时内修复；城市照明设施专用变压器(本体损坏外)、配电箱故障，2个工作日内修复；发生大面积熄灯故障，24小时内修复；因照明设施被盗或道路挖掘等引起的故障，应及时采取安全措施，并在具备修复条件后3个工作日内修复；被撞损的设施(灯杆、箱变、基础等)，应及时采取安全措施，在具备修复条件后2个工作日内修复；集中控制装置或其他智慧照明装置损坏，或控制时间、地点出现差错的，应在24小时内修复；因特殊情况可在规定时间内提出延期申请。</w:t>
      </w:r>
    </w:p>
    <w:p>
      <w:pPr>
        <w:pStyle w:val="964"/>
        <w:adjustRightInd w:val="0"/>
        <w:snapToGrid w:val="0"/>
        <w:spacing w:line="600" w:lineRule="exact"/>
        <w:ind w:firstLine="480" w:firstLineChars="200"/>
        <w:jc w:val="both"/>
        <w:rPr>
          <w:rFonts w:ascii="仿宋" w:hAnsi="仿宋" w:eastAsia="仿宋" w:cs="仿宋"/>
        </w:rPr>
      </w:pPr>
      <w:r>
        <w:rPr>
          <w:rFonts w:hint="eastAsia" w:ascii="仿宋" w:hAnsi="仿宋" w:eastAsia="仿宋" w:cs="仿宋"/>
          <w:bCs/>
        </w:rPr>
        <w:t>（5）</w:t>
      </w:r>
      <w:r>
        <w:rPr>
          <w:rFonts w:hint="eastAsia" w:ascii="仿宋" w:hAnsi="仿宋" w:eastAsia="仿宋" w:cs="仿宋"/>
        </w:rPr>
        <w:t>设施防腐处理：灯杆、灯架、吊线等受力受压件，以及依附其上的承重螺丝，和控制柜等附属设施，锈蚀深度不超过10%，其他非受力零部件，锈蚀深度不超过25%。锈蚀深度超过要求的零部件，应予以更换。</w:t>
      </w:r>
    </w:p>
    <w:p>
      <w:pPr>
        <w:pStyle w:val="964"/>
        <w:adjustRightInd w:val="0"/>
        <w:snapToGrid w:val="0"/>
        <w:spacing w:line="600" w:lineRule="exact"/>
        <w:ind w:firstLine="480" w:firstLineChars="200"/>
        <w:jc w:val="both"/>
        <w:rPr>
          <w:rFonts w:ascii="仿宋" w:hAnsi="仿宋" w:eastAsia="仿宋" w:cs="仿宋"/>
          <w:bCs/>
        </w:rPr>
      </w:pPr>
      <w:r>
        <w:rPr>
          <w:rFonts w:hint="eastAsia" w:ascii="仿宋" w:hAnsi="仿宋" w:eastAsia="仿宋" w:cs="仿宋"/>
          <w:bCs/>
        </w:rPr>
        <w:t>（6）活动保障：对政府大型活动，外事等活动提供完善的保障方案和实施24小时值班制度，并确保设施完好率、亮灯率、整洁率达到100%。</w:t>
      </w:r>
    </w:p>
    <w:p>
      <w:pPr>
        <w:pStyle w:val="962"/>
        <w:spacing w:line="600" w:lineRule="exact"/>
        <w:ind w:firstLine="480" w:firstLineChars="200"/>
        <w:rPr>
          <w:rFonts w:ascii="仿宋" w:hAnsi="仿宋" w:eastAsia="仿宋" w:cs="仿宋"/>
          <w:bCs/>
        </w:rPr>
      </w:pPr>
      <w:r>
        <w:rPr>
          <w:rFonts w:hint="eastAsia" w:ascii="仿宋" w:hAnsi="仿宋" w:eastAsia="仿宋" w:cs="仿宋"/>
          <w:kern w:val="0"/>
          <w:sz w:val="24"/>
          <w:szCs w:val="24"/>
          <w:lang w:val="en-US" w:eastAsia="zh-CN" w:bidi="ar-SA"/>
        </w:rPr>
        <w:t>（7）智能化设备养护：智能开关箱内所有物联网感知智能设备（一把闸刀设备除外）的日常管理和维护工作（含设备通讯费用），以及单灯控制器（节能改造一期、二期安装的单灯控制器除外）的日常管理维护工作（含设施通讯费）。</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第四条：养护方式</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1.乙方在确定的范围内以包工包料的方式实施路灯养护总价包干。</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2.除特殊材料及新工艺、新材料需报甲方认可外，养护所需一般材料、成品、设备等，均由乙方自行解决，对无法使用的灯具、光源、电器等，更换时品牌的选择应与原使用品牌相同。对无法采购到的光源,经甲方同意,可采用不低于同类光源、电器的其它品牌。</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第五条：养护质量标准和要求</w:t>
      </w:r>
    </w:p>
    <w:p>
      <w:pPr>
        <w:numPr>
          <w:ilvl w:val="255"/>
          <w:numId w:val="0"/>
        </w:num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z w:val="24"/>
        </w:rPr>
        <w:t>1.养护质量标准：按照《城市照明设施养护维修服务标准》（DB3301/T 0165-2018）、</w:t>
      </w:r>
      <w:r>
        <w:rPr>
          <w:rFonts w:hint="eastAsia" w:ascii="仿宋" w:hAnsi="仿宋" w:eastAsia="仿宋" w:cs="仿宋"/>
          <w:snapToGrid w:val="0"/>
          <w:kern w:val="0"/>
          <w:sz w:val="24"/>
        </w:rPr>
        <w:t>《城市功能照明运行管理规程》（DBJ33/T 1295-2023）、《城市道路照明设计标准》（CJJ45-2015）、《城市道路照明工程施工及验收规程》（CJJ89-2012）及其他有关强制性标准的规定执行。</w:t>
      </w:r>
    </w:p>
    <w:p>
      <w:pPr>
        <w:numPr>
          <w:ilvl w:val="255"/>
          <w:numId w:val="0"/>
        </w:num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若上述标准之间存在不一致情形的，按“就高不就低”原则处理。</w:t>
      </w:r>
    </w:p>
    <w:p>
      <w:pPr>
        <w:snapToGrid w:val="0"/>
        <w:spacing w:line="600" w:lineRule="exact"/>
        <w:ind w:firstLine="480" w:firstLineChars="200"/>
        <w:rPr>
          <w:rFonts w:ascii="仿宋" w:hAnsi="仿宋" w:eastAsia="仿宋" w:cs="仿宋"/>
          <w:bCs/>
          <w:snapToGrid w:val="0"/>
          <w:sz w:val="24"/>
        </w:rPr>
      </w:pPr>
      <w:r>
        <w:rPr>
          <w:rFonts w:hint="eastAsia" w:ascii="仿宋" w:hAnsi="仿宋" w:eastAsia="仿宋" w:cs="仿宋"/>
          <w:sz w:val="24"/>
        </w:rPr>
        <w:t>2.养护要求：</w:t>
      </w:r>
      <w:r>
        <w:rPr>
          <w:rFonts w:hint="eastAsia" w:ascii="仿宋" w:hAnsi="仿宋" w:eastAsia="仿宋" w:cs="仿宋"/>
          <w:bCs/>
          <w:snapToGrid w:val="0"/>
          <w:sz w:val="24"/>
        </w:rPr>
        <w:t>照明亮灯率达到98%、设施完好率应达到98%，照明亮度、均匀度等技术性指标达到相关标准规定，全国文明城市复评等活动期间，按上级要求执行。</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第六条：甲方的权利与义务</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1.对合同范围内的路灯设施养护质量进行监管。</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2.及时按合同约定支付路灯照明设施的养护费用。</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3.在约定的时间内对乙方的设施日常养护情况，进行随机抽查和考核，抽查和考核每月不少于一次。</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4.在有必要的情况下，可要求乙方对设施进行特殊养护。</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5.甲方以及其委派的任何人，均可以对乙方养护范围内的设施养护状况进行检查。</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6.向乙方提供有关路灯照明设施养护的规范性文件、相关的技术规程和考核办法，及各类报表样式。</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7.及时审核、下达乙方上报的月度养护计划、总结。</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8.对乙方养护工作进行检查、督促，对设施完好状况进行跟踪检测；发现乙方未按规范要求进行养护时，应按合同约定进行处理；发现设施处于危急状况时立即限期要求乙方按应急预案采取应急措施。</w:t>
      </w:r>
    </w:p>
    <w:p>
      <w:pPr>
        <w:tabs>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9.对乙方养护工作中采用新工艺、新材料、新方法的适用性、安全性进行审查，同意后方可实施。</w:t>
      </w:r>
    </w:p>
    <w:p>
      <w:pPr>
        <w:tabs>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10.协助乙方处理因不可抗力的自然因素造成的设施损坏事件。</w:t>
      </w:r>
    </w:p>
    <w:p>
      <w:pPr>
        <w:tabs>
          <w:tab w:val="left" w:pos="5175"/>
        </w:tabs>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第七条：乙方的权利与义务</w:t>
      </w:r>
    </w:p>
    <w:p>
      <w:pPr>
        <w:tabs>
          <w:tab w:val="left" w:pos="5175"/>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1.按照本合同确定的养护设施范围，经甲方确认的实际养护设施量及考核情况,取得相应养护经费。</w:t>
      </w:r>
    </w:p>
    <w:p>
      <w:pPr>
        <w:tabs>
          <w:tab w:val="left" w:pos="5175"/>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2.编制年度、月度养护施工计划，经甲方审定同意后，安排日常养护工作。</w:t>
      </w:r>
    </w:p>
    <w:p>
      <w:pPr>
        <w:tabs>
          <w:tab w:val="left" w:pos="5175"/>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3.乙方根据设施养护维修率情况，向甲方报送设施提升改造项目。</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4.按照现行的有关规范要求，并根据合同的各项规定，精心组织养护，保证设施正常运行。</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5.掌握合同范围内设施动态，及时发现、防止和处理设施缺陷，确保路灯照明设施完好和安全运行。</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6.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承担结果。</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7.对合同范围内的所有路灯照明设施按有关规定进行巡查，在重大活动期间和节假日应加大巡查频率，必要时采取监护措施。</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8.根据养护计划编制养护方案，并应在每月月底前报送当月完成的工作量和下月的计划。</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9.配合甲方做好合同范围内设施量及设施现状调查工作，并为甲方的检测和检查等提供协助。</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10.养护期内，乙方有责任发现并及时制止合同范围内的所有设施免遭人为等因素导致的损坏和侵害，并做好赔偿、修复的调查工作。</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11.养护期内，除不可抗力的自然环境因素外，其它因人为因素、偷盗等原因导致的路灯照明设施缺损，由乙方负责及时更换或维修，并承担相关费用。</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12.养护期内，涉及被占用、拆除、迁移等的设施，需经甲方审批同意，并及时向甲方提供变更后的资料和设备清单；涉及新增、拆除的路灯设施，以甲方书面通知为准，并从新增、拆除之日起，调整设施养护费，和设施用电电费。</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13.对发现的缺亮、故障和缺陷进行及时修复并做好反馈工作，确保设备完好可靠。</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14.保持照明设备的清洁，无明显的污垢。</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15.由于乙方原因，养护质量未达到合同约定的养护标准，乙方应采取补救措施，因此所产生的费用由乙方负责承担。</w:t>
      </w:r>
    </w:p>
    <w:p>
      <w:pPr>
        <w:tabs>
          <w:tab w:val="left" w:pos="720"/>
          <w:tab w:val="left" w:pos="126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16.应建立健全路灯照明的资料台账，确保图纸资料的完整性、正确性，每发现1处（项）缺损或错误扣除维护费500元。</w:t>
      </w:r>
    </w:p>
    <w:p>
      <w:pPr>
        <w:tabs>
          <w:tab w:val="left" w:pos="720"/>
          <w:tab w:val="left" w:pos="126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17.应按要求报送各类宣传资料，及工作总结资料。</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z w:val="24"/>
        </w:rPr>
        <w:t>18.</w:t>
      </w:r>
      <w:r>
        <w:rPr>
          <w:rFonts w:hint="eastAsia" w:ascii="仿宋" w:hAnsi="仿宋" w:eastAsia="仿宋" w:cs="仿宋"/>
          <w:snapToGrid w:val="0"/>
          <w:kern w:val="0"/>
          <w:sz w:val="24"/>
        </w:rPr>
        <w:t>应建立养护档案，健全日常养护作业记录，认真做好台账的整理和归档工作；每个月月底前3个工作日之内，将全部养护档案资料移交甲方一份。</w:t>
      </w:r>
    </w:p>
    <w:p>
      <w:pPr>
        <w:tabs>
          <w:tab w:val="left" w:pos="851"/>
          <w:tab w:val="left" w:pos="900"/>
          <w:tab w:val="left" w:pos="108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19.本合同解除或终止时，乙方必须向甲方移交其使用的全部档案资料。</w:t>
      </w:r>
    </w:p>
    <w:p>
      <w:pPr>
        <w:snapToGrid w:val="0"/>
        <w:spacing w:line="600" w:lineRule="exact"/>
        <w:ind w:firstLine="480" w:firstLineChars="200"/>
        <w:rPr>
          <w:rFonts w:ascii="仿宋" w:hAnsi="仿宋" w:eastAsia="仿宋" w:cs="仿宋"/>
          <w:snapToGrid w:val="0"/>
          <w:color w:val="FF0000"/>
          <w:kern w:val="0"/>
          <w:sz w:val="24"/>
          <w:highlight w:val="yellow"/>
        </w:rPr>
      </w:pPr>
      <w:r>
        <w:rPr>
          <w:rFonts w:hint="eastAsia" w:ascii="仿宋" w:hAnsi="仿宋" w:eastAsia="仿宋" w:cs="仿宋"/>
          <w:snapToGrid w:val="0"/>
          <w:kern w:val="0"/>
          <w:sz w:val="24"/>
        </w:rPr>
        <w:t>20.遇特殊情况，需停运部分照明设备的，停运期间需做好设施的巡查及防盗，确保停运设施安全。</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第八条：突发事件处理及防汛、防台、抗雪（防冻）等应急处置</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乙方应成立突发事件应急处理领导小组和应急抢险突击队，切实按照相关政策文件制定的预案组织实施。认真做好防汛、抗台、抗雪及突发事件应急抢险工作，确保人员、设备、材料“三落实”，并做好数据、影像资料和台账的记录、存档，及时向甲方反映情况，严格服从甲方的统一指挥和安排。</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若发生非养护原因引起的意外事故或人为破坏造成的设施损坏以及较大面积的路灯缺亮故障，乙方应立即采取相关措施或临时应急措施，尽快恢复亮灯并消除安全隐患，并第一时间通知甲方和相关部门，未及时通知的，每发现一起扣除养护费用2000元。</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第九条：“三来件”处置</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z w:val="24"/>
        </w:rPr>
        <w:t>“三来件”处置：</w:t>
      </w:r>
      <w:r>
        <w:rPr>
          <w:rFonts w:hint="eastAsia" w:ascii="仿宋" w:hAnsi="仿宋" w:eastAsia="仿宋" w:cs="仿宋"/>
          <w:snapToGrid w:val="0"/>
          <w:kern w:val="0"/>
          <w:sz w:val="24"/>
        </w:rPr>
        <w:t>乙方应建立24小时值班制度，及时处理“三来件”事项，保证办结率和回复率达到100%，满意率98%以上。</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第十条：安全生产、文明施工养护</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1.为确保安全、文明施工养护，乙方应该本着“安全第一，预防为主”的原则，健全安全管理组织体系；严格贯彻国家、省、市和劳动保护、安全生产部门颁发的有关安全生产、消防工作的方针、政策、法规、条例、规定等执行。</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2.乙方对全部现场作业和施工养护方法的适应、稳妥和安全性承担全部责任。在养护工作中，力求采用成熟的工艺、材料和方法。</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3.乙方要制定应急预案，配合做好亮灯的服务及安全保障工作，并报甲方备案。</w:t>
      </w:r>
    </w:p>
    <w:p>
      <w:pPr>
        <w:tabs>
          <w:tab w:val="left" w:pos="851"/>
          <w:tab w:val="left" w:pos="900"/>
        </w:tabs>
        <w:snapToGrid w:val="0"/>
        <w:spacing w:line="600" w:lineRule="exact"/>
        <w:ind w:firstLine="480" w:firstLineChars="200"/>
        <w:rPr>
          <w:rFonts w:ascii="仿宋" w:hAnsi="仿宋" w:eastAsia="仿宋" w:cs="仿宋"/>
          <w:sz w:val="24"/>
        </w:rPr>
      </w:pPr>
      <w:r>
        <w:rPr>
          <w:rFonts w:hint="eastAsia" w:ascii="仿宋" w:hAnsi="仿宋" w:eastAsia="仿宋" w:cs="仿宋"/>
          <w:sz w:val="24"/>
        </w:rPr>
        <w:t>4.乙方建立健全的安全体系和安全学习制度，不断增强工作人员的安全意识；工作人员必须经过专业培训并持证上岗，设置专人负责，甲方有权要求乙方撤换工作不能胜任或玩忽职守、工作不负责的人员。</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5.合同期间，由于乙方安全措施不力、养护工作不到位、违反安全操作规程而导致责任事故或第三方人身和财产损失，乙方应负责予以妥善处理，所发生的费用均由乙方自负，甲方保留追究责任的权利。如甲方因此遭到第三方索赔的，有权全额向乙方追偿。</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第十一条：考核依据及经费支付方式</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1.考核依据：按照《城管目标考核评分细则（市容景观长效管理）》、《杭州市道路照明设施养护考核办法（试行）》</w:t>
      </w:r>
      <w:r>
        <w:rPr>
          <w:rFonts w:hint="eastAsia" w:ascii="仿宋" w:hAnsi="仿宋" w:eastAsia="仿宋" w:cs="仿宋"/>
          <w:bCs/>
          <w:snapToGrid w:val="0"/>
          <w:sz w:val="24"/>
        </w:rPr>
        <w:t>（</w:t>
      </w:r>
      <w:r>
        <w:rPr>
          <w:rFonts w:hint="eastAsia" w:ascii="仿宋" w:hAnsi="仿宋" w:eastAsia="仿宋" w:cs="仿宋"/>
          <w:sz w:val="24"/>
        </w:rPr>
        <w:t>杭亮监﹝2013﹞6号）</w:t>
      </w:r>
      <w:r>
        <w:rPr>
          <w:rFonts w:hint="eastAsia" w:ascii="仿宋" w:hAnsi="仿宋" w:eastAsia="仿宋" w:cs="仿宋"/>
          <w:snapToGrid w:val="0"/>
          <w:kern w:val="0"/>
          <w:sz w:val="24"/>
        </w:rPr>
        <w:t>等相关规定要求。</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考核评分：日常养护考核按百分制评价，考核得分在92分以上（含92分）为合格，92分以下为不合格，得分在92分以下，按照（92分-月度考核成绩）*当月养护经费的1%计算。一年内连续2个月养护考核成绩或累计3次以上（含3次）养护成绩不合格，年养护考核不合格。具体详见《杭州市道路照明设施养护考评考核评分表》。</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3.年经费支付方式：1月份至1</w:t>
      </w:r>
      <w:r>
        <w:rPr>
          <w:rFonts w:ascii="仿宋" w:hAnsi="仿宋" w:eastAsia="仿宋" w:cs="仿宋"/>
          <w:snapToGrid w:val="0"/>
          <w:kern w:val="0"/>
          <w:sz w:val="24"/>
        </w:rPr>
        <w:t>1</w:t>
      </w:r>
      <w:r>
        <w:rPr>
          <w:rFonts w:hint="eastAsia" w:ascii="仿宋" w:hAnsi="仿宋" w:eastAsia="仿宋" w:cs="仿宋"/>
          <w:snapToGrid w:val="0"/>
          <w:kern w:val="0"/>
          <w:sz w:val="24"/>
        </w:rPr>
        <w:t>月份养护费用按年养护总价/</w:t>
      </w:r>
      <w:r>
        <w:rPr>
          <w:rFonts w:ascii="仿宋" w:hAnsi="仿宋" w:eastAsia="仿宋" w:cs="仿宋"/>
          <w:snapToGrid w:val="0"/>
          <w:kern w:val="0"/>
          <w:sz w:val="24"/>
        </w:rPr>
        <w:t>12</w:t>
      </w:r>
      <w:r>
        <w:rPr>
          <w:rFonts w:hint="eastAsia" w:ascii="仿宋" w:hAnsi="仿宋" w:eastAsia="仿宋" w:cs="仿宋"/>
          <w:snapToGrid w:val="0"/>
          <w:kern w:val="0"/>
          <w:sz w:val="24"/>
        </w:rPr>
        <w:t>个月进行每月支付，1</w:t>
      </w:r>
      <w:r>
        <w:rPr>
          <w:rFonts w:ascii="仿宋" w:hAnsi="仿宋" w:eastAsia="仿宋" w:cs="仿宋"/>
          <w:snapToGrid w:val="0"/>
          <w:kern w:val="0"/>
          <w:sz w:val="24"/>
        </w:rPr>
        <w:t>2</w:t>
      </w:r>
      <w:r>
        <w:rPr>
          <w:rFonts w:hint="eastAsia" w:ascii="仿宋" w:hAnsi="仿宋" w:eastAsia="仿宋" w:cs="仿宋"/>
          <w:snapToGrid w:val="0"/>
          <w:kern w:val="0"/>
          <w:sz w:val="24"/>
        </w:rPr>
        <w:t>月份养护费用扣除全年养护考核扣款及其他罚款款项后进行结算支付。</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第十二条：违约责任</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1.非市财政资金计划安排原因，甲方未按合同约定，逾期支付养护款超过3个月的，乙方可停止养护工作，造成的损失由甲方承担。</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2.由于乙方上周巡检、维护处理不到位，被甲方、数字城管和各职能单位（部门）抄告的问题，经核实问题确实存在，且情况较为严重的，每1处（件）扣除维护经费500元人民币。</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3.由于乙方养护不到位，造成路灯配电箱、变压器、低压配电柜、控制器及附属设备等设施，安全警示标识标牌脱落、悬挂不到位等，每1处（件）扣除维护经费500元人民币。</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4.由于乙方养护不到位，被甲方和各职能单位（部门）查处的安全隐患苗头，每1件扣除维护经费1000元人民币。</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乙方应严格遵守电力等部门的安全管理规定，服从安检人员的稽查，对违章行为按相关部门有关规定进行处罚。如因乙方未能全面履行本合同义务导致甲方因此遭到行政处罚的，甲方有权向乙方全额追偿，且乙方应向甲方另行承担违约金每次2000元。情节严重的视为违约，甲方有权解除合同。</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6.乙方未按照甲方要求及时有效对问题进行整改，每发生一件逾期未整改的扣除维护费2000元，逾期第2天起，每1天扣除维护费500元，直至问题整改完毕。</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由于乙方养护不到位或不文明施工等情况而被新闻媒体曝光或发生有责投诉，每发生一次，处以2000元人民币的扣款。事后未及时妥善处理，造成恶劣社会舆论影响的，视情节轻重扣除当月维护费用的10%-30%直至终止维护合同。</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w:t>
      </w:r>
      <w:r>
        <w:rPr>
          <w:rFonts w:ascii="仿宋" w:hAnsi="仿宋" w:eastAsia="仿宋" w:cs="仿宋"/>
          <w:snapToGrid w:val="0"/>
          <w:kern w:val="0"/>
          <w:sz w:val="24"/>
        </w:rPr>
        <w:t>.</w:t>
      </w:r>
      <w:r>
        <w:rPr>
          <w:rFonts w:hint="eastAsia" w:ascii="仿宋" w:hAnsi="仿宋" w:eastAsia="仿宋" w:cs="仿宋"/>
          <w:snapToGrid w:val="0"/>
          <w:kern w:val="0"/>
          <w:sz w:val="24"/>
        </w:rPr>
        <w:t>乙方未按照投标文件要求配备人员、设备、车辆等，每发现一次，当月考核结果不合格，并扣除相应的养护费用。</w:t>
      </w:r>
    </w:p>
    <w:p>
      <w:pPr>
        <w:tabs>
          <w:tab w:val="left" w:pos="540"/>
          <w:tab w:val="left" w:pos="720"/>
          <w:tab w:val="left" w:pos="780"/>
        </w:tabs>
        <w:snapToGrid w:val="0"/>
        <w:spacing w:line="600" w:lineRule="exact"/>
        <w:ind w:firstLine="480" w:firstLineChars="200"/>
        <w:rPr>
          <w:rFonts w:ascii="仿宋" w:hAnsi="仿宋" w:eastAsia="仿宋" w:cs="仿宋"/>
          <w:snapToGrid w:val="0"/>
          <w:kern w:val="0"/>
          <w:sz w:val="24"/>
        </w:rPr>
      </w:pPr>
      <w:r>
        <w:rPr>
          <w:rFonts w:ascii="仿宋" w:hAnsi="仿宋" w:eastAsia="仿宋" w:cs="仿宋"/>
          <w:snapToGrid w:val="0"/>
          <w:kern w:val="0"/>
          <w:sz w:val="24"/>
        </w:rPr>
        <w:t>9</w:t>
      </w:r>
      <w:r>
        <w:rPr>
          <w:rFonts w:hint="eastAsia" w:ascii="仿宋" w:hAnsi="仿宋" w:eastAsia="仿宋" w:cs="仿宋"/>
          <w:snapToGrid w:val="0"/>
          <w:kern w:val="0"/>
          <w:sz w:val="24"/>
        </w:rPr>
        <w:t>.宣传资料。按要求报送各类宣传资料，以月为时间节点，当月报送宣传资料未达到考核要求的，扣除养护费</w:t>
      </w:r>
      <w:r>
        <w:rPr>
          <w:rFonts w:ascii="仿宋" w:hAnsi="仿宋" w:eastAsia="仿宋" w:cs="仿宋"/>
          <w:snapToGrid w:val="0"/>
          <w:kern w:val="0"/>
          <w:sz w:val="24"/>
        </w:rPr>
        <w:t>1000</w:t>
      </w:r>
      <w:r>
        <w:rPr>
          <w:rFonts w:hint="eastAsia" w:ascii="仿宋" w:hAnsi="仿宋" w:eastAsia="仿宋" w:cs="仿宋"/>
          <w:snapToGrid w:val="0"/>
          <w:kern w:val="0"/>
          <w:sz w:val="24"/>
        </w:rPr>
        <w:t>元人民币。</w:t>
      </w:r>
    </w:p>
    <w:p>
      <w:pPr>
        <w:tabs>
          <w:tab w:val="left" w:pos="540"/>
          <w:tab w:val="left" w:pos="720"/>
          <w:tab w:val="left" w:pos="780"/>
        </w:tabs>
        <w:snapToGrid w:val="0"/>
        <w:spacing w:line="600" w:lineRule="exact"/>
        <w:ind w:firstLine="480" w:firstLineChars="200"/>
        <w:rPr>
          <w:rFonts w:ascii="仿宋" w:hAnsi="仿宋" w:eastAsia="仿宋"/>
        </w:rPr>
      </w:pPr>
      <w:r>
        <w:rPr>
          <w:rFonts w:ascii="仿宋" w:hAnsi="仿宋" w:eastAsia="仿宋" w:cs="仿宋"/>
          <w:snapToGrid w:val="0"/>
          <w:kern w:val="0"/>
          <w:sz w:val="24"/>
        </w:rPr>
        <w:t>10.</w:t>
      </w:r>
      <w:r>
        <w:rPr>
          <w:rFonts w:hint="eastAsia" w:ascii="仿宋" w:hAnsi="仿宋" w:eastAsia="仿宋" w:cs="仿宋"/>
          <w:snapToGrid w:val="0"/>
          <w:kern w:val="0"/>
          <w:sz w:val="24"/>
        </w:rPr>
        <w:t>养护台账资料。配合甲方做好设施养护台账资料整理与搜集，按要求及时反馈相关信息数据，定期向甲方报送养护台账资料，每逾期报送1次扣除维护经费500元人民币。</w:t>
      </w:r>
    </w:p>
    <w:p>
      <w:pPr>
        <w:tabs>
          <w:tab w:val="left" w:pos="720"/>
          <w:tab w:val="left" w:pos="1260"/>
        </w:tabs>
        <w:snapToGrid w:val="0"/>
        <w:spacing w:line="600" w:lineRule="exact"/>
        <w:ind w:firstLine="480" w:firstLineChars="200"/>
        <w:rPr>
          <w:rFonts w:ascii="仿宋" w:hAnsi="仿宋" w:eastAsia="仿宋" w:cs="仿宋"/>
          <w:snapToGrid w:val="0"/>
          <w:kern w:val="0"/>
          <w:sz w:val="24"/>
        </w:rPr>
      </w:pPr>
      <w:r>
        <w:rPr>
          <w:rFonts w:ascii="仿宋" w:hAnsi="仿宋" w:eastAsia="仿宋" w:cs="仿宋"/>
          <w:snapToGrid w:val="0"/>
          <w:kern w:val="0"/>
          <w:sz w:val="24"/>
        </w:rPr>
        <w:t>11</w:t>
      </w:r>
      <w:r>
        <w:rPr>
          <w:rFonts w:hint="eastAsia" w:ascii="仿宋" w:hAnsi="仿宋" w:eastAsia="仿宋" w:cs="仿宋"/>
          <w:snapToGrid w:val="0"/>
          <w:kern w:val="0"/>
          <w:sz w:val="24"/>
        </w:rPr>
        <w:t>.乙方应当按照本合同约定完成养护任务，不得向他人转包或分包。一经发现，甲方有权立即解除本合同，乙方应按当年年度总价款5％的标准支付违约金，该违约金甲方可在维护经费中直接扣除。</w:t>
      </w:r>
    </w:p>
    <w:p>
      <w:pPr>
        <w:tabs>
          <w:tab w:val="left" w:pos="720"/>
          <w:tab w:val="left" w:pos="1260"/>
        </w:tabs>
        <w:snapToGrid w:val="0"/>
        <w:spacing w:line="600" w:lineRule="exact"/>
        <w:ind w:firstLine="480" w:firstLineChars="200"/>
        <w:rPr>
          <w:rFonts w:ascii="仿宋" w:hAnsi="仿宋" w:eastAsia="仿宋" w:cs="仿宋"/>
          <w:snapToGrid w:val="0"/>
          <w:kern w:val="0"/>
          <w:sz w:val="24"/>
        </w:rPr>
      </w:pPr>
      <w:r>
        <w:rPr>
          <w:rFonts w:ascii="仿宋" w:hAnsi="仿宋" w:eastAsia="仿宋" w:cs="仿宋"/>
          <w:snapToGrid w:val="0"/>
          <w:kern w:val="0"/>
          <w:sz w:val="24"/>
        </w:rPr>
        <w:t>12</w:t>
      </w:r>
      <w:r>
        <w:rPr>
          <w:rFonts w:hint="eastAsia" w:ascii="仿宋" w:hAnsi="仿宋" w:eastAsia="仿宋" w:cs="仿宋"/>
          <w:snapToGrid w:val="0"/>
          <w:kern w:val="0"/>
          <w:sz w:val="24"/>
        </w:rPr>
        <w:t>.乙方在设施养护费过程中，1年（1个养护周期）内连续2个月养护成绩或发生累计3次（含3次）养护成绩不合格，甲方有权立即解除本合同。</w:t>
      </w:r>
    </w:p>
    <w:p>
      <w:pPr>
        <w:pStyle w:val="56"/>
        <w:shd w:val="clear" w:color="auto" w:fill="FFFFFF"/>
        <w:adjustRightInd w:val="0"/>
        <w:snapToGrid w:val="0"/>
        <w:spacing w:line="600" w:lineRule="exact"/>
        <w:jc w:val="both"/>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r>
        <w:rPr>
          <w:rFonts w:hint="eastAsia" w:ascii="仿宋" w:hAnsi="仿宋" w:eastAsia="仿宋" w:cs="仿宋"/>
          <w:sz w:val="24"/>
          <w:szCs w:val="24"/>
        </w:rPr>
        <w:t>.乙方在养护上有突出表现，勇于承担社会责任，增加百姓获得感的，经甲方研究，可给予适当奖励。</w:t>
      </w:r>
    </w:p>
    <w:p>
      <w:pPr>
        <w:pStyle w:val="56"/>
        <w:shd w:val="clear" w:color="auto" w:fill="FFFFFF"/>
        <w:adjustRightInd w:val="0"/>
        <w:snapToGrid w:val="0"/>
        <w:spacing w:line="600" w:lineRule="exact"/>
        <w:jc w:val="both"/>
        <w:rPr>
          <w:rFonts w:ascii="仿宋" w:hAnsi="仿宋" w:eastAsia="仿宋" w:cs="仿宋"/>
          <w:sz w:val="24"/>
          <w:szCs w:val="24"/>
        </w:rPr>
      </w:pPr>
      <w:r>
        <w:rPr>
          <w:rFonts w:hint="eastAsia" w:ascii="仿宋" w:hAnsi="仿宋" w:eastAsia="仿宋" w:cs="仿宋"/>
          <w:sz w:val="24"/>
          <w:szCs w:val="24"/>
        </w:rPr>
        <w:t>14.本合同生效后，如任何一方违约，守约方为维护权益向违约方追偿的一切费用，包括但不限于律师费、诉讼费、保全费、鉴定费、差旅费等均由违约方承担。</w:t>
      </w:r>
    </w:p>
    <w:p>
      <w:pPr>
        <w:tabs>
          <w:tab w:val="left" w:pos="720"/>
          <w:tab w:val="left" w:pos="1260"/>
        </w:tabs>
        <w:snapToGrid w:val="0"/>
        <w:spacing w:line="600" w:lineRule="exact"/>
        <w:ind w:firstLine="482" w:firstLineChars="200"/>
        <w:rPr>
          <w:rFonts w:ascii="仿宋" w:hAnsi="仿宋" w:eastAsia="仿宋" w:cs="仿宋"/>
          <w:snapToGrid w:val="0"/>
          <w:kern w:val="0"/>
          <w:sz w:val="24"/>
        </w:rPr>
      </w:pPr>
      <w:r>
        <w:rPr>
          <w:rFonts w:hint="eastAsia" w:ascii="仿宋" w:hAnsi="仿宋" w:eastAsia="仿宋" w:cs="仿宋"/>
          <w:b/>
          <w:sz w:val="24"/>
        </w:rPr>
        <w:t>第十三条：其他约定</w:t>
      </w:r>
    </w:p>
    <w:p>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1.下列内容不包括在本合同养护经费内：</w:t>
      </w:r>
    </w:p>
    <w:p>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（1）不可抗力或非乙方人为因素造成设施损坏需抢修或维修，经甲方核实同意发生的抢修费用。</w:t>
      </w:r>
    </w:p>
    <w:p>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（2）经上级审批立项的专项工程费用。</w:t>
      </w:r>
    </w:p>
    <w:p>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（3）配合甲方完成本合同约定养护内容以外的工作所发生的费用。</w:t>
      </w:r>
    </w:p>
    <w:p>
      <w:pPr>
        <w:tabs>
          <w:tab w:val="left" w:pos="90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不可抗力：不可抗力是指《中华人民共和国民法典》所列举的不可抗力。不可抗力一旦发生，证明文件由法律规定部门签署，并由甲方、乙方协商合同逾期履行和继续履行或终止履行的方法，在此情况下，任何一方不能要求损失赔偿。</w:t>
      </w:r>
    </w:p>
    <w:p>
      <w:pPr>
        <w:tabs>
          <w:tab w:val="left" w:pos="900"/>
        </w:tabs>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w:t>
      </w:r>
      <w:r>
        <w:rPr>
          <w:rFonts w:ascii="仿宋" w:hAnsi="仿宋" w:eastAsia="仿宋" w:cs="仿宋"/>
          <w:snapToGrid w:val="0"/>
          <w:kern w:val="0"/>
          <w:sz w:val="24"/>
        </w:rPr>
        <w:t>.</w:t>
      </w:r>
      <w:r>
        <w:rPr>
          <w:rFonts w:hint="eastAsia" w:ascii="仿宋" w:hAnsi="仿宋" w:eastAsia="仿宋" w:cs="仿宋"/>
          <w:snapToGrid w:val="0"/>
          <w:kern w:val="0"/>
          <w:sz w:val="24"/>
        </w:rPr>
        <w:t>乙方应配合甲方做好设施的迁移、占用等相关方案设计工作。</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第十四条：相关争议解决</w:t>
      </w:r>
    </w:p>
    <w:p>
      <w:pPr>
        <w:snapToGrid w:val="0"/>
        <w:spacing w:line="600" w:lineRule="exact"/>
        <w:ind w:right="25" w:rightChars="12" w:firstLine="480" w:firstLineChars="200"/>
        <w:rPr>
          <w:rFonts w:ascii="仿宋" w:hAnsi="仿宋" w:eastAsia="仿宋" w:cs="仿宋"/>
          <w:sz w:val="24"/>
        </w:rPr>
      </w:pPr>
      <w:r>
        <w:rPr>
          <w:rFonts w:hint="eastAsia" w:ascii="仿宋" w:hAnsi="仿宋" w:eastAsia="仿宋" w:cs="仿宋"/>
          <w:sz w:val="24"/>
        </w:rPr>
        <w:t>本合同发生争议时，双方应友好协商解决，协商不一致的，任何一方均可向甲方所在地人民法院提起诉讼。</w:t>
      </w:r>
    </w:p>
    <w:p>
      <w:pPr>
        <w:snapToGrid w:val="0"/>
        <w:spacing w:line="600" w:lineRule="exact"/>
        <w:ind w:right="25" w:rightChars="12" w:firstLine="482" w:firstLineChars="200"/>
        <w:rPr>
          <w:rFonts w:ascii="仿宋" w:hAnsi="仿宋" w:eastAsia="仿宋" w:cs="仿宋"/>
          <w:b/>
          <w:sz w:val="24"/>
        </w:rPr>
      </w:pPr>
      <w:r>
        <w:rPr>
          <w:rFonts w:hint="eastAsia" w:ascii="仿宋" w:hAnsi="仿宋" w:eastAsia="仿宋" w:cs="仿宋"/>
          <w:b/>
          <w:sz w:val="24"/>
        </w:rPr>
        <w:t>第十五条：附则</w:t>
      </w:r>
    </w:p>
    <w:p>
      <w:pPr>
        <w:snapToGrid w:val="0"/>
        <w:spacing w:line="600" w:lineRule="exact"/>
        <w:ind w:left="-2" w:leftChars="-1"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1.本合同经双方法定代表人或其授权代表签字并加盖公章之日起生效。</w:t>
      </w:r>
    </w:p>
    <w:p>
      <w:pPr>
        <w:snapToGrid w:val="0"/>
        <w:spacing w:line="600" w:lineRule="exact"/>
        <w:ind w:left="-2" w:leftChars="-1"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2.本合同一式四份，甲、乙双方各执二份。</w:t>
      </w:r>
    </w:p>
    <w:p>
      <w:pPr>
        <w:snapToGrid w:val="0"/>
        <w:spacing w:line="60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3.合同履行期内甲乙双方均不得随意变更或解除合同。合同若有未尽事宜，需经双方协商，订立补充合同，补充合同与本合同有同等法律效力。</w:t>
      </w:r>
    </w:p>
    <w:p>
      <w:pPr>
        <w:snapToGrid w:val="0"/>
        <w:spacing w:line="600" w:lineRule="exact"/>
        <w:ind w:firstLine="480" w:firstLineChars="200"/>
        <w:rPr>
          <w:rFonts w:ascii="仿宋" w:eastAsia="仿宋" w:cs="仿宋"/>
          <w:snapToGrid w:val="0"/>
          <w:kern w:val="0"/>
          <w:sz w:val="24"/>
        </w:rPr>
      </w:pPr>
      <w:r>
        <w:rPr>
          <w:rFonts w:hint="eastAsia" w:ascii="仿宋" w:eastAsia="仿宋" w:cs="仿宋"/>
          <w:snapToGrid w:val="0"/>
          <w:kern w:val="0"/>
          <w:sz w:val="24"/>
        </w:rPr>
        <w:t>4.本合同页尾盖章处载明的各联系方式可作为双方各类通知、文件(包括法院的通</w:t>
      </w:r>
    </w:p>
    <w:p>
      <w:pPr>
        <w:snapToGrid w:val="0"/>
        <w:spacing w:line="600" w:lineRule="exact"/>
        <w:rPr>
          <w:rFonts w:ascii="仿宋" w:hAnsi="仿宋" w:eastAsia="仿宋" w:cs="仿宋"/>
          <w:snapToGrid w:val="0"/>
          <w:kern w:val="0"/>
          <w:sz w:val="24"/>
        </w:rPr>
      </w:pPr>
      <w:r>
        <w:rPr>
          <w:rFonts w:hint="eastAsia" w:ascii="仿宋" w:hAnsi="仿宋" w:eastAsia="仿宋" w:cs="仿宋"/>
          <w:snapToGrid w:val="0"/>
          <w:kern w:val="0"/>
          <w:sz w:val="24"/>
        </w:rPr>
        <w:t>知、文书)的送达联系方式。如有变更应自变更之日起三个工作日内书面告知对方，否则自行承担不利后果。</w:t>
      </w:r>
    </w:p>
    <w:p/>
    <w:tbl>
      <w:tblPr>
        <w:tblStyle w:val="62"/>
        <w:tblW w:w="4998" w:type="pct"/>
        <w:tblInd w:w="0" w:type="dxa"/>
        <w:tblLayout w:type="autofit"/>
        <w:tblCellMar>
          <w:top w:w="0" w:type="dxa"/>
          <w:left w:w="108" w:type="dxa"/>
          <w:bottom w:w="0" w:type="dxa"/>
          <w:right w:w="108" w:type="dxa"/>
        </w:tblCellMar>
      </w:tblPr>
      <w:tblGrid>
        <w:gridCol w:w="4644"/>
        <w:gridCol w:w="4638"/>
      </w:tblGrid>
      <w:tr>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b/>
                <w:color w:val="000000"/>
                <w:sz w:val="24"/>
                <w:szCs w:val="24"/>
              </w:rPr>
              <w:t>甲 方：杭州市市容景观发展中心</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b/>
                <w:color w:val="000000"/>
                <w:sz w:val="24"/>
                <w:szCs w:val="24"/>
              </w:rPr>
              <w:t>乙方：</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jc w:val="right"/>
              <w:rPr>
                <w:rFonts w:hint="eastAsia" w:ascii="仿宋" w:hAnsi="仿宋" w:eastAsia="仿宋" w:cs="仿宋"/>
                <w:b/>
                <w:color w:val="000000"/>
                <w:sz w:val="24"/>
                <w:szCs w:val="24"/>
              </w:rPr>
            </w:pPr>
            <w:r>
              <w:rPr>
                <w:rFonts w:hint="eastAsia" w:ascii="仿宋" w:hAnsi="仿宋" w:eastAsia="仿宋" w:cs="仿宋"/>
                <w:color w:val="000000"/>
                <w:sz w:val="24"/>
                <w:szCs w:val="24"/>
              </w:rPr>
              <w:t>（盖章）</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jc w:val="right"/>
              <w:rPr>
                <w:rFonts w:hint="eastAsia" w:ascii="仿宋" w:hAnsi="仿宋" w:eastAsia="仿宋" w:cs="仿宋"/>
                <w:b/>
                <w:color w:val="000000"/>
                <w:sz w:val="24"/>
                <w:szCs w:val="24"/>
              </w:rPr>
            </w:pPr>
            <w:r>
              <w:rPr>
                <w:rFonts w:hint="eastAsia" w:ascii="仿宋" w:hAnsi="仿宋" w:eastAsia="仿宋" w:cs="仿宋"/>
                <w:color w:val="000000"/>
                <w:sz w:val="24"/>
                <w:szCs w:val="24"/>
              </w:rPr>
              <w:t>（盖章）</w:t>
            </w:r>
          </w:p>
        </w:tc>
      </w:tr>
      <w:tr>
        <w:tblPrEx>
          <w:tblCellMar>
            <w:top w:w="0" w:type="dxa"/>
            <w:left w:w="108" w:type="dxa"/>
            <w:bottom w:w="0" w:type="dxa"/>
            <w:right w:w="108" w:type="dxa"/>
          </w:tblCellMar>
        </w:tblPrEx>
        <w:trPr>
          <w:trHeight w:val="691"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b/>
                <w:color w:val="000000"/>
                <w:sz w:val="24"/>
                <w:szCs w:val="24"/>
              </w:rPr>
              <w:t>法定代表人</w:t>
            </w:r>
          </w:p>
          <w:p>
            <w:pPr>
              <w:pStyle w:val="2"/>
              <w:rPr>
                <w:rFonts w:hint="eastAsia" w:ascii="仿宋" w:hAnsi="仿宋" w:eastAsia="仿宋" w:cs="仿宋"/>
                <w:sz w:val="24"/>
                <w:szCs w:val="24"/>
                <w:lang w:val="en-US"/>
              </w:rPr>
            </w:pPr>
            <w:r>
              <w:rPr>
                <w:rFonts w:hint="eastAsia" w:ascii="仿宋" w:hAnsi="仿宋" w:eastAsia="仿宋" w:cs="仿宋"/>
                <w:bCs w:val="0"/>
                <w:color w:val="000000"/>
                <w:sz w:val="24"/>
                <w:szCs w:val="24"/>
                <w:lang w:val="en-US"/>
              </w:rPr>
              <w:t>或授权代表：</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b/>
                <w:color w:val="000000"/>
                <w:sz w:val="24"/>
                <w:szCs w:val="24"/>
              </w:rPr>
              <w:t>法定代表人</w:t>
            </w:r>
          </w:p>
          <w:p>
            <w:pPr>
              <w:pStyle w:val="2"/>
              <w:rPr>
                <w:rFonts w:hint="eastAsia" w:ascii="仿宋" w:hAnsi="仿宋" w:eastAsia="仿宋" w:cs="仿宋"/>
                <w:sz w:val="24"/>
                <w:szCs w:val="24"/>
                <w:lang w:val="en-US"/>
              </w:rPr>
            </w:pPr>
            <w:r>
              <w:rPr>
                <w:rFonts w:hint="eastAsia" w:ascii="仿宋" w:hAnsi="仿宋" w:eastAsia="仿宋" w:cs="仿宋"/>
                <w:sz w:val="24"/>
                <w:szCs w:val="24"/>
                <w:lang w:val="en-US"/>
              </w:rPr>
              <w:t>或授权代表：</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仿宋" w:hAnsi="仿宋" w:eastAsia="仿宋" w:cs="仿宋"/>
                <w:b/>
                <w:color w:val="000000"/>
                <w:sz w:val="24"/>
                <w:szCs w:val="24"/>
              </w:rPr>
            </w:pPr>
            <w:r>
              <w:rPr>
                <w:rFonts w:hint="eastAsia" w:ascii="仿宋" w:hAnsi="仿宋" w:eastAsia="仿宋" w:cs="仿宋"/>
                <w:color w:val="000000"/>
                <w:sz w:val="24"/>
                <w:szCs w:val="24"/>
              </w:rPr>
              <w:t>通讯地址：</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color w:val="000000"/>
                <w:sz w:val="24"/>
                <w:szCs w:val="24"/>
              </w:rPr>
              <w:t xml:space="preserve">通讯地址： </w:t>
            </w:r>
          </w:p>
        </w:tc>
      </w:tr>
      <w:tr>
        <w:tblPrEx>
          <w:tblCellMar>
            <w:top w:w="0" w:type="dxa"/>
            <w:left w:w="108" w:type="dxa"/>
            <w:bottom w:w="0" w:type="dxa"/>
            <w:right w:w="108" w:type="dxa"/>
          </w:tblCellMar>
        </w:tblPrEx>
        <w:trPr>
          <w:trHeight w:val="613"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联系人及</w:t>
            </w:r>
          </w:p>
          <w:p>
            <w:pP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联系人及</w:t>
            </w:r>
          </w:p>
          <w:p>
            <w:pPr>
              <w:wordWrap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color w:val="000000"/>
                <w:sz w:val="24"/>
                <w:szCs w:val="24"/>
              </w:rPr>
              <w:t>开 户 行：</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color w:val="000000"/>
                <w:sz w:val="24"/>
                <w:szCs w:val="24"/>
              </w:rPr>
              <w:t xml:space="preserve">开 户 行： </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color w:val="000000"/>
                <w:sz w:val="24"/>
                <w:szCs w:val="24"/>
              </w:rPr>
              <w:t>帐    号：</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b/>
                <w:color w:val="000000"/>
                <w:sz w:val="24"/>
                <w:szCs w:val="24"/>
              </w:rPr>
            </w:pPr>
            <w:r>
              <w:rPr>
                <w:rFonts w:hint="eastAsia" w:ascii="仿宋" w:hAnsi="仿宋" w:eastAsia="仿宋" w:cs="仿宋"/>
                <w:color w:val="000000"/>
                <w:sz w:val="24"/>
                <w:szCs w:val="24"/>
              </w:rPr>
              <w:t xml:space="preserve">帐    号： </w:t>
            </w:r>
          </w:p>
        </w:tc>
      </w:tr>
      <w:tr>
        <w:tblPrEx>
          <w:tblCellMar>
            <w:top w:w="0" w:type="dxa"/>
            <w:left w:w="108" w:type="dxa"/>
            <w:bottom w:w="0" w:type="dxa"/>
            <w:right w:w="108" w:type="dxa"/>
          </w:tblCellMar>
        </w:tblPrEx>
        <w:trPr>
          <w:trHeight w:val="476" w:hRule="exact"/>
        </w:trPr>
        <w:tc>
          <w:tcPr>
            <w:tcW w:w="2501"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签订日期：   年   月   日</w:t>
            </w:r>
          </w:p>
        </w:tc>
        <w:tc>
          <w:tcPr>
            <w:tcW w:w="2498" w:type="pct"/>
            <w:tcBorders>
              <w:top w:val="single" w:color="auto" w:sz="6" w:space="0"/>
              <w:left w:val="single" w:color="auto" w:sz="6" w:space="0"/>
              <w:bottom w:val="single" w:color="auto" w:sz="6" w:space="0"/>
              <w:right w:val="single" w:color="auto" w:sz="6" w:space="0"/>
            </w:tcBorders>
            <w:shd w:val="clear" w:color="auto" w:fill="auto"/>
            <w:vAlign w:val="center"/>
          </w:tcPr>
          <w:p>
            <w:pPr>
              <w:wordWrap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签订日期：      年     月     日</w:t>
            </w:r>
          </w:p>
        </w:tc>
      </w:tr>
    </w:tbl>
    <w:p>
      <w:pPr>
        <w:snapToGrid w:val="0"/>
        <w:spacing w:line="600" w:lineRule="exact"/>
        <w:jc w:val="left"/>
        <w:rPr>
          <w:rFonts w:ascii="仿宋" w:hAnsi="仿宋" w:eastAsia="仿宋" w:cs="仿宋"/>
          <w:snapToGrid w:val="0"/>
          <w:kern w:val="0"/>
          <w:sz w:val="24"/>
        </w:rPr>
      </w:pPr>
      <w:r>
        <w:rPr>
          <w:rFonts w:hint="eastAsia" w:ascii="仿宋" w:hAnsi="仿宋" w:eastAsia="仿宋" w:cs="仿宋"/>
          <w:snapToGrid w:val="0"/>
          <w:kern w:val="0"/>
          <w:sz w:val="24"/>
        </w:rPr>
        <w:t>附件：《杭州市道路照明设施养护考评考核评分表》</w:t>
      </w:r>
    </w:p>
    <w:p>
      <w:pPr>
        <w:widowControl/>
        <w:adjustRightInd/>
        <w:jc w:val="center"/>
        <w:rPr>
          <w:rFonts w:ascii="仿宋" w:hAnsi="仿宋" w:eastAsia="仿宋" w:cs="宋体"/>
          <w:b/>
          <w:sz w:val="36"/>
          <w:szCs w:val="20"/>
        </w:rPr>
      </w:pPr>
      <w:r>
        <w:rPr>
          <w:rFonts w:ascii="仿宋" w:hAnsi="仿宋" w:eastAsia="仿宋" w:cs="宋体"/>
          <w:b/>
          <w:sz w:val="36"/>
          <w:szCs w:val="20"/>
        </w:rPr>
        <w:br w:type="page"/>
      </w:r>
      <w:r>
        <w:rPr>
          <w:rFonts w:hint="eastAsia" w:ascii="仿宋" w:hAnsi="仿宋" w:eastAsia="仿宋" w:cs="宋体"/>
          <w:b/>
          <w:sz w:val="36"/>
          <w:szCs w:val="20"/>
        </w:rPr>
        <w:t>第六部分</w:t>
      </w:r>
      <w:bookmarkEnd w:id="413"/>
      <w:bookmarkEnd w:id="414"/>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jc w:val="right"/>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ind w:firstLine="5520" w:firstLineChars="2300"/>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left="15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w:t>
      </w:r>
    </w:p>
    <w:p>
      <w:pPr>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rPr>
          <w:rFonts w:ascii="仿宋" w:hAnsi="仿宋" w:eastAsia="仿宋" w:cs="宋体"/>
          <w:b/>
          <w:kern w:val="0"/>
          <w:sz w:val="32"/>
          <w:szCs w:val="32"/>
          <w:lang w:val="zh-CN"/>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415" w:name="_Hlk101257010"/>
      <w:r>
        <w:rPr>
          <w:rFonts w:hint="eastAsia" w:ascii="仿宋" w:hAnsi="仿宋" w:eastAsia="仿宋" w:cs="宋体"/>
          <w:sz w:val="24"/>
        </w:rPr>
        <w:t>（如果有)</w:t>
      </w:r>
      <w:bookmarkEnd w:id="415"/>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pStyle w:val="2"/>
        <w:rPr>
          <w:rFonts w:ascii="仿宋" w:eastAsia="仿宋"/>
          <w:lang w:val="en-US"/>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4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4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rPr>
      </w:pPr>
      <w:r>
        <w:rPr>
          <w:rFonts w:ascii="仿宋" w:hAnsi="仿宋" w:eastAsia="仿宋" w:cs="宋体"/>
          <w:b/>
          <w:kern w:val="0"/>
          <w:sz w:val="32"/>
          <w:szCs w:val="32"/>
        </w:rPr>
        <w:br w:type="page"/>
      </w: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1418"/>
        <w:gridCol w:w="2693"/>
        <w:gridCol w:w="3544"/>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101" w:type="dxa"/>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2409"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1418" w:type="dxa"/>
            <w:vAlign w:val="center"/>
          </w:tcPr>
          <w:p>
            <w:pPr>
              <w:spacing w:line="360" w:lineRule="auto"/>
              <w:jc w:val="center"/>
              <w:rPr>
                <w:rFonts w:ascii="仿宋" w:hAnsi="仿宋" w:eastAsia="仿宋" w:cs="Times New Roman"/>
                <w:b/>
                <w:sz w:val="24"/>
              </w:rPr>
            </w:pPr>
            <w:r>
              <w:rPr>
                <w:rFonts w:hint="eastAsia" w:ascii="仿宋" w:hAnsi="仿宋" w:eastAsia="仿宋"/>
                <w:b/>
                <w:sz w:val="24"/>
              </w:rPr>
              <w:t>数量（盏）</w:t>
            </w:r>
          </w:p>
        </w:tc>
        <w:tc>
          <w:tcPr>
            <w:tcW w:w="2693" w:type="dxa"/>
          </w:tcPr>
          <w:p>
            <w:pPr>
              <w:spacing w:line="360" w:lineRule="auto"/>
              <w:jc w:val="center"/>
              <w:rPr>
                <w:rFonts w:hint="eastAsia" w:ascii="仿宋" w:hAnsi="仿宋" w:eastAsia="仿宋"/>
                <w:b/>
                <w:sz w:val="24"/>
              </w:rPr>
            </w:pPr>
            <w:r>
              <w:rPr>
                <w:rFonts w:hint="eastAsia" w:ascii="仿宋" w:hAnsi="仿宋" w:eastAsia="仿宋"/>
                <w:b/>
                <w:sz w:val="24"/>
              </w:rPr>
              <w:t>综合单价</w:t>
            </w:r>
          </w:p>
          <w:p>
            <w:pPr>
              <w:spacing w:line="360" w:lineRule="auto"/>
              <w:jc w:val="center"/>
              <w:rPr>
                <w:rFonts w:hint="eastAsia" w:ascii="仿宋" w:hAnsi="仿宋" w:eastAsia="仿宋"/>
                <w:b/>
                <w:sz w:val="24"/>
              </w:rPr>
            </w:pPr>
            <w:r>
              <w:rPr>
                <w:rFonts w:hint="eastAsia" w:ascii="仿宋" w:hAnsi="仿宋" w:eastAsia="仿宋"/>
                <w:b/>
                <w:sz w:val="24"/>
              </w:rPr>
              <w:t>（元/盏</w:t>
            </w:r>
            <w:r>
              <w:rPr>
                <w:rFonts w:hint="eastAsia" w:ascii="仿宋" w:hAnsi="仿宋" w:eastAsia="仿宋_GB2312"/>
                <w:b/>
                <w:sz w:val="24"/>
              </w:rPr>
              <w:t>•</w:t>
            </w:r>
            <w:r>
              <w:rPr>
                <w:rFonts w:hint="eastAsia" w:ascii="仿宋" w:hAnsi="仿宋" w:eastAsia="仿宋"/>
                <w:b/>
                <w:sz w:val="24"/>
              </w:rPr>
              <w:t xml:space="preserve">年）  </w:t>
            </w:r>
          </w:p>
        </w:tc>
        <w:tc>
          <w:tcPr>
            <w:tcW w:w="354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总价（元/年）</w:t>
            </w:r>
          </w:p>
        </w:tc>
        <w:tc>
          <w:tcPr>
            <w:tcW w:w="1559" w:type="dxa"/>
            <w:vAlign w:val="center"/>
          </w:tcPr>
          <w:p>
            <w:pPr>
              <w:spacing w:line="360" w:lineRule="auto"/>
              <w:jc w:val="center"/>
              <w:rPr>
                <w:rFonts w:ascii="仿宋" w:hAnsi="仿宋" w:eastAsia="仿宋"/>
                <w:b/>
                <w:sz w:val="24"/>
              </w:rPr>
            </w:pPr>
            <w:r>
              <w:rPr>
                <w:rFonts w:hint="eastAsia" w:ascii="仿宋" w:hAnsi="仿宋" w:eastAsia="仿宋"/>
                <w:b/>
                <w:sz w:val="24"/>
              </w:rPr>
              <w:t xml:space="preserve">服务期 </w:t>
            </w:r>
          </w:p>
        </w:tc>
        <w:tc>
          <w:tcPr>
            <w:tcW w:w="1843" w:type="dxa"/>
            <w:vAlign w:val="center"/>
          </w:tcPr>
          <w:p>
            <w:pPr>
              <w:spacing w:line="360" w:lineRule="auto"/>
              <w:jc w:val="center"/>
              <w:rPr>
                <w:rFonts w:ascii="仿宋" w:hAnsi="仿宋" w:eastAsia="仿宋" w:cs="Times New Roman"/>
                <w:b/>
                <w:kern w:val="2"/>
                <w:sz w:val="24"/>
              </w:rPr>
            </w:pPr>
            <w:r>
              <w:rPr>
                <w:rFonts w:hint="eastAsia" w:ascii="仿宋" w:hAnsi="仿宋" w:eastAsia="仿宋" w:cs="Times New Roman"/>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01" w:type="dxa"/>
          </w:tcPr>
          <w:p>
            <w:pPr>
              <w:widowControl/>
              <w:jc w:val="center"/>
              <w:rPr>
                <w:rFonts w:ascii="仿宋" w:hAnsi="仿宋" w:eastAsia="仿宋" w:cs="仿宋"/>
                <w:sz w:val="24"/>
              </w:rPr>
            </w:pPr>
            <w:r>
              <w:rPr>
                <w:rFonts w:hint="eastAsia" w:ascii="仿宋" w:hAnsi="仿宋" w:eastAsia="仿宋" w:cs="仿宋"/>
                <w:sz w:val="24"/>
              </w:rPr>
              <w:t>1</w:t>
            </w:r>
          </w:p>
        </w:tc>
        <w:tc>
          <w:tcPr>
            <w:tcW w:w="2409" w:type="dxa"/>
            <w:vAlign w:val="center"/>
          </w:tcPr>
          <w:p>
            <w:pPr>
              <w:widowControl/>
              <w:jc w:val="center"/>
              <w:rPr>
                <w:rFonts w:ascii="仿宋" w:hAnsi="仿宋" w:eastAsia="仿宋" w:cs="仿宋_GB2312"/>
                <w:sz w:val="24"/>
              </w:rPr>
            </w:pPr>
            <w:r>
              <w:rPr>
                <w:rFonts w:hint="eastAsia" w:ascii="仿宋" w:hAnsi="仿宋" w:eastAsia="仿宋" w:cs="仿宋_GB2312"/>
                <w:sz w:val="24"/>
              </w:rPr>
              <w:t>2024-2026年杭州市主城区路灯照明设施养护项目</w:t>
            </w:r>
          </w:p>
        </w:tc>
        <w:tc>
          <w:tcPr>
            <w:tcW w:w="1418"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207168</w:t>
            </w:r>
          </w:p>
        </w:tc>
        <w:tc>
          <w:tcPr>
            <w:tcW w:w="2693" w:type="dxa"/>
          </w:tcPr>
          <w:p>
            <w:pPr>
              <w:spacing w:line="360" w:lineRule="auto"/>
              <w:jc w:val="center"/>
              <w:rPr>
                <w:rFonts w:ascii="仿宋" w:hAnsi="仿宋" w:eastAsia="仿宋" w:cs="仿宋_GB2312"/>
                <w:sz w:val="24"/>
              </w:rPr>
            </w:pPr>
          </w:p>
        </w:tc>
        <w:tc>
          <w:tcPr>
            <w:tcW w:w="3544" w:type="dxa"/>
            <w:vAlign w:val="center"/>
          </w:tcPr>
          <w:p>
            <w:pPr>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3年</w:t>
            </w:r>
          </w:p>
        </w:tc>
        <w:tc>
          <w:tcPr>
            <w:tcW w:w="1843" w:type="dxa"/>
            <w:vMerge w:val="restart"/>
            <w:vAlign w:val="center"/>
          </w:tcPr>
          <w:p>
            <w:pPr>
              <w:spacing w:line="360" w:lineRule="auto"/>
              <w:jc w:val="center"/>
              <w:rPr>
                <w:rFonts w:ascii="仿宋" w:hAnsi="仿宋" w:eastAsia="仿宋" w:cs="仿宋_GB2312"/>
                <w:sz w:val="24"/>
              </w:rPr>
            </w:pPr>
            <w:r>
              <w:rPr>
                <w:rFonts w:hint="eastAsia" w:ascii="仿宋" w:hAnsi="仿宋" w:eastAsia="仿宋" w:cs="仿宋"/>
                <w:sz w:val="24"/>
              </w:rPr>
              <w:t>年结算总价不超过39700000元，2</w:t>
            </w:r>
            <w:r>
              <w:rPr>
                <w:rFonts w:ascii="仿宋" w:hAnsi="仿宋" w:eastAsia="仿宋" w:cs="仿宋"/>
                <w:sz w:val="24"/>
              </w:rPr>
              <w:t>02</w:t>
            </w:r>
            <w:r>
              <w:rPr>
                <w:rFonts w:hint="eastAsia" w:ascii="仿宋" w:hAnsi="仿宋" w:eastAsia="仿宋" w:cs="仿宋"/>
                <w:sz w:val="24"/>
              </w:rPr>
              <w:t>4年路灯设施基数暂估量为20.7168万盏。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28" w:type="dxa"/>
            <w:gridSpan w:val="3"/>
          </w:tcPr>
          <w:p>
            <w:pPr>
              <w:snapToGrid w:val="0"/>
              <w:spacing w:line="360" w:lineRule="auto"/>
              <w:jc w:val="center"/>
              <w:rPr>
                <w:rFonts w:ascii="仿宋" w:hAnsi="仿宋" w:eastAsia="仿宋" w:cs="仿宋_GB2312"/>
                <w:sz w:val="24"/>
              </w:rPr>
            </w:pPr>
            <w:r>
              <w:rPr>
                <w:rFonts w:hint="eastAsia" w:ascii="仿宋" w:hAnsi="仿宋" w:eastAsia="仿宋" w:cs="仿宋"/>
                <w:b/>
                <w:kern w:val="0"/>
                <w:sz w:val="24"/>
              </w:rPr>
              <w:t>年养护费</w:t>
            </w:r>
          </w:p>
        </w:tc>
        <w:tc>
          <w:tcPr>
            <w:tcW w:w="7796" w:type="dxa"/>
            <w:gridSpan w:val="3"/>
          </w:tcPr>
          <w:p>
            <w:pPr>
              <w:spacing w:line="360" w:lineRule="auto"/>
              <w:jc w:val="center"/>
              <w:rPr>
                <w:rFonts w:ascii="仿宋" w:hAnsi="仿宋" w:eastAsia="仿宋" w:cs="仿宋_GB2312"/>
                <w:sz w:val="24"/>
              </w:rPr>
            </w:pPr>
            <w:r>
              <w:rPr>
                <w:rFonts w:hint="eastAsia" w:ascii="仿宋" w:hAnsi="仿宋" w:eastAsia="仿宋" w:cs="仿宋_GB2312"/>
                <w:sz w:val="24"/>
              </w:rPr>
              <w:t>元/年</w:t>
            </w:r>
          </w:p>
        </w:tc>
        <w:tc>
          <w:tcPr>
            <w:tcW w:w="1843" w:type="dxa"/>
            <w:vMerge w:val="continue"/>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28" w:type="dxa"/>
            <w:gridSpan w:val="3"/>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投标总价（小写）</w:t>
            </w:r>
          </w:p>
        </w:tc>
        <w:tc>
          <w:tcPr>
            <w:tcW w:w="7796" w:type="dxa"/>
            <w:gridSpan w:val="3"/>
          </w:tcPr>
          <w:p>
            <w:pPr>
              <w:spacing w:line="360" w:lineRule="auto"/>
              <w:jc w:val="center"/>
              <w:rPr>
                <w:rFonts w:ascii="仿宋" w:hAnsi="仿宋" w:eastAsia="仿宋" w:cs="仿宋_GB2312"/>
                <w:sz w:val="24"/>
              </w:rPr>
            </w:pPr>
            <w:r>
              <w:rPr>
                <w:rFonts w:hint="eastAsia" w:ascii="仿宋" w:hAnsi="仿宋" w:eastAsia="仿宋" w:cs="仿宋_GB2312"/>
                <w:sz w:val="24"/>
              </w:rPr>
              <w:t>元</w:t>
            </w:r>
          </w:p>
        </w:tc>
        <w:tc>
          <w:tcPr>
            <w:tcW w:w="1843" w:type="dxa"/>
            <w:vMerge w:val="continue"/>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28" w:type="dxa"/>
            <w:gridSpan w:val="3"/>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投标总价（大写）</w:t>
            </w:r>
          </w:p>
        </w:tc>
        <w:tc>
          <w:tcPr>
            <w:tcW w:w="7796" w:type="dxa"/>
            <w:gridSpan w:val="3"/>
          </w:tcPr>
          <w:p>
            <w:pPr>
              <w:spacing w:line="360" w:lineRule="auto"/>
              <w:jc w:val="center"/>
              <w:rPr>
                <w:rFonts w:ascii="仿宋" w:hAnsi="仿宋" w:eastAsia="仿宋" w:cs="仿宋_GB2312"/>
                <w:sz w:val="24"/>
              </w:rPr>
            </w:pPr>
          </w:p>
        </w:tc>
        <w:tc>
          <w:tcPr>
            <w:tcW w:w="1843" w:type="dxa"/>
            <w:vMerge w:val="continue"/>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3、养护内容含路灯照明设施及其配电箱、管道、电缆、标识标牌等附属设施的日常维护、检测、更换、保洁、保养、油漆、巡查、防盗、撞杆、应急保障等处置。</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szCs w:val="22"/>
          <w:lang w:val="zh-CN"/>
        </w:rPr>
        <w:t>5、</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690"/>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3"/>
        <w:keepNext w:val="0"/>
        <w:keepLines w:val="0"/>
        <w:widowControl/>
        <w:spacing w:before="100" w:beforeAutospacing="1" w:after="100" w:afterAutospacing="1" w:line="360" w:lineRule="auto"/>
        <w:ind w:left="0" w:firstLine="0"/>
        <w:jc w:val="center"/>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416" w:name="OLE_LINK13"/>
      <w:bookmarkStart w:id="417" w:name="OLE_LINK14"/>
      <w:r>
        <w:rPr>
          <w:rFonts w:hint="eastAsia" w:ascii="仿宋" w:hAnsi="仿宋" w:eastAsia="仿宋" w:cs="宋体"/>
          <w:b/>
          <w:spacing w:val="6"/>
          <w:sz w:val="32"/>
          <w:szCs w:val="32"/>
        </w:rPr>
        <w:t>残疾人福利性单位声明函</w:t>
      </w:r>
    </w:p>
    <w:bookmarkEnd w:id="416"/>
    <w:bookmarkEnd w:id="417"/>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left"/>
        <w:rPr>
          <w:rFonts w:ascii="仿宋" w:hAnsi="仿宋" w:eastAsia="仿宋" w:cs="宋体"/>
          <w:b/>
          <w:bCs/>
          <w:sz w:val="32"/>
          <w:szCs w:val="32"/>
        </w:rPr>
      </w:pPr>
      <w:r>
        <w:rPr>
          <w:rFonts w:ascii="仿宋" w:hAnsi="仿宋" w:eastAsia="仿宋" w:cs="宋体"/>
          <w:b/>
          <w:spacing w:val="6"/>
          <w:sz w:val="32"/>
          <w:szCs w:val="32"/>
        </w:rPr>
        <w:br w:type="page"/>
      </w: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sz w:val="24"/>
        </w:rPr>
        <w:pict>
          <v:rect id="Rectangle 16" o:spid="_x0000_s1027" o:spt="1" style="position:absolute;left:0pt;margin-left:-7.2pt;margin-top:30.3pt;height:177.45pt;width:208.5pt;z-index:-251657216;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left"/>
        <w:rPr>
          <w:rFonts w:ascii="仿宋" w:hAnsi="仿宋" w:eastAsia="仿宋" w:cs="宋体"/>
          <w:b/>
          <w:kern w:val="0"/>
          <w:sz w:val="32"/>
          <w:szCs w:val="32"/>
          <w:lang w:val="zh-CN"/>
        </w:rPr>
      </w:pPr>
      <w:r>
        <w:rPr>
          <w:rFonts w:ascii="仿宋" w:hAnsi="仿宋" w:eastAsia="仿宋" w:cs="宋体"/>
          <w:b/>
          <w:spacing w:val="6"/>
          <w:sz w:val="32"/>
          <w:szCs w:val="32"/>
        </w:rPr>
        <w:br w:type="page"/>
      </w: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18"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18"/>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419"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419"/>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420"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420"/>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ind w:firstLine="3666" w:firstLineChars="1100"/>
        <w:rPr>
          <w:rFonts w:ascii="仿宋" w:hAnsi="仿宋" w:eastAsia="仿宋" w:cs="宋体"/>
          <w:b/>
          <w:spacing w:val="6"/>
          <w:sz w:val="32"/>
          <w:szCs w:val="32"/>
        </w:rPr>
      </w:pPr>
    </w:p>
    <w:p>
      <w:pPr>
        <w:widowControl/>
        <w:adjustRightInd/>
        <w:jc w:val="left"/>
        <w:rPr>
          <w:rFonts w:ascii="仿宋" w:hAnsi="仿宋" w:eastAsia="仿宋" w:cs="宋体"/>
          <w:b/>
          <w:kern w:val="0"/>
          <w:sz w:val="32"/>
          <w:szCs w:val="32"/>
        </w:rPr>
      </w:pPr>
      <w:r>
        <w:rPr>
          <w:rFonts w:ascii="仿宋" w:hAnsi="仿宋" w:eastAsia="仿宋" w:cs="宋体"/>
          <w:b/>
          <w:spacing w:val="6"/>
          <w:sz w:val="32"/>
          <w:szCs w:val="32"/>
        </w:rPr>
        <w:br w:type="page"/>
      </w: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2"/>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rPr>
          <w:rFonts w:ascii="仿宋" w:hAnsi="仿宋" w:eastAsia="仿宋"/>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 xml:space="preserve">  。                                           投标人名称(电子签名)：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pPr>
        <w:spacing w:line="360" w:lineRule="auto"/>
        <w:jc w:val="center"/>
        <w:rPr>
          <w:rFonts w:ascii="仿宋" w:hAnsi="仿宋" w:eastAsia="仿宋" w:cs="宋体"/>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ascii="仿宋" w:hAnsi="仿宋" w:eastAsia="仿宋" w:cs="宋体"/>
          <w:sz w:val="24"/>
        </w:rPr>
      </w:pPr>
      <w:r>
        <w:rPr>
          <w:rFonts w:hint="eastAsia" w:ascii="仿宋" w:hAnsi="仿宋" w:eastAsia="仿宋" w:cs="宋体"/>
          <w:sz w:val="24"/>
        </w:rPr>
        <w:t>3.标的所属行业中小企业划分标准：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spacing w:line="360" w:lineRule="auto"/>
        <w:ind w:right="420"/>
        <w:rPr>
          <w:rFonts w:ascii="仿宋" w:hAnsi="仿宋" w:eastAsia="仿宋" w:cs="宋体"/>
        </w:rPr>
      </w:pPr>
    </w:p>
    <w:p>
      <w:pPr>
        <w:spacing w:line="360" w:lineRule="auto"/>
        <w:rPr>
          <w:rFonts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21" w:name="_Toc131845147"/>
    <w:bookmarkStart w:id="422" w:name="_Toc164085800"/>
    <w:bookmarkStart w:id="423" w:name="_Toc91899912"/>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JlMzk3YTI4M2FkNGU2YTk1NDI1NzJhZjZiODQyZ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881"/>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7A"/>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9E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0F97"/>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E9"/>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D35"/>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6E1"/>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621"/>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47B"/>
    <w:rsid w:val="001B7A15"/>
    <w:rsid w:val="001B7B69"/>
    <w:rsid w:val="001B7DC1"/>
    <w:rsid w:val="001C08DB"/>
    <w:rsid w:val="001C10BD"/>
    <w:rsid w:val="001C1F01"/>
    <w:rsid w:val="001C2092"/>
    <w:rsid w:val="001C232F"/>
    <w:rsid w:val="001C2544"/>
    <w:rsid w:val="001C2A17"/>
    <w:rsid w:val="001C31F5"/>
    <w:rsid w:val="001C35BF"/>
    <w:rsid w:val="001C6047"/>
    <w:rsid w:val="001C6195"/>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931"/>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9A3"/>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AD2"/>
    <w:rsid w:val="00320B75"/>
    <w:rsid w:val="00321DB7"/>
    <w:rsid w:val="00321E7A"/>
    <w:rsid w:val="0032226D"/>
    <w:rsid w:val="003235E6"/>
    <w:rsid w:val="00324038"/>
    <w:rsid w:val="003248F0"/>
    <w:rsid w:val="00324951"/>
    <w:rsid w:val="003249F6"/>
    <w:rsid w:val="00324B2F"/>
    <w:rsid w:val="00325FCC"/>
    <w:rsid w:val="00326106"/>
    <w:rsid w:val="00326805"/>
    <w:rsid w:val="003269B7"/>
    <w:rsid w:val="00326C0E"/>
    <w:rsid w:val="003272A3"/>
    <w:rsid w:val="003272E4"/>
    <w:rsid w:val="0032750F"/>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2D"/>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2B"/>
    <w:rsid w:val="003C3292"/>
    <w:rsid w:val="003C3C1E"/>
    <w:rsid w:val="003C3D88"/>
    <w:rsid w:val="003C4134"/>
    <w:rsid w:val="003C435B"/>
    <w:rsid w:val="003C4EBE"/>
    <w:rsid w:val="003C5D1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826"/>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92C"/>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8E3"/>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9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16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47FA7"/>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BBC"/>
    <w:rsid w:val="00561E54"/>
    <w:rsid w:val="00561F73"/>
    <w:rsid w:val="005621F7"/>
    <w:rsid w:val="0056278F"/>
    <w:rsid w:val="00562FB1"/>
    <w:rsid w:val="00563068"/>
    <w:rsid w:val="0056376A"/>
    <w:rsid w:val="00563B3C"/>
    <w:rsid w:val="0056419C"/>
    <w:rsid w:val="00564299"/>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2EE"/>
    <w:rsid w:val="0057345D"/>
    <w:rsid w:val="0057347D"/>
    <w:rsid w:val="00573560"/>
    <w:rsid w:val="00574E7B"/>
    <w:rsid w:val="00574F36"/>
    <w:rsid w:val="005759A2"/>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5F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4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2E"/>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804"/>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51F"/>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D69"/>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E7"/>
    <w:rsid w:val="006E76C8"/>
    <w:rsid w:val="006E7A92"/>
    <w:rsid w:val="006F01FF"/>
    <w:rsid w:val="006F0CB2"/>
    <w:rsid w:val="006F1DE9"/>
    <w:rsid w:val="006F2046"/>
    <w:rsid w:val="006F2A91"/>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B7B"/>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2EC"/>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A"/>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4D3"/>
    <w:rsid w:val="00785091"/>
    <w:rsid w:val="0078523F"/>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D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B0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4DCC"/>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506"/>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0"/>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F9F"/>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7A"/>
    <w:rsid w:val="009716D8"/>
    <w:rsid w:val="00971F54"/>
    <w:rsid w:val="00972057"/>
    <w:rsid w:val="0097227B"/>
    <w:rsid w:val="0097262E"/>
    <w:rsid w:val="0097293F"/>
    <w:rsid w:val="00973103"/>
    <w:rsid w:val="00974022"/>
    <w:rsid w:val="009743E8"/>
    <w:rsid w:val="009745D8"/>
    <w:rsid w:val="00974C14"/>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F02"/>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6F7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CD0"/>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C0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22"/>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4A3"/>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06"/>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902"/>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6AA"/>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B7"/>
    <w:rsid w:val="00BC76C5"/>
    <w:rsid w:val="00BC7F94"/>
    <w:rsid w:val="00BD1039"/>
    <w:rsid w:val="00BD10B7"/>
    <w:rsid w:val="00BD10F1"/>
    <w:rsid w:val="00BD138A"/>
    <w:rsid w:val="00BD164A"/>
    <w:rsid w:val="00BD1BDD"/>
    <w:rsid w:val="00BD1D7D"/>
    <w:rsid w:val="00BD1E27"/>
    <w:rsid w:val="00BD2B4D"/>
    <w:rsid w:val="00BD2F08"/>
    <w:rsid w:val="00BD2FB9"/>
    <w:rsid w:val="00BD31C2"/>
    <w:rsid w:val="00BD3683"/>
    <w:rsid w:val="00BD450A"/>
    <w:rsid w:val="00BD4717"/>
    <w:rsid w:val="00BD48EA"/>
    <w:rsid w:val="00BD4B09"/>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68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A7"/>
    <w:rsid w:val="00C04314"/>
    <w:rsid w:val="00C04BD0"/>
    <w:rsid w:val="00C05730"/>
    <w:rsid w:val="00C05AF4"/>
    <w:rsid w:val="00C05AFD"/>
    <w:rsid w:val="00C0661C"/>
    <w:rsid w:val="00C0675F"/>
    <w:rsid w:val="00C06DEE"/>
    <w:rsid w:val="00C06ECC"/>
    <w:rsid w:val="00C0702A"/>
    <w:rsid w:val="00C0724C"/>
    <w:rsid w:val="00C07C11"/>
    <w:rsid w:val="00C07E10"/>
    <w:rsid w:val="00C10015"/>
    <w:rsid w:val="00C1110A"/>
    <w:rsid w:val="00C11689"/>
    <w:rsid w:val="00C11E8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2D"/>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038"/>
    <w:rsid w:val="00D001D2"/>
    <w:rsid w:val="00D02386"/>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ED"/>
    <w:rsid w:val="00D5064C"/>
    <w:rsid w:val="00D50906"/>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7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D77"/>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BC7"/>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61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3C"/>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E2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1F"/>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86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57518"/>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B3A1B"/>
    <w:rsid w:val="048F763B"/>
    <w:rsid w:val="04984843"/>
    <w:rsid w:val="049F330E"/>
    <w:rsid w:val="04AA775C"/>
    <w:rsid w:val="04AF1889"/>
    <w:rsid w:val="04F66F48"/>
    <w:rsid w:val="05251E14"/>
    <w:rsid w:val="05A16594"/>
    <w:rsid w:val="05A7762D"/>
    <w:rsid w:val="060E5941"/>
    <w:rsid w:val="06110FAF"/>
    <w:rsid w:val="06493CA7"/>
    <w:rsid w:val="065A6178"/>
    <w:rsid w:val="066F1CF3"/>
    <w:rsid w:val="06720C22"/>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75FBE"/>
    <w:rsid w:val="0944690F"/>
    <w:rsid w:val="09535675"/>
    <w:rsid w:val="095F057D"/>
    <w:rsid w:val="09642282"/>
    <w:rsid w:val="09733572"/>
    <w:rsid w:val="09772C16"/>
    <w:rsid w:val="098353B5"/>
    <w:rsid w:val="09A92330"/>
    <w:rsid w:val="09B06B87"/>
    <w:rsid w:val="09C13146"/>
    <w:rsid w:val="09E04166"/>
    <w:rsid w:val="0A1C0718"/>
    <w:rsid w:val="0A3E7710"/>
    <w:rsid w:val="0A52707D"/>
    <w:rsid w:val="0A5B7E63"/>
    <w:rsid w:val="0AA374A5"/>
    <w:rsid w:val="0AAB7649"/>
    <w:rsid w:val="0ABC5606"/>
    <w:rsid w:val="0B30404E"/>
    <w:rsid w:val="0B4C6C14"/>
    <w:rsid w:val="0B547599"/>
    <w:rsid w:val="0B631A88"/>
    <w:rsid w:val="0B683D45"/>
    <w:rsid w:val="0B7F3F11"/>
    <w:rsid w:val="0B884417"/>
    <w:rsid w:val="0BB023D2"/>
    <w:rsid w:val="0BF6188C"/>
    <w:rsid w:val="0BF73C91"/>
    <w:rsid w:val="0C170175"/>
    <w:rsid w:val="0C571A41"/>
    <w:rsid w:val="0C5C1171"/>
    <w:rsid w:val="0C5E1CBC"/>
    <w:rsid w:val="0C615B50"/>
    <w:rsid w:val="0C8445DA"/>
    <w:rsid w:val="0C87121B"/>
    <w:rsid w:val="0C9826DD"/>
    <w:rsid w:val="0CBD5E72"/>
    <w:rsid w:val="0CC007F7"/>
    <w:rsid w:val="0CC617AC"/>
    <w:rsid w:val="0CE618DF"/>
    <w:rsid w:val="0CFE707A"/>
    <w:rsid w:val="0D063BDA"/>
    <w:rsid w:val="0D08375F"/>
    <w:rsid w:val="0D184CFB"/>
    <w:rsid w:val="0D3562A4"/>
    <w:rsid w:val="0D4A7419"/>
    <w:rsid w:val="0D827401"/>
    <w:rsid w:val="0D84094E"/>
    <w:rsid w:val="0D8A00E9"/>
    <w:rsid w:val="0D8D589E"/>
    <w:rsid w:val="0DA01C73"/>
    <w:rsid w:val="0DD63300"/>
    <w:rsid w:val="0DF50604"/>
    <w:rsid w:val="0DF702FE"/>
    <w:rsid w:val="0E060E51"/>
    <w:rsid w:val="0E12231E"/>
    <w:rsid w:val="0E5604B2"/>
    <w:rsid w:val="0E6D5D79"/>
    <w:rsid w:val="0E9D0089"/>
    <w:rsid w:val="0EB803EE"/>
    <w:rsid w:val="0EEE5CC1"/>
    <w:rsid w:val="0EF94D4B"/>
    <w:rsid w:val="0F4958DC"/>
    <w:rsid w:val="0F515DF7"/>
    <w:rsid w:val="0F596BA8"/>
    <w:rsid w:val="0F6248D2"/>
    <w:rsid w:val="0F693536"/>
    <w:rsid w:val="0F7B0511"/>
    <w:rsid w:val="0F7B76D9"/>
    <w:rsid w:val="0F816ACD"/>
    <w:rsid w:val="0F9832DB"/>
    <w:rsid w:val="0FBF3FD2"/>
    <w:rsid w:val="0FBF7FF3"/>
    <w:rsid w:val="0FD563A0"/>
    <w:rsid w:val="10646583"/>
    <w:rsid w:val="107D4B15"/>
    <w:rsid w:val="108A3C80"/>
    <w:rsid w:val="10B9797C"/>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024E7"/>
    <w:rsid w:val="146D271E"/>
    <w:rsid w:val="148701AF"/>
    <w:rsid w:val="14982588"/>
    <w:rsid w:val="149A5AD9"/>
    <w:rsid w:val="14A7619D"/>
    <w:rsid w:val="150536C3"/>
    <w:rsid w:val="150C1963"/>
    <w:rsid w:val="151447A0"/>
    <w:rsid w:val="154A6454"/>
    <w:rsid w:val="156A6D57"/>
    <w:rsid w:val="15762120"/>
    <w:rsid w:val="15AC3C0A"/>
    <w:rsid w:val="169C77DB"/>
    <w:rsid w:val="16A8729C"/>
    <w:rsid w:val="16B33777"/>
    <w:rsid w:val="16BC70A7"/>
    <w:rsid w:val="16C6339E"/>
    <w:rsid w:val="172F2D79"/>
    <w:rsid w:val="17452023"/>
    <w:rsid w:val="17557BEF"/>
    <w:rsid w:val="17CA6350"/>
    <w:rsid w:val="17D349C1"/>
    <w:rsid w:val="1830729E"/>
    <w:rsid w:val="1870062C"/>
    <w:rsid w:val="18817102"/>
    <w:rsid w:val="18830A15"/>
    <w:rsid w:val="18852B28"/>
    <w:rsid w:val="188B5321"/>
    <w:rsid w:val="192934EF"/>
    <w:rsid w:val="19932372"/>
    <w:rsid w:val="19A20DD5"/>
    <w:rsid w:val="19AE03F1"/>
    <w:rsid w:val="19E67B09"/>
    <w:rsid w:val="1A071A03"/>
    <w:rsid w:val="1A1F16AE"/>
    <w:rsid w:val="1A3B5C77"/>
    <w:rsid w:val="1A89391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C7E1A"/>
    <w:rsid w:val="1C88086E"/>
    <w:rsid w:val="1D1F640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8E65A3"/>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42F4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5416F5"/>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26646"/>
    <w:rsid w:val="26A53EF9"/>
    <w:rsid w:val="26A94201"/>
    <w:rsid w:val="26AC274F"/>
    <w:rsid w:val="27044A29"/>
    <w:rsid w:val="271D34C8"/>
    <w:rsid w:val="276142BF"/>
    <w:rsid w:val="27783712"/>
    <w:rsid w:val="27907362"/>
    <w:rsid w:val="28333E1D"/>
    <w:rsid w:val="28454BD6"/>
    <w:rsid w:val="28455253"/>
    <w:rsid w:val="284B2E0F"/>
    <w:rsid w:val="28551971"/>
    <w:rsid w:val="285B1C53"/>
    <w:rsid w:val="289435E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447804"/>
    <w:rsid w:val="2B7807EE"/>
    <w:rsid w:val="2BA50BF7"/>
    <w:rsid w:val="2BBF00EC"/>
    <w:rsid w:val="2BC37CFD"/>
    <w:rsid w:val="2BD5237F"/>
    <w:rsid w:val="2BE536CE"/>
    <w:rsid w:val="2BE758D9"/>
    <w:rsid w:val="2C09049E"/>
    <w:rsid w:val="2C0A653C"/>
    <w:rsid w:val="2C191F85"/>
    <w:rsid w:val="2CE82D6F"/>
    <w:rsid w:val="2D343236"/>
    <w:rsid w:val="2DC13A1F"/>
    <w:rsid w:val="2DC25439"/>
    <w:rsid w:val="2DD15014"/>
    <w:rsid w:val="2DF72DE4"/>
    <w:rsid w:val="2DFE742F"/>
    <w:rsid w:val="2E0220AF"/>
    <w:rsid w:val="2E4B082A"/>
    <w:rsid w:val="2E5D4E86"/>
    <w:rsid w:val="2E5D790B"/>
    <w:rsid w:val="2E9A3C18"/>
    <w:rsid w:val="2EBB0FEE"/>
    <w:rsid w:val="2EC63002"/>
    <w:rsid w:val="2F0A6B38"/>
    <w:rsid w:val="2F542BAE"/>
    <w:rsid w:val="2F6915D5"/>
    <w:rsid w:val="2F740F8A"/>
    <w:rsid w:val="2F873B01"/>
    <w:rsid w:val="2F946CCB"/>
    <w:rsid w:val="2FD25781"/>
    <w:rsid w:val="2FDC745C"/>
    <w:rsid w:val="2FDD7D7D"/>
    <w:rsid w:val="2FFD7934"/>
    <w:rsid w:val="30733ACD"/>
    <w:rsid w:val="308C3862"/>
    <w:rsid w:val="309379D8"/>
    <w:rsid w:val="30A270F7"/>
    <w:rsid w:val="30DF1478"/>
    <w:rsid w:val="30EC586F"/>
    <w:rsid w:val="314550B7"/>
    <w:rsid w:val="319C6071"/>
    <w:rsid w:val="31AC537E"/>
    <w:rsid w:val="31E3679B"/>
    <w:rsid w:val="31E732FD"/>
    <w:rsid w:val="32517576"/>
    <w:rsid w:val="328C5E21"/>
    <w:rsid w:val="32BE5C2C"/>
    <w:rsid w:val="32FB6478"/>
    <w:rsid w:val="33070B4C"/>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650C5"/>
    <w:rsid w:val="363A3B40"/>
    <w:rsid w:val="365302AE"/>
    <w:rsid w:val="36607A0A"/>
    <w:rsid w:val="366E227C"/>
    <w:rsid w:val="366F2E0D"/>
    <w:rsid w:val="36760A94"/>
    <w:rsid w:val="367B6A5C"/>
    <w:rsid w:val="36A74ADA"/>
    <w:rsid w:val="36AD60D5"/>
    <w:rsid w:val="36B224F9"/>
    <w:rsid w:val="36EC0CC9"/>
    <w:rsid w:val="373F410B"/>
    <w:rsid w:val="377F356D"/>
    <w:rsid w:val="378C3355"/>
    <w:rsid w:val="37B073B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6D68"/>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10010"/>
    <w:rsid w:val="4433434B"/>
    <w:rsid w:val="449101DD"/>
    <w:rsid w:val="44C06D03"/>
    <w:rsid w:val="44DE1391"/>
    <w:rsid w:val="451B225C"/>
    <w:rsid w:val="452410C9"/>
    <w:rsid w:val="45317DFB"/>
    <w:rsid w:val="456D3CE4"/>
    <w:rsid w:val="4579042C"/>
    <w:rsid w:val="457F0571"/>
    <w:rsid w:val="457F1503"/>
    <w:rsid w:val="45851176"/>
    <w:rsid w:val="45C63B94"/>
    <w:rsid w:val="460E7DA5"/>
    <w:rsid w:val="46422483"/>
    <w:rsid w:val="4659254A"/>
    <w:rsid w:val="465B0637"/>
    <w:rsid w:val="465E3F0D"/>
    <w:rsid w:val="466A16E6"/>
    <w:rsid w:val="46893F2B"/>
    <w:rsid w:val="46B52FCD"/>
    <w:rsid w:val="46C4686E"/>
    <w:rsid w:val="46E7416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2C61"/>
    <w:rsid w:val="4AB82D0F"/>
    <w:rsid w:val="4AEB7664"/>
    <w:rsid w:val="4AFD7C19"/>
    <w:rsid w:val="4B0567D1"/>
    <w:rsid w:val="4B236AAE"/>
    <w:rsid w:val="4B707271"/>
    <w:rsid w:val="4B9739F7"/>
    <w:rsid w:val="4BC46A19"/>
    <w:rsid w:val="4BEE2503"/>
    <w:rsid w:val="4C245A30"/>
    <w:rsid w:val="4CB6685F"/>
    <w:rsid w:val="4CC367FE"/>
    <w:rsid w:val="4D077F3C"/>
    <w:rsid w:val="4D123355"/>
    <w:rsid w:val="4D210887"/>
    <w:rsid w:val="4D2A3B31"/>
    <w:rsid w:val="4D312C52"/>
    <w:rsid w:val="4D730BB5"/>
    <w:rsid w:val="4D905305"/>
    <w:rsid w:val="4D964A72"/>
    <w:rsid w:val="4D9C1254"/>
    <w:rsid w:val="4DD32476"/>
    <w:rsid w:val="4E793892"/>
    <w:rsid w:val="4E800872"/>
    <w:rsid w:val="4EC569ED"/>
    <w:rsid w:val="4ED50EA1"/>
    <w:rsid w:val="4EEC050C"/>
    <w:rsid w:val="4F104EC3"/>
    <w:rsid w:val="4F47354A"/>
    <w:rsid w:val="4F4810EE"/>
    <w:rsid w:val="4F511AF9"/>
    <w:rsid w:val="4F76003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817F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809C1"/>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8258D"/>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D39D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20E89"/>
    <w:rsid w:val="5F06174D"/>
    <w:rsid w:val="5F3A3602"/>
    <w:rsid w:val="5F45733B"/>
    <w:rsid w:val="5F6277C6"/>
    <w:rsid w:val="5F6D0B1D"/>
    <w:rsid w:val="5F75690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2565C"/>
    <w:rsid w:val="619F7F92"/>
    <w:rsid w:val="61F94C26"/>
    <w:rsid w:val="62000E56"/>
    <w:rsid w:val="62377273"/>
    <w:rsid w:val="624F3E49"/>
    <w:rsid w:val="62632286"/>
    <w:rsid w:val="62885958"/>
    <w:rsid w:val="62963996"/>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73496"/>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851F7"/>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3341A"/>
    <w:rsid w:val="6ADE0BD1"/>
    <w:rsid w:val="6AE96859"/>
    <w:rsid w:val="6B147746"/>
    <w:rsid w:val="6B24787C"/>
    <w:rsid w:val="6B2931DC"/>
    <w:rsid w:val="6B573233"/>
    <w:rsid w:val="6B5B6274"/>
    <w:rsid w:val="6B8076A6"/>
    <w:rsid w:val="6B8D63E0"/>
    <w:rsid w:val="6B935D53"/>
    <w:rsid w:val="6C0F475B"/>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84EF7"/>
    <w:rsid w:val="6DEC1F35"/>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525E5"/>
    <w:rsid w:val="72EB1377"/>
    <w:rsid w:val="73C0646E"/>
    <w:rsid w:val="740718AD"/>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56AB9"/>
    <w:rsid w:val="76C87133"/>
    <w:rsid w:val="76CD08D5"/>
    <w:rsid w:val="76DB4B92"/>
    <w:rsid w:val="76DC6050"/>
    <w:rsid w:val="76FD013A"/>
    <w:rsid w:val="77052AA4"/>
    <w:rsid w:val="77136511"/>
    <w:rsid w:val="7730731A"/>
    <w:rsid w:val="77340A39"/>
    <w:rsid w:val="77351FD0"/>
    <w:rsid w:val="77472422"/>
    <w:rsid w:val="777F31F2"/>
    <w:rsid w:val="77D1700D"/>
    <w:rsid w:val="77EC04CC"/>
    <w:rsid w:val="78775729"/>
    <w:rsid w:val="788F00C3"/>
    <w:rsid w:val="78A42DB0"/>
    <w:rsid w:val="78A656AB"/>
    <w:rsid w:val="78B2245C"/>
    <w:rsid w:val="78E172CC"/>
    <w:rsid w:val="78EA1D1F"/>
    <w:rsid w:val="7904172F"/>
    <w:rsid w:val="790F7E27"/>
    <w:rsid w:val="792A231A"/>
    <w:rsid w:val="79316829"/>
    <w:rsid w:val="7943765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4B628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F6280"/>
    <w:rsid w:val="7F715AF2"/>
    <w:rsid w:val="7F874EC5"/>
    <w:rsid w:val="7F886E69"/>
    <w:rsid w:val="7FB4773E"/>
    <w:rsid w:val="BB7FA927"/>
    <w:rsid w:val="F5FFD3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7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Times New Roman"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lang w:val="en-US" w:eastAsia="zh-CN" w:bidi="ar-SA"/>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rFonts w:ascii="Calibri" w:hAnsi="Calibri"/>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0"/>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0"/>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qFormat/>
    <w:uiPriority w:val="99"/>
    <w:rPr>
      <w:rFonts w:ascii="Times New Roman" w:hAnsi="Times New Roman" w:eastAsia="宋体" w:cs="Times New Roman"/>
      <w:kern w:val="2"/>
      <w:sz w:val="21"/>
      <w:szCs w:val="24"/>
      <w:lang w:val="en-US" w:eastAsia="zh-CN" w:bidi="ar-SA"/>
    </w:rPr>
  </w:style>
  <w:style w:type="paragraph" w:customStyle="1" w:styleId="962">
    <w:name w:val="Body text|1"/>
    <w:basedOn w:val="1"/>
    <w:qFormat/>
    <w:uiPriority w:val="0"/>
    <w:pPr>
      <w:adjustRightInd/>
      <w:spacing w:line="329" w:lineRule="auto"/>
      <w:ind w:firstLine="400"/>
    </w:pPr>
    <w:rPr>
      <w:rFonts w:ascii="MingLiU" w:hAnsi="MingLiU" w:eastAsia="MingLiU" w:cs="MingLiU"/>
      <w:sz w:val="20"/>
      <w:szCs w:val="20"/>
      <w:lang w:val="zh-TW" w:eastAsia="zh-TW" w:bidi="zh-TW"/>
    </w:rPr>
  </w:style>
  <w:style w:type="paragraph" w:customStyle="1" w:styleId="963">
    <w:name w:val="[Normal]"/>
    <w:qFormat/>
    <w:uiPriority w:val="0"/>
    <w:rPr>
      <w:rFonts w:ascii="宋体" w:hAnsi="宋体" w:eastAsia="Times New Roman" w:cs="Times New Roman"/>
      <w:sz w:val="24"/>
      <w:szCs w:val="24"/>
      <w:lang w:val="en-US" w:eastAsia="zh-CN" w:bidi="ar-SA"/>
    </w:rPr>
  </w:style>
  <w:style w:type="paragraph" w:customStyle="1" w:styleId="964">
    <w:name w:val="Normal_1"/>
    <w:qFormat/>
    <w:uiPriority w:val="0"/>
    <w:rPr>
      <w:rFonts w:ascii="Times New Roman" w:hAnsi="Times New Roman" w:eastAsia="Times New Roman" w:cs="Times New Roman"/>
      <w:sz w:val="24"/>
      <w:szCs w:val="24"/>
      <w:lang w:val="en-US" w:eastAsia="zh-CN" w:bidi="ar-SA"/>
    </w:rPr>
  </w:style>
  <w:style w:type="paragraph" w:customStyle="1" w:styleId="965">
    <w:name w:val="第一部分"/>
    <w:basedOn w:val="1"/>
    <w:qFormat/>
    <w:uiPriority w:val="0"/>
    <w:pPr>
      <w:jc w:val="center"/>
    </w:pPr>
    <w:rPr>
      <w:b/>
      <w:sz w:val="36"/>
    </w:rPr>
  </w:style>
  <w:style w:type="paragraph" w:customStyle="1" w:styleId="96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7">
    <w:name w:val="列表段落11"/>
    <w:basedOn w:val="1"/>
    <w:qFormat/>
    <w:uiPriority w:val="34"/>
    <w:pPr>
      <w:adjustRightInd/>
      <w:ind w:right="238" w:firstLine="420"/>
    </w:pPr>
    <w:rPr>
      <w:rFonts w:ascii="Calibri" w:hAnsi="Calibri"/>
      <w:sz w:val="24"/>
    </w:rPr>
  </w:style>
  <w:style w:type="paragraph" w:customStyle="1" w:styleId="968">
    <w:name w:val="大标题"/>
    <w:basedOn w:val="435"/>
    <w:qFormat/>
    <w:uiPriority w:val="0"/>
    <w:rPr>
      <w:b/>
      <w:szCs w:val="36"/>
    </w:rPr>
  </w:style>
  <w:style w:type="paragraph" w:customStyle="1" w:styleId="969">
    <w:name w:val="WPSOffice手动目录 1"/>
    <w:qFormat/>
    <w:uiPriority w:val="0"/>
    <w:rPr>
      <w:rFonts w:ascii="Times New Roman" w:hAnsi="Times New Roman" w:eastAsia="宋体" w:cs="Times New Roman"/>
      <w:lang w:val="en-US" w:eastAsia="zh-CN" w:bidi="ar-SA"/>
    </w:rPr>
  </w:style>
  <w:style w:type="paragraph" w:customStyle="1" w:styleId="97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71">
    <w:name w:val="标题 2 字符1"/>
    <w:qFormat/>
    <w:uiPriority w:val="0"/>
    <w:rPr>
      <w:rFonts w:ascii="Arial" w:hAnsi="Arial" w:eastAsia="宋体"/>
      <w:b/>
      <w:bCs/>
      <w:kern w:val="2"/>
      <w:sz w:val="28"/>
      <w:szCs w:val="32"/>
      <w:lang w:val="en-US" w:eastAsia="zh-CN" w:bidi="ar-SA"/>
    </w:rPr>
  </w:style>
  <w:style w:type="character" w:customStyle="1" w:styleId="972">
    <w:name w:val="标题 3 Char"/>
    <w:basedOn w:val="69"/>
    <w:link w:val="4"/>
    <w:uiPriority w:val="0"/>
    <w:rPr>
      <w:b/>
      <w:bCs/>
      <w:kern w:val="2"/>
      <w:sz w:val="32"/>
      <w:szCs w:val="32"/>
    </w:rPr>
  </w:style>
  <w:style w:type="paragraph" w:customStyle="1" w:styleId="973">
    <w:name w:val="修订5"/>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BB1EE-9BE0-4A41-A53B-2F0C7A96947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6236</Words>
  <Characters>35551</Characters>
  <Lines>296</Lines>
  <Paragraphs>83</Paragraphs>
  <TotalTime>218</TotalTime>
  <ScaleCrop>false</ScaleCrop>
  <LinksUpToDate>false</LinksUpToDate>
  <CharactersWithSpaces>41704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天恒采购处7</dc:creator>
  <cp:lastModifiedBy>X.Y.</cp:lastModifiedBy>
  <cp:lastPrinted>2023-10-26T09:07:00Z</cp:lastPrinted>
  <dcterms:modified xsi:type="dcterms:W3CDTF">2023-11-29T10:23:17Z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FF38417DCE5D446588891F9F9D113FC1_13</vt:lpwstr>
  </property>
</Properties>
</file>