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both"/>
        <w:textAlignment w:val="bottom"/>
        <w:rPr>
          <w:rFonts w:hint="default" w:asciiTheme="minorEastAsia" w:hAnsiTheme="minorEastAsia" w:eastAsiaTheme="minorEastAsia" w:cstheme="minorEastAsia"/>
          <w:b/>
          <w:color w:val="auto"/>
          <w:kern w:val="0"/>
          <w:sz w:val="52"/>
          <w:szCs w:val="52"/>
          <w:highlight w:val="none"/>
          <w:lang w:val="en-US" w:eastAsia="zh-CN"/>
        </w:rPr>
      </w:pPr>
    </w:p>
    <w:p>
      <w:pPr>
        <w:jc w:val="center"/>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lum contrast="12000"/>
                    </a:blip>
                    <a:srcRect/>
                    <a:stretch>
                      <a:fillRect/>
                    </a:stretch>
                  </pic:blipFill>
                  <pic:spPr>
                    <a:xfrm>
                      <a:off x="0" y="0"/>
                      <a:ext cx="2971800" cy="2091690"/>
                    </a:xfrm>
                    <a:prstGeom prst="rect">
                      <a:avLst/>
                    </a:prstGeom>
                    <a:noFill/>
                    <a:ln w="9525">
                      <a:noFill/>
                      <a:miter lim="800000"/>
                      <a:headEnd/>
                      <a:tailEnd/>
                    </a:ln>
                  </pic:spPr>
                </pic:pic>
              </a:graphicData>
            </a:graphic>
          </wp:anchor>
        </w:drawing>
      </w:r>
    </w:p>
    <w:p>
      <w:pPr>
        <w:jc w:val="center"/>
        <w:rPr>
          <w:rFonts w:asciiTheme="minorEastAsia" w:hAnsiTheme="minorEastAsia" w:eastAsiaTheme="minorEastAsia" w:cstheme="minorEastAsia"/>
          <w:color w:val="auto"/>
          <w:sz w:val="52"/>
          <w:szCs w:val="52"/>
          <w:highlight w:val="none"/>
        </w:rPr>
      </w:pPr>
    </w:p>
    <w:p>
      <w:pPr>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 xml:space="preserve">         F-STONE</w:t>
      </w:r>
    </w:p>
    <w:p>
      <w:pPr>
        <w:jc w:val="center"/>
        <w:rPr>
          <w:rFonts w:asciiTheme="minorEastAsia" w:hAnsiTheme="minorEastAsia" w:eastAsiaTheme="minorEastAsia" w:cstheme="minorEastAsia"/>
          <w:color w:val="auto"/>
          <w:sz w:val="36"/>
          <w:szCs w:val="36"/>
          <w:highlight w:val="none"/>
        </w:rPr>
      </w:pPr>
    </w:p>
    <w:p>
      <w:pPr>
        <w:jc w:val="center"/>
        <w:rPr>
          <w:rFonts w:asciiTheme="minorEastAsia" w:hAnsiTheme="minorEastAsia" w:eastAsiaTheme="minorEastAsia" w:cstheme="minorEastAsia"/>
          <w:b/>
          <w:color w:val="auto"/>
          <w:sz w:val="72"/>
          <w:szCs w:val="72"/>
          <w:highlight w:val="none"/>
        </w:rPr>
      </w:pPr>
    </w:p>
    <w:p>
      <w:pPr>
        <w:shd w:val="clear" w:color="auto" w:fill="FFFFFF"/>
        <w:spacing w:line="360" w:lineRule="auto"/>
        <w:jc w:val="center"/>
        <w:textAlignment w:val="bottom"/>
        <w:rPr>
          <w:rFonts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政府采购招标文件</w:t>
      </w:r>
    </w:p>
    <w:p>
      <w:pPr>
        <w:shd w:val="clear" w:color="auto" w:fill="FFFFFF"/>
        <w:spacing w:line="360" w:lineRule="auto"/>
        <w:jc w:val="center"/>
        <w:textAlignment w:val="bottom"/>
        <w:rPr>
          <w:rFonts w:asciiTheme="minorEastAsia" w:hAnsiTheme="minorEastAsia" w:eastAsiaTheme="minorEastAsia" w:cstheme="minorEastAsia"/>
          <w:color w:val="auto"/>
          <w:sz w:val="28"/>
          <w:szCs w:val="28"/>
          <w:highlight w:val="none"/>
        </w:rPr>
      </w:pPr>
    </w:p>
    <w:p>
      <w:pPr>
        <w:shd w:val="clear" w:color="auto" w:fill="FFFFFF"/>
        <w:spacing w:line="360" w:lineRule="auto"/>
        <w:jc w:val="center"/>
        <w:textAlignment w:val="bottom"/>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项目编号：ZJWS2021-JJ316</w:t>
      </w:r>
    </w:p>
    <w:p>
      <w:pPr>
        <w:shd w:val="clear" w:color="auto" w:fill="FFFFFF"/>
        <w:tabs>
          <w:tab w:val="left" w:pos="1860"/>
        </w:tabs>
        <w:spacing w:line="360" w:lineRule="auto"/>
        <w:textAlignment w:val="bottom"/>
        <w:rPr>
          <w:rFonts w:asciiTheme="minorEastAsia" w:hAnsiTheme="minorEastAsia" w:eastAsiaTheme="minorEastAsia" w:cstheme="minorEastAsia"/>
          <w:color w:val="auto"/>
          <w:kern w:val="0"/>
          <w:sz w:val="28"/>
          <w:highlight w:val="none"/>
        </w:rPr>
      </w:pPr>
    </w:p>
    <w:p>
      <w:pPr>
        <w:autoSpaceDE w:val="0"/>
        <w:autoSpaceDN w:val="0"/>
        <w:adjustRightInd w:val="0"/>
        <w:spacing w:line="360" w:lineRule="auto"/>
        <w:ind w:firstLine="1960" w:firstLineChars="700"/>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采购项目：行政执法证据共享应用项目</w:t>
      </w:r>
    </w:p>
    <w:p>
      <w:pPr>
        <w:autoSpaceDE w:val="0"/>
        <w:autoSpaceDN w:val="0"/>
        <w:adjustRightInd w:val="0"/>
        <w:spacing w:line="360" w:lineRule="auto"/>
        <w:ind w:firstLine="1960" w:firstLineChars="700"/>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采购单位：台州市综合行政执法局</w:t>
      </w: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采购代理机构：浙江五石中正工程咨询有限公司</w:t>
      </w: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二○二二年三月</w:t>
      </w:r>
    </w:p>
    <w:p>
      <w:pPr>
        <w:spacing w:line="360" w:lineRule="auto"/>
        <w:ind w:firstLine="480" w:firstLineChars="200"/>
        <w:rPr>
          <w:rFonts w:asciiTheme="minorEastAsia" w:hAnsiTheme="minorEastAsia" w:eastAsiaTheme="minorEastAsia" w:cstheme="minorEastAsia"/>
          <w:color w:val="auto"/>
          <w:sz w:val="24"/>
          <w:szCs w:val="32"/>
          <w:highlight w:val="none"/>
        </w:rPr>
      </w:pPr>
    </w:p>
    <w:p>
      <w:pPr>
        <w:spacing w:line="360" w:lineRule="auto"/>
        <w:ind w:firstLine="480" w:firstLineChars="200"/>
        <w:rPr>
          <w:rFonts w:asciiTheme="minorEastAsia" w:hAnsiTheme="minorEastAsia" w:eastAsiaTheme="minorEastAsia" w:cstheme="minorEastAsia"/>
          <w:color w:val="auto"/>
          <w:sz w:val="24"/>
          <w:szCs w:val="32"/>
          <w:highlight w:val="none"/>
        </w:rPr>
        <w:sectPr>
          <w:pgSz w:w="11906" w:h="16838"/>
          <w:pgMar w:top="1134" w:right="1077" w:bottom="1134" w:left="1077" w:header="851" w:footer="992" w:gutter="0"/>
          <w:cols w:space="720" w:num="1"/>
          <w:docGrid w:type="lines" w:linePitch="332" w:charSpace="0"/>
        </w:sectPr>
      </w:pPr>
    </w:p>
    <w:p>
      <w:pPr>
        <w:pStyle w:val="11"/>
        <w:rPr>
          <w:color w:val="auto"/>
          <w:highlight w:val="none"/>
        </w:rPr>
      </w:pPr>
    </w:p>
    <w:p>
      <w:pPr>
        <w:spacing w:line="360" w:lineRule="auto"/>
        <w:ind w:firstLine="480" w:firstLineChars="200"/>
        <w:rPr>
          <w:rFonts w:asciiTheme="minorEastAsia" w:hAnsiTheme="minorEastAsia" w:eastAsiaTheme="minorEastAsia" w:cstheme="minorEastAsia"/>
          <w:color w:val="auto"/>
          <w:sz w:val="24"/>
          <w:szCs w:val="32"/>
          <w:highlight w:val="none"/>
        </w:rPr>
      </w:pPr>
    </w:p>
    <w:p>
      <w:pPr>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  录</w:t>
      </w:r>
    </w:p>
    <w:p>
      <w:pPr>
        <w:spacing w:line="360" w:lineRule="auto"/>
        <w:rPr>
          <w:rFonts w:asciiTheme="minorEastAsia" w:hAnsiTheme="minorEastAsia" w:eastAsiaTheme="minorEastAsia" w:cstheme="minorEastAsia"/>
          <w:color w:val="auto"/>
          <w:sz w:val="28"/>
          <w:szCs w:val="28"/>
          <w:highlight w:val="none"/>
        </w:rPr>
      </w:pP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第一章 公开招标采购公告</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 投标人须知</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第三章 评标办法及评分标准</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第四章 公开招标需求</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第五章 政府采购合同主要条款指引</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第六章 投标文件格式附件</w:t>
      </w: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pStyle w:val="11"/>
        <w:rPr>
          <w:color w:val="auto"/>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ind w:firstLine="480" w:firstLineChars="200"/>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第一章 公开招标采购公告</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Theme="minorEastAsia" w:hAnsiTheme="minorEastAsia" w:eastAsiaTheme="minorEastAsia" w:cstheme="minorEastAsia"/>
          <w:b/>
          <w:bCs/>
          <w:color w:val="auto"/>
          <w:sz w:val="24"/>
          <w:szCs w:val="32"/>
          <w:highlight w:val="none"/>
        </w:rPr>
        <w:t>浙江五石中正工程咨询有限公司</w:t>
      </w:r>
      <w:r>
        <w:rPr>
          <w:rFonts w:hint="eastAsia" w:asciiTheme="minorEastAsia" w:hAnsiTheme="minorEastAsia" w:eastAsiaTheme="minorEastAsia" w:cstheme="minorEastAsia"/>
          <w:color w:val="auto"/>
          <w:sz w:val="24"/>
          <w:szCs w:val="32"/>
          <w:highlight w:val="none"/>
        </w:rPr>
        <w:t>受</w:t>
      </w:r>
      <w:r>
        <w:rPr>
          <w:rFonts w:hint="eastAsia" w:asciiTheme="minorEastAsia" w:hAnsiTheme="minorEastAsia" w:eastAsiaTheme="minorEastAsia" w:cstheme="minorEastAsia"/>
          <w:b/>
          <w:bCs/>
          <w:color w:val="auto"/>
          <w:kern w:val="0"/>
          <w:sz w:val="24"/>
          <w:highlight w:val="none"/>
        </w:rPr>
        <w:t>台州市综合行政执法局</w:t>
      </w:r>
      <w:r>
        <w:rPr>
          <w:rFonts w:hint="eastAsia" w:asciiTheme="minorEastAsia" w:hAnsiTheme="minorEastAsia" w:eastAsiaTheme="minorEastAsia" w:cstheme="minorEastAsia"/>
          <w:color w:val="auto"/>
          <w:sz w:val="24"/>
          <w:szCs w:val="32"/>
          <w:highlight w:val="none"/>
        </w:rPr>
        <w:t>委托，现就其</w:t>
      </w:r>
      <w:r>
        <w:rPr>
          <w:rFonts w:hint="eastAsia" w:asciiTheme="minorEastAsia" w:hAnsiTheme="minorEastAsia" w:eastAsiaTheme="minorEastAsia" w:cstheme="minorEastAsia"/>
          <w:b/>
          <w:bCs/>
          <w:color w:val="auto"/>
          <w:sz w:val="24"/>
          <w:szCs w:val="32"/>
          <w:highlight w:val="none"/>
        </w:rPr>
        <w:t>行政执法证据共享应用项目</w:t>
      </w:r>
      <w:r>
        <w:rPr>
          <w:rFonts w:hint="eastAsia" w:asciiTheme="minorEastAsia" w:hAnsiTheme="minorEastAsia" w:eastAsiaTheme="minorEastAsia" w:cstheme="minorEastAsia"/>
          <w:color w:val="auto"/>
          <w:sz w:val="24"/>
          <w:szCs w:val="32"/>
          <w:highlight w:val="none"/>
        </w:rPr>
        <w:t>进行公开招标采购，欢迎合格供应商前来投标。</w:t>
      </w:r>
    </w:p>
    <w:p>
      <w:pPr>
        <w:spacing w:line="360" w:lineRule="auto"/>
        <w:ind w:firstLine="482"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bCs/>
          <w:color w:val="auto"/>
          <w:sz w:val="24"/>
          <w:szCs w:val="32"/>
          <w:highlight w:val="none"/>
        </w:rPr>
        <w:t>一、项目编号：</w:t>
      </w:r>
      <w:r>
        <w:rPr>
          <w:rFonts w:hint="eastAsia" w:asciiTheme="minorEastAsia" w:hAnsiTheme="minorEastAsia" w:eastAsiaTheme="minorEastAsia" w:cstheme="minorEastAsia"/>
          <w:color w:val="auto"/>
          <w:sz w:val="24"/>
          <w:szCs w:val="32"/>
          <w:highlight w:val="none"/>
        </w:rPr>
        <w:t>ZJWS2021-JJ316</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二、招标项目概况：</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1"/>
        <w:gridCol w:w="2255"/>
        <w:gridCol w:w="765"/>
        <w:gridCol w:w="936"/>
        <w:gridCol w:w="968"/>
        <w:gridCol w:w="1111"/>
        <w:gridCol w:w="975"/>
        <w:gridCol w:w="8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7" w:hRule="atLeast"/>
          <w:tblHeader/>
          <w:jc w:val="center"/>
        </w:trPr>
        <w:tc>
          <w:tcPr>
            <w:tcW w:w="373"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标段</w:t>
            </w:r>
          </w:p>
        </w:tc>
        <w:tc>
          <w:tcPr>
            <w:tcW w:w="1333"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采购内容</w:t>
            </w:r>
          </w:p>
        </w:tc>
        <w:tc>
          <w:tcPr>
            <w:tcW w:w="452"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数量</w:t>
            </w:r>
          </w:p>
        </w:tc>
        <w:tc>
          <w:tcPr>
            <w:tcW w:w="553"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单位</w:t>
            </w:r>
          </w:p>
        </w:tc>
        <w:tc>
          <w:tcPr>
            <w:tcW w:w="572"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预算</w:t>
            </w:r>
          </w:p>
          <w:p>
            <w:pPr>
              <w:pStyle w:val="2"/>
              <w:ind w:firstLine="0"/>
              <w:jc w:val="left"/>
              <w:rPr>
                <w:color w:val="auto"/>
                <w:highlight w:val="none"/>
              </w:rPr>
            </w:pPr>
            <w:r>
              <w:rPr>
                <w:rFonts w:hint="eastAsia"/>
                <w:b/>
                <w:color w:val="auto"/>
                <w:highlight w:val="none"/>
              </w:rPr>
              <w:t>（万元）</w:t>
            </w:r>
          </w:p>
        </w:tc>
        <w:tc>
          <w:tcPr>
            <w:tcW w:w="656" w:type="pct"/>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最高限价</w:t>
            </w:r>
          </w:p>
          <w:p>
            <w:pPr>
              <w:jc w:val="center"/>
              <w:rPr>
                <w:rFonts w:asciiTheme="minorEastAsia" w:hAnsiTheme="minorEastAsia" w:eastAsiaTheme="minorEastAsia" w:cstheme="minorEastAsia"/>
                <w:b/>
                <w:bCs/>
                <w:color w:val="auto"/>
                <w:sz w:val="24"/>
                <w:szCs w:val="32"/>
                <w:highlight w:val="none"/>
              </w:rPr>
            </w:pPr>
            <w:r>
              <w:rPr>
                <w:rFonts w:hint="eastAsia" w:ascii="宋体" w:hAnsi="宋体" w:cs="宋体"/>
                <w:b/>
                <w:color w:val="auto"/>
                <w:sz w:val="24"/>
                <w:highlight w:val="none"/>
              </w:rPr>
              <w:t>（万元）</w:t>
            </w:r>
          </w:p>
        </w:tc>
        <w:tc>
          <w:tcPr>
            <w:tcW w:w="576"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服务</w:t>
            </w:r>
          </w:p>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交付期</w:t>
            </w:r>
          </w:p>
        </w:tc>
        <w:tc>
          <w:tcPr>
            <w:tcW w:w="481"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交付</w:t>
            </w:r>
          </w:p>
          <w:p>
            <w:pPr>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89" w:hRule="atLeast"/>
          <w:jc w:val="center"/>
        </w:trPr>
        <w:tc>
          <w:tcPr>
            <w:tcW w:w="373"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一</w:t>
            </w:r>
          </w:p>
        </w:tc>
        <w:tc>
          <w:tcPr>
            <w:tcW w:w="1333"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行政执法证据共享</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应用项目</w:t>
            </w:r>
          </w:p>
        </w:tc>
        <w:tc>
          <w:tcPr>
            <w:tcW w:w="452"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53"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w:t>
            </w:r>
          </w:p>
        </w:tc>
        <w:tc>
          <w:tcPr>
            <w:tcW w:w="572" w:type="pct"/>
            <w:shd w:val="clear" w:color="auto" w:fill="auto"/>
            <w:noWrap/>
            <w:tcMar>
              <w:top w:w="75" w:type="dxa"/>
              <w:left w:w="75" w:type="dxa"/>
              <w:bottom w:w="75" w:type="dxa"/>
              <w:right w:w="75" w:type="dxa"/>
            </w:tcMar>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r>
              <w:rPr>
                <w:rFonts w:asciiTheme="minorEastAsia" w:hAnsiTheme="minorEastAsia" w:eastAsiaTheme="minorEastAsia" w:cstheme="minorEastAsia"/>
                <w:color w:val="auto"/>
                <w:sz w:val="24"/>
                <w:highlight w:val="none"/>
              </w:rPr>
              <w:t xml:space="preserve">20 </w:t>
            </w:r>
          </w:p>
        </w:tc>
        <w:tc>
          <w:tcPr>
            <w:tcW w:w="656" w:type="pct"/>
            <w:vAlign w:val="center"/>
          </w:tcPr>
          <w:p>
            <w:pPr>
              <w:jc w:val="center"/>
              <w:rPr>
                <w:rFonts w:asciiTheme="minorEastAsia" w:hAnsiTheme="minorEastAsia" w:eastAsiaTheme="minorEastAsia" w:cstheme="minorEastAsia"/>
                <w:color w:val="auto"/>
                <w:sz w:val="24"/>
                <w:highlight w:val="none"/>
              </w:rPr>
            </w:pPr>
            <w:r>
              <w:rPr>
                <w:rFonts w:hint="eastAsia" w:ascii="宋体" w:hAnsi="宋体" w:cs="宋体"/>
                <w:bCs/>
                <w:color w:val="auto"/>
                <w:sz w:val="24"/>
                <w:highlight w:val="none"/>
              </w:rPr>
              <w:t>7</w:t>
            </w:r>
            <w:r>
              <w:rPr>
                <w:rFonts w:ascii="宋体" w:hAnsi="宋体" w:cs="宋体"/>
                <w:bCs/>
                <w:color w:val="auto"/>
                <w:sz w:val="24"/>
                <w:highlight w:val="none"/>
              </w:rPr>
              <w:t>82</w:t>
            </w:r>
          </w:p>
        </w:tc>
        <w:tc>
          <w:tcPr>
            <w:tcW w:w="576" w:type="pct"/>
            <w:shd w:val="clear" w:color="auto" w:fill="auto"/>
            <w:noWrap/>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6个月</w:t>
            </w:r>
          </w:p>
        </w:tc>
        <w:tc>
          <w:tcPr>
            <w:tcW w:w="481" w:type="pct"/>
            <w:shd w:val="clear" w:color="auto" w:fill="auto"/>
            <w:noWrap/>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台州市</w:t>
            </w:r>
          </w:p>
        </w:tc>
      </w:tr>
    </w:tbl>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三、合格投标人的资格条件：</w:t>
      </w:r>
    </w:p>
    <w:p>
      <w:pPr>
        <w:pStyle w:val="22"/>
        <w:spacing w:before="0" w:beforeAutospacing="0" w:after="0" w:afterAutospacing="0" w:line="360" w:lineRule="auto"/>
        <w:ind w:firstLine="336"/>
        <w:rPr>
          <w:rFonts w:cs="宋体"/>
          <w:color w:val="auto"/>
          <w:kern w:val="2"/>
          <w:highlight w:val="none"/>
        </w:rPr>
      </w:pPr>
      <w:r>
        <w:rPr>
          <w:rFonts w:hint="eastAsia" w:cs="宋体"/>
          <w:color w:val="auto"/>
          <w:kern w:val="2"/>
          <w:highlight w:val="none"/>
        </w:rPr>
        <w:t>（一）符合《中华人民共和国政府采购法》第二十二条规定的投标人资格条件。</w:t>
      </w:r>
    </w:p>
    <w:p>
      <w:pPr>
        <w:pStyle w:val="22"/>
        <w:spacing w:before="0" w:beforeAutospacing="0" w:after="0" w:afterAutospacing="0" w:line="360" w:lineRule="auto"/>
        <w:ind w:firstLine="336"/>
        <w:rPr>
          <w:rFonts w:cs="宋体"/>
          <w:color w:val="auto"/>
          <w:kern w:val="2"/>
          <w:highlight w:val="none"/>
        </w:rPr>
      </w:pPr>
      <w:r>
        <w:rPr>
          <w:rFonts w:hint="eastAsia" w:cs="宋体"/>
          <w:color w:val="auto"/>
          <w:kern w:val="2"/>
          <w:highlight w:val="none"/>
        </w:rPr>
        <w:t>（二）不允许联合体投标。</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r>
        <w:rPr>
          <w:rFonts w:hint="eastAsia" w:asciiTheme="minorEastAsia" w:hAnsiTheme="minorEastAsia" w:eastAsiaTheme="minorEastAsia" w:cstheme="minorEastAsia"/>
          <w:b/>
          <w:bCs/>
          <w:color w:val="auto"/>
          <w:sz w:val="24"/>
          <w:szCs w:val="32"/>
          <w:highlight w:val="none"/>
        </w:rPr>
        <w:t>招标文件获取的时间、方式：</w:t>
      </w:r>
    </w:p>
    <w:p>
      <w:pPr>
        <w:pStyle w:val="22"/>
        <w:spacing w:before="0" w:beforeAutospacing="0" w:after="0" w:afterAutospacing="0" w:line="360" w:lineRule="auto"/>
        <w:ind w:firstLine="336"/>
        <w:rPr>
          <w:rFonts w:cs="宋体"/>
          <w:color w:val="auto"/>
          <w:kern w:val="2"/>
          <w:highlight w:val="none"/>
        </w:rPr>
      </w:pPr>
      <w:r>
        <w:rPr>
          <w:rFonts w:hint="eastAsia" w:cs="宋体"/>
          <w:color w:val="auto"/>
          <w:kern w:val="2"/>
          <w:highlight w:val="none"/>
        </w:rPr>
        <w:t>1、本项目招标文件实行“政府采购云平台”在线获取，不提供招标文件纸质版。供应商获取招标文件前应先完成“政府采购云平台”的账号注册；</w:t>
      </w:r>
    </w:p>
    <w:p>
      <w:pPr>
        <w:pStyle w:val="22"/>
        <w:spacing w:before="0" w:beforeAutospacing="0" w:after="0" w:afterAutospacing="0" w:line="360" w:lineRule="auto"/>
        <w:ind w:firstLine="336"/>
        <w:rPr>
          <w:rFonts w:cs="宋体"/>
          <w:color w:val="auto"/>
          <w:kern w:val="2"/>
          <w:highlight w:val="none"/>
        </w:rPr>
      </w:pPr>
      <w:r>
        <w:rPr>
          <w:rFonts w:hint="eastAsia" w:cs="宋体"/>
          <w:b/>
          <w:bCs/>
          <w:color w:val="auto"/>
          <w:kern w:val="2"/>
          <w:highlight w:val="none"/>
        </w:rPr>
        <w:t>2、获取时间：</w:t>
      </w:r>
      <w:r>
        <w:rPr>
          <w:rFonts w:hint="eastAsia" w:cs="宋体"/>
          <w:color w:val="auto"/>
          <w:kern w:val="2"/>
          <w:highlight w:val="none"/>
        </w:rPr>
        <w:t>自本公告发布之日起至响应文件递交截止时间止（以供应商完成获取采购文件申请后下载采购文件的时间为准）；</w:t>
      </w:r>
    </w:p>
    <w:p>
      <w:pPr>
        <w:pStyle w:val="22"/>
        <w:spacing w:before="0" w:beforeAutospacing="0" w:after="0" w:afterAutospacing="0" w:line="360" w:lineRule="auto"/>
        <w:ind w:firstLine="336"/>
        <w:rPr>
          <w:rFonts w:cs="宋体"/>
          <w:b/>
          <w:bCs/>
          <w:color w:val="auto"/>
          <w:kern w:val="2"/>
          <w:highlight w:val="none"/>
        </w:rPr>
      </w:pPr>
      <w:r>
        <w:rPr>
          <w:rFonts w:hint="eastAsia" w:cs="宋体"/>
          <w:b/>
          <w:bCs/>
          <w:color w:val="auto"/>
          <w:kern w:val="2"/>
          <w:highlight w:val="none"/>
        </w:rPr>
        <w:t>3、获取地点：</w:t>
      </w:r>
    </w:p>
    <w:p>
      <w:pPr>
        <w:pStyle w:val="22"/>
        <w:spacing w:before="0" w:beforeAutospacing="0" w:after="0" w:afterAutospacing="0" w:line="360" w:lineRule="auto"/>
        <w:ind w:firstLine="168"/>
        <w:rPr>
          <w:rFonts w:cs="宋体"/>
          <w:color w:val="auto"/>
          <w:kern w:val="2"/>
          <w:highlight w:val="none"/>
        </w:rPr>
      </w:pPr>
      <w:r>
        <w:rPr>
          <w:rFonts w:hint="eastAsia" w:cs="宋体"/>
          <w:color w:val="auto"/>
          <w:kern w:val="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cs="宋体"/>
          <w:color w:val="auto"/>
          <w:kern w:val="2"/>
          <w:highlight w:val="none"/>
        </w:rPr>
        <w:t>http://zfcg.czt.zj.gov.cn</w:t>
      </w:r>
      <w:r>
        <w:rPr>
          <w:rFonts w:hint="eastAsia" w:cs="宋体"/>
          <w:color w:val="auto"/>
          <w:kern w:val="2"/>
          <w:highlight w:val="none"/>
        </w:rPr>
        <w:fldChar w:fldCharType="end"/>
      </w:r>
      <w:r>
        <w:rPr>
          <w:rFonts w:hint="eastAsia" w:cs="宋体"/>
          <w:color w:val="auto"/>
          <w:kern w:val="2"/>
          <w:highlight w:val="none"/>
        </w:rPr>
        <w:t>）；</w:t>
      </w:r>
    </w:p>
    <w:p>
      <w:pPr>
        <w:pStyle w:val="22"/>
        <w:spacing w:before="0" w:beforeAutospacing="0" w:after="0" w:afterAutospacing="0" w:line="360" w:lineRule="auto"/>
        <w:ind w:firstLine="168"/>
        <w:rPr>
          <w:rFonts w:cs="宋体"/>
          <w:color w:val="auto"/>
          <w:kern w:val="2"/>
          <w:highlight w:val="none"/>
        </w:rPr>
      </w:pPr>
      <w:r>
        <w:rPr>
          <w:rFonts w:hint="eastAsia" w:cs="宋体"/>
          <w:color w:val="auto"/>
          <w:kern w:val="2"/>
          <w:highlight w:val="none"/>
        </w:rPr>
        <w:t>（2）供应商网上报名操作指南：“浙江政府采购网-办事指南-省采中心-网上报名”（http://zfcg.czt.zj.gov.cn/bs_other/2018-03-30/12002.html）。</w:t>
      </w:r>
    </w:p>
    <w:p>
      <w:pPr>
        <w:pStyle w:val="22"/>
        <w:spacing w:before="0" w:beforeAutospacing="0" w:after="0" w:afterAutospacing="0" w:line="360" w:lineRule="auto"/>
        <w:ind w:firstLine="336"/>
        <w:rPr>
          <w:rFonts w:cs="宋体"/>
          <w:color w:val="auto"/>
          <w:kern w:val="2"/>
          <w:highlight w:val="none"/>
        </w:rPr>
      </w:pPr>
      <w:r>
        <w:rPr>
          <w:rFonts w:hint="eastAsia" w:cs="宋体"/>
          <w:b/>
          <w:bCs/>
          <w:color w:val="auto"/>
          <w:kern w:val="2"/>
          <w:highlight w:val="none"/>
        </w:rPr>
        <w:t>4、获取方式：</w:t>
      </w:r>
      <w:r>
        <w:rPr>
          <w:rFonts w:hint="eastAsia" w:cs="宋体"/>
          <w:color w:val="auto"/>
          <w:kern w:val="2"/>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22"/>
        <w:spacing w:before="0" w:beforeAutospacing="0" w:after="0" w:afterAutospacing="0" w:line="360" w:lineRule="auto"/>
        <w:ind w:firstLine="336"/>
        <w:rPr>
          <w:rFonts w:cs="宋体"/>
          <w:color w:val="auto"/>
          <w:kern w:val="2"/>
          <w:highlight w:val="none"/>
        </w:rPr>
      </w:pPr>
      <w:r>
        <w:rPr>
          <w:rFonts w:hint="eastAsia" w:cs="宋体"/>
          <w:b/>
          <w:bCs/>
          <w:color w:val="auto"/>
          <w:kern w:val="2"/>
          <w:highlight w:val="none"/>
        </w:rPr>
        <w:t>5、提示：</w:t>
      </w:r>
      <w:r>
        <w:rPr>
          <w:rFonts w:hint="eastAsia" w:cs="宋体"/>
          <w:color w:val="auto"/>
          <w:kern w:val="2"/>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54"/>
        <w:spacing w:line="360" w:lineRule="auto"/>
        <w:ind w:firstLine="480"/>
        <w:rPr>
          <w:rStyle w:val="30"/>
          <w:rFonts w:asciiTheme="minorEastAsia" w:hAnsiTheme="minorEastAsia" w:eastAsiaTheme="minorEastAsia" w:cstheme="minorEastAsia"/>
          <w:color w:val="auto"/>
          <w:sz w:val="24"/>
          <w:highlight w:val="none"/>
        </w:rPr>
      </w:pPr>
      <w:r>
        <w:rPr>
          <w:rStyle w:val="30"/>
          <w:rFonts w:hint="eastAsia" w:asciiTheme="minorEastAsia" w:hAnsiTheme="minorEastAsia" w:eastAsiaTheme="minorEastAsia" w:cstheme="minorEastAsia"/>
          <w:color w:val="auto"/>
          <w:sz w:val="24"/>
          <w:highlight w:val="none"/>
        </w:rPr>
        <w:t>五、投标说明：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5.投标文件的组成、份数、密封、效力</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本项目实行电子投标，供应商应准备电子投标文件、以介质（U盘）存储的数据电文形式：</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5.1电子投标文件，按政采云平台项目采购--电子招投标操作指南及本招标文件要求编制。</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w:t>
      </w:r>
      <w:r>
        <w:rPr>
          <w:rFonts w:cs="宋体"/>
          <w:color w:val="auto"/>
          <w:highlight w:val="none"/>
        </w:rPr>
        <w:t>2</w:t>
      </w:r>
      <w:r>
        <w:rPr>
          <w:rFonts w:hint="eastAsia" w:cs="宋体"/>
          <w:color w:val="auto"/>
          <w:highlight w:val="none"/>
        </w:rPr>
        <w:t>投标供应商在“政府采购云平台”完成“电子加密投标文件”的上传递交后，需在投标截止时间前递交以介质（U盘）存储的数据电文形式的“备份投标文件”，“备份投标文件”应当密封包装并在包装上标注投标项目名称、投标单位名称并加盖公章。以介质（U盘）存储的数据电文形式的“备份投标文件”，可采用以下两种方式其中一种送达（逾期送达或未密封将被拒收）：</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①在投标截止时间前送交到开标地点；</w:t>
      </w:r>
    </w:p>
    <w:p>
      <w:pPr>
        <w:pStyle w:val="22"/>
        <w:spacing w:before="0" w:beforeAutospacing="0" w:after="0" w:afterAutospacing="0" w:line="360" w:lineRule="auto"/>
        <w:ind w:firstLine="480"/>
        <w:rPr>
          <w:rFonts w:cs="宋体"/>
          <w:color w:val="auto"/>
          <w:highlight w:val="none"/>
        </w:rPr>
      </w:pPr>
      <w:r>
        <w:rPr>
          <w:rFonts w:hint="eastAsia" w:cs="宋体"/>
          <w:color w:val="auto"/>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pStyle w:val="22"/>
        <w:spacing w:before="0" w:beforeAutospacing="0" w:after="0" w:afterAutospacing="0" w:line="360" w:lineRule="auto"/>
        <w:ind w:firstLine="480"/>
        <w:rPr>
          <w:rFonts w:cs="宋体"/>
          <w:color w:val="auto"/>
          <w:highlight w:val="none"/>
        </w:rPr>
      </w:pPr>
      <w:r>
        <w:rPr>
          <w:rFonts w:hint="eastAsia" w:cs="宋体"/>
          <w:color w:val="auto"/>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22"/>
        <w:spacing w:before="0" w:beforeAutospacing="0" w:after="0" w:afterAutospacing="0" w:line="360" w:lineRule="auto"/>
        <w:ind w:firstLine="480"/>
        <w:rPr>
          <w:rFonts w:cs="宋体"/>
          <w:color w:val="auto"/>
          <w:highlight w:val="none"/>
        </w:rPr>
      </w:pPr>
      <w:r>
        <w:rPr>
          <w:rFonts w:hint="eastAsia" w:cs="宋体"/>
          <w:color w:val="auto"/>
          <w:highlight w:val="none"/>
        </w:rPr>
        <w:t>5.5投标文件启用顺序和效力：投标文件的启用，按先后顺位分别为电子投标文件、以介质（U盘）存储的数据电文形式的备份投标文件。全部投标人的电子投标文件均已按时解密的，备份投标文件自动失效。如果某位投标人的电子投标文件无法按时解密的，可启用以介质存储的数据电文形式的备份投标文件。</w:t>
      </w:r>
    </w:p>
    <w:p>
      <w:pPr>
        <w:pStyle w:val="22"/>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5.6未传输递交电子投标文件的，投标无效。未按规定提供相应的备份投标文件，造成项目开评标活动无法进行下去的，投标无效。</w:t>
      </w:r>
    </w:p>
    <w:p>
      <w:pPr>
        <w:spacing w:line="360" w:lineRule="auto"/>
        <w:ind w:firstLine="482" w:firstLineChars="200"/>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b/>
          <w:bCs/>
          <w:color w:val="auto"/>
          <w:sz w:val="24"/>
          <w:szCs w:val="32"/>
          <w:highlight w:val="none"/>
        </w:rPr>
        <w:t>六、投标截止时间及开标时间：</w:t>
      </w:r>
      <w:r>
        <w:rPr>
          <w:rFonts w:hint="eastAsia" w:asciiTheme="minorEastAsia" w:hAnsiTheme="minorEastAsia" w:eastAsiaTheme="minorEastAsia" w:cstheme="minorEastAsia"/>
          <w:color w:val="auto"/>
          <w:sz w:val="24"/>
          <w:szCs w:val="32"/>
          <w:highlight w:val="none"/>
          <w:lang w:eastAsia="zh-CN"/>
        </w:rPr>
        <w:t>2022年3月24日下午14:00</w:t>
      </w:r>
    </w:p>
    <w:p>
      <w:pPr>
        <w:spacing w:line="360" w:lineRule="auto"/>
        <w:ind w:firstLine="482"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bCs/>
          <w:color w:val="auto"/>
          <w:sz w:val="24"/>
          <w:szCs w:val="32"/>
          <w:highlight w:val="none"/>
        </w:rPr>
        <w:t>七、投标及开标地址：</w:t>
      </w:r>
      <w:r>
        <w:rPr>
          <w:rFonts w:hint="eastAsia" w:asciiTheme="minorEastAsia" w:hAnsiTheme="minorEastAsia" w:eastAsiaTheme="minorEastAsia" w:cstheme="minorEastAsia"/>
          <w:color w:val="auto"/>
          <w:sz w:val="24"/>
          <w:szCs w:val="32"/>
          <w:highlight w:val="none"/>
        </w:rPr>
        <w:t>台州市椒江区东环大道576号二楼（五石开标室）。</w:t>
      </w:r>
    </w:p>
    <w:p>
      <w:pPr>
        <w:spacing w:line="360" w:lineRule="auto"/>
        <w:ind w:firstLine="482" w:firstLineChars="200"/>
        <w:outlineLvl w:val="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八、相关注意事项：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4.</w:t>
      </w:r>
      <w:r>
        <w:rPr>
          <w:rFonts w:hint="eastAsia" w:ascii="宋体" w:hAnsi="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九、联系方式：</w:t>
      </w:r>
    </w:p>
    <w:p>
      <w:pPr>
        <w:spacing w:line="360" w:lineRule="auto"/>
        <w:ind w:firstLine="482"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bCs/>
          <w:color w:val="auto"/>
          <w:sz w:val="24"/>
          <w:szCs w:val="32"/>
          <w:highlight w:val="none"/>
        </w:rPr>
        <w:t>1、采购代理机构名称：</w:t>
      </w:r>
      <w:r>
        <w:rPr>
          <w:rFonts w:hint="eastAsia" w:asciiTheme="minorEastAsia" w:hAnsiTheme="minorEastAsia" w:eastAsiaTheme="minorEastAsia" w:cstheme="minorEastAsia"/>
          <w:color w:val="auto"/>
          <w:sz w:val="24"/>
          <w:szCs w:val="32"/>
          <w:highlight w:val="none"/>
        </w:rPr>
        <w:t>浙江五石中正工程咨询有限公司。</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项目负责人：徐名峰；联系电话：15088711407；</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质疑接受人：刘婕；联系电话：0571-85340710；</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报名联系人：高女士；联系电话：0571-85334203；传真：0571-85342190；</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地点：杭州市拱墅区白石路318号中国（杭州）人力资源服务产业园北楼512室。</w:t>
      </w:r>
    </w:p>
    <w:p>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szCs w:val="32"/>
          <w:highlight w:val="none"/>
        </w:rPr>
        <w:t>2、采购人：</w:t>
      </w:r>
      <w:r>
        <w:rPr>
          <w:rFonts w:hint="eastAsia" w:asciiTheme="minorEastAsia" w:hAnsiTheme="minorEastAsia" w:eastAsiaTheme="minorEastAsia" w:cstheme="minorEastAsia"/>
          <w:color w:val="auto"/>
          <w:kern w:val="0"/>
          <w:sz w:val="24"/>
          <w:highlight w:val="none"/>
        </w:rPr>
        <w:t>台州市综合行政执法局。</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项目联系人：杜</w:t>
      </w:r>
      <w:r>
        <w:rPr>
          <w:rFonts w:hint="eastAsia" w:asciiTheme="minorEastAsia" w:hAnsiTheme="minorEastAsia" w:eastAsiaTheme="minorEastAsia" w:cstheme="minorEastAsia"/>
          <w:color w:val="auto"/>
          <w:kern w:val="0"/>
          <w:sz w:val="24"/>
          <w:highlight w:val="none"/>
          <w:lang w:eastAsia="zh-CN"/>
        </w:rPr>
        <w:t>先生</w:t>
      </w:r>
      <w:r>
        <w:rPr>
          <w:rFonts w:hint="eastAsia" w:asciiTheme="minorEastAsia" w:hAnsiTheme="minorEastAsia" w:eastAsiaTheme="minorEastAsia" w:cstheme="minorEastAsia"/>
          <w:color w:val="auto"/>
          <w:kern w:val="0"/>
          <w:sz w:val="24"/>
          <w:highlight w:val="none"/>
        </w:rPr>
        <w:t>；联系电话：15267289672；</w:t>
      </w:r>
    </w:p>
    <w:p>
      <w:pPr>
        <w:pStyle w:val="26"/>
        <w:ind w:left="0" w:leftChars="0" w:firstLine="480" w:firstLineChars="200"/>
        <w:rPr>
          <w:color w:val="auto"/>
          <w:highlight w:val="none"/>
        </w:rPr>
      </w:pPr>
      <w:r>
        <w:rPr>
          <w:rFonts w:hint="eastAsia" w:asciiTheme="minorEastAsia" w:hAnsiTheme="minorEastAsia" w:eastAsiaTheme="minorEastAsia" w:cstheme="minorEastAsia"/>
          <w:color w:val="auto"/>
          <w:kern w:val="0"/>
          <w:sz w:val="24"/>
          <w:highlight w:val="none"/>
        </w:rPr>
        <w:t>质疑</w:t>
      </w:r>
      <w:r>
        <w:rPr>
          <w:rFonts w:hint="eastAsia" w:asciiTheme="minorEastAsia" w:hAnsiTheme="minorEastAsia" w:eastAsiaTheme="minorEastAsia" w:cstheme="minorEastAsia"/>
          <w:color w:val="auto"/>
          <w:sz w:val="24"/>
          <w:szCs w:val="32"/>
          <w:highlight w:val="none"/>
        </w:rPr>
        <w:t>联系人：王先生；联系电话：</w:t>
      </w:r>
      <w:r>
        <w:rPr>
          <w:rFonts w:hint="eastAsia" w:asciiTheme="minorEastAsia" w:hAnsiTheme="minorEastAsia" w:eastAsiaTheme="minorEastAsia" w:cstheme="minorEastAsia"/>
          <w:color w:val="auto"/>
          <w:kern w:val="0"/>
          <w:sz w:val="24"/>
          <w:highlight w:val="none"/>
        </w:rPr>
        <w:t>0576-88517987</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kern w:val="0"/>
          <w:sz w:val="24"/>
          <w:highlight w:val="none"/>
        </w:rPr>
        <w:t> </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联系人：陈工，联系电话：0576-88206705；</w:t>
      </w:r>
    </w:p>
    <w:p>
      <w:pPr>
        <w:spacing w:line="360" w:lineRule="auto"/>
        <w:ind w:firstLine="480" w:firstLineChars="200"/>
        <w:rPr>
          <w:color w:val="auto"/>
          <w:highlight w:val="none"/>
        </w:rPr>
      </w:pPr>
      <w:r>
        <w:rPr>
          <w:rFonts w:hint="eastAsia" w:ascii="宋体" w:hAnsi="宋体" w:cs="宋体"/>
          <w:color w:val="auto"/>
          <w:sz w:val="24"/>
          <w:szCs w:val="32"/>
          <w:highlight w:val="none"/>
        </w:rPr>
        <w:t>联系人：李工，联系电话：0576-88206731；</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7"/>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67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81888982/18957683735</w:t>
            </w:r>
          </w:p>
        </w:tc>
      </w:tr>
    </w:tbl>
    <w:p>
      <w:pPr>
        <w:jc w:val="center"/>
        <w:rPr>
          <w:color w:val="auto"/>
          <w:sz w:val="32"/>
          <w:szCs w:val="32"/>
          <w:highlight w:val="none"/>
        </w:rPr>
      </w:pPr>
      <w:r>
        <w:rPr>
          <w:rFonts w:hint="eastAsia"/>
          <w:color w:val="auto"/>
          <w:sz w:val="32"/>
          <w:szCs w:val="32"/>
          <w:highlight w:val="none"/>
        </w:rPr>
        <w:t>合同履约保函联系方式</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0"/>
        <w:gridCol w:w="2631"/>
        <w:gridCol w:w="98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ind w:firstLine="3220" w:firstLineChars="1150"/>
        <w:rPr>
          <w:rFonts w:ascii="宋体" w:hAnsi="宋体" w:cs="宋体"/>
          <w:color w:val="auto"/>
          <w:sz w:val="28"/>
          <w:szCs w:val="28"/>
          <w:highlight w:val="none"/>
        </w:rPr>
      </w:pPr>
    </w:p>
    <w:p>
      <w:pPr>
        <w:ind w:firstLine="3220" w:firstLineChars="1150"/>
        <w:rPr>
          <w:rFonts w:ascii="宋体" w:hAnsi="宋体" w:cs="宋体"/>
          <w:color w:val="auto"/>
          <w:sz w:val="28"/>
          <w:szCs w:val="28"/>
          <w:highlight w:val="none"/>
        </w:rPr>
      </w:pPr>
      <w:r>
        <w:rPr>
          <w:rFonts w:hint="eastAsia" w:ascii="宋体" w:hAnsi="宋体" w:cs="宋体"/>
          <w:color w:val="auto"/>
          <w:sz w:val="28"/>
          <w:szCs w:val="28"/>
          <w:highlight w:val="none"/>
        </w:rPr>
        <w:t>预付款保函联系方式</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11"/>
        <w:gridCol w:w="2110"/>
        <w:gridCol w:w="126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pStyle w:val="11"/>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浙江五石中正工程咨询有限公司</w:t>
      </w:r>
    </w:p>
    <w:p>
      <w:pPr>
        <w:pStyle w:val="11"/>
        <w:wordWrap w:val="0"/>
        <w:jc w:val="right"/>
        <w:rPr>
          <w:rFonts w:eastAsiaTheme="minorEastAsia"/>
          <w:color w:val="auto"/>
          <w:highlight w:val="none"/>
        </w:rPr>
      </w:pPr>
      <w:r>
        <w:rPr>
          <w:rFonts w:hint="eastAsia" w:asciiTheme="minorEastAsia" w:hAnsiTheme="minorEastAsia" w:eastAsiaTheme="minorEastAsia" w:cstheme="minorEastAsia"/>
          <w:color w:val="auto"/>
          <w:highlight w:val="none"/>
        </w:rPr>
        <w:t xml:space="preserve">                                    2022年3月      </w:t>
      </w: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pStyle w:val="7"/>
        <w:rPr>
          <w:rFonts w:asciiTheme="minorEastAsia" w:hAnsiTheme="minorEastAsia" w:eastAsiaTheme="minorEastAsia" w:cstheme="minorEastAsia"/>
          <w:color w:val="auto"/>
          <w:sz w:val="36"/>
          <w:szCs w:val="44"/>
          <w:highlight w:val="none"/>
        </w:rPr>
      </w:pPr>
    </w:p>
    <w:p>
      <w:pPr>
        <w:rPr>
          <w:rFonts w:asciiTheme="minorEastAsia" w:hAnsiTheme="minorEastAsia" w:eastAsiaTheme="minorEastAsia" w:cstheme="minorEastAsia"/>
          <w:b/>
          <w:bCs/>
          <w:color w:val="auto"/>
          <w:sz w:val="36"/>
          <w:szCs w:val="44"/>
          <w:highlight w:val="none"/>
        </w:rPr>
      </w:pPr>
    </w:p>
    <w:p>
      <w:pPr>
        <w:pStyle w:val="7"/>
        <w:rPr>
          <w:rFonts w:asciiTheme="minorEastAsia" w:hAnsiTheme="minorEastAsia" w:eastAsiaTheme="minorEastAsia" w:cstheme="minorEastAsia"/>
          <w:color w:val="auto"/>
          <w:sz w:val="36"/>
          <w:szCs w:val="44"/>
          <w:highlight w:val="none"/>
        </w:rPr>
      </w:pPr>
    </w:p>
    <w:p>
      <w:pPr>
        <w:pStyle w:val="7"/>
        <w:rPr>
          <w:color w:val="auto"/>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第二章 投标人须知</w:t>
      </w:r>
    </w:p>
    <w:p>
      <w:pPr>
        <w:spacing w:line="360" w:lineRule="auto"/>
        <w:ind w:firstLine="482" w:firstLineChars="200"/>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前附表</w:t>
      </w:r>
    </w:p>
    <w:tbl>
      <w:tblPr>
        <w:tblStyle w:val="27"/>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    目</w:t>
            </w:r>
          </w:p>
        </w:tc>
        <w:tc>
          <w:tcPr>
            <w:tcW w:w="705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供应商特定资格要求</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答疑会或</w:t>
            </w:r>
            <w:r>
              <w:rPr>
                <w:rFonts w:hint="eastAsia" w:asciiTheme="minorEastAsia" w:hAnsiTheme="minorEastAsia" w:eastAsiaTheme="minorEastAsia" w:cstheme="minorEastAsia"/>
                <w:color w:val="auto"/>
                <w:sz w:val="24"/>
                <w:highlight w:val="none"/>
              </w:rPr>
              <w:t>现场踏勘</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415"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投标文件递交要求</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本项目实行</w:t>
            </w:r>
            <w:r>
              <w:rPr>
                <w:rFonts w:hint="eastAsia" w:asciiTheme="minorEastAsia" w:hAnsiTheme="minorEastAsia" w:eastAsiaTheme="minorEastAsia" w:cstheme="minorEastAsia"/>
                <w:b/>
                <w:bCs/>
                <w:color w:val="auto"/>
                <w:sz w:val="24"/>
                <w:highlight w:val="none"/>
              </w:rPr>
              <w:t>电子投标</w:t>
            </w:r>
            <w:r>
              <w:rPr>
                <w:rFonts w:hint="eastAsia" w:asciiTheme="minorEastAsia" w:hAnsiTheme="minorEastAsia" w:eastAsiaTheme="minorEastAsia" w:cstheme="minorEastAsia"/>
                <w:color w:val="auto"/>
                <w:sz w:val="24"/>
                <w:highlight w:val="none"/>
              </w:rPr>
              <w:t>，供应商应准备电子投标文件、以介质存储的数据电文形式的备份投标文件：</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1.电子投标文件，按政采云平台项目采购--电子招投标操作指南及本招标文件要求编制、递交。</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2.以介质存储的数据电文形式的备份投标文件，按政采云平台项目采购-电子招投标操作指南中上传的电子投标文件格式，以U盘形式提供。</w:t>
            </w:r>
          </w:p>
          <w:p>
            <w:pPr>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投标有效期为开标后90天，</w:t>
            </w:r>
            <w:r>
              <w:rPr>
                <w:rFonts w:hint="eastAsia" w:asciiTheme="minorEastAsia" w:hAnsiTheme="minorEastAsia" w:eastAsiaTheme="minorEastAsia" w:cstheme="min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w:t>
            </w:r>
          </w:p>
        </w:tc>
        <w:tc>
          <w:tcPr>
            <w:tcW w:w="7050" w:type="dxa"/>
            <w:vAlign w:val="center"/>
          </w:tcPr>
          <w:p>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截止时间：北京时间</w:t>
            </w:r>
            <w:r>
              <w:rPr>
                <w:rFonts w:hint="eastAsia" w:asciiTheme="minorEastAsia" w:hAnsiTheme="minorEastAsia" w:eastAsiaTheme="minorEastAsia" w:cstheme="minorEastAsia"/>
                <w:color w:val="auto"/>
                <w:sz w:val="24"/>
                <w:szCs w:val="32"/>
                <w:highlight w:val="none"/>
                <w:lang w:eastAsia="zh-CN"/>
              </w:rPr>
              <w:t>2022年3月24日下午14:00</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开标时间及地点</w:t>
            </w:r>
          </w:p>
        </w:tc>
        <w:tc>
          <w:tcPr>
            <w:tcW w:w="7050" w:type="dxa"/>
            <w:vAlign w:val="center"/>
          </w:tcPr>
          <w:p>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时间：北京时间</w:t>
            </w:r>
            <w:r>
              <w:rPr>
                <w:rFonts w:hint="eastAsia" w:asciiTheme="minorEastAsia" w:hAnsiTheme="minorEastAsia" w:eastAsiaTheme="minorEastAsia" w:cstheme="minorEastAsia"/>
                <w:color w:val="auto"/>
                <w:sz w:val="24"/>
                <w:szCs w:val="32"/>
                <w:highlight w:val="none"/>
                <w:lang w:eastAsia="zh-CN"/>
              </w:rPr>
              <w:t>2022年3月24日下午14:00</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地点：台州市椒江区东环大道576号二楼（五石开标室）。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本项目无需履约保证金。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415" w:type="dxa"/>
            <w:vAlign w:val="center"/>
          </w:tcPr>
          <w:p>
            <w:pPr>
              <w:autoSpaceDE w:val="0"/>
              <w:autoSpaceDN w:val="0"/>
              <w:adjustRightIn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实质性条款</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带“</w:t>
            </w:r>
            <w:r>
              <w:rPr>
                <w:rFonts w:hint="eastAsia" w:asciiTheme="minorEastAsia" w:hAnsiTheme="minorEastAsia" w:eastAsiaTheme="minorEastAsia" w:cstheme="minorEastAsia"/>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样品或现场踏勘</w:t>
            </w:r>
          </w:p>
        </w:tc>
        <w:tc>
          <w:tcPr>
            <w:tcW w:w="7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解释权</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本招标文件解释权属于采购人和浙江五石中正工程咨询有限公司。</w:t>
            </w:r>
          </w:p>
        </w:tc>
      </w:tr>
    </w:tbl>
    <w:p>
      <w:pPr>
        <w:spacing w:line="360" w:lineRule="auto"/>
        <w:rPr>
          <w:rFonts w:asciiTheme="minorEastAsia" w:hAnsiTheme="minorEastAsia" w:eastAsiaTheme="minorEastAsia" w:cstheme="minorEastAsia"/>
          <w:b/>
          <w:bCs/>
          <w:color w:val="auto"/>
          <w:sz w:val="24"/>
          <w:szCs w:val="32"/>
          <w:highlight w:val="none"/>
        </w:rPr>
      </w:pP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 、总  则</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 适用范围</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本招标文件适用于本次项目的招标、投标、评标、定标、验收、合同履约、付款等行为（法律、法规另有规定的，从其规定）。</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（二）定义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zh-CN"/>
        </w:rPr>
        <w:t>“采购组织机构”指采购人委托组织招标的采购代理机构。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2、采购人：是指委托采购代理机构采购本次项目的国家机关、事业单位和团体组织。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3、投标人：是指向采购</w:t>
      </w:r>
      <w:r>
        <w:rPr>
          <w:rFonts w:hint="eastAsia" w:asciiTheme="minorEastAsia" w:hAnsiTheme="minorEastAsia" w:eastAsiaTheme="minorEastAsia" w:cstheme="minorEastAsia"/>
          <w:color w:val="auto"/>
          <w:sz w:val="24"/>
          <w:szCs w:val="32"/>
          <w:highlight w:val="none"/>
          <w:lang w:val="zh-CN"/>
        </w:rPr>
        <w:t>组织</w:t>
      </w:r>
      <w:r>
        <w:rPr>
          <w:rFonts w:hint="eastAsia" w:asciiTheme="minorEastAsia" w:hAnsiTheme="minorEastAsia" w:eastAsiaTheme="minorEastAsia" w:cstheme="minorEastAsia"/>
          <w:color w:val="auto"/>
          <w:sz w:val="24"/>
          <w:szCs w:val="32"/>
          <w:highlight w:val="none"/>
        </w:rPr>
        <w:t>机构提交投标文件的单位或个人。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4、货物：是指各种形态和种类的物品，包括原材料、燃料、设备、产品等。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6、“书面形式”包括信函、传真等。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7、“▲”系指实质性要求条款。</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（三）投标费用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不论投标结果如何，投标人均应自行承担所有与投标有关的全部费用（招标文件有相关规定除外）。</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（四）特别说明</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 w:val="24"/>
          <w:szCs w:val="32"/>
          <w:highlight w:val="none"/>
        </w:rPr>
        <w:tab/>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4、为采购项目提供整体设计、规范编制或者项目管理、监理、检测等服务的供应商，不得再参加该采购项目的其他采购活动。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5、投标文件格式中的表格式样可以根据项目差别做适当调整,但应当保持表格样式基本形态不变。</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6、单位负责人为同一人或者存在直接控股、管理关系的不同供应商，不得参加同一合同项下的政府采购活动。</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二、招标文件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（一）招标文件由招标文件总目录所列内容组成。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（二）招标文件的澄清或修改</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三、投标文件</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lang w:val="zh-CN"/>
        </w:rPr>
        <w:t>（一）</w:t>
      </w:r>
      <w:r>
        <w:rPr>
          <w:rFonts w:hint="eastAsia" w:asciiTheme="minorEastAsia" w:hAnsiTheme="minorEastAsia" w:eastAsiaTheme="minorEastAsia" w:cstheme="minorEastAsia"/>
          <w:b/>
          <w:bCs/>
          <w:color w:val="auto"/>
          <w:sz w:val="24"/>
          <w:szCs w:val="32"/>
          <w:highlight w:val="none"/>
        </w:rPr>
        <w:t>投标文件的组成</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highlight w:val="none"/>
        </w:rPr>
        <w:t>投标人接到招标文件后，按照采购组织机构的要求提供：资格及商务技术文件、报价文件。</w:t>
      </w:r>
      <w:r>
        <w:rPr>
          <w:rFonts w:hint="eastAsia" w:asciiTheme="minorEastAsia" w:hAnsiTheme="minorEastAsia" w:eastAsiaTheme="minorEastAsia" w:cstheme="minorEastAsia"/>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1、资格证明文件的组成（加盖公章）：</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（7）需要说明的其他资料。</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2、商务与技术文件的组成：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（1）投标人情况介绍。</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（2）投标方案描述：</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A.项目需求的理解与分析。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B.项目组织实施方案。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C.商务响应表。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【特别提示：节能和环境标志产品最新一期政府采购清单，可在“中国政府采购网”中查看】</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（5）成功案例；</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（7）售后服务描述及承诺。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（8）与评分标准相关的其他内容。</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2、报价文件的组成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（1）报价文件由开标一览表、报价明细表、中企业等声明函、以及投标人认为其他需要说明的内容组成。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4</w:t>
      </w: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政府采购优惠政策相关资料。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（6）投标报价应按招标文件中相关附表格式填写。</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（二）投标文件的制作及递交要求</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1、投标文件的制作要求</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rPr>
        <w:t>（2）投标人应对所提供的全部资料的真实性承担法律责任，</w:t>
      </w:r>
      <w:r>
        <w:rPr>
          <w:rFonts w:hint="eastAsia" w:asciiTheme="minorEastAsia" w:hAnsiTheme="minorEastAsia" w:eastAsiaTheme="minorEastAsia" w:cstheme="minorEastAsia"/>
          <w:color w:val="auto"/>
          <w:sz w:val="24"/>
          <w:szCs w:val="32"/>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（5）若投标人不按招标文件的要求提供资格审查材料，其风险由投标人自行承担。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（6）与本次投标无关的内容请不要制作在内，确保投标文件有针对性、简洁明了。</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①投标文件的编制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本项目实行电子投标，</w:t>
      </w:r>
      <w:r>
        <w:rPr>
          <w:rFonts w:hint="eastAsia" w:asciiTheme="minorEastAsia" w:hAnsiTheme="minorEastAsia" w:eastAsiaTheme="minorEastAsia" w:cstheme="minorEastAsia"/>
          <w:color w:val="auto"/>
          <w:sz w:val="24"/>
          <w:highlight w:val="none"/>
        </w:rPr>
        <w:t>供应商应准备电子投标文件、以介质存储的数据电文形式的备份投标文件</w:t>
      </w:r>
      <w:r>
        <w:rPr>
          <w:rFonts w:hint="eastAsia" w:asciiTheme="minorEastAsia" w:hAnsiTheme="minorEastAsia" w:eastAsiaTheme="minorEastAsia" w:cstheme="minorEastAsia"/>
          <w:color w:val="auto"/>
          <w:sz w:val="24"/>
          <w:szCs w:val="32"/>
          <w:highlight w:val="none"/>
        </w:rPr>
        <w:t>：</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rPr>
        <w:t>（1）按政采云平台项目采购--电子招投标操作指南及本招标文件要求编制。</w:t>
      </w:r>
      <w:r>
        <w:rPr>
          <w:rFonts w:hint="eastAsia" w:asciiTheme="minorEastAsia" w:hAnsiTheme="minorEastAsia" w:eastAsiaTheme="minorEastAsia" w:cstheme="minorEastAsia"/>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1.</w:t>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en-GB"/>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zh-CN"/>
        </w:rPr>
        <w:t>1.</w:t>
      </w: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zh-CN"/>
        </w:rPr>
        <w:t>投标文件分为资格证明文件、商务技术文件、报价文件。各投标人在编制投标文件时请按照采购文件第六部分规定的格式进行，</w:t>
      </w:r>
      <w:r>
        <w:rPr>
          <w:rFonts w:hint="eastAsia" w:asciiTheme="minorEastAsia" w:hAnsiTheme="minorEastAsia" w:eastAsiaTheme="minorEastAsia" w:cstheme="minorEastAsia"/>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1.</w:t>
      </w: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32"/>
          <w:highlight w:val="none"/>
          <w:lang w:val="en-GB"/>
        </w:rPr>
        <w:t>《投标文件》内容不完整、</w:t>
      </w:r>
      <w:r>
        <w:rPr>
          <w:rFonts w:hint="eastAsia" w:asciiTheme="minorEastAsia" w:hAnsiTheme="minorEastAsia" w:eastAsiaTheme="minorEastAsia" w:cstheme="minorEastAsia"/>
          <w:color w:val="auto"/>
          <w:sz w:val="24"/>
          <w:szCs w:val="32"/>
          <w:highlight w:val="none"/>
          <w:lang w:val="zh-CN"/>
        </w:rPr>
        <w:t>混乱的编排导致投标文件被误读或评标委员会查找不到有效文件是投标人的责任。</w:t>
      </w:r>
      <w:r>
        <w:rPr>
          <w:rFonts w:hint="eastAsia" w:asciiTheme="minorEastAsia" w:hAnsiTheme="minorEastAsia" w:eastAsiaTheme="minorEastAsia" w:cstheme="minorEastAsia"/>
          <w:color w:val="auto"/>
          <w:sz w:val="24"/>
          <w:szCs w:val="32"/>
          <w:highlight w:val="none"/>
          <w:lang w:val="en-GB"/>
        </w:rPr>
        <w:t>《投标文件》因字迹潦草或表达不清所引起的后果由投标人负责▲投标文件未按规定的格式编制的，投标无效。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（2）以介质存储的数据电文形式的备份投标文件，按政采云平台项目采购-电子招投标操作指南中上传的电子投标文件格式，以U盘形式提供。数量为1份。</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Ⅰ电子投标文件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2.温馨提醒：CA签章上目前没有法人或授权代表签字信息，需要投标人联系</w:t>
      </w:r>
      <w:r>
        <w:rPr>
          <w:rFonts w:hint="eastAsia" w:asciiTheme="minorEastAsia" w:hAnsiTheme="minorEastAsia" w:eastAsiaTheme="minorEastAsia" w:cstheme="minorEastAsia"/>
          <w:b/>
          <w:bCs/>
          <w:color w:val="auto"/>
          <w:sz w:val="24"/>
          <w:szCs w:val="32"/>
          <w:highlight w:val="none"/>
        </w:rPr>
        <w:t>浙江杭州汇信科技有限公司（400-8884636）</w:t>
      </w:r>
      <w:r>
        <w:rPr>
          <w:rFonts w:hint="eastAsia" w:asciiTheme="minorEastAsia" w:hAnsiTheme="minorEastAsia" w:eastAsiaTheme="minorEastAsia" w:cstheme="minorEastAsia"/>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b/>
          <w:bCs/>
          <w:color w:val="auto"/>
          <w:sz w:val="24"/>
          <w:szCs w:val="32"/>
          <w:highlight w:val="none"/>
        </w:rPr>
        <w:t>以介质存储的数据电文形式的备份投标文件</w:t>
      </w:r>
      <w:r>
        <w:rPr>
          <w:rFonts w:hint="eastAsia" w:asciiTheme="minorEastAsia" w:hAnsiTheme="minorEastAsia" w:eastAsiaTheme="minorEastAsia" w:cstheme="minorEastAsia"/>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2、投标文件的递交要求</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w:t>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en-GB"/>
        </w:rPr>
        <w:t>）“投标文件”的上传、递交：见《前附表》。▲未传输递交电子投标文件的，投标无效。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（2）以介质存储的数据电文形式的备份投标文件必须在规定时间前送达或邮寄至</w:t>
      </w:r>
      <w:r>
        <w:rPr>
          <w:rFonts w:hint="eastAsia" w:asciiTheme="minorEastAsia" w:hAnsiTheme="minorEastAsia" w:eastAsiaTheme="minorEastAsia" w:cstheme="minorEastAsia"/>
          <w:color w:val="auto"/>
          <w:sz w:val="24"/>
          <w:highlight w:val="none"/>
          <w:lang w:val="en-GB"/>
        </w:rPr>
        <w:t>公告规定的</w:t>
      </w:r>
      <w:r>
        <w:rPr>
          <w:rFonts w:hint="eastAsia" w:asciiTheme="minorEastAsia" w:hAnsiTheme="minorEastAsia" w:eastAsiaTheme="minorEastAsia" w:cstheme="minorEastAsia"/>
          <w:color w:val="auto"/>
          <w:sz w:val="24"/>
          <w:szCs w:val="32"/>
          <w:highlight w:val="none"/>
        </w:rPr>
        <w:t>地点。备份投标文件在截止时间后提交，采购组织机构将拒绝接收。</w:t>
      </w:r>
      <w:r>
        <w:rPr>
          <w:rFonts w:hint="eastAsia" w:asciiTheme="minorEastAsia" w:hAnsiTheme="minorEastAsia" w:eastAsiaTheme="minorEastAsia" w:cstheme="minorEastAsia"/>
          <w:color w:val="auto"/>
          <w:sz w:val="24"/>
          <w:highlight w:val="none"/>
          <w:lang w:val="en-GB"/>
        </w:rPr>
        <w:t>▲未按规定提供相应的备份投标文件，造成项目开评标活动无法进行下去的，投标无效。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w:t>
      </w:r>
      <w:r>
        <w:rPr>
          <w:rFonts w:hint="eastAsia" w:asciiTheme="minorEastAsia" w:hAnsiTheme="minorEastAsia" w:eastAsiaTheme="minorEastAsia" w:cstheme="minorEastAsia"/>
          <w:color w:val="auto"/>
          <w:sz w:val="24"/>
          <w:szCs w:val="32"/>
          <w:highlight w:val="none"/>
        </w:rPr>
        <w:t>4</w:t>
      </w:r>
      <w:r>
        <w:rPr>
          <w:rFonts w:hint="eastAsia" w:asciiTheme="minorEastAsia" w:hAnsiTheme="minorEastAsia" w:eastAsiaTheme="minorEastAsia" w:cstheme="minorEastAsia"/>
          <w:color w:val="auto"/>
          <w:sz w:val="24"/>
          <w:szCs w:val="32"/>
          <w:highlight w:val="none"/>
          <w:lang w:val="en-GB"/>
        </w:rPr>
        <w:t>）投标文件的备选方案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（三）投标文件的有效期</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3.中标人的投标文件自开标之日起至合同履行完毕均应保持有效。</w:t>
      </w:r>
    </w:p>
    <w:p>
      <w:pPr>
        <w:spacing w:line="360" w:lineRule="auto"/>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color w:val="auto"/>
          <w:kern w:val="0"/>
          <w:sz w:val="24"/>
          <w:highlight w:val="none"/>
        </w:rPr>
        <w:t>四、</w:t>
      </w:r>
      <w:r>
        <w:rPr>
          <w:rFonts w:hint="eastAsia" w:asciiTheme="minorEastAsia" w:hAnsiTheme="minorEastAsia" w:eastAsiaTheme="minorEastAsia" w:cstheme="minorEastAsia"/>
          <w:b/>
          <w:bCs/>
          <w:color w:val="auto"/>
          <w:sz w:val="24"/>
          <w:szCs w:val="32"/>
          <w:highlight w:val="none"/>
        </w:rPr>
        <w:t>开标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（一）开标事项</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（1）电子交易平台发生故障而无法登录访问的；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（2）电子交易平台应用或数据库出现错误，不能进行正常操作的；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（3）电子交易平台发现严重安全漏洞，有潜在泄密危险的；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（4）病毒发作导致不能进行正常操作的；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（5）其他无法保证电子交易的公平、公正和安全的情况。</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出现前款规定情形，不影响采购公平、公正性的，采购组织机构可以待上述情形消除后继续组织电子交易活动；影响或可能影响采购公平、公正性的，应当重新采购。</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（二） 开标程序：</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1、开标会由招标项目负责人主持，主持人宣布开标会议开始；</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2、主持人介绍参加开标会的人员名单；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5、采购组织机构点击【开启标书信息】，开启标书成功后进入开标流程。</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评审；</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9、报价文件评审；</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11、宣布综合得分结果及中标候选人名单；</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12、开标会议结束。</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五、评标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备份投标文件，以完成开、评标，电子投标文件自动失效。</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（一）组建评标委员会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（二）评标程序</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1、资格审查</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2、符合性审查</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3、综合比较与评价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4、得分确认及评审报告编写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（1）评标委员会对报价文件进行复核，对于系统计算出的价格分及总得分进行确认；</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（3）评标委员会按评标原则及得分情况编写评审报告。</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5、评价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采购组织机构对评标委员会评审专家进行评价。</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（三）澄清问题的形式</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（四）错误修正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投标文件报价出现前后不一致的，除招标文件另有规定外，按照下列规定修正：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1、投标文件中开标一览表（报价表）内容与投标文件中相应内容不一致的，以开标一览表（报价表）为准；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2、大写金额和小写金额不一致的，以大写金额为准；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3、单价金额小数点或者百分比有明显错位的，以开标一览表的总价为准，并修改单价；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4、总价金额与按单价汇总金额不一致的，以单价金额计算结果为准。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（五）投标人存在下列情况之一的，投标无效：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电子投标文件及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跟报价文件出现混装或在</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中出现投标报价的，或者报价文件中报价的货物跟</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中的投标货物出现重大偏差的；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3、不具备招标文件中规定的资格要求的。</w:t>
      </w:r>
      <w:r>
        <w:rPr>
          <w:rFonts w:hint="eastAsia" w:asciiTheme="minorEastAsia" w:hAnsiTheme="minorEastAsia" w:eastAsiaTheme="minorEastAsia" w:cstheme="minorEastAsia"/>
          <w:color w:val="auto"/>
          <w:sz w:val="24"/>
          <w:szCs w:val="32"/>
          <w:highlight w:val="none"/>
        </w:rPr>
        <w:tab/>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4、投标文件含有采购人不能接受的附加条件的。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5、授权委托代理人未能出具身份证明或与法定代表人授权委托人身份不符的；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7、报价超过招标文件中规定的预算金额/最高限价。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8、投标参数未如实填写，完全复制粘贴招标参数的。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9、投标文件提供虚假材料的。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10、投标人的电子投标文件无法按时解密的。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（1）不同投标人的投标文件由同一单位或者个人编制；不同投标人的投标文件,由同一台电脑编制；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（2）不同投标人委托同一单位或者个人办理投标事宜；</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（3）不同投标人的投标文件载明的项目管理成员或者联系人员为同一人；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（4）不同投标人的投标文件异常一致或者投标报价呈规律性差异；</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（5）不同投标人的投标文件相互混装。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12、不符合法律、法规和招标文件中规定的其他实质性要求的（招标文件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中打“▲”内容及被拒绝的条款）。</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13、未传输递交电子投标文件的或者未按规定提供相应的备份投标文件，造成项目开评标活动无法进行下去的。</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（六）有下列情况之一的，本次招标作为废标处理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1、出现影响采购公正的违法、违规行为的；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3、因重大变故，采购任务取消的；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4、法律、法规和招标文件规定的其他导致评标结果无效的。</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（七）评标原则和评标办法</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2、评标办法。具体评标内容及评分标准等详见《第三章：评标方法及评分标准》。</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（八）评标过程的监控</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六、定标</w:t>
      </w:r>
    </w:p>
    <w:p>
      <w:pPr>
        <w:pStyle w:val="11"/>
        <w:spacing w:line="360" w:lineRule="auto"/>
        <w:ind w:firstLine="480" w:firstLineChars="200"/>
        <w:rPr>
          <w:rFonts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3、发出中标通知书。采购组织机构在发布中标结果的同时，向中标人发出中标通知书。</w:t>
      </w:r>
    </w:p>
    <w:p>
      <w:pPr>
        <w:pStyle w:val="22"/>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highlight w:val="none"/>
        </w:rPr>
      </w:pPr>
      <w:r>
        <w:rPr>
          <w:rFonts w:hint="eastAsia" w:asciiTheme="minorEastAsia" w:hAnsiTheme="minorEastAsia" w:eastAsiaTheme="minorEastAsia" w:cstheme="minorEastAsia"/>
          <w:color w:val="auto"/>
          <w:sz w:val="24"/>
          <w:szCs w:val="32"/>
          <w:highlight w:val="none"/>
        </w:rPr>
        <w:t>5、</w:t>
      </w:r>
      <w:r>
        <w:rPr>
          <w:rFonts w:hint="eastAsia" w:ascii="宋体" w:hAnsi="宋体" w:cs="宋体"/>
          <w:color w:val="auto"/>
          <w:sz w:val="24"/>
          <w:szCs w:val="32"/>
          <w:highlight w:val="none"/>
        </w:rPr>
        <w:t>招标代理费用：按照下列表格标准向中标单位收取招标代理费，中标方须在中标通知书发出5日内一次性付清。（户名：浙江五石中正工程咨询有限公司；账号：1202003209900014176；开户银行：中国工商银行杭州市潮王路支行）财务电话：0571-88271625。</w:t>
      </w:r>
    </w:p>
    <w:tbl>
      <w:tblPr>
        <w:tblStyle w:val="27"/>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1695"/>
        <w:gridCol w:w="144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0.80%</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0.80%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0.45%</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0.25%</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0.25%</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0.10%</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0.01%</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0.01%</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七、合同签订及公告</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（一）签订合同</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2、采购人不得向中标人提出任何不合理的要求作为签订合同的条件。</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3、中标供应商无故拖延、拒签合同的,取消中标资格。</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（二）合同公告及备案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color w:val="auto"/>
          <w:sz w:val="24"/>
          <w:szCs w:val="32"/>
          <w:highlight w:val="none"/>
        </w:rPr>
        <w:t>2、采购人应当自政府采购合同签订之日起7个工作日内，将政府采购合同副本报同级人民政府财政部门备案以及采购组织机构存档。</w:t>
      </w:r>
    </w:p>
    <w:p>
      <w:pPr>
        <w:spacing w:line="360" w:lineRule="auto"/>
        <w:ind w:firstLine="723" w:firstLineChars="200"/>
        <w:jc w:val="center"/>
        <w:rPr>
          <w:rFonts w:hint="eastAsia"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hint="eastAsia"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第三章 评标办法及评分标准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采购组织机构将组织评标委员会，对投标人提供的投标文件进行综合评审。本项目原则上采用电子评审方法，若因政采云平台原因无法读取或电子开评标无法正常进行，采购代理机构将开启所有投标人递交的备份投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二、本次招标项目的评标方法为综合评分法，总计100分。</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rPr>
        <w:t>商务与技术文件得分</w:t>
      </w:r>
      <w:r>
        <w:rPr>
          <w:rFonts w:hint="eastAsia" w:asciiTheme="minorEastAsia" w:hAnsiTheme="minorEastAsia" w:eastAsiaTheme="minorEastAsia" w:cstheme="minorEastAsia"/>
          <w:color w:val="auto"/>
          <w:sz w:val="24"/>
          <w:szCs w:val="32"/>
          <w:highlight w:val="none"/>
          <w:lang w:val="zh-CN"/>
        </w:rPr>
        <w:t>=评标委员会所有成员评分合计数/评标委员会组成人员数。</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960" w:firstLineChars="400"/>
        <w:rPr>
          <w:rFonts w:asciiTheme="minorEastAsia" w:hAnsiTheme="minorEastAsia" w:eastAsiaTheme="minorEastAsia" w:cstheme="minorEastAsia"/>
          <w:color w:val="auto"/>
          <w:sz w:val="24"/>
          <w:szCs w:val="32"/>
          <w:highlight w:val="none"/>
          <w:u w:val="single"/>
        </w:rPr>
      </w:pPr>
      <w:r>
        <w:rPr>
          <w:rFonts w:hint="eastAsia" w:asciiTheme="minorEastAsia" w:hAnsiTheme="minorEastAsia" w:eastAsiaTheme="minorEastAsia" w:cstheme="minorEastAsia"/>
          <w:color w:val="auto"/>
          <w:sz w:val="24"/>
          <w:szCs w:val="32"/>
          <w:highlight w:val="none"/>
          <w:u w:val="single"/>
        </w:rPr>
        <w:t>投标报价得分=(评标基准价／投标报价)×20%×100 。</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（四）投标人综合得分＝资格及商务技术文件得分＋投标报价得分。</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（五）政府采购政策及优惠：</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①组成联合体或者接受分包的小微企业与联合体内其他企业、分包企业之间存在直接控股、管理关系的，不享受价格扣除优惠政策。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【财库（2020）46号】规定的《中小企业声明函》，否则不得享受价格扣除。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10</w:t>
      </w:r>
      <w:r>
        <w:rPr>
          <w:rFonts w:hint="eastAsia" w:ascii="宋体" w:hAnsi="宋体" w:cs="宋体"/>
          <w:color w:val="auto"/>
          <w:sz w:val="24"/>
          <w:szCs w:val="32"/>
          <w:highlight w:val="none"/>
          <w:lang w:val="zh-CN"/>
        </w:rPr>
        <w:t>%的扣除。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%的扣除。（不接受联合体投标的，本条不适用）。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②根据《关于政府采购支持监狱企业发展有关问题的通知》（财库[2014]68号）的规定，供应商如为监狱企业且所投产品为小型或微型企业生产的，其投标报价扣除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szCs w:val="32"/>
          <w:highlight w:val="none"/>
        </w:rPr>
        <w:t>10</w:t>
      </w:r>
      <w:r>
        <w:rPr>
          <w:rFonts w:hint="eastAsia" w:ascii="宋体" w:hAnsi="宋体" w:cs="宋体"/>
          <w:color w:val="auto"/>
          <w:sz w:val="24"/>
          <w:szCs w:val="32"/>
          <w:highlight w:val="none"/>
          <w:lang w:val="zh-CN"/>
        </w:rPr>
        <w:t>%后参与评审。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享受政府采购支持政策的残疾人福利性单位应当同时满足以下条件：</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（一）安置的残疾人占本单位在职职工人数的比例不低于25%（含25%），并且安置的残疾人人数不少于10人（含10人）；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（二）依法与安置的每位残疾人签订了一年以上（含一年）的劳动合同或服务协议；</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（三）为安置的每位残疾人按月足额缴纳了基本养老保险、基本医疗保险、失业保险、工伤保险和生育保险等社会保险费；</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六、本次评分具体分值细化条款如下表：</w:t>
      </w:r>
    </w:p>
    <w:tbl>
      <w:tblPr>
        <w:tblStyle w:val="27"/>
        <w:tblW w:w="9578"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687"/>
        <w:gridCol w:w="6609"/>
        <w:gridCol w:w="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blHeader/>
        </w:trPr>
        <w:tc>
          <w:tcPr>
            <w:tcW w:w="597" w:type="dxa"/>
            <w:tcBorders>
              <w:tl2br w:val="nil"/>
              <w:tr2bl w:val="nil"/>
            </w:tcBorders>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687" w:type="dxa"/>
            <w:tcBorders>
              <w:tl2br w:val="nil"/>
              <w:tr2bl w:val="nil"/>
            </w:tcBorders>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评审内容</w:t>
            </w:r>
          </w:p>
        </w:tc>
        <w:tc>
          <w:tcPr>
            <w:tcW w:w="6609" w:type="dxa"/>
            <w:tcBorders>
              <w:tl2br w:val="nil"/>
              <w:tr2bl w:val="nil"/>
            </w:tcBorders>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评分标准及细则</w:t>
            </w:r>
          </w:p>
        </w:tc>
        <w:tc>
          <w:tcPr>
            <w:tcW w:w="685" w:type="dxa"/>
            <w:tcBorders>
              <w:tl2br w:val="nil"/>
              <w:tr2bl w:val="nil"/>
            </w:tcBorders>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7" w:type="dxa"/>
            <w:vMerge w:val="restart"/>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1</w:t>
            </w:r>
          </w:p>
        </w:tc>
        <w:tc>
          <w:tcPr>
            <w:tcW w:w="1687" w:type="dxa"/>
            <w:vMerge w:val="restart"/>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企业实力</w:t>
            </w:r>
          </w:p>
        </w:tc>
        <w:tc>
          <w:tcPr>
            <w:tcW w:w="6609" w:type="dxa"/>
            <w:tcBorders>
              <w:tl2br w:val="nil"/>
              <w:tr2bl w:val="nil"/>
            </w:tcBorders>
            <w:vAlign w:val="center"/>
          </w:tcPr>
          <w:p>
            <w:pPr>
              <w:widowControl/>
              <w:numPr>
                <w:ilvl w:val="0"/>
                <w:numId w:val="2"/>
              </w:numPr>
              <w:rPr>
                <w:rFonts w:ascii="宋体" w:hAnsi="宋体" w:cs="宋体"/>
                <w:color w:val="auto"/>
                <w:sz w:val="24"/>
                <w:highlight w:val="none"/>
              </w:rPr>
            </w:pPr>
            <w:r>
              <w:rPr>
                <w:rFonts w:hint="eastAsia" w:ascii="宋体" w:hAnsi="宋体" w:cs="宋体"/>
                <w:color w:val="auto"/>
                <w:sz w:val="24"/>
                <w:highlight w:val="none"/>
              </w:rPr>
              <w:t xml:space="preserve">投标人具有有效的质量管理体系认证证书、职业健康安全管理体系认证证书、信息技术服务管理体系认证证书、信息安全管理体系认证证书，每提供一个得1分，全部提供的得 </w:t>
            </w:r>
            <w:r>
              <w:rPr>
                <w:rFonts w:ascii="宋体" w:hAnsi="宋体" w:cs="宋体"/>
                <w:color w:val="auto"/>
                <w:sz w:val="24"/>
                <w:highlight w:val="none"/>
              </w:rPr>
              <w:t>4</w:t>
            </w:r>
            <w:r>
              <w:rPr>
                <w:rFonts w:hint="eastAsia" w:ascii="宋体" w:hAnsi="宋体" w:cs="宋体"/>
                <w:color w:val="auto"/>
                <w:sz w:val="24"/>
                <w:highlight w:val="none"/>
              </w:rPr>
              <w:t>分。</w:t>
            </w:r>
          </w:p>
          <w:p>
            <w:pPr>
              <w:widowControl/>
              <w:rPr>
                <w:rFonts w:ascii="宋体" w:hAnsi="宋体" w:cs="宋体"/>
                <w:color w:val="auto"/>
                <w:sz w:val="24"/>
                <w:highlight w:val="none"/>
              </w:rPr>
            </w:pPr>
            <w:r>
              <w:rPr>
                <w:rFonts w:hint="eastAsia" w:ascii="宋体" w:hAnsi="宋体" w:cs="宋体"/>
                <w:b/>
                <w:bCs/>
                <w:color w:val="auto"/>
                <w:sz w:val="24"/>
                <w:highlight w:val="none"/>
              </w:rPr>
              <w:t>（证书复印件加盖公章编入投标文件中，并同时提供国家认证认可监督管理委员会官方网站上相关证书有效的网页截图或网站打印页，否则不得分。）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597" w:type="dxa"/>
            <w:vMerge w:val="continue"/>
            <w:tcBorders>
              <w:tl2br w:val="nil"/>
              <w:tr2bl w:val="nil"/>
            </w:tcBorders>
            <w:vAlign w:val="center"/>
          </w:tcPr>
          <w:p>
            <w:pPr>
              <w:widowControl/>
              <w:jc w:val="center"/>
              <w:rPr>
                <w:rFonts w:ascii="宋体" w:hAnsi="宋体" w:cs="宋体"/>
                <w:color w:val="auto"/>
                <w:sz w:val="24"/>
                <w:highlight w:val="none"/>
              </w:rPr>
            </w:pPr>
          </w:p>
        </w:tc>
        <w:tc>
          <w:tcPr>
            <w:tcW w:w="1687" w:type="dxa"/>
            <w:vMerge w:val="continue"/>
            <w:tcBorders>
              <w:tl2br w:val="nil"/>
              <w:tr2bl w:val="nil"/>
            </w:tcBorders>
            <w:vAlign w:val="center"/>
          </w:tcPr>
          <w:p>
            <w:pPr>
              <w:widowControl/>
              <w:jc w:val="center"/>
              <w:rPr>
                <w:rFonts w:ascii="宋体" w:hAnsi="宋体" w:cs="宋体"/>
                <w:color w:val="auto"/>
                <w:sz w:val="24"/>
                <w:highlight w:val="none"/>
              </w:rPr>
            </w:pPr>
          </w:p>
        </w:tc>
        <w:tc>
          <w:tcPr>
            <w:tcW w:w="6609" w:type="dxa"/>
            <w:tcBorders>
              <w:tl2br w:val="nil"/>
              <w:tr2bl w:val="nil"/>
            </w:tcBorders>
            <w:vAlign w:val="center"/>
          </w:tcPr>
          <w:p>
            <w:pPr>
              <w:widowControl/>
              <w:rPr>
                <w:rFonts w:ascii="宋体" w:hAnsi="宋体" w:cs="宋体"/>
                <w:b/>
                <w:bCs/>
                <w:color w:val="auto"/>
                <w:sz w:val="24"/>
                <w:highlight w:val="none"/>
              </w:rPr>
            </w:pPr>
            <w:r>
              <w:rPr>
                <w:rFonts w:hint="eastAsia" w:ascii="宋体" w:hAnsi="宋体" w:cs="宋体"/>
                <w:color w:val="auto"/>
                <w:kern w:val="0"/>
                <w:sz w:val="24"/>
                <w:highlight w:val="none"/>
              </w:rPr>
              <w:t>投标人或所使用软件平台厂家具有：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省级（含）以上高新技术企业研究开发中心证书，得0.5分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软件成熟度认证CMMI3以上资质证书，CMMI3得0.5分，CMMI5得1分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数据信用智能监控类软件著作权，得0.5分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掌上执法软件类软件著作权，得0.5分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行政执法监管平台类软件著作权，得0.5分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ascii="宋体" w:hAnsi="宋体" w:cs="宋体"/>
                <w:color w:val="auto"/>
                <w:sz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97" w:type="dxa"/>
            <w:vMerge w:val="restart"/>
            <w:tcBorders>
              <w:tl2br w:val="nil"/>
              <w:tr2bl w:val="nil"/>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87" w:type="dxa"/>
            <w:vMerge w:val="restart"/>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拟投入项目组人员情况</w:t>
            </w:r>
          </w:p>
        </w:tc>
        <w:tc>
          <w:tcPr>
            <w:tcW w:w="6609" w:type="dxa"/>
            <w:tcBorders>
              <w:tl2br w:val="nil"/>
              <w:tr2bl w:val="nil"/>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项目经理情况：</w:t>
            </w:r>
          </w:p>
          <w:p>
            <w:pPr>
              <w:widowControl/>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拟投入项目经理具备信息系统项目管理类、云计算类（高级）、智能化系统集成类（高级）的每个得1分，最高得3分。没有的不得分</w:t>
            </w:r>
            <w:r>
              <w:rPr>
                <w:rFonts w:hint="eastAsia" w:ascii="宋体" w:hAnsi="宋体" w:cs="宋体"/>
                <w:b/>
                <w:bCs/>
                <w:color w:val="auto"/>
                <w:sz w:val="24"/>
                <w:highlight w:val="none"/>
              </w:rPr>
              <w:t>（同时提供证书复印件及投标截止时间前近6个月内的社保缴费证明，否则不得分）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ascii="宋体" w:hAnsi="宋体" w:cs="宋体"/>
                <w:color w:val="auto"/>
                <w:sz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7" w:type="dxa"/>
            <w:vMerge w:val="continue"/>
            <w:tcBorders>
              <w:tl2br w:val="nil"/>
              <w:tr2bl w:val="nil"/>
            </w:tcBorders>
            <w:vAlign w:val="center"/>
          </w:tcPr>
          <w:p>
            <w:pPr>
              <w:widowControl/>
              <w:jc w:val="center"/>
              <w:rPr>
                <w:rFonts w:ascii="宋体" w:hAnsi="宋体" w:cs="宋体"/>
                <w:color w:val="auto"/>
                <w:sz w:val="24"/>
                <w:highlight w:val="none"/>
              </w:rPr>
            </w:pPr>
          </w:p>
        </w:tc>
        <w:tc>
          <w:tcPr>
            <w:tcW w:w="1687" w:type="dxa"/>
            <w:vMerge w:val="continue"/>
            <w:tcBorders>
              <w:tl2br w:val="nil"/>
              <w:tr2bl w:val="nil"/>
            </w:tcBorders>
            <w:vAlign w:val="center"/>
          </w:tcPr>
          <w:p>
            <w:pPr>
              <w:widowControl/>
              <w:jc w:val="center"/>
              <w:rPr>
                <w:rFonts w:ascii="宋体" w:hAnsi="宋体" w:cs="宋体"/>
                <w:color w:val="auto"/>
                <w:sz w:val="24"/>
                <w:highlight w:val="none"/>
              </w:rPr>
            </w:pPr>
          </w:p>
        </w:tc>
        <w:tc>
          <w:tcPr>
            <w:tcW w:w="6609" w:type="dxa"/>
            <w:tcBorders>
              <w:tl2br w:val="nil"/>
              <w:tr2bl w:val="nil"/>
            </w:tcBorders>
            <w:vAlign w:val="center"/>
          </w:tcPr>
          <w:p>
            <w:pPr>
              <w:pStyle w:val="86"/>
              <w:rPr>
                <w:rFonts w:cs="宋体"/>
                <w:color w:val="auto"/>
                <w:szCs w:val="24"/>
                <w:highlight w:val="none"/>
              </w:rPr>
            </w:pPr>
            <w:r>
              <w:rPr>
                <w:rFonts w:hint="eastAsia" w:cs="宋体"/>
                <w:color w:val="auto"/>
                <w:szCs w:val="24"/>
                <w:highlight w:val="none"/>
              </w:rPr>
              <w:t>因本次项目涉及</w:t>
            </w:r>
            <w:r>
              <w:rPr>
                <w:rFonts w:hint="eastAsia" w:cs="宋体"/>
                <w:color w:val="auto"/>
                <w:szCs w:val="24"/>
                <w:highlight w:val="none"/>
                <w:lang w:val="en-US"/>
              </w:rPr>
              <w:t>网络部署、</w:t>
            </w:r>
            <w:r>
              <w:rPr>
                <w:rFonts w:hint="eastAsia" w:cs="宋体"/>
                <w:color w:val="auto"/>
                <w:szCs w:val="24"/>
                <w:highlight w:val="none"/>
              </w:rPr>
              <w:t>数据安全及软件安全，</w:t>
            </w:r>
            <w:r>
              <w:rPr>
                <w:rFonts w:hint="eastAsia" w:cs="宋体"/>
                <w:color w:val="auto"/>
                <w:szCs w:val="24"/>
                <w:highlight w:val="none"/>
                <w:lang w:val="en-US"/>
              </w:rPr>
              <w:t>要求</w:t>
            </w:r>
          </w:p>
          <w:p>
            <w:pPr>
              <w:pStyle w:val="86"/>
              <w:rPr>
                <w:rFonts w:cs="宋体"/>
                <w:color w:val="auto"/>
                <w:szCs w:val="24"/>
                <w:highlight w:val="none"/>
                <w:lang w:val="en-US"/>
              </w:rPr>
            </w:pPr>
            <w:r>
              <w:rPr>
                <w:rFonts w:cs="宋体"/>
                <w:color w:val="auto"/>
                <w:szCs w:val="24"/>
                <w:highlight w:val="none"/>
                <w:lang w:val="en-US"/>
              </w:rPr>
              <w:t>1</w:t>
            </w:r>
            <w:r>
              <w:rPr>
                <w:rFonts w:hint="eastAsia" w:cs="宋体"/>
                <w:color w:val="auto"/>
                <w:szCs w:val="24"/>
                <w:highlight w:val="none"/>
                <w:lang w:val="en-US"/>
              </w:rPr>
              <w:t>：项目</w:t>
            </w:r>
            <w:r>
              <w:rPr>
                <w:rFonts w:hint="eastAsia" w:cs="宋体"/>
                <w:color w:val="auto"/>
                <w:szCs w:val="24"/>
                <w:highlight w:val="none"/>
              </w:rPr>
              <w:t>团队成员具备</w:t>
            </w:r>
            <w:r>
              <w:rPr>
                <w:rFonts w:hint="eastAsia" w:cs="宋体"/>
                <w:color w:val="auto"/>
                <w:szCs w:val="24"/>
                <w:highlight w:val="none"/>
                <w:lang w:val="en-US"/>
              </w:rPr>
              <w:t>人社部门签发的高级工程师资格证书的得</w:t>
            </w:r>
            <w:r>
              <w:rPr>
                <w:rFonts w:cs="宋体"/>
                <w:color w:val="auto"/>
                <w:szCs w:val="24"/>
                <w:highlight w:val="none"/>
                <w:lang w:val="en-US"/>
              </w:rPr>
              <w:t>1</w:t>
            </w:r>
            <w:r>
              <w:rPr>
                <w:rFonts w:hint="eastAsia" w:cs="宋体"/>
                <w:color w:val="auto"/>
                <w:szCs w:val="24"/>
                <w:highlight w:val="none"/>
                <w:lang w:val="en-US"/>
              </w:rPr>
              <w:t>分；</w:t>
            </w:r>
          </w:p>
          <w:p>
            <w:pPr>
              <w:pStyle w:val="86"/>
              <w:rPr>
                <w:rFonts w:cs="宋体"/>
                <w:color w:val="auto"/>
                <w:szCs w:val="24"/>
                <w:highlight w:val="none"/>
                <w:lang w:val="en-US"/>
              </w:rPr>
            </w:pPr>
            <w:r>
              <w:rPr>
                <w:rFonts w:cs="宋体"/>
                <w:color w:val="auto"/>
                <w:szCs w:val="24"/>
                <w:highlight w:val="none"/>
                <w:lang w:val="en-US"/>
              </w:rPr>
              <w:t>2</w:t>
            </w:r>
            <w:r>
              <w:rPr>
                <w:rFonts w:hint="eastAsia" w:cs="宋体"/>
                <w:color w:val="auto"/>
                <w:szCs w:val="24"/>
                <w:highlight w:val="none"/>
                <w:lang w:val="en-US"/>
              </w:rPr>
              <w:t>：项目软对成员具备</w:t>
            </w:r>
            <w:r>
              <w:rPr>
                <w:rFonts w:hint="eastAsia" w:cs="宋体"/>
                <w:color w:val="auto"/>
                <w:szCs w:val="24"/>
                <w:highlight w:val="none"/>
              </w:rPr>
              <w:t>数据隐私解决方案工程师</w:t>
            </w:r>
            <w:r>
              <w:rPr>
                <w:rFonts w:cs="宋体"/>
                <w:color w:val="auto"/>
                <w:szCs w:val="24"/>
                <w:highlight w:val="none"/>
                <w:lang w:val="en-US"/>
              </w:rPr>
              <w:t>CDPSE</w:t>
            </w:r>
            <w:r>
              <w:rPr>
                <w:rFonts w:hint="eastAsia" w:cs="宋体"/>
                <w:color w:val="auto"/>
                <w:szCs w:val="24"/>
                <w:highlight w:val="none"/>
              </w:rPr>
              <w:t>证书</w:t>
            </w:r>
            <w:r>
              <w:rPr>
                <w:rFonts w:hint="eastAsia" w:cs="宋体"/>
                <w:color w:val="auto"/>
                <w:szCs w:val="24"/>
                <w:highlight w:val="none"/>
                <w:lang w:val="en-US"/>
              </w:rPr>
              <w:t>的得</w:t>
            </w:r>
            <w:r>
              <w:rPr>
                <w:rFonts w:cs="宋体"/>
                <w:color w:val="auto"/>
                <w:szCs w:val="24"/>
                <w:highlight w:val="none"/>
                <w:lang w:val="en-US"/>
              </w:rPr>
              <w:t>1</w:t>
            </w:r>
            <w:r>
              <w:rPr>
                <w:rFonts w:hint="eastAsia" w:cs="宋体"/>
                <w:color w:val="auto"/>
                <w:szCs w:val="24"/>
                <w:highlight w:val="none"/>
                <w:lang w:val="en-US"/>
              </w:rPr>
              <w:t>分；</w:t>
            </w:r>
          </w:p>
          <w:p>
            <w:pPr>
              <w:pStyle w:val="86"/>
              <w:rPr>
                <w:rFonts w:cs="宋体"/>
                <w:color w:val="auto"/>
                <w:szCs w:val="24"/>
                <w:highlight w:val="none"/>
                <w:lang w:val="en-US"/>
              </w:rPr>
            </w:pPr>
            <w:r>
              <w:rPr>
                <w:rFonts w:cs="宋体"/>
                <w:color w:val="auto"/>
                <w:szCs w:val="24"/>
                <w:highlight w:val="none"/>
                <w:lang w:val="en-US"/>
              </w:rPr>
              <w:t>3</w:t>
            </w:r>
            <w:r>
              <w:rPr>
                <w:rFonts w:hint="eastAsia" w:cs="宋体"/>
                <w:color w:val="auto"/>
                <w:szCs w:val="24"/>
                <w:highlight w:val="none"/>
                <w:lang w:val="en-US"/>
              </w:rPr>
              <w:t>：项目团队成员具备</w:t>
            </w:r>
            <w:r>
              <w:rPr>
                <w:rFonts w:cs="宋体"/>
                <w:color w:val="auto"/>
                <w:szCs w:val="24"/>
                <w:highlight w:val="none"/>
                <w:lang w:val="en-US"/>
              </w:rPr>
              <w:t>2</w:t>
            </w:r>
            <w:r>
              <w:rPr>
                <w:rFonts w:hint="eastAsia" w:cs="宋体"/>
                <w:color w:val="auto"/>
                <w:szCs w:val="24"/>
                <w:highlight w:val="none"/>
                <w:lang w:val="en-US"/>
              </w:rPr>
              <w:t>名或以上人社部门签发的中级网络工程师的得</w:t>
            </w:r>
            <w:r>
              <w:rPr>
                <w:rFonts w:cs="宋体"/>
                <w:color w:val="auto"/>
                <w:szCs w:val="24"/>
                <w:highlight w:val="none"/>
                <w:lang w:val="en-US"/>
              </w:rPr>
              <w:t>1</w:t>
            </w:r>
            <w:r>
              <w:rPr>
                <w:rFonts w:hint="eastAsia" w:cs="宋体"/>
                <w:color w:val="auto"/>
                <w:szCs w:val="24"/>
                <w:highlight w:val="none"/>
                <w:lang w:val="en-US"/>
              </w:rPr>
              <w:t>分；</w:t>
            </w:r>
          </w:p>
          <w:p>
            <w:pPr>
              <w:pStyle w:val="86"/>
              <w:rPr>
                <w:rFonts w:cs="宋体"/>
                <w:color w:val="auto"/>
                <w:szCs w:val="24"/>
                <w:highlight w:val="none"/>
                <w:lang w:val="en-US"/>
              </w:rPr>
            </w:pPr>
            <w:r>
              <w:rPr>
                <w:rFonts w:cs="宋体"/>
                <w:color w:val="auto"/>
                <w:szCs w:val="24"/>
                <w:highlight w:val="none"/>
                <w:lang w:val="en-US"/>
              </w:rPr>
              <w:t>4</w:t>
            </w:r>
            <w:r>
              <w:rPr>
                <w:rFonts w:hint="eastAsia" w:cs="宋体"/>
                <w:color w:val="auto"/>
                <w:szCs w:val="24"/>
                <w:highlight w:val="none"/>
                <w:lang w:val="en-US"/>
              </w:rPr>
              <w:t>：项目</w:t>
            </w:r>
            <w:r>
              <w:rPr>
                <w:rFonts w:hint="eastAsia" w:cs="宋体"/>
                <w:color w:val="auto"/>
                <w:szCs w:val="24"/>
                <w:highlight w:val="none"/>
              </w:rPr>
              <w:t>团队成员具备</w:t>
            </w:r>
            <w:r>
              <w:rPr>
                <w:rFonts w:cs="宋体"/>
                <w:color w:val="auto"/>
                <w:szCs w:val="24"/>
                <w:highlight w:val="none"/>
                <w:lang w:val="en-US"/>
              </w:rPr>
              <w:t>2</w:t>
            </w:r>
            <w:r>
              <w:rPr>
                <w:rFonts w:hint="eastAsia" w:cs="宋体"/>
                <w:color w:val="auto"/>
                <w:szCs w:val="24"/>
                <w:highlight w:val="none"/>
                <w:lang w:val="en-US"/>
              </w:rPr>
              <w:t>名或以上注册</w:t>
            </w:r>
            <w:r>
              <w:rPr>
                <w:rFonts w:hint="eastAsia" w:cs="宋体"/>
                <w:color w:val="auto"/>
                <w:szCs w:val="24"/>
                <w:highlight w:val="none"/>
              </w:rPr>
              <w:t>信息</w:t>
            </w:r>
            <w:r>
              <w:rPr>
                <w:rFonts w:hint="eastAsia" w:cs="宋体"/>
                <w:color w:val="auto"/>
                <w:szCs w:val="24"/>
                <w:highlight w:val="none"/>
                <w:lang w:val="en-US"/>
              </w:rPr>
              <w:t>安全专业人员</w:t>
            </w:r>
            <w:r>
              <w:rPr>
                <w:rFonts w:cs="宋体"/>
                <w:color w:val="auto"/>
                <w:szCs w:val="24"/>
                <w:highlight w:val="none"/>
                <w:lang w:val="en-US"/>
              </w:rPr>
              <w:t>CISP</w:t>
            </w:r>
            <w:r>
              <w:rPr>
                <w:rFonts w:hint="eastAsia" w:cs="宋体"/>
                <w:color w:val="auto"/>
                <w:szCs w:val="24"/>
                <w:highlight w:val="none"/>
                <w:lang w:val="en-US"/>
              </w:rPr>
              <w:t>证书的得</w:t>
            </w:r>
            <w:r>
              <w:rPr>
                <w:rFonts w:cs="宋体"/>
                <w:color w:val="auto"/>
                <w:szCs w:val="24"/>
                <w:highlight w:val="none"/>
                <w:lang w:val="en-US"/>
              </w:rPr>
              <w:t>1</w:t>
            </w:r>
            <w:r>
              <w:rPr>
                <w:rFonts w:hint="eastAsia" w:cs="宋体"/>
                <w:color w:val="auto"/>
                <w:szCs w:val="24"/>
                <w:highlight w:val="none"/>
                <w:lang w:val="en-US"/>
              </w:rPr>
              <w:t>分。</w:t>
            </w:r>
          </w:p>
          <w:p>
            <w:pPr>
              <w:pStyle w:val="86"/>
              <w:rPr>
                <w:rFonts w:cs="宋体"/>
                <w:color w:val="auto"/>
                <w:szCs w:val="24"/>
                <w:highlight w:val="none"/>
              </w:rPr>
            </w:pPr>
            <w:r>
              <w:rPr>
                <w:rFonts w:hint="eastAsia" w:cs="宋体"/>
                <w:color w:val="auto"/>
                <w:szCs w:val="24"/>
                <w:highlight w:val="none"/>
                <w:lang w:val="en-US"/>
              </w:rPr>
              <w:t>本项最高得</w:t>
            </w:r>
            <w:r>
              <w:rPr>
                <w:rFonts w:hint="eastAsia" w:cs="宋体"/>
                <w:color w:val="auto"/>
                <w:szCs w:val="24"/>
                <w:highlight w:val="none"/>
              </w:rPr>
              <w:t>4分。</w:t>
            </w:r>
            <w:r>
              <w:rPr>
                <w:rFonts w:hint="eastAsia" w:cs="宋体"/>
                <w:b/>
                <w:bCs/>
                <w:color w:val="auto"/>
                <w:szCs w:val="24"/>
                <w:highlight w:val="none"/>
              </w:rPr>
              <w:t>（上述人员评分时须同时提供证书复印件及投标截止时间前近6个月内的社保缴费证明，否则不得分）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ascii="宋体" w:hAnsi="宋体" w:cs="宋体"/>
                <w:color w:val="auto"/>
                <w:sz w:val="24"/>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97"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3</w:t>
            </w:r>
          </w:p>
        </w:tc>
        <w:tc>
          <w:tcPr>
            <w:tcW w:w="1687"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6609" w:type="dxa"/>
            <w:tcBorders>
              <w:tl2br w:val="nil"/>
              <w:tr2bl w:val="nil"/>
            </w:tcBorders>
            <w:vAlign w:val="center"/>
          </w:tcPr>
          <w:p>
            <w:pPr>
              <w:pStyle w:val="84"/>
              <w:rPr>
                <w:rFonts w:ascii="宋体" w:hAnsi="宋体" w:cs="宋体"/>
                <w:color w:val="auto"/>
                <w:kern w:val="2"/>
                <w:highlight w:val="none"/>
              </w:rPr>
            </w:pPr>
            <w:r>
              <w:rPr>
                <w:rFonts w:hint="eastAsia" w:ascii="宋体" w:hAnsi="宋体" w:cs="宋体"/>
                <w:color w:val="auto"/>
                <w:kern w:val="2"/>
                <w:highlight w:val="none"/>
              </w:rPr>
              <w:t>根据投标人近三年来（至本项目开标之日，以合同签订时间为准）的行政执法软件类相关项目业绩，每提供一个得1分，最高得</w:t>
            </w:r>
            <w:r>
              <w:rPr>
                <w:rFonts w:ascii="宋体" w:hAnsi="宋体" w:cs="宋体"/>
                <w:color w:val="auto"/>
                <w:kern w:val="2"/>
                <w:highlight w:val="none"/>
              </w:rPr>
              <w:t>2</w:t>
            </w:r>
            <w:r>
              <w:rPr>
                <w:rFonts w:hint="eastAsia" w:ascii="宋体" w:hAnsi="宋体" w:cs="宋体"/>
                <w:color w:val="auto"/>
                <w:kern w:val="2"/>
                <w:highlight w:val="none"/>
              </w:rPr>
              <w:t>分（须提供有效的合同扫描件）。</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ascii="宋体" w:hAnsi="宋体" w:cs="宋体"/>
                <w:color w:val="auto"/>
                <w:sz w:val="24"/>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597" w:type="dxa"/>
            <w:vMerge w:val="restart"/>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4</w:t>
            </w:r>
          </w:p>
        </w:tc>
        <w:tc>
          <w:tcPr>
            <w:tcW w:w="1687" w:type="dxa"/>
            <w:vMerge w:val="restart"/>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系统技术方案</w:t>
            </w:r>
          </w:p>
        </w:tc>
        <w:tc>
          <w:tcPr>
            <w:tcW w:w="6609" w:type="dxa"/>
            <w:tcBorders>
              <w:tl2br w:val="nil"/>
              <w:tr2bl w:val="nil"/>
            </w:tcBorders>
          </w:tcPr>
          <w:p>
            <w:pPr>
              <w:widowControl/>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项目需求理解</w:t>
            </w:r>
          </w:p>
          <w:p>
            <w:pPr>
              <w:widowControl/>
              <w:rPr>
                <w:rFonts w:ascii="宋体" w:hAnsi="宋体" w:cs="宋体"/>
                <w:color w:val="auto"/>
                <w:sz w:val="24"/>
                <w:highlight w:val="none"/>
              </w:rPr>
            </w:pPr>
            <w:r>
              <w:rPr>
                <w:rFonts w:hint="eastAsia" w:ascii="宋体" w:hAnsi="宋体" w:cs="宋体"/>
                <w:color w:val="auto"/>
                <w:kern w:val="0"/>
                <w:sz w:val="24"/>
                <w:highlight w:val="none"/>
                <w:lang w:bidi="ar"/>
              </w:rPr>
              <w:t>根据供应商对本项目的理解程度（项目背景目标、项目必要性、建设需求等内容进行分析），对本项目有明确完整的总体思路、分析思路明确、清晰的得3-6分，对本项目有较明确完整的总体思路、分析思路较清晰的得1-2.9分，对本项目总体思路分析粗略、模糊不清的得0-0.9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97" w:type="dxa"/>
            <w:vMerge w:val="continue"/>
            <w:tcBorders>
              <w:tl2br w:val="nil"/>
              <w:tr2bl w:val="nil"/>
            </w:tcBorders>
            <w:vAlign w:val="center"/>
          </w:tcPr>
          <w:p>
            <w:pPr>
              <w:widowControl/>
              <w:jc w:val="center"/>
              <w:rPr>
                <w:rFonts w:ascii="宋体" w:hAnsi="宋体" w:cs="宋体"/>
                <w:color w:val="auto"/>
                <w:sz w:val="24"/>
                <w:highlight w:val="none"/>
              </w:rPr>
            </w:pPr>
          </w:p>
        </w:tc>
        <w:tc>
          <w:tcPr>
            <w:tcW w:w="1687" w:type="dxa"/>
            <w:vMerge w:val="continue"/>
            <w:tcBorders>
              <w:tl2br w:val="nil"/>
              <w:tr2bl w:val="nil"/>
            </w:tcBorders>
            <w:vAlign w:val="center"/>
          </w:tcPr>
          <w:p>
            <w:pPr>
              <w:widowControl/>
              <w:jc w:val="center"/>
              <w:rPr>
                <w:rFonts w:ascii="宋体" w:hAnsi="宋体" w:cs="宋体"/>
                <w:color w:val="auto"/>
                <w:sz w:val="24"/>
                <w:highlight w:val="none"/>
              </w:rPr>
            </w:pPr>
          </w:p>
        </w:tc>
        <w:tc>
          <w:tcPr>
            <w:tcW w:w="6609" w:type="dxa"/>
            <w:tcBorders>
              <w:tl2br w:val="nil"/>
              <w:tr2bl w:val="nil"/>
            </w:tcBorders>
          </w:tcPr>
          <w:p>
            <w:pPr>
              <w:rPr>
                <w:rFonts w:ascii="宋体" w:hAnsi="宋体" w:cs="宋体"/>
                <w:b/>
                <w:bCs/>
                <w:color w:val="auto"/>
                <w:kern w:val="0"/>
                <w:sz w:val="24"/>
                <w:highlight w:val="none"/>
              </w:rPr>
            </w:pPr>
            <w:r>
              <w:rPr>
                <w:rFonts w:hint="eastAsia" w:ascii="宋体" w:hAnsi="宋体" w:cs="宋体"/>
                <w:b/>
                <w:bCs/>
                <w:color w:val="auto"/>
                <w:kern w:val="0"/>
                <w:sz w:val="24"/>
                <w:highlight w:val="none"/>
              </w:rPr>
              <w:t>设计方案</w:t>
            </w:r>
          </w:p>
          <w:p>
            <w:pPr>
              <w:rPr>
                <w:rFonts w:ascii="宋体" w:hAnsi="宋体" w:cs="宋体"/>
                <w:color w:val="auto"/>
                <w:sz w:val="24"/>
                <w:highlight w:val="none"/>
              </w:rPr>
            </w:pPr>
            <w:r>
              <w:rPr>
                <w:rFonts w:hint="eastAsia" w:ascii="宋体" w:hAnsi="宋体" w:cs="宋体"/>
                <w:color w:val="auto"/>
                <w:kern w:val="0"/>
                <w:sz w:val="24"/>
                <w:highlight w:val="none"/>
              </w:rPr>
              <w:t>根据供应商提供功能设计方案思路清晰、论述充分,且具备合理性和开放性；功能模块设计详细、技术层次及规范化程度高；系统设计可靠稳定；用户可自定义的程度高的得</w:t>
            </w:r>
            <w:r>
              <w:rPr>
                <w:rFonts w:ascii="宋体" w:hAnsi="宋体" w:cs="宋体"/>
                <w:color w:val="auto"/>
                <w:kern w:val="0"/>
                <w:sz w:val="24"/>
                <w:highlight w:val="none"/>
                <w:lang w:bidi="ar"/>
              </w:rPr>
              <w:t>4</w:t>
            </w:r>
            <w:r>
              <w:rPr>
                <w:rFonts w:hint="eastAsia" w:ascii="宋体" w:hAnsi="宋体" w:cs="宋体"/>
                <w:color w:val="auto"/>
                <w:kern w:val="0"/>
                <w:sz w:val="24"/>
                <w:highlight w:val="none"/>
                <w:lang w:bidi="ar"/>
              </w:rPr>
              <w:t>-</w:t>
            </w:r>
            <w:r>
              <w:rPr>
                <w:rFonts w:ascii="宋体" w:hAnsi="宋体" w:cs="宋体"/>
                <w:color w:val="auto"/>
                <w:kern w:val="0"/>
                <w:sz w:val="24"/>
                <w:highlight w:val="none"/>
                <w:lang w:bidi="ar"/>
              </w:rPr>
              <w:t>6</w:t>
            </w:r>
            <w:r>
              <w:rPr>
                <w:rFonts w:hint="eastAsia" w:ascii="宋体" w:hAnsi="宋体" w:cs="宋体"/>
                <w:color w:val="auto"/>
                <w:kern w:val="0"/>
                <w:sz w:val="24"/>
                <w:highlight w:val="none"/>
                <w:lang w:bidi="ar"/>
              </w:rPr>
              <w:t>分</w:t>
            </w:r>
            <w:r>
              <w:rPr>
                <w:rFonts w:hint="eastAsia" w:ascii="宋体" w:hAnsi="宋体" w:cs="宋体"/>
                <w:color w:val="auto"/>
                <w:kern w:val="0"/>
                <w:sz w:val="24"/>
                <w:highlight w:val="none"/>
              </w:rPr>
              <w:t>，设计方案思路较清晰、论述较充分,且具备合理性和开放性；功能模块设计较详细、技术层次及规范化程度较高；系统设计较可靠稳定；用户可自定义的程度较高的得</w:t>
            </w:r>
            <w:r>
              <w:rPr>
                <w:rFonts w:hint="eastAsia" w:ascii="宋体" w:hAnsi="宋体" w:cs="宋体"/>
                <w:color w:val="auto"/>
                <w:kern w:val="0"/>
                <w:sz w:val="24"/>
                <w:highlight w:val="none"/>
                <w:lang w:bidi="ar"/>
              </w:rPr>
              <w:t>1-</w:t>
            </w:r>
            <w:r>
              <w:rPr>
                <w:rFonts w:ascii="宋体" w:hAnsi="宋体" w:cs="宋体"/>
                <w:color w:val="auto"/>
                <w:kern w:val="0"/>
                <w:sz w:val="24"/>
                <w:highlight w:val="none"/>
                <w:lang w:bidi="ar"/>
              </w:rPr>
              <w:t>3</w:t>
            </w:r>
            <w:r>
              <w:rPr>
                <w:rFonts w:hint="eastAsia" w:ascii="宋体" w:hAnsi="宋体" w:cs="宋体"/>
                <w:color w:val="auto"/>
                <w:kern w:val="0"/>
                <w:sz w:val="24"/>
                <w:highlight w:val="none"/>
                <w:lang w:bidi="ar"/>
              </w:rPr>
              <w:t>.9分，</w:t>
            </w:r>
            <w:r>
              <w:rPr>
                <w:rFonts w:hint="eastAsia" w:ascii="宋体" w:hAnsi="宋体" w:cs="宋体"/>
                <w:color w:val="auto"/>
                <w:kern w:val="0"/>
                <w:sz w:val="24"/>
                <w:highlight w:val="none"/>
              </w:rPr>
              <w:t>设计方案思路不清晰、论述不充分,且不具备合理性和开放性；功能模块设计不详细、技术层次及规范化程度较低；系统设计不稳定；用户可自定义的程度低的得0-0.9</w:t>
            </w:r>
            <w:r>
              <w:rPr>
                <w:rFonts w:hint="eastAsia" w:ascii="宋体" w:hAnsi="宋体" w:cs="宋体"/>
                <w:color w:val="auto"/>
                <w:kern w:val="0"/>
                <w:sz w:val="24"/>
                <w:highlight w:val="none"/>
                <w:lang w:bidi="ar"/>
              </w:rPr>
              <w:t>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ascii="宋体" w:hAnsi="宋体" w:cs="宋体"/>
                <w:color w:val="auto"/>
                <w:sz w:val="24"/>
                <w:highlight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7" w:type="dxa"/>
            <w:vMerge w:val="continue"/>
            <w:tcBorders>
              <w:tl2br w:val="nil"/>
              <w:tr2bl w:val="nil"/>
            </w:tcBorders>
            <w:vAlign w:val="center"/>
          </w:tcPr>
          <w:p>
            <w:pPr>
              <w:widowControl/>
              <w:jc w:val="center"/>
              <w:rPr>
                <w:rFonts w:ascii="宋体" w:hAnsi="宋体" w:cs="宋体"/>
                <w:color w:val="auto"/>
                <w:sz w:val="24"/>
                <w:highlight w:val="none"/>
              </w:rPr>
            </w:pPr>
          </w:p>
        </w:tc>
        <w:tc>
          <w:tcPr>
            <w:tcW w:w="1687" w:type="dxa"/>
            <w:vMerge w:val="continue"/>
            <w:tcBorders>
              <w:tl2br w:val="nil"/>
              <w:tr2bl w:val="nil"/>
            </w:tcBorders>
            <w:vAlign w:val="center"/>
          </w:tcPr>
          <w:p>
            <w:pPr>
              <w:widowControl/>
              <w:jc w:val="center"/>
              <w:rPr>
                <w:rFonts w:ascii="宋体" w:hAnsi="宋体" w:cs="宋体"/>
                <w:color w:val="auto"/>
                <w:sz w:val="24"/>
                <w:highlight w:val="none"/>
              </w:rPr>
            </w:pPr>
          </w:p>
        </w:tc>
        <w:tc>
          <w:tcPr>
            <w:tcW w:w="6609" w:type="dxa"/>
            <w:tcBorders>
              <w:tl2br w:val="nil"/>
              <w:tr2bl w:val="nil"/>
            </w:tcBorders>
          </w:tcPr>
          <w:p>
            <w:pPr>
              <w:rPr>
                <w:rFonts w:ascii="宋体" w:hAnsi="宋体" w:cs="宋体"/>
                <w:b/>
                <w:bCs/>
                <w:color w:val="auto"/>
                <w:sz w:val="24"/>
                <w:highlight w:val="none"/>
              </w:rPr>
            </w:pPr>
            <w:r>
              <w:rPr>
                <w:rFonts w:hint="eastAsia" w:ascii="宋体" w:hAnsi="宋体" w:cs="宋体"/>
                <w:b/>
                <w:bCs/>
                <w:color w:val="auto"/>
                <w:sz w:val="24"/>
                <w:highlight w:val="none"/>
              </w:rPr>
              <w:t>系统安全体系设计方案</w:t>
            </w:r>
          </w:p>
          <w:p>
            <w:pPr>
              <w:rPr>
                <w:rFonts w:ascii="宋体" w:hAnsi="宋体" w:cs="宋体"/>
                <w:color w:val="auto"/>
                <w:sz w:val="24"/>
                <w:highlight w:val="none"/>
              </w:rPr>
            </w:pPr>
            <w:r>
              <w:rPr>
                <w:rFonts w:hint="eastAsia" w:ascii="宋体" w:hAnsi="宋体" w:cs="宋体"/>
                <w:color w:val="auto"/>
                <w:sz w:val="24"/>
                <w:highlight w:val="none"/>
              </w:rPr>
              <w:t>根据供应商对系统安全策略制定可行、备份与恢复方案设计可靠的得3-5分，对系统安全策略制定较可行、备份与恢复方案设计较可靠的得,0-2.9分，其他不得分。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7"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687" w:type="dxa"/>
            <w:vMerge w:val="continue"/>
            <w:tcBorders>
              <w:tl2br w:val="nil"/>
              <w:tr2bl w:val="nil"/>
            </w:tcBorders>
            <w:vAlign w:val="center"/>
          </w:tcPr>
          <w:p>
            <w:pPr>
              <w:widowControl/>
              <w:jc w:val="center"/>
              <w:rPr>
                <w:rFonts w:ascii="宋体" w:hAnsi="宋体" w:cs="宋体"/>
                <w:color w:val="auto"/>
                <w:sz w:val="24"/>
                <w:highlight w:val="none"/>
              </w:rPr>
            </w:pPr>
          </w:p>
        </w:tc>
        <w:tc>
          <w:tcPr>
            <w:tcW w:w="6609" w:type="dxa"/>
            <w:tcBorders>
              <w:tl2br w:val="nil"/>
              <w:tr2bl w:val="nil"/>
            </w:tcBorders>
          </w:tcPr>
          <w:p>
            <w:pPr>
              <w:rPr>
                <w:rFonts w:ascii="宋体" w:hAnsi="宋体" w:cs="宋体"/>
                <w:b/>
                <w:bCs/>
                <w:color w:val="auto"/>
                <w:kern w:val="0"/>
                <w:sz w:val="24"/>
                <w:highlight w:val="none"/>
              </w:rPr>
            </w:pPr>
            <w:r>
              <w:rPr>
                <w:rFonts w:hint="eastAsia" w:ascii="宋体" w:hAnsi="宋体" w:cs="宋体"/>
                <w:b/>
                <w:bCs/>
                <w:color w:val="auto"/>
                <w:kern w:val="0"/>
                <w:sz w:val="24"/>
                <w:highlight w:val="none"/>
              </w:rPr>
              <w:t>项目质量管理方案</w:t>
            </w:r>
          </w:p>
          <w:p>
            <w:pPr>
              <w:rPr>
                <w:rFonts w:ascii="宋体" w:hAnsi="宋体" w:cs="宋体"/>
                <w:b/>
                <w:bCs/>
                <w:color w:val="auto"/>
                <w:sz w:val="24"/>
                <w:highlight w:val="none"/>
              </w:rPr>
            </w:pPr>
            <w:r>
              <w:rPr>
                <w:rFonts w:hint="eastAsia" w:ascii="宋体" w:hAnsi="宋体" w:cs="宋体"/>
                <w:color w:val="auto"/>
                <w:kern w:val="0"/>
                <w:sz w:val="24"/>
                <w:highlight w:val="none"/>
              </w:rPr>
              <w:t>根据供应商提供的项目管理方案的完整、合理、齐全的得3-4分，项目管理方案的较完整、较合理、较齐全的得1-2.9分，管理方案模糊不清得1分以下。</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7"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6</w:t>
            </w:r>
          </w:p>
        </w:tc>
        <w:tc>
          <w:tcPr>
            <w:tcW w:w="1687" w:type="dxa"/>
            <w:vMerge w:val="continue"/>
            <w:tcBorders>
              <w:tl2br w:val="nil"/>
              <w:tr2bl w:val="nil"/>
            </w:tcBorders>
            <w:vAlign w:val="center"/>
          </w:tcPr>
          <w:p>
            <w:pPr>
              <w:widowControl/>
              <w:jc w:val="center"/>
              <w:rPr>
                <w:rFonts w:ascii="宋体" w:hAnsi="宋体" w:cs="宋体"/>
                <w:color w:val="auto"/>
                <w:sz w:val="24"/>
                <w:highlight w:val="none"/>
              </w:rPr>
            </w:pPr>
          </w:p>
        </w:tc>
        <w:tc>
          <w:tcPr>
            <w:tcW w:w="6609" w:type="dxa"/>
            <w:tcBorders>
              <w:tl2br w:val="nil"/>
              <w:tr2bl w:val="nil"/>
            </w:tcBorders>
          </w:tcPr>
          <w:p>
            <w:pPr>
              <w:rPr>
                <w:rFonts w:ascii="宋体" w:hAnsi="宋体" w:cs="宋体"/>
                <w:b/>
                <w:bCs/>
                <w:color w:val="auto"/>
                <w:sz w:val="24"/>
                <w:highlight w:val="none"/>
              </w:rPr>
            </w:pPr>
            <w:r>
              <w:rPr>
                <w:rFonts w:hint="eastAsia" w:ascii="宋体" w:hAnsi="宋体" w:cs="宋体"/>
                <w:b/>
                <w:bCs/>
                <w:color w:val="auto"/>
                <w:sz w:val="24"/>
                <w:highlight w:val="none"/>
              </w:rPr>
              <w:t>系统对接方案</w:t>
            </w:r>
          </w:p>
          <w:p>
            <w:pPr>
              <w:rPr>
                <w:rFonts w:ascii="宋体" w:hAnsi="宋体" w:cs="宋体"/>
                <w:b/>
                <w:bCs/>
                <w:color w:val="auto"/>
                <w:kern w:val="0"/>
                <w:sz w:val="24"/>
                <w:highlight w:val="none"/>
              </w:rPr>
            </w:pPr>
            <w:r>
              <w:rPr>
                <w:rFonts w:hint="eastAsia" w:ascii="宋体" w:hAnsi="宋体" w:cs="宋体"/>
                <w:color w:val="auto"/>
                <w:sz w:val="24"/>
                <w:highlight w:val="none"/>
              </w:rPr>
              <w:t>根据供应商提供的与省统一执法平台、省统一办案平台、省法人库、省电子证照库、省电子签章平台、省法人数字证数统一服务平台以及能实现签名捺印类功能的硬件集成的对接方案，对接方案可行、合理、应用性强的得7-10分，对接方案较合理、应用性较强的得3-6.9分，对接方案内容模糊不清的得0-2.9。</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97" w:type="dxa"/>
            <w:vMerge w:val="restart"/>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7</w:t>
            </w:r>
          </w:p>
        </w:tc>
        <w:tc>
          <w:tcPr>
            <w:tcW w:w="1687" w:type="dxa"/>
            <w:vMerge w:val="restart"/>
            <w:tcBorders>
              <w:tl2br w:val="nil"/>
              <w:tr2bl w:val="nil"/>
            </w:tcBorders>
            <w:vAlign w:val="center"/>
          </w:tcPr>
          <w:p>
            <w:pPr>
              <w:pStyle w:val="26"/>
              <w:ind w:left="0" w:leftChars="0" w:firstLine="0"/>
              <w:jc w:val="center"/>
              <w:rPr>
                <w:rFonts w:ascii="宋体" w:hAnsi="宋体" w:cs="宋体"/>
                <w:color w:val="auto"/>
                <w:sz w:val="24"/>
                <w:highlight w:val="none"/>
              </w:rPr>
            </w:pPr>
            <w:r>
              <w:rPr>
                <w:rFonts w:hint="eastAsia" w:ascii="宋体" w:hAnsi="宋体" w:cs="宋体"/>
                <w:color w:val="auto"/>
                <w:sz w:val="24"/>
                <w:highlight w:val="none"/>
              </w:rPr>
              <w:t>实施方案</w:t>
            </w:r>
          </w:p>
        </w:tc>
        <w:tc>
          <w:tcPr>
            <w:tcW w:w="6609" w:type="dxa"/>
            <w:tcBorders>
              <w:tl2br w:val="nil"/>
              <w:tr2bl w:val="nil"/>
            </w:tcBorders>
          </w:tcPr>
          <w:p>
            <w:pPr>
              <w:widowControl/>
              <w:rPr>
                <w:rFonts w:ascii="宋体" w:hAnsi="宋体" w:cs="宋体"/>
                <w:color w:val="auto"/>
                <w:sz w:val="24"/>
                <w:highlight w:val="none"/>
              </w:rPr>
            </w:pPr>
            <w:r>
              <w:rPr>
                <w:rFonts w:hint="eastAsia" w:ascii="宋体" w:hAnsi="宋体" w:cs="宋体"/>
                <w:color w:val="auto"/>
                <w:sz w:val="24"/>
                <w:highlight w:val="none"/>
              </w:rPr>
              <w:t>投标人项目组织实施方案的科学性、合理性、规范性和可操作性，包括软件平台的对接、应用、安装调试、试运行、测试内容等进行综合评价给分。</w:t>
            </w:r>
          </w:p>
          <w:p>
            <w:pPr>
              <w:widowControl/>
              <w:rPr>
                <w:rFonts w:ascii="宋体" w:hAnsi="宋体" w:cs="宋体"/>
                <w:color w:val="auto"/>
                <w:sz w:val="24"/>
                <w:highlight w:val="none"/>
              </w:rPr>
            </w:pPr>
            <w:r>
              <w:rPr>
                <w:rFonts w:hint="eastAsia" w:ascii="宋体" w:hAnsi="宋体" w:cs="宋体"/>
                <w:color w:val="auto"/>
                <w:sz w:val="24"/>
                <w:highlight w:val="none"/>
              </w:rPr>
              <w:t>1.方案合理，内容全面详实，结合项目实际，可操作性强的，得5-4分；</w:t>
            </w:r>
          </w:p>
          <w:p>
            <w:pPr>
              <w:widowControl/>
              <w:rPr>
                <w:rFonts w:ascii="宋体" w:hAnsi="宋体" w:cs="宋体"/>
                <w:color w:val="auto"/>
                <w:sz w:val="24"/>
                <w:highlight w:val="none"/>
              </w:rPr>
            </w:pPr>
            <w:r>
              <w:rPr>
                <w:rFonts w:hint="eastAsia" w:ascii="宋体" w:hAnsi="宋体" w:cs="宋体"/>
                <w:color w:val="auto"/>
                <w:sz w:val="24"/>
                <w:highlight w:val="none"/>
              </w:rPr>
              <w:t>2.方案内容较详细，可操作性较强的，得3.9-2分；</w:t>
            </w:r>
          </w:p>
          <w:p>
            <w:pPr>
              <w:widowControl/>
              <w:rPr>
                <w:rFonts w:ascii="宋体" w:hAnsi="宋体" w:cs="宋体"/>
                <w:color w:val="auto"/>
                <w:sz w:val="24"/>
                <w:highlight w:val="none"/>
              </w:rPr>
            </w:pPr>
            <w:r>
              <w:rPr>
                <w:rFonts w:hint="eastAsia" w:ascii="宋体" w:hAnsi="宋体" w:cs="宋体"/>
                <w:color w:val="auto"/>
                <w:sz w:val="24"/>
                <w:highlight w:val="none"/>
              </w:rPr>
              <w:t>3.方案内容简略，一笔带过的，得1.9-0分。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7" w:type="dxa"/>
            <w:vMerge w:val="continue"/>
            <w:tcBorders>
              <w:tl2br w:val="nil"/>
              <w:tr2bl w:val="nil"/>
            </w:tcBorders>
            <w:vAlign w:val="center"/>
          </w:tcPr>
          <w:p>
            <w:pPr>
              <w:widowControl/>
              <w:jc w:val="center"/>
              <w:rPr>
                <w:rFonts w:ascii="宋体" w:hAnsi="宋体" w:cs="宋体"/>
                <w:color w:val="auto"/>
                <w:sz w:val="24"/>
                <w:highlight w:val="none"/>
              </w:rPr>
            </w:pPr>
          </w:p>
        </w:tc>
        <w:tc>
          <w:tcPr>
            <w:tcW w:w="1687" w:type="dxa"/>
            <w:vMerge w:val="continue"/>
            <w:tcBorders>
              <w:tl2br w:val="nil"/>
              <w:tr2bl w:val="nil"/>
            </w:tcBorders>
            <w:vAlign w:val="center"/>
          </w:tcPr>
          <w:p>
            <w:pPr>
              <w:pStyle w:val="26"/>
              <w:ind w:left="0" w:leftChars="0" w:firstLine="0"/>
              <w:jc w:val="center"/>
              <w:rPr>
                <w:rFonts w:ascii="宋体" w:hAnsi="宋体" w:cs="宋体"/>
                <w:color w:val="auto"/>
                <w:sz w:val="24"/>
                <w:highlight w:val="none"/>
              </w:rPr>
            </w:pPr>
          </w:p>
        </w:tc>
        <w:tc>
          <w:tcPr>
            <w:tcW w:w="6609" w:type="dxa"/>
            <w:tcBorders>
              <w:tl2br w:val="nil"/>
              <w:tr2bl w:val="nil"/>
            </w:tcBorders>
          </w:tcPr>
          <w:p>
            <w:pPr>
              <w:widowControl/>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Cs/>
                <w:color w:val="auto"/>
                <w:kern w:val="0"/>
                <w:sz w:val="24"/>
                <w:highlight w:val="none"/>
                <w:lang w:bidi="ar"/>
              </w:rPr>
              <w:t>项目进度保证措施</w:t>
            </w:r>
            <w:r>
              <w:rPr>
                <w:rFonts w:hint="eastAsia" w:ascii="宋体" w:hAnsi="宋体" w:cs="宋体"/>
                <w:color w:val="auto"/>
                <w:sz w:val="24"/>
                <w:highlight w:val="none"/>
              </w:rPr>
              <w:t>合理性、可操作性进行评分。</w:t>
            </w:r>
            <w:r>
              <w:rPr>
                <w:rFonts w:hint="eastAsia" w:ascii="宋体" w:hAnsi="宋体" w:cs="宋体"/>
                <w:bCs/>
                <w:color w:val="auto"/>
                <w:kern w:val="0"/>
                <w:sz w:val="24"/>
                <w:highlight w:val="none"/>
                <w:lang w:bidi="ar"/>
              </w:rPr>
              <w:t>项目进度保证措施</w:t>
            </w:r>
            <w:r>
              <w:rPr>
                <w:rFonts w:hint="eastAsia" w:ascii="宋体" w:hAnsi="宋体" w:cs="宋体"/>
                <w:color w:val="auto"/>
                <w:sz w:val="24"/>
                <w:highlight w:val="none"/>
              </w:rPr>
              <w:t>是否全面到位、科学合理、制度健全。评标委员会根据响应情况进行打分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97"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8</w:t>
            </w:r>
          </w:p>
        </w:tc>
        <w:tc>
          <w:tcPr>
            <w:tcW w:w="1687" w:type="dxa"/>
            <w:tcBorders>
              <w:tl2br w:val="nil"/>
              <w:tr2bl w:val="nil"/>
            </w:tcBorders>
            <w:vAlign w:val="center"/>
          </w:tcPr>
          <w:p>
            <w:pPr>
              <w:pStyle w:val="26"/>
              <w:ind w:left="0" w:leftChars="0" w:firstLine="0"/>
              <w:jc w:val="center"/>
              <w:rPr>
                <w:rFonts w:ascii="宋体" w:hAnsi="宋体" w:cs="宋体"/>
                <w:color w:val="auto"/>
                <w:sz w:val="24"/>
                <w:highlight w:val="none"/>
              </w:rPr>
            </w:pPr>
            <w:r>
              <w:rPr>
                <w:rFonts w:hint="eastAsia" w:ascii="宋体" w:hAnsi="宋体" w:cs="宋体"/>
                <w:color w:val="auto"/>
                <w:sz w:val="24"/>
                <w:highlight w:val="none"/>
              </w:rPr>
              <w:t>售后服务承诺</w:t>
            </w:r>
          </w:p>
          <w:p>
            <w:pPr>
              <w:pStyle w:val="26"/>
              <w:ind w:left="0" w:leftChars="0" w:firstLine="0"/>
              <w:jc w:val="center"/>
              <w:rPr>
                <w:rFonts w:ascii="宋体" w:hAnsi="宋体" w:cs="宋体"/>
                <w:color w:val="auto"/>
                <w:sz w:val="24"/>
                <w:highlight w:val="none"/>
              </w:rPr>
            </w:pPr>
            <w:r>
              <w:rPr>
                <w:rFonts w:hint="eastAsia" w:ascii="宋体" w:hAnsi="宋体" w:cs="宋体"/>
                <w:color w:val="auto"/>
                <w:sz w:val="24"/>
                <w:highlight w:val="none"/>
              </w:rPr>
              <w:t>方案</w:t>
            </w:r>
          </w:p>
        </w:tc>
        <w:tc>
          <w:tcPr>
            <w:tcW w:w="6609" w:type="dxa"/>
            <w:tcBorders>
              <w:tl2br w:val="nil"/>
              <w:tr2bl w:val="nil"/>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1）根据服务承诺、响应方式、本地化服务能力（服务网点的详细介绍）及其它服务措施，项目维护方案（对用户故障、用户下线的响应、处理等情况）的可行性、有效性等情况进行打分。</w:t>
            </w:r>
          </w:p>
          <w:p>
            <w:pPr>
              <w:widowControl/>
              <w:rPr>
                <w:rFonts w:ascii="宋体" w:hAnsi="宋体" w:cs="宋体"/>
                <w:color w:val="auto"/>
                <w:sz w:val="24"/>
                <w:highlight w:val="none"/>
              </w:rPr>
            </w:pPr>
            <w:r>
              <w:rPr>
                <w:rFonts w:hint="eastAsia" w:ascii="宋体" w:hAnsi="宋体" w:cs="宋体"/>
                <w:color w:val="auto"/>
                <w:sz w:val="24"/>
                <w:highlight w:val="none"/>
              </w:rPr>
              <w:t>1.方案合理，内容全面详实，结合项目实际，可操作性强的，得3.5-5分；</w:t>
            </w:r>
          </w:p>
          <w:p>
            <w:pPr>
              <w:widowControl/>
              <w:rPr>
                <w:rFonts w:ascii="宋体" w:hAnsi="宋体" w:cs="宋体"/>
                <w:color w:val="auto"/>
                <w:sz w:val="24"/>
                <w:highlight w:val="none"/>
              </w:rPr>
            </w:pPr>
            <w:r>
              <w:rPr>
                <w:rFonts w:hint="eastAsia" w:ascii="宋体" w:hAnsi="宋体" w:cs="宋体"/>
                <w:color w:val="auto"/>
                <w:sz w:val="24"/>
                <w:highlight w:val="none"/>
              </w:rPr>
              <w:t>2.方案内容较详细，可操作性较强的，得2-3.4分；</w:t>
            </w:r>
          </w:p>
          <w:p>
            <w:pPr>
              <w:widowControl/>
              <w:rPr>
                <w:rFonts w:ascii="宋体" w:hAnsi="宋体" w:cs="宋体"/>
                <w:color w:val="auto"/>
                <w:sz w:val="24"/>
                <w:highlight w:val="none"/>
              </w:rPr>
            </w:pPr>
            <w:r>
              <w:rPr>
                <w:rFonts w:hint="eastAsia" w:ascii="宋体" w:hAnsi="宋体" w:cs="宋体"/>
                <w:color w:val="auto"/>
                <w:sz w:val="24"/>
                <w:highlight w:val="none"/>
              </w:rPr>
              <w:t>3.方案内容模糊不清，简略，得0-1.9分。</w:t>
            </w:r>
          </w:p>
          <w:p>
            <w:pPr>
              <w:widowControl/>
              <w:rPr>
                <w:rFonts w:ascii="宋体" w:hAnsi="宋体" w:cs="宋体"/>
                <w:color w:val="auto"/>
                <w:sz w:val="24"/>
                <w:highlight w:val="none"/>
              </w:rPr>
            </w:pPr>
            <w:r>
              <w:rPr>
                <w:rFonts w:hint="eastAsia" w:ascii="宋体" w:hAnsi="宋体" w:cs="宋体"/>
                <w:color w:val="auto"/>
                <w:sz w:val="24"/>
                <w:highlight w:val="none"/>
              </w:rPr>
              <w:t>2）投标人具有信息技术服务运行维护标准“ITSS”证书得2分。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97"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9</w:t>
            </w:r>
          </w:p>
        </w:tc>
        <w:tc>
          <w:tcPr>
            <w:tcW w:w="1687" w:type="dxa"/>
            <w:tcBorders>
              <w:tl2br w:val="nil"/>
              <w:tr2bl w:val="nil"/>
            </w:tcBorders>
            <w:vAlign w:val="center"/>
          </w:tcPr>
          <w:p>
            <w:pPr>
              <w:pStyle w:val="26"/>
              <w:ind w:left="0" w:leftChars="0" w:firstLine="0"/>
              <w:jc w:val="center"/>
              <w:rPr>
                <w:rFonts w:ascii="宋体" w:hAnsi="宋体" w:cs="宋体"/>
                <w:color w:val="auto"/>
                <w:sz w:val="24"/>
                <w:highlight w:val="none"/>
              </w:rPr>
            </w:pPr>
            <w:r>
              <w:rPr>
                <w:rFonts w:hint="eastAsia" w:ascii="宋体" w:hAnsi="宋体" w:cs="宋体"/>
                <w:color w:val="auto"/>
                <w:sz w:val="24"/>
                <w:highlight w:val="none"/>
              </w:rPr>
              <w:t>演示</w:t>
            </w:r>
          </w:p>
        </w:tc>
        <w:tc>
          <w:tcPr>
            <w:tcW w:w="6609" w:type="dxa"/>
            <w:tcBorders>
              <w:tl2br w:val="nil"/>
              <w:tr2bl w:val="nil"/>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供应商提供演示</w:t>
            </w:r>
            <w:r>
              <w:rPr>
                <w:rFonts w:hint="eastAsia" w:ascii="宋体" w:hAnsi="宋体" w:cs="宋体"/>
                <w:color w:val="auto"/>
                <w:kern w:val="0"/>
                <w:szCs w:val="21"/>
                <w:highlight w:val="none"/>
              </w:rPr>
              <w:t>（要求演示以实际系统进行。使用PPT演示、截图演示、录屏演示、静态页面等非实际可执行程序进行演示的最高得项目模块的一半分数）</w:t>
            </w:r>
            <w:r>
              <w:rPr>
                <w:rFonts w:hint="eastAsia" w:ascii="宋体" w:hAnsi="宋体" w:cs="宋体"/>
                <w:color w:val="auto"/>
                <w:sz w:val="24"/>
                <w:highlight w:val="none"/>
              </w:rPr>
              <w:t xml:space="preserve">演示时间不超过 </w:t>
            </w:r>
            <w:r>
              <w:rPr>
                <w:rFonts w:ascii="宋体" w:hAnsi="宋体" w:cs="宋体"/>
                <w:color w:val="auto"/>
                <w:sz w:val="24"/>
                <w:highlight w:val="none"/>
              </w:rPr>
              <w:t>3</w:t>
            </w:r>
            <w:r>
              <w:rPr>
                <w:rFonts w:hint="eastAsia" w:ascii="宋体" w:hAnsi="宋体" w:cs="宋体"/>
                <w:color w:val="auto"/>
                <w:sz w:val="24"/>
                <w:highlight w:val="none"/>
              </w:rPr>
              <w:t>0 分钟：</w:t>
            </w:r>
          </w:p>
          <w:p>
            <w:pPr>
              <w:pStyle w:val="81"/>
              <w:numPr>
                <w:ilvl w:val="0"/>
                <w:numId w:val="3"/>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取证端演示要求：</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系统支持八大证据（书证、物证、电子数据、视听材料、现场勘验、鉴定意见、当事人陈述、证人证言）其中一种，演示从证据录入到签名捺印到证据入库的完整流程；（</w:t>
            </w:r>
            <w:r>
              <w:rPr>
                <w:rFonts w:ascii="宋体" w:hAnsi="宋体" w:cs="宋体"/>
                <w:color w:val="auto"/>
                <w:sz w:val="24"/>
                <w:highlight w:val="none"/>
              </w:rPr>
              <w:t>3</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系统支持关联移送过来的证据，支持附件证据的上传；（</w:t>
            </w:r>
            <w:r>
              <w:rPr>
                <w:rFonts w:ascii="宋体" w:hAnsi="宋体" w:cs="宋体"/>
                <w:color w:val="auto"/>
                <w:sz w:val="24"/>
                <w:highlight w:val="none"/>
              </w:rPr>
              <w:t>1</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系统支持证据关联相关的录音录像视频。（</w:t>
            </w:r>
            <w:r>
              <w:rPr>
                <w:rFonts w:ascii="宋体" w:hAnsi="宋体" w:cs="宋体"/>
                <w:color w:val="auto"/>
                <w:sz w:val="24"/>
                <w:highlight w:val="none"/>
              </w:rPr>
              <w:t>1</w:t>
            </w:r>
            <w:r>
              <w:rPr>
                <w:rFonts w:hint="eastAsia" w:ascii="宋体" w:hAnsi="宋体" w:cs="宋体"/>
                <w:color w:val="auto"/>
                <w:sz w:val="24"/>
                <w:highlight w:val="none"/>
              </w:rPr>
              <w:t>分）</w:t>
            </w:r>
          </w:p>
          <w:p>
            <w:pPr>
              <w:pStyle w:val="81"/>
              <w:numPr>
                <w:ilvl w:val="0"/>
                <w:numId w:val="3"/>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笔录系统演示：</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系统进行调查询问笔录模板进行笔录制作演示，从笔录创建到笔录问答，到笔录签名捺印，到笔录入库的全流程。笔录问答过程中支持笔录快捷录入问题，支持朗读、笔录质量校验等内容；（</w:t>
            </w:r>
            <w:r>
              <w:rPr>
                <w:rFonts w:ascii="宋体" w:hAnsi="宋体" w:cs="宋体"/>
                <w:color w:val="auto"/>
                <w:sz w:val="24"/>
                <w:highlight w:val="none"/>
              </w:rPr>
              <w:t>1</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系统支持笔录模板对应的笔录问题的管理，支持修改模板问题；（</w:t>
            </w:r>
            <w:r>
              <w:rPr>
                <w:rFonts w:ascii="宋体" w:hAnsi="宋体" w:cs="宋体"/>
                <w:color w:val="auto"/>
                <w:sz w:val="24"/>
                <w:highlight w:val="none"/>
              </w:rPr>
              <w:t>1</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系统支持笔录授权给其他人进行查看。（</w:t>
            </w:r>
            <w:r>
              <w:rPr>
                <w:rFonts w:ascii="宋体" w:hAnsi="宋体" w:cs="宋体"/>
                <w:color w:val="auto"/>
                <w:sz w:val="24"/>
                <w:highlight w:val="none"/>
              </w:rPr>
              <w:t>1</w:t>
            </w:r>
            <w:r>
              <w:rPr>
                <w:rFonts w:hint="eastAsia" w:ascii="宋体" w:hAnsi="宋体" w:cs="宋体"/>
                <w:color w:val="auto"/>
                <w:sz w:val="24"/>
                <w:highlight w:val="none"/>
              </w:rPr>
              <w:t>分）</w:t>
            </w:r>
          </w:p>
          <w:p>
            <w:pPr>
              <w:pStyle w:val="81"/>
              <w:numPr>
                <w:ilvl w:val="0"/>
                <w:numId w:val="3"/>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证据全生命周期管理驾驶舱演示：</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系统支持对证据总体运行、证据生产归集、证据存储资产、证据共享四大模块设计可视化大屏展示。（</w:t>
            </w:r>
            <w:r>
              <w:rPr>
                <w:rFonts w:ascii="宋体" w:hAnsi="宋体" w:cs="宋体"/>
                <w:color w:val="auto"/>
                <w:sz w:val="24"/>
                <w:highlight w:val="none"/>
              </w:rPr>
              <w:t>2</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展示包含八大类证据各地市归集情况，各部门数据归集情况。（</w:t>
            </w:r>
            <w:r>
              <w:rPr>
                <w:rFonts w:ascii="宋体" w:hAnsi="宋体" w:cs="宋体"/>
                <w:color w:val="auto"/>
                <w:sz w:val="24"/>
                <w:highlight w:val="none"/>
              </w:rPr>
              <w:t>2</w:t>
            </w:r>
            <w:r>
              <w:rPr>
                <w:rFonts w:hint="eastAsia" w:ascii="宋体" w:hAnsi="宋体" w:cs="宋体"/>
                <w:color w:val="auto"/>
                <w:sz w:val="24"/>
                <w:highlight w:val="none"/>
              </w:rPr>
              <w:t>分）</w:t>
            </w:r>
          </w:p>
          <w:p>
            <w:pPr>
              <w:pStyle w:val="81"/>
              <w:numPr>
                <w:ilvl w:val="0"/>
                <w:numId w:val="3"/>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证据共享系统演示：</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系统支持证据检索，证据权限管控，不是本部门人员需要进行相应申请才能进行证据查看；（</w:t>
            </w:r>
            <w:r>
              <w:rPr>
                <w:rFonts w:ascii="宋体" w:hAnsi="宋体" w:cs="宋体"/>
                <w:color w:val="auto"/>
                <w:sz w:val="24"/>
                <w:highlight w:val="none"/>
              </w:rPr>
              <w:t>2</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sz w:val="24"/>
                <w:highlight w:val="none"/>
              </w:rPr>
            </w:pPr>
            <w:r>
              <w:rPr>
                <w:rFonts w:hint="eastAsia" w:ascii="宋体" w:hAnsi="宋体" w:cs="宋体"/>
                <w:color w:val="auto"/>
                <w:sz w:val="24"/>
                <w:highlight w:val="none"/>
              </w:rPr>
              <w:t>证据移送，支持跨机构的证据移送，生成移送函，并可以进行退回、立案、不予立案的回复；（</w:t>
            </w:r>
            <w:r>
              <w:rPr>
                <w:rFonts w:ascii="宋体" w:hAnsi="宋体" w:cs="宋体"/>
                <w:color w:val="auto"/>
                <w:sz w:val="24"/>
                <w:highlight w:val="none"/>
              </w:rPr>
              <w:t>2</w:t>
            </w:r>
            <w:r>
              <w:rPr>
                <w:rFonts w:hint="eastAsia" w:ascii="宋体" w:hAnsi="宋体" w:cs="宋体"/>
                <w:color w:val="auto"/>
                <w:sz w:val="24"/>
                <w:highlight w:val="none"/>
              </w:rPr>
              <w:t>分）</w:t>
            </w:r>
          </w:p>
          <w:p>
            <w:pPr>
              <w:pStyle w:val="81"/>
              <w:spacing w:line="360" w:lineRule="auto"/>
              <w:ind w:left="720" w:firstLine="0" w:firstLineChars="0"/>
              <w:rPr>
                <w:rFonts w:ascii="宋体" w:hAnsi="宋体" w:cs="宋体"/>
                <w:color w:val="auto"/>
                <w:kern w:val="0"/>
                <w:sz w:val="24"/>
                <w:highlight w:val="none"/>
                <w:lang w:bidi="ar"/>
              </w:rPr>
            </w:pPr>
            <w:r>
              <w:rPr>
                <w:rFonts w:hint="eastAsia" w:ascii="宋体" w:hAnsi="宋体" w:cs="宋体"/>
                <w:color w:val="auto"/>
                <w:sz w:val="24"/>
                <w:highlight w:val="none"/>
              </w:rPr>
              <w:t>证据调取，支持跨机构的证据调取，生成调取函，支持调取证据库现有证据和线下的证据。（</w:t>
            </w:r>
            <w:r>
              <w:rPr>
                <w:rFonts w:ascii="宋体" w:hAnsi="宋体" w:cs="宋体"/>
                <w:color w:val="auto"/>
                <w:sz w:val="24"/>
                <w:highlight w:val="none"/>
              </w:rPr>
              <w:t>2</w:t>
            </w:r>
            <w:r>
              <w:rPr>
                <w:rFonts w:hint="eastAsia" w:ascii="宋体" w:hAnsi="宋体" w:cs="宋体"/>
                <w:color w:val="auto"/>
                <w:sz w:val="24"/>
                <w:highlight w:val="none"/>
              </w:rPr>
              <w:t>分）</w:t>
            </w:r>
          </w:p>
        </w:tc>
        <w:tc>
          <w:tcPr>
            <w:tcW w:w="685" w:type="dxa"/>
            <w:tcBorders>
              <w:tl2br w:val="nil"/>
              <w:tr2bl w:val="nil"/>
            </w:tcBorders>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18</w:t>
            </w:r>
          </w:p>
        </w:tc>
      </w:tr>
    </w:tbl>
    <w:p>
      <w:pPr>
        <w:rPr>
          <w:color w:val="auto"/>
          <w:highlight w:val="none"/>
        </w:rPr>
      </w:pPr>
    </w:p>
    <w:p>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ind w:firstLine="2891" w:firstLineChars="900"/>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27"/>
        <w:tblW w:w="855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28"/>
        <w:gridCol w:w="1275"/>
        <w:gridCol w:w="780"/>
        <w:gridCol w:w="750"/>
        <w:gridCol w:w="1155"/>
        <w:gridCol w:w="123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63"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728"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75" w:type="dxa"/>
            <w:vAlign w:val="center"/>
          </w:tcPr>
          <w:p>
            <w:pPr>
              <w:tabs>
                <w:tab w:val="left" w:pos="8280"/>
              </w:tabs>
              <w:autoSpaceDE w:val="0"/>
              <w:autoSpaceDN w:val="0"/>
              <w:adjustRightInd w:val="0"/>
              <w:spacing w:line="360" w:lineRule="auto"/>
              <w:ind w:right="25"/>
              <w:rPr>
                <w:rFonts w:ascii="宋体" w:hAnsi="宋体" w:cs="宋体"/>
                <w:b/>
                <w:color w:val="auto"/>
                <w:sz w:val="24"/>
                <w:highlight w:val="none"/>
              </w:rPr>
            </w:pPr>
            <w:r>
              <w:rPr>
                <w:rFonts w:hint="eastAsia" w:ascii="宋体" w:hAnsi="宋体" w:cs="宋体"/>
                <w:b/>
                <w:color w:val="auto"/>
                <w:sz w:val="24"/>
                <w:highlight w:val="none"/>
              </w:rPr>
              <w:t>规格型号</w:t>
            </w:r>
          </w:p>
        </w:tc>
        <w:tc>
          <w:tcPr>
            <w:tcW w:w="78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5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15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23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最高限价</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974" w:type="dxa"/>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highlight w:val="none"/>
              </w:rPr>
            </w:pPr>
            <w:r>
              <w:rPr>
                <w:rFonts w:hint="eastAsia" w:ascii="宋体" w:hAnsi="宋体" w:cs="宋体"/>
                <w:b/>
                <w:color w:val="auto"/>
                <w:sz w:val="24"/>
                <w:highlight w:val="none"/>
              </w:rPr>
              <w:t>交付</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63" w:type="dxa"/>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7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行政执法证据共享应用项目</w:t>
            </w:r>
          </w:p>
        </w:tc>
        <w:tc>
          <w:tcPr>
            <w:tcW w:w="12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详见具体技术需求</w:t>
            </w:r>
          </w:p>
        </w:tc>
        <w:tc>
          <w:tcPr>
            <w:tcW w:w="7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批</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20</w:t>
            </w:r>
          </w:p>
        </w:tc>
        <w:tc>
          <w:tcPr>
            <w:tcW w:w="1230"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7</w:t>
            </w:r>
            <w:r>
              <w:rPr>
                <w:rFonts w:ascii="宋体" w:hAnsi="宋体" w:cs="宋体"/>
                <w:bCs/>
                <w:color w:val="auto"/>
                <w:sz w:val="24"/>
                <w:highlight w:val="none"/>
              </w:rPr>
              <w:t>82</w:t>
            </w:r>
          </w:p>
        </w:tc>
        <w:tc>
          <w:tcPr>
            <w:tcW w:w="974" w:type="dxa"/>
            <w:vAlign w:val="center"/>
          </w:tcPr>
          <w:p>
            <w:pPr>
              <w:pStyle w:val="13"/>
              <w:jc w:val="center"/>
              <w:rPr>
                <w:rFonts w:hAnsi="宋体" w:cs="宋体"/>
                <w:color w:val="auto"/>
                <w:sz w:val="24"/>
                <w:highlight w:val="none"/>
              </w:rPr>
            </w:pPr>
            <w:r>
              <w:rPr>
                <w:rFonts w:hint="eastAsia" w:hAnsi="宋体" w:cs="宋体"/>
                <w:color w:val="auto"/>
                <w:sz w:val="24"/>
                <w:highlight w:val="none"/>
              </w:rPr>
              <w:t>台州市</w:t>
            </w:r>
          </w:p>
        </w:tc>
      </w:tr>
    </w:tbl>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项目背景</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根据党中央、国务院和省委、省政府对不断深化行政执法体制改革推进综合行政执法，执法主体从“管罚一体”向“管执分离”转变，对行业主管部门和综合行政执法部门之间证据获取、移交、保存提出了更高要求，需要寻找具有突破性、联动性的多跨应用场景。</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2019年1月，国务院办公厅印发《关于全面推行行政执法公示制度执法全过程记录制度重大执法决定法制审核制度的指导意见》，意见要求全国各行政执法机关全面推行行政执法公示制度、执法全过程记录制度、重大执法决定法制审核制度（统称“三项制度”）。</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2021年2月18日，农历新年上班第一天，浙江省委召开全省数字化改革大会，全面部署数字化改革工作。浙江省委书记袁家军在会上强调，要认真贯彻落实习近平总书记关于全面深化改革和数字中国建设的重大部署，围绕忠实践行“八八战略”、奋力打造“重要窗口”主题主线，加快建设数字浙江，推进全省改革发展各项工作在新起点上实现新突破，为争创社会主义现代化先行省开好局、起好步。</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2021年7月19日，中共浙江省委政法委员会印发《全省数字法治系统多跨场景清单1.0》，证据共享库应用场景（行政执法证据共享应用）由浙江省综合执法办牵头推进，落地见效。2021年7月21日，浙江省综合执法办印发《全省行政执法多跨场景重大改革任务研究部署会会议纪要》，台州市作为全省唯一承建地市，以台州市综合行政执法局为主要承建单位，路桥区综合行政执法局、临海市综合行政执法局共同协助建设证据共享库场景应用（行政执法证据共享应用）。</w:t>
      </w:r>
      <w:r>
        <w:rPr>
          <w:rFonts w:hint="eastAsia" w:ascii="宋体" w:hAnsi="宋体" w:cs="宋体"/>
          <w:color w:val="auto"/>
          <w:sz w:val="24"/>
          <w:highlight w:val="none"/>
          <w:lang w:eastAsia="zh-CN"/>
        </w:rPr>
        <w:t>（项目总投资</w:t>
      </w:r>
      <w:r>
        <w:rPr>
          <w:rFonts w:hint="eastAsia" w:ascii="宋体" w:hAnsi="宋体" w:cs="宋体"/>
          <w:color w:val="auto"/>
          <w:sz w:val="24"/>
          <w:highlight w:val="none"/>
          <w:lang w:val="en-US" w:eastAsia="zh-CN"/>
        </w:rPr>
        <w:t>820万元，资金来源为数字化改革专项资金（274万元）、路桥区财政资金（273万元）、临海市财政资金（273万元）</w:t>
      </w:r>
      <w:r>
        <w:rPr>
          <w:rFonts w:hint="eastAsia" w:ascii="宋体" w:hAnsi="宋体" w:cs="宋体"/>
          <w:color w:val="auto"/>
          <w:sz w:val="24"/>
          <w:highlight w:val="none"/>
          <w:lang w:eastAsia="zh-CN"/>
        </w:rPr>
        <w:t>）</w:t>
      </w:r>
      <w:r>
        <w:rPr>
          <w:rFonts w:hint="eastAsia" w:ascii="宋体" w:hAnsi="宋体" w:cs="宋体"/>
          <w:color w:val="auto"/>
          <w:sz w:val="24"/>
          <w:highlight w:val="none"/>
        </w:rPr>
        <w:t>。2021年10月20日，浙江省综合行政执法指导办公室印发《省综合执法办关于下达综合行政执法体系数字化应用建设任务的通知》，行政执法证据共享应用作为行政执法办案重大应用之一，明确由台州市综合行政执法局作为主要承建单位，联合路桥区综合行政执法局、仙居县人民政府、临海市综合行政执法局等共同承建。</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建设依据</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《关于全面推行行政执法公示制度执法全过程记录制度重大执法决定法制审核制度的指导意见》（国务院办公厅）</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《浙江省数字化改革总体方案》（浙委改发〔2021〕2号）</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《全省数字法治系统多跨场景清单1.0》（中共浙江省委政法委员会）</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《省综合执法办关于下达综合行政执法体系数字化应用建设任务的通知》（浙江省综合行政执法指导办公室）</w:t>
      </w:r>
    </w:p>
    <w:p>
      <w:pPr>
        <w:widowControl/>
        <w:spacing w:line="360" w:lineRule="auto"/>
        <w:ind w:left="425"/>
        <w:jc w:val="left"/>
        <w:rPr>
          <w:rFonts w:ascii="宋体" w:hAnsi="宋体" w:cs="宋体"/>
          <w:color w:val="auto"/>
          <w:sz w:val="24"/>
          <w:highlight w:val="none"/>
        </w:rPr>
      </w:pPr>
      <w:r>
        <w:rPr>
          <w:rFonts w:hint="eastAsia" w:ascii="宋体" w:hAnsi="宋体" w:cs="宋体"/>
          <w:color w:val="auto"/>
          <w:sz w:val="24"/>
          <w:highlight w:val="none"/>
        </w:rPr>
        <w:t>《浙江省综合行政执法条例》</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建设内容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规范证据共享，推动数字法治建设，依据数字法治系统全省统一场景开发要求，按照“装配式、组件化”的建设思路，提出“一库两端N个应用”（简称“1＋2N”模式）的行政执法证据共享应用建设方案，即建设1个全省统一的证据库，2个标准化统一端口（入证端和出证端），2端服务对接N多的应用场景。证据库通过规范证据治理体系，确保证据存储安全，形成数字化的证据存储资产。入证端通过明确八大电子证据采集标准和采集场景，建设统一取证系统，形成标准的证据采集端。出证端通过明确证据共享标准，建立跨部门、跨地域、跨层级的协同体系，形成规范化的证据共享端。</w:t>
      </w:r>
    </w:p>
    <w:p>
      <w:pPr>
        <w:pStyle w:val="83"/>
        <w:spacing w:line="360" w:lineRule="auto"/>
        <w:rPr>
          <w:rFonts w:ascii="宋体" w:hAnsi="宋体" w:cs="宋体"/>
          <w:color w:val="auto"/>
          <w:sz w:val="24"/>
          <w:highlight w:val="none"/>
        </w:rPr>
      </w:pPr>
      <w:r>
        <w:rPr>
          <w:rFonts w:hint="eastAsia" w:ascii="宋体" w:hAnsi="宋体" w:cs="宋体"/>
          <w:color w:val="auto"/>
          <w:sz w:val="24"/>
          <w:highlight w:val="none"/>
        </w:rPr>
        <w:t>具体建设内容可概括为3大类4中心１平台１体系,3大类即应用系统、证据中台和场景支撑建设；4中心即统一取证中心、证据共享协同中心、证据全生命周期可视化中心及一体化管理中心；１平台即数据资源平台，１体系即场景应用支撑体系。</w:t>
      </w:r>
    </w:p>
    <w:p>
      <w:pPr>
        <w:pStyle w:val="23"/>
        <w:spacing w:line="360" w:lineRule="auto"/>
        <w:ind w:firstLine="482" w:firstLineChars="200"/>
        <w:jc w:val="both"/>
        <w:rPr>
          <w:rFonts w:ascii="宋体" w:hAnsi="宋体" w:cs="宋体"/>
          <w:color w:val="auto"/>
          <w:szCs w:val="24"/>
          <w:highlight w:val="none"/>
        </w:rPr>
      </w:pPr>
      <w:r>
        <w:rPr>
          <w:rFonts w:hint="eastAsia" w:ascii="宋体" w:hAnsi="宋体" w:cs="宋体"/>
          <w:color w:val="auto"/>
          <w:szCs w:val="24"/>
          <w:highlight w:val="none"/>
        </w:rPr>
        <w:t>供台州市全市各级相关单位使用，并可形成“一地创新、全省共享”的快速推广机制。</w:t>
      </w:r>
    </w:p>
    <w:p>
      <w:pPr>
        <w:pStyle w:val="83"/>
        <w:spacing w:line="360" w:lineRule="auto"/>
        <w:rPr>
          <w:rFonts w:ascii="宋体" w:hAnsi="宋体" w:cs="宋体"/>
          <w:color w:val="auto"/>
          <w:sz w:val="24"/>
          <w:highlight w:val="none"/>
        </w:rPr>
      </w:pP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统一取证中心</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统一取证中心利用电子签名、电子捺印等技术实现证据源头电子化和证据“生产”的标准化，由移动/WEB取证、智能笔录和远程取证三部分组成，。</w:t>
      </w: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证据共享协同中心</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证据共享协同中心主要是证据检索，证据移送和证据调取相关的共享应用，以及提供对外统一的证据共享服务，为证据的深化场景提供支撑。</w:t>
      </w: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证据全生命周期可视化中心</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可视化中心主要是从证据流转链路和领域部门的两个视角、通过仪表盘、驾驶舱、大屏、交互式BI等方式全景展示证据资产和共享协同概况。</w:t>
      </w: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一体化管理中心</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一体化管理中心涵盖用户体系，权限体系和流程引擎的管理，以及模型运营和效能监督等核心单元。</w:t>
      </w: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数据资源平台</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数据资源平台主要完成证据在其生命周期内的治理工作，包括元数据、数据标准、数据质量、数据安全、证据图谱等核心功能，保障数据的高效采集、存储、共享、开放和应用。</w:t>
      </w: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场景应用支撑体系</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证据共享中心需要与内外部系统实现对接以及流程适配，保证证据数据归集、业务系统协同、证据数据共享。</w:t>
      </w:r>
    </w:p>
    <w:p>
      <w:pPr>
        <w:pStyle w:val="7"/>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省统一行政处罚办案平台适配改造</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为更好推广证据共享应用，需要对现有省统一行政处罚办案平台进行界面设计、业务流程、功能模块等进行适配改造。</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需求清单</w:t>
      </w:r>
    </w:p>
    <w:tbl>
      <w:tblPr>
        <w:tblStyle w:val="2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1555" w:type="dxa"/>
            <w:shd w:val="clear" w:color="auto" w:fill="auto"/>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建设内容</w:t>
            </w:r>
          </w:p>
        </w:tc>
        <w:tc>
          <w:tcPr>
            <w:tcW w:w="1559" w:type="dxa"/>
            <w:shd w:val="clear" w:color="auto" w:fill="auto"/>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应用系统</w:t>
            </w:r>
          </w:p>
        </w:tc>
        <w:tc>
          <w:tcPr>
            <w:tcW w:w="5245" w:type="dxa"/>
            <w:shd w:val="clear" w:color="auto" w:fill="auto"/>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5"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统一取证中心</w:t>
            </w:r>
          </w:p>
        </w:tc>
        <w:tc>
          <w:tcPr>
            <w:tcW w:w="1559"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WEB端取证/移动端取证</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书证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物证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当事人陈述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证人证言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笔录系统</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笔录页面集成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笔录文书制作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笔录规范监督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笔录询问辅助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电子签名捺印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笔录管理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远程取证</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远程取证客户端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5" w:type="dxa"/>
            <w:vMerge w:val="continue"/>
            <w:vAlign w:val="center"/>
          </w:tcPr>
          <w:p>
            <w:pPr>
              <w:widowControl/>
              <w:jc w:val="left"/>
              <w:rPr>
                <w:rFonts w:ascii="宋体" w:hAnsi="宋体" w:cs="宋体"/>
                <w:color w:val="auto"/>
                <w:kern w:val="0"/>
                <w:szCs w:val="21"/>
                <w:highlight w:val="none"/>
              </w:rPr>
            </w:pPr>
          </w:p>
        </w:tc>
        <w:tc>
          <w:tcPr>
            <w:tcW w:w="1559" w:type="dxa"/>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远程取证小程序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证据共享协同中心</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证据分类检索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证据移送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证据共享服务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restar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证据全生命周期可视化中心</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总体运行驾驶舱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证据生产归集驾驶舱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证据存储资产驾驶舱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证据共享驾驶舱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报表管理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驾驶舱模板管理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效能监督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一体化管理中心</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浙政钉消息组件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部门管理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restart"/>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省统一行政处罚办案系统</w:t>
            </w:r>
          </w:p>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适配改造</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统一取证中心集成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办案流程重构适配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简易处罚重构适配执法局流程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Web端执法办案平台适配改造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数据资源平台</w:t>
            </w: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证据共享交换基础平台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区块链服务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证据可信服务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证据存储资产管理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center"/>
              <w:rPr>
                <w:rFonts w:ascii="宋体" w:hAnsi="宋体" w:cs="宋体"/>
                <w:color w:val="auto"/>
                <w:kern w:val="0"/>
                <w:szCs w:val="21"/>
                <w:highlight w:val="none"/>
              </w:rPr>
            </w:pPr>
          </w:p>
        </w:tc>
        <w:tc>
          <w:tcPr>
            <w:tcW w:w="5245"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证据安全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restart"/>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应用服务体系建设</w:t>
            </w: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党政机关电子印章系统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浙江省法人数字证书统一服务平台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统一用户体系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浙江省行政执法监管平台集成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司法厅执法人员库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省事项库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执法全过程记录系统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联证云平台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浙江省电子证照库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浙江省法人库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签名捺印板硬件对接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收集指纹采集仪硬件集成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114" w:type="dxa"/>
            <w:gridSpan w:val="2"/>
            <w:vMerge w:val="continue"/>
            <w:vAlign w:val="center"/>
          </w:tcPr>
          <w:p>
            <w:pPr>
              <w:widowControl/>
              <w:jc w:val="left"/>
              <w:rPr>
                <w:rFonts w:ascii="宋体" w:hAnsi="宋体" w:cs="宋体"/>
                <w:color w:val="auto"/>
                <w:kern w:val="0"/>
                <w:szCs w:val="21"/>
                <w:highlight w:val="none"/>
              </w:rPr>
            </w:pPr>
          </w:p>
        </w:tc>
        <w:tc>
          <w:tcPr>
            <w:tcW w:w="524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身份证OCR识别</w:t>
            </w:r>
          </w:p>
        </w:tc>
      </w:tr>
    </w:tbl>
    <w:p>
      <w:pPr>
        <w:spacing w:line="360" w:lineRule="auto"/>
        <w:rPr>
          <w:rFonts w:ascii="宋体" w:hAnsi="宋体" w:cs="宋体"/>
          <w:color w:val="auto"/>
          <w:sz w:val="24"/>
          <w:highlight w:val="none"/>
        </w:rPr>
      </w:pP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具体建设要求</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一、统一取证中心</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1、书证</w:t>
      </w:r>
    </w:p>
    <w:p>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执法人员或业务监管人员在执法监管的过程中发现违法行为，可现场将书证进行采集，比如现场拍照或视频记录工作证、身份证、护照、营业执照、账册、票据、收据、合同等内容。</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证据采集标注完成之后，需要证据提供人通过签名捺印板电子签名捺印，</w:t>
      </w:r>
      <w:r>
        <w:rPr>
          <w:rFonts w:ascii="宋体" w:hAnsi="宋体" w:cs="宋体"/>
          <w:color w:val="auto"/>
          <w:sz w:val="24"/>
          <w:highlight w:val="none"/>
        </w:rPr>
        <w:t xml:space="preserve"> </w:t>
      </w:r>
      <w:r>
        <w:rPr>
          <w:rFonts w:hint="eastAsia" w:ascii="宋体" w:hAnsi="宋体" w:cs="宋体"/>
          <w:color w:val="auto"/>
          <w:sz w:val="24"/>
          <w:highlight w:val="none"/>
          <w:lang w:bidi="ar"/>
        </w:rPr>
        <w:t>证据上传的同时调用区块链相关服务，完成证据摘要数据上链存储，上传的证据数据，可在取证系统、证据共享系统通过证据名称关键词、取证时间、取证地点、取证执法人员等条件检索到此证据，执法办案系统也可立案之后选择证据进行关联。</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2、物证</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或业务监管人员在执法监管的过程中发现违法行为，可现场将物证进行采集，比如现场拍照或视频记录违法使用的工具（违法建设案件中的建筑工具）、违法行为侵占的客体物品（擅自破坏绿化案件中的树木、花草）、违法现场留下的物品（室外无照经营案件中摊贩乱丢弃的物品）等内容。</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证据采集标注完成之后，需要证据提供人通过签名捺印板电子签名捺印，</w:t>
      </w:r>
      <w:r>
        <w:rPr>
          <w:rFonts w:ascii="宋体" w:hAnsi="宋体" w:cs="宋体"/>
          <w:color w:val="auto"/>
          <w:sz w:val="24"/>
          <w:highlight w:val="none"/>
        </w:rPr>
        <w:t xml:space="preserve"> </w:t>
      </w:r>
      <w:r>
        <w:rPr>
          <w:rFonts w:hint="eastAsia" w:ascii="宋体" w:hAnsi="宋体" w:cs="宋体"/>
          <w:color w:val="auto"/>
          <w:sz w:val="24"/>
          <w:highlight w:val="none"/>
          <w:lang w:bidi="ar"/>
        </w:rPr>
        <w:t>证据上传成功同时调用区块链相关服务，完成证据摘要数据上链存储，上传的物证数据可在取证系统、证据共享系统通过证据名称关键词、取证时间、取证地点、取证执法人员等条件检索到此证据，执法办案系统也可立案之后选择证据进行关联。</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3、电子数据</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或业务监管人员在执法监管的过程中发现违法行为，可现场将电子数据进行拍照采集或将电子介质作为物证给到联证云（具体见联证云对接）进行电子数据提取，比如电子邮件、网上聊天记录、微信、短信等内容。</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证据采集标注完成之后，需要证据提供人通过签名捺印板电子签名捺印，</w:t>
      </w:r>
      <w:r>
        <w:rPr>
          <w:rFonts w:ascii="宋体" w:hAnsi="宋体" w:cs="宋体"/>
          <w:color w:val="auto"/>
          <w:sz w:val="24"/>
          <w:highlight w:val="none"/>
        </w:rPr>
        <w:t xml:space="preserve"> </w:t>
      </w:r>
      <w:r>
        <w:rPr>
          <w:rFonts w:hint="eastAsia" w:ascii="宋体" w:hAnsi="宋体" w:cs="宋体"/>
          <w:color w:val="auto"/>
          <w:sz w:val="24"/>
          <w:highlight w:val="none"/>
          <w:lang w:bidi="ar"/>
        </w:rPr>
        <w:t>证据上传成功，可在取证系统、证据共享系统通过证据名称关键词、取证时间、取证地点、取证执法人员等条件检索到此证据，执法办案系统也可立案之后选择证据进行关联。</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4、视听材料</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执法人员或业务监管人员在执法监管的过程中发现违法行为，可现场将视听进行拍照采集，比如摄像胶卷、幻灯片、唱片、录音带等内容。</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证据采集标注完成之后，需要证据提供人通过签名捺印板电子签名捺印，</w:t>
      </w:r>
      <w:r>
        <w:rPr>
          <w:rFonts w:ascii="宋体" w:hAnsi="宋体" w:cs="宋体"/>
          <w:color w:val="auto"/>
          <w:sz w:val="24"/>
          <w:highlight w:val="none"/>
        </w:rPr>
        <w:t xml:space="preserve"> </w:t>
      </w:r>
      <w:r>
        <w:rPr>
          <w:rFonts w:hint="eastAsia" w:ascii="宋体" w:hAnsi="宋体" w:cs="宋体"/>
          <w:color w:val="auto"/>
          <w:sz w:val="24"/>
          <w:highlight w:val="none"/>
          <w:lang w:bidi="ar"/>
        </w:rPr>
        <w:t>证据上传同时调用区块链相关服务，完成证据摘要数据上链存储。上传成功的数据可在取证系统、证据共享系统通过证据名称关键词、取证时间、取证地点、取证执法人员等条件检索到此证据，执法办案系统也可立案之后选择证据进行关联。</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5、当事人陈述</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在取证过程当中，对当事人进行笔录，存在两种情况，一种是现场笔录，一种是远程笔录。笔录完成之后可在执法办案系统进行关联。笔录证据入库同时调用区块链相关服务，完成笔录证据摘要数据上链存储。移动取证主要针对远程笔录情况，微信小程序进行人脸识别，办案人做笔录时同步全程录音录像，当事人在微信小程序核对笔录，电子签名、人脸识别确认笔录。</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6、证人证言</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在取证过程当中，对证人进行笔录，存在两种情况，一种是现场笔录，一种是远程笔录。笔录完成之后可在执法办案系统进行关联。证人证言相关证据入库同时调用区块链相关服务，完成证据摘要数据上链存储。移动取证主要针对远程笔录情况，微信小程序进行人脸识别，办案人做笔录时同步全程录音录像，当事人在微信小程序核对笔录，电子签名、人脸识别确认笔录。</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7、现场勘验</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在取证过程当中，对现场进行勘查，现场勘验一共包含3种类型，现场勘验图、现场照片、现场勘验笔录。现场勘验完成之后可在执法办案系统进行关联。证据入库同时调用区块链相关服务，完成证据摘要数据上链存储。</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8、鉴定意见</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这两年的疫情爆发，加上各地区为了提供办案效能，鉴定人不受地域限制可随时随地签发电子鉴定意见书或鉴定报告；需实现鉴定意见的签发和提取使用同步，解决鉴定意见书领取或送达费时费力问题，特别是办案机关在办理时效性极强的鉴定时多次往返和长时间在鉴定机构等候及往返占用大量人力的问题，真正实现了信息多跑路，群众少跑腿。</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9、笔录系统</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当事件发生后，执法人员需要对当事人、证人根据实际情况和事件所处阶段进行调查（询问）笔录、现场勘验（检查）笔录、行政强制措施现场笔录、陈述申辩笔录、听证笔录、行政强制执行现场笔录等内容。询问人和被询问人就事件等基础情况和人员基础信息进行确认，询问人可根据各部门自主归集等笔录模板进行使用，也可根据实际情况增减内容，帮助询问人快速完成笔录信息。</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需要移交时可以使用、法律法规查询等快捷查询、全文检索、联盟核查、关键词线索提取、笔录时长提醒、笔录交叉分析等内容。被询问人在笔录结束时，需要签名捺印确认所记录内容为真，并被朗读出来，执法人员也需要签字确认。最终相关信息在安全性上会加密，也会上传区块链，防止被篡改。笔录全过程都会录音录像，录音录像和笔录文书会关联后入库。</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10、远程取证</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当被询问人出现无法到底执法场所当情况下，并且被询问人不是主要干系人时，可采用远程取证当方式进行，远程取证分为两种，一种是远程笔录，一种是远程取证。远程笔录，执法人员坐在取证室里面跟被询问人发起会议邀请，被询问人按照约定参加会议并通过电脑分屏的形式，保障两边人员都能被清晰看到。然后执法人员和被询问人根据所需调查的内容进行相关笔录的制作，最终在结束的时候，将笔录信息发给被询问人签字确认，远程视频同时被保留下来作为证据进行保存，另外除了会议视频，还有取证室里面的全过程视频同样被关联及保存。一种是远程取证，执法人员的力量是有限的，但是证据采集要求至少两名执法人员，当只有一个执法人员在现场的时候，证据出现可能下次再来取证就消失的情况，可以发起远程取证视频给坐在取证室里面的执法人员，这样能保障取证的时候确实是有两名执法人员进行。</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二、证据共享协同中心</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1、证据分类检索</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共享系统将所有采集来的数据进行归集后，执法或业务监管人员在行政执法证据共享应用系统根据权限检索所需的证据，按部门、执法人员、案件、涉案主体、自然人、法人、社会组织、八大类证据、日期、地点、违法名称等维度进行证据查询，音视频证据在有权限的情况下提供在线预览。</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2、证据移送</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外部门移送主要是业务主管部门和执法部门间的证据移送。业务监管人员在执法监管的过程中发现违法行为，运用取证系统现场将书证等其他证据进行采集，比如现场拍照或视频记录等形式。证据采集标注完成之后，当事人和执法人员现场签名。证据移送可在归集后统一移送给执法部门，执法部门可根据实际情况，选择是否立案、不立案等；转化为立案后，直接将证据对接到执法办案系统进行流转。</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3、证据调取</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在办案过程中，现有行政执法证据共享应用系统的内容无法满足执法人员的办案需求，主动发起证据调取协助，向有相关证据材料的部门进行调取申请，发送调取函，待当前执法部门领导和业务部门领导都审批通过之后，执法人员可获取相关证据材料。行政执法证据共享应用系统里面没有的证据，待相关部门上传之后，可进行查看。</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4、证据订阅</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执法人员在立案调查过程中，根据违法行为的程度，可暂不立案，将证据积累起来，等积累到一定次数之后，一并进行处罚。证据订阅主要是涉及主体多次轻微违法情况的订阅，执法人员在办案过程中对于轻微违法行为暂不处罚，证据暂存保管，在达到系统配置的次数后，提醒执法人员落实处罚。</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5、证据共享服务</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证据共享服务主要是外部研发人员基于证据做一些上层应用，需要和现有证据库进行证据对接。证据共享服务主要是接口生成、接口发布、接口申请、接口审批，接口对接等方面的应用。</w:t>
      </w:r>
    </w:p>
    <w:p>
      <w:pPr>
        <w:pStyle w:val="23"/>
        <w:overflowPunct/>
        <w:autoSpaceDE/>
        <w:autoSpaceDN/>
        <w:adjustRightInd/>
        <w:spacing w:line="360" w:lineRule="auto"/>
        <w:jc w:val="both"/>
        <w:rPr>
          <w:rFonts w:ascii="宋体" w:hAnsi="宋体" w:cs="宋体"/>
          <w:color w:val="auto"/>
          <w:szCs w:val="24"/>
          <w:highlight w:val="none"/>
        </w:rPr>
      </w:pPr>
      <w:r>
        <w:rPr>
          <w:rFonts w:hint="eastAsia" w:ascii="宋体" w:hAnsi="宋体" w:cs="宋体"/>
          <w:color w:val="auto"/>
          <w:szCs w:val="24"/>
          <w:highlight w:val="none"/>
        </w:rPr>
        <w:t>6、证据图谱</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通过证据标签、时间、当事人特征、案件特征等筛选出一批相似案件的清单，从而找出与这个案件相关联的其他案件，结构化数据的证据图谱，提升执法办案人员梳理案件时间线，检索相关案件的效率。</w:t>
      </w:r>
    </w:p>
    <w:p>
      <w:pPr>
        <w:pStyle w:val="4"/>
        <w:spacing w:before="0" w:after="0" w:line="360" w:lineRule="auto"/>
        <w:rPr>
          <w:rFonts w:ascii="宋体" w:hAnsi="宋体" w:cs="宋体"/>
          <w:color w:val="auto"/>
          <w:sz w:val="24"/>
          <w:szCs w:val="24"/>
          <w:highlight w:val="none"/>
        </w:rPr>
      </w:pPr>
      <w:bookmarkStart w:id="0" w:name="_Toc89565037"/>
      <w:r>
        <w:rPr>
          <w:rFonts w:hint="eastAsia" w:ascii="宋体" w:hAnsi="宋体" w:cs="宋体"/>
          <w:color w:val="auto"/>
          <w:sz w:val="24"/>
          <w:szCs w:val="24"/>
          <w:highlight w:val="none"/>
        </w:rPr>
        <w:t>三、证据全生命周期</w:t>
      </w:r>
      <w:bookmarkEnd w:id="0"/>
      <w:r>
        <w:rPr>
          <w:rFonts w:hint="eastAsia" w:ascii="宋体" w:hAnsi="宋体" w:cs="宋体"/>
          <w:color w:val="auto"/>
          <w:sz w:val="24"/>
          <w:szCs w:val="24"/>
          <w:highlight w:val="none"/>
        </w:rPr>
        <w:t>可视化中心</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证据全生命周期可视化中心主要汇集了证据从产生到沉淀成为资产到共享全流程的数据流转情况。从流转链路和领域部门的两个维度，通过驾驶舱、大屏、交互式BI等方式全景展示证据资产和共享协同概况。展示的指标集如总体运行，证据生产归集，证据存储资产和证据共享协同等内容。</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四、一体化管理中心</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一体化管理中心作为整个行政执法证据共享应用的底层支撑平台，为数据类产品提供部门管理、用户管理、角色管理、工作流管理、菜单管理、字典管理等内容。基于后台管理系统的上层应用在做系统的时候能更专注于业务本身，无需过多考虑组织机构、用户、权限、审批等内容。</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五、数据资源平台</w:t>
      </w:r>
    </w:p>
    <w:p>
      <w:pPr>
        <w:spacing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数据资源平台</w:t>
      </w:r>
      <w:r>
        <w:rPr>
          <w:rFonts w:hint="eastAsia" w:ascii="宋体" w:hAnsi="宋体" w:cs="宋体"/>
          <w:color w:val="auto"/>
          <w:sz w:val="24"/>
          <w:highlight w:val="none"/>
          <w:lang w:bidi="ar"/>
        </w:rPr>
        <w:t>主要完成对整个证据生命周期的管理，保障证据的有效采集、存储、共享和应用。</w:t>
      </w:r>
      <w:r>
        <w:rPr>
          <w:rFonts w:ascii="宋体" w:hAnsi="宋体" w:cs="宋体"/>
          <w:color w:val="auto"/>
          <w:sz w:val="24"/>
          <w:highlight w:val="none"/>
          <w:lang w:bidi="ar"/>
        </w:rPr>
        <w:t>数据资源平台</w:t>
      </w:r>
      <w:r>
        <w:rPr>
          <w:rFonts w:hint="eastAsia" w:ascii="宋体" w:hAnsi="宋体" w:cs="宋体"/>
          <w:color w:val="auto"/>
          <w:sz w:val="24"/>
          <w:highlight w:val="none"/>
          <w:lang w:bidi="ar"/>
        </w:rPr>
        <w:t>包括证据共享交换基础平台构建、区块链服务封装、数据签名验签、证据数据治理、数据质量评价及监控、证据数据动态脱敏以及个性化密级管控要求、</w:t>
      </w:r>
      <w:r>
        <w:rPr>
          <w:rFonts w:ascii="宋体" w:hAnsi="宋体" w:cs="宋体"/>
          <w:color w:val="auto"/>
          <w:sz w:val="24"/>
          <w:highlight w:val="none"/>
          <w:lang w:bidi="ar"/>
        </w:rPr>
        <w:t>证据存储资产</w:t>
      </w:r>
      <w:r>
        <w:rPr>
          <w:rFonts w:hint="eastAsia" w:ascii="宋体" w:hAnsi="宋体" w:cs="宋体"/>
          <w:color w:val="auto"/>
          <w:sz w:val="24"/>
          <w:highlight w:val="none"/>
          <w:lang w:bidi="ar"/>
        </w:rPr>
        <w:t>的全流程管理、证据存储周期管理等，主要实现证据从采集、存储，</w:t>
      </w:r>
      <w:r>
        <w:rPr>
          <w:rFonts w:ascii="宋体" w:hAnsi="宋体" w:cs="宋体"/>
          <w:color w:val="auto"/>
          <w:sz w:val="24"/>
          <w:highlight w:val="none"/>
          <w:lang w:bidi="ar"/>
        </w:rPr>
        <w:t>资产</w:t>
      </w:r>
      <w:r>
        <w:rPr>
          <w:rFonts w:hint="eastAsia" w:ascii="宋体" w:hAnsi="宋体" w:cs="宋体"/>
          <w:color w:val="auto"/>
          <w:sz w:val="24"/>
          <w:highlight w:val="none"/>
          <w:lang w:bidi="ar"/>
        </w:rPr>
        <w:t>管理、数据质量评估和证据安全使用的全生命周期管理。</w:t>
      </w:r>
    </w:p>
    <w:p>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六、省统一行政处罚办案系统适配改造</w:t>
      </w:r>
    </w:p>
    <w:p>
      <w:pPr>
        <w:spacing w:line="360" w:lineRule="auto"/>
        <w:ind w:firstLine="560"/>
        <w:rPr>
          <w:rFonts w:ascii="宋体" w:hAnsi="宋体" w:cs="宋体"/>
          <w:color w:val="auto"/>
          <w:sz w:val="24"/>
          <w:highlight w:val="none"/>
          <w:lang w:bidi="ar"/>
        </w:rPr>
      </w:pPr>
      <w:r>
        <w:rPr>
          <w:rFonts w:hint="eastAsia" w:ascii="宋体" w:hAnsi="宋体" w:cs="宋体"/>
          <w:color w:val="auto"/>
          <w:sz w:val="24"/>
          <w:highlight w:val="none"/>
          <w:lang w:bidi="ar"/>
        </w:rPr>
        <w:t>目前前统建系统的证据采集环节并无相关取证规范，都是以手机拍摄，手工上传系统，缺少当事人的相关签名捺印环节，或者签名捺印的环境只能线下进行，无法支持线上操作，导致后续的案件移送、案件调取等都只能走线下流程，影响办案效率。如果和统一取证中心集成后，将大大改善这方面的能力，为全省办案系统的融合奠定技术基础。此次为满足</w:t>
      </w:r>
      <w:r>
        <w:rPr>
          <w:rFonts w:ascii="宋体" w:hAnsi="宋体" w:cs="宋体"/>
          <w:color w:val="auto"/>
          <w:sz w:val="24"/>
          <w:highlight w:val="none"/>
          <w:lang w:bidi="ar"/>
        </w:rPr>
        <w:t>综合执法领域</w:t>
      </w:r>
      <w:r>
        <w:rPr>
          <w:rFonts w:hint="eastAsia" w:ascii="宋体" w:hAnsi="宋体" w:cs="宋体"/>
          <w:color w:val="auto"/>
          <w:sz w:val="24"/>
          <w:highlight w:val="none"/>
          <w:lang w:bidi="ar"/>
        </w:rPr>
        <w:t>的应用</w:t>
      </w:r>
      <w:r>
        <w:rPr>
          <w:rFonts w:ascii="宋体" w:hAnsi="宋体" w:cs="宋体"/>
          <w:color w:val="auto"/>
          <w:sz w:val="24"/>
          <w:highlight w:val="none"/>
          <w:lang w:bidi="ar"/>
        </w:rPr>
        <w:t>以及取证功能的完善</w:t>
      </w:r>
      <w:r>
        <w:rPr>
          <w:rFonts w:hint="eastAsia" w:ascii="宋体" w:hAnsi="宋体" w:cs="宋体"/>
          <w:color w:val="auto"/>
          <w:sz w:val="24"/>
          <w:highlight w:val="none"/>
          <w:lang w:bidi="ar"/>
        </w:rPr>
        <w:t>，</w:t>
      </w:r>
      <w:r>
        <w:rPr>
          <w:rFonts w:ascii="宋体" w:hAnsi="宋体" w:cs="宋体"/>
          <w:color w:val="auto"/>
          <w:sz w:val="24"/>
          <w:highlight w:val="none"/>
          <w:lang w:bidi="ar"/>
        </w:rPr>
        <w:t>需</w:t>
      </w:r>
      <w:r>
        <w:rPr>
          <w:rFonts w:hint="eastAsia" w:ascii="宋体" w:hAnsi="宋体" w:cs="宋体"/>
          <w:color w:val="auto"/>
          <w:sz w:val="24"/>
          <w:highlight w:val="none"/>
          <w:lang w:bidi="ar"/>
        </w:rPr>
        <w:t>对</w:t>
      </w:r>
      <w:r>
        <w:rPr>
          <w:rFonts w:ascii="宋体" w:hAnsi="宋体" w:cs="宋体"/>
          <w:color w:val="auto"/>
          <w:sz w:val="24"/>
          <w:highlight w:val="none"/>
          <w:lang w:bidi="ar"/>
        </w:rPr>
        <w:t>该</w:t>
      </w:r>
      <w:r>
        <w:rPr>
          <w:rFonts w:hint="eastAsia" w:ascii="宋体" w:hAnsi="宋体" w:cs="宋体"/>
          <w:color w:val="auto"/>
          <w:sz w:val="24"/>
          <w:highlight w:val="none"/>
          <w:lang w:bidi="ar"/>
        </w:rPr>
        <w:t>系统进行如下改造，包含统一取证中心嵌入</w:t>
      </w:r>
      <w:r>
        <w:rPr>
          <w:rFonts w:ascii="宋体" w:hAnsi="宋体" w:cs="宋体"/>
          <w:color w:val="auto"/>
          <w:sz w:val="24"/>
          <w:highlight w:val="none"/>
          <w:lang w:bidi="ar"/>
        </w:rPr>
        <w:t>、办案流程的</w:t>
      </w:r>
      <w:r>
        <w:rPr>
          <w:rFonts w:hint="eastAsia" w:ascii="宋体" w:hAnsi="宋体" w:cs="宋体"/>
          <w:color w:val="auto"/>
          <w:sz w:val="24"/>
          <w:highlight w:val="none"/>
          <w:lang w:bidi="ar"/>
        </w:rPr>
        <w:t>重构适配、简易处罚改造、WEB端统一处罚办案系统改造。</w:t>
      </w:r>
    </w:p>
    <w:p>
      <w:pPr>
        <w:pStyle w:val="83"/>
        <w:ind w:firstLine="482"/>
        <w:rPr>
          <w:b/>
          <w:bCs/>
          <w:color w:val="auto"/>
          <w:sz w:val="24"/>
          <w:highlight w:val="none"/>
        </w:rPr>
      </w:pPr>
      <w:r>
        <w:rPr>
          <w:rFonts w:hint="eastAsia"/>
          <w:b/>
          <w:bCs/>
          <w:color w:val="auto"/>
          <w:sz w:val="24"/>
          <w:highlight w:val="none"/>
        </w:rPr>
        <w:t>1、</w:t>
      </w:r>
      <w:r>
        <w:rPr>
          <w:b/>
          <w:bCs/>
          <w:color w:val="auto"/>
          <w:sz w:val="24"/>
          <w:highlight w:val="none"/>
        </w:rPr>
        <w:t>统一取证中心集成（WEB端/移动端）</w:t>
      </w:r>
    </w:p>
    <w:p>
      <w:pPr>
        <w:spacing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在和统一取证中心集成时需要保障双方的用户能够一一对应，统一取证中心采用的是浙江省统一用户中心的用户体系，通过手机号以及执法证号保障用户能够匹配。用户体系对接完成之后，当前用户在进行取证的时候，需要获取此时的案件信息，案件和证据的绑定关系以及案件对应的证据在各办案系统的实际需求通过证据共享接口进行返回。统一取证中心各类证据的采集包括笔录系统、远程取证都在统一取证中心集成，各办案系统需将统一取证中心的链接嵌入，同时需要</w:t>
      </w:r>
      <w:r>
        <w:rPr>
          <w:rFonts w:hint="eastAsia" w:ascii="宋体" w:hAnsi="宋体" w:cs="宋体"/>
          <w:color w:val="auto"/>
          <w:sz w:val="24"/>
          <w:highlight w:val="none"/>
          <w:lang w:bidi="ar"/>
        </w:rPr>
        <w:t>对原有系统进行改造</w:t>
      </w:r>
      <w:r>
        <w:rPr>
          <w:rFonts w:ascii="宋体" w:hAnsi="宋体" w:cs="宋体"/>
          <w:color w:val="auto"/>
          <w:sz w:val="24"/>
          <w:highlight w:val="none"/>
          <w:lang w:bidi="ar"/>
        </w:rPr>
        <w:t>，防止出现多个取证入口，影响执法办案人员的具体使用</w:t>
      </w:r>
      <w:r>
        <w:rPr>
          <w:rFonts w:hint="eastAsia" w:ascii="宋体" w:hAnsi="宋体" w:cs="宋体"/>
          <w:color w:val="auto"/>
          <w:sz w:val="24"/>
          <w:highlight w:val="none"/>
          <w:lang w:bidi="ar"/>
        </w:rPr>
        <w:t>。</w:t>
      </w:r>
    </w:p>
    <w:p>
      <w:pPr>
        <w:pStyle w:val="83"/>
        <w:ind w:firstLine="482"/>
        <w:rPr>
          <w:b/>
          <w:bCs/>
          <w:color w:val="auto"/>
          <w:sz w:val="24"/>
          <w:highlight w:val="none"/>
        </w:rPr>
      </w:pPr>
      <w:r>
        <w:rPr>
          <w:rFonts w:hint="eastAsia"/>
          <w:b/>
          <w:bCs/>
          <w:color w:val="auto"/>
          <w:sz w:val="24"/>
          <w:highlight w:val="none"/>
        </w:rPr>
        <w:t>2、办案流程重构适配</w:t>
      </w:r>
    </w:p>
    <w:p>
      <w:pPr>
        <w:spacing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办案流程改造</w:t>
      </w:r>
      <w:r>
        <w:rPr>
          <w:rFonts w:hint="eastAsia" w:ascii="宋体" w:hAnsi="宋体" w:cs="宋体"/>
          <w:color w:val="auto"/>
          <w:sz w:val="24"/>
          <w:highlight w:val="none"/>
          <w:lang w:bidi="ar"/>
        </w:rPr>
        <w:t>涉及取证环节和审批环节，取证环节根据相关执法业务需求开展改造，审批环节根据具体的审批流程进行配置。</w:t>
      </w:r>
    </w:p>
    <w:p>
      <w:pPr>
        <w:pStyle w:val="23"/>
        <w:ind w:firstLine="482" w:firstLineChars="200"/>
        <w:jc w:val="both"/>
        <w:rPr>
          <w:color w:val="auto"/>
          <w:highlight w:val="none"/>
          <w:lang w:bidi="ar"/>
        </w:rPr>
      </w:pPr>
      <w:r>
        <w:rPr>
          <w:rFonts w:hint="eastAsia"/>
          <w:color w:val="auto"/>
          <w:highlight w:val="none"/>
          <w:lang w:bidi="ar"/>
        </w:rPr>
        <w:t>3、简易处罚流程重构适配</w:t>
      </w:r>
    </w:p>
    <w:p>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实现手机端开具当场行政处罚决定书，简化执法人员填写内容，当事人信息根据身份证号直接获取省大数据局人口库的信息并展示，以及提供身份证OCR识别自动填充个人信息功能。主要包括案源登记改造、当场处罚决定书改造，送达方式及送达地址确认书设计，设计电子送达，现场打印，实现OCR，集成手机指纹仪以及整个界面布局调整等。</w:t>
      </w:r>
    </w:p>
    <w:p>
      <w:pPr>
        <w:pStyle w:val="23"/>
        <w:ind w:firstLine="482" w:firstLineChars="200"/>
        <w:jc w:val="both"/>
        <w:rPr>
          <w:color w:val="auto"/>
          <w:highlight w:val="none"/>
          <w:lang w:bidi="ar"/>
        </w:rPr>
      </w:pPr>
      <w:r>
        <w:rPr>
          <w:rFonts w:hint="eastAsia"/>
          <w:color w:val="auto"/>
          <w:highlight w:val="none"/>
          <w:lang w:bidi="ar"/>
        </w:rPr>
        <w:t>4、</w:t>
      </w:r>
      <w:r>
        <w:rPr>
          <w:color w:val="auto"/>
          <w:highlight w:val="none"/>
          <w:lang w:bidi="ar"/>
        </w:rPr>
        <w:t>W</w:t>
      </w:r>
      <w:r>
        <w:rPr>
          <w:rFonts w:hint="eastAsia"/>
          <w:color w:val="auto"/>
          <w:highlight w:val="none"/>
          <w:lang w:bidi="ar"/>
        </w:rPr>
        <w:t>eb端和手机端执法平台改造</w:t>
      </w:r>
    </w:p>
    <w:p>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对一般程序Web端和手机端整体页面及布局重构改造，主要增加多次违法订阅、办案流程监督提醒、案件暂停计时、案由智能填充、电子送达等功能，案件流转流程改造、案件查询改造以及一键生成电子卷宗等。</w:t>
      </w:r>
    </w:p>
    <w:p>
      <w:pPr>
        <w:pStyle w:val="23"/>
        <w:jc w:val="both"/>
        <w:rPr>
          <w:color w:val="auto"/>
          <w:highlight w:val="none"/>
          <w:lang w:bidi="ar"/>
        </w:rPr>
      </w:pPr>
    </w:p>
    <w:p>
      <w:pPr>
        <w:pStyle w:val="4"/>
        <w:spacing w:before="0" w:after="0" w:line="360" w:lineRule="auto"/>
        <w:rPr>
          <w:rFonts w:ascii="宋体" w:hAnsi="宋体" w:cs="宋体"/>
          <w:color w:val="auto"/>
          <w:sz w:val="24"/>
          <w:szCs w:val="24"/>
          <w:highlight w:val="none"/>
        </w:rPr>
      </w:pPr>
      <w:bookmarkStart w:id="1" w:name="_Toc89565048"/>
      <w:r>
        <w:rPr>
          <w:rFonts w:hint="eastAsia" w:ascii="宋体" w:hAnsi="宋体" w:cs="宋体"/>
          <w:color w:val="auto"/>
          <w:sz w:val="24"/>
          <w:szCs w:val="24"/>
          <w:highlight w:val="none"/>
        </w:rPr>
        <w:t>七、应用</w:t>
      </w:r>
      <w:bookmarkEnd w:id="1"/>
      <w:r>
        <w:rPr>
          <w:rFonts w:hint="eastAsia" w:ascii="宋体" w:hAnsi="宋体" w:cs="宋体"/>
          <w:color w:val="auto"/>
          <w:sz w:val="24"/>
          <w:szCs w:val="24"/>
          <w:highlight w:val="none"/>
        </w:rPr>
        <w:t>支撑体系建设</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bidi="ar"/>
        </w:rPr>
        <w:t>证据共享中心需要与内外部系统实现对接，保证证据数据归集、业务系统协同、证据数据共享，具体清单详见列表。</w:t>
      </w:r>
    </w:p>
    <w:tbl>
      <w:tblPr>
        <w:tblStyle w:val="2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936"/>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系统名称</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对接目的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党政机关电子印章系统</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实现证据相关文书各部门电子签章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２</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浙江省法人数字证书统一服务平台</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实现企业法人的电子签章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３</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统一用户体系</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通过全省统一用户体系实现与其他系统方便快速对接以及管理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４</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浙江省行政执法监管平台集成</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实现执法检查过程中即进行证据标准化采集，方便后续案件移交、证据移送，实现跨部门协同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５</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司法厅执法人员库</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实现执法人员实时对接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６</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省事项库</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实现事项信息实时对接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７</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执法全过程记录系统</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实现执法记录仪中的证据采集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８</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联证云平台</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实现与联证云平台的对接，在线获取证据鉴定报告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９</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浙江省电子证照库</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实现与证照信息实时对接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１０</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浙江省法人库</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实现与法人信息实时对接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1１</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签名捺印板硬件对接</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实现PC端签名捺印功能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1２</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收集指纹采集仪硬件集成</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实现手机端指纹捺印功能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１３</w:t>
            </w:r>
          </w:p>
        </w:tc>
        <w:tc>
          <w:tcPr>
            <w:tcW w:w="2936"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身份证OCR识别</w:t>
            </w:r>
          </w:p>
        </w:tc>
        <w:tc>
          <w:tcPr>
            <w:tcW w:w="4725"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实现手机拍照身份证OCR识别</w:t>
            </w:r>
          </w:p>
        </w:tc>
      </w:tr>
    </w:tbl>
    <w:p>
      <w:pPr>
        <w:pStyle w:val="5"/>
        <w:spacing w:before="0" w:after="0" w:line="360" w:lineRule="auto"/>
        <w:rPr>
          <w:rFonts w:ascii="宋体" w:hAnsi="宋体" w:cs="宋体"/>
          <w:color w:val="auto"/>
          <w:sz w:val="24"/>
          <w:szCs w:val="24"/>
          <w:highlight w:val="none"/>
        </w:rPr>
      </w:pPr>
      <w:bookmarkStart w:id="2" w:name="_Hlk89817028"/>
    </w:p>
    <w:p>
      <w:pPr>
        <w:pStyle w:val="5"/>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演示要求</w:t>
      </w:r>
    </w:p>
    <w:p>
      <w:pPr>
        <w:pStyle w:val="81"/>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取证端演示要求：</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系统支持八大证据（书证、物证、电子数据、视听材料、现场勘验、鉴定意见、当事人陈述、证人证言）演示，演示从证据录入到签名捺印到证据入库的完整流程；</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系统支持关联移送过来的证据，支持附件证据的上传；</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系统支持证据关联相关的录音录像视频。</w:t>
      </w:r>
    </w:p>
    <w:p>
      <w:pPr>
        <w:pStyle w:val="81"/>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笔录系统演示：</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系统进行调查询问笔录模板进行笔录制作演示，从笔录创建到笔录问答，到笔录签名捺印，到笔录入库的全流程。笔录问答过程中支持笔录快捷录入问题，支持朗读、笔录质量校验等内容；</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系统支持笔录模板对应的笔录问题的管理，支持修改模板问题；</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系统支持笔录授权给其他人进行查看。</w:t>
      </w:r>
    </w:p>
    <w:p>
      <w:pPr>
        <w:pStyle w:val="81"/>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证据全生命周期管理驾驶舱演示：</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系统支持对证据总体运行、证据生产归集、证据存储资产、证据共享四大模块设计可视化大屏展示。主要包含八大类证据各地市归集情况，各部门数据归集情况。</w:t>
      </w:r>
    </w:p>
    <w:p>
      <w:pPr>
        <w:pStyle w:val="81"/>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证据共享系统演示：</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系统支持证据检索，证据权限管控，不是本部门人员需要进行相应申请才能进行证据查看；</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证据移送，支持跨机构的证据移送，生成移送函，并可以进行退回、立案、不予立案的回复；</w:t>
      </w:r>
    </w:p>
    <w:p>
      <w:pPr>
        <w:pStyle w:val="81"/>
        <w:spacing w:line="360" w:lineRule="auto"/>
        <w:ind w:firstLine="480"/>
        <w:rPr>
          <w:rFonts w:ascii="宋体" w:hAnsi="宋体" w:cs="宋体"/>
          <w:color w:val="auto"/>
          <w:sz w:val="24"/>
          <w:highlight w:val="none"/>
        </w:rPr>
      </w:pPr>
      <w:r>
        <w:rPr>
          <w:rFonts w:hint="eastAsia" w:ascii="宋体" w:hAnsi="宋体" w:cs="宋体"/>
          <w:color w:val="auto"/>
          <w:sz w:val="24"/>
          <w:highlight w:val="none"/>
        </w:rPr>
        <w:t>证据调取，支持跨机构的证据调取，生成调取函，支持调取证据库现有证据和线下的证据。</w:t>
      </w:r>
    </w:p>
    <w:bookmarkEnd w:id="2"/>
    <w:p>
      <w:pPr>
        <w:pStyle w:val="5"/>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性能需求</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系统性能应能满足以下系统响应时间、系统吞吐量及系统稳定性等指标要求。</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1）系统响应时间</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页面展示及基本服务功能访问：响应速度＜2 秒。</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综合查询、统计类功能：响应速度＜5 秒。</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2）系统处理能力</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系统具备处理TB 级容量的监管数据的能力。</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支持峰值在线用户数不低于2000 个，支持平均在线用户数不低于1000个。</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3）无故障率</w:t>
      </w:r>
    </w:p>
    <w:p>
      <w:pPr>
        <w:spacing w:line="360" w:lineRule="auto"/>
        <w:ind w:firstLine="56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系统平均无故障率不低于99.5%。</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shd w:val="clear" w:color="auto" w:fill="FFFFFF"/>
        </w:rPr>
        <w:t>若发生故障，恢复时间的要求是：一般故障，恢复系统正常运行所需时间不超过30 分钟；严重故障，不超过4 小时；特别严重的故障，一般不超过24 小时。</w:t>
      </w:r>
    </w:p>
    <w:p>
      <w:pPr>
        <w:spacing w:line="360" w:lineRule="auto"/>
        <w:rPr>
          <w:rFonts w:ascii="宋体" w:hAnsi="宋体" w:cs="宋体"/>
          <w:color w:val="auto"/>
          <w:sz w:val="24"/>
          <w:highlight w:val="none"/>
        </w:rPr>
      </w:pPr>
    </w:p>
    <w:p>
      <w:pPr>
        <w:pStyle w:val="5"/>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安全需求</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lang w:val="zh-CN" w:eastAsia="zh-Hans"/>
        </w:rPr>
        <w:t>本项目在运行中将产生大量隐私数据，根据《中华人民共和国网络安全法》要求，将按照网络安全等级保护制度的要求，履行下列安全保护义务，保障网络免受干扰、破坏或者未经授权的访问，防止网络数据泄露或者被窃取、篡改：（一）制定内部安全管理制度和操作规程，确定网络安全负责人，落实网络安全保护责任；（二）采取防范计算机病毒和网络攻击、网络侵入等危害网络安全行为的技术措施；（三）采取监测、记录网络运行状态、网络安全事件的技术措施，并按照规定留存相关的网络日志不少于六个月；（四）采取数据分类、重要数据备份和加密等措施；（五）法律、行政法规规定的其他义务。</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因部署在政务云上，因此安全体系应用其原有安全体系，安全等级需要达到三级等保的水准。</w:t>
      </w:r>
    </w:p>
    <w:p>
      <w:pPr>
        <w:spacing w:line="360" w:lineRule="auto"/>
        <w:ind w:firstLine="560"/>
        <w:rPr>
          <w:rFonts w:ascii="宋体" w:hAnsi="宋体" w:cs="宋体"/>
          <w:color w:val="auto"/>
          <w:sz w:val="24"/>
          <w:highlight w:val="none"/>
          <w:lang w:eastAsia="zh-Hans"/>
        </w:rPr>
      </w:pPr>
      <w:r>
        <w:rPr>
          <w:rFonts w:hint="eastAsia" w:ascii="宋体" w:hAnsi="宋体" w:cs="宋体"/>
          <w:color w:val="auto"/>
          <w:sz w:val="24"/>
          <w:highlight w:val="none"/>
        </w:rPr>
        <w:t>根据《国家信息化领导小组关于加强信息安全保障工作的意见》和《信息系统安全等级保护基本要求》等文件要求，结合平台系统自身特点，制定平台信息安全体系，包括信息安全技术保障体系和信息安全管理保障体系两部分内容。其中，信息安全技术保障要求按照不同等级从物理安全、网络安全、数据和应用安全等方面做了不同的要求，信息安全管理保障要求按照不同等级从安全管理机构、安全管理制度、人员安全管理、系统建设管理和安全运维管理等方面做不同的要求。通过整个体系建设，充分保障平台各项应用的信息安全，形成一个信息安全保障的完整闭环。</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（1）系统建设需符合三级等级保护测评的统一要求，在系统上线前应经过压力测试、渗透测试、安全评估等一系列测试，并提供测试报告。</w:t>
      </w:r>
    </w:p>
    <w:p>
      <w:pPr>
        <w:spacing w:line="360" w:lineRule="auto"/>
        <w:ind w:firstLine="560"/>
        <w:rPr>
          <w:rFonts w:ascii="宋体" w:hAnsi="宋体" w:cs="宋体"/>
          <w:color w:val="auto"/>
          <w:sz w:val="24"/>
          <w:highlight w:val="none"/>
        </w:rPr>
      </w:pPr>
      <w:r>
        <w:rPr>
          <w:rFonts w:hint="eastAsia" w:ascii="宋体" w:hAnsi="宋体" w:cs="宋体"/>
          <w:color w:val="auto"/>
          <w:sz w:val="24"/>
          <w:highlight w:val="none"/>
        </w:rPr>
        <w:t>（2）利用现有的灾备机制，对系统的信息进行常规备份，保障数据安全。</w:t>
      </w:r>
    </w:p>
    <w:p>
      <w:pPr>
        <w:spacing w:line="360" w:lineRule="auto"/>
        <w:ind w:firstLine="560"/>
        <w:rPr>
          <w:rFonts w:ascii="宋体" w:hAnsi="宋体" w:cs="宋体"/>
          <w:color w:val="auto"/>
          <w:sz w:val="24"/>
          <w:highlight w:val="none"/>
          <w:lang w:eastAsia="zh-Hans"/>
        </w:rPr>
      </w:pPr>
      <w:r>
        <w:rPr>
          <w:rFonts w:hint="eastAsia" w:ascii="宋体" w:hAnsi="宋体" w:cs="宋体"/>
          <w:color w:val="auto"/>
          <w:sz w:val="24"/>
          <w:highlight w:val="none"/>
        </w:rPr>
        <w:t>（3）利用政府云平台现有的网络安全设备，保障系统网络安全。</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pStyle w:val="5"/>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项目建设管理要求</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1、项目进度要求</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本项目要求合同签订后</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个月内为项目实施期，完成软件部署并进行初验。</w:t>
      </w:r>
    </w:p>
    <w:p>
      <w:pPr>
        <w:widowControl/>
        <w:tabs>
          <w:tab w:val="left" w:pos="0"/>
        </w:tabs>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系统试运行期不少于3个月，试运行结束组织验收，</w:t>
      </w:r>
      <w:r>
        <w:rPr>
          <w:rFonts w:hint="eastAsia" w:asciiTheme="minorEastAsia" w:hAnsiTheme="minorEastAsia" w:eastAsiaTheme="minorEastAsia"/>
          <w:b/>
          <w:bCs/>
          <w:color w:val="auto"/>
          <w:sz w:val="24"/>
          <w:highlight w:val="none"/>
        </w:rPr>
        <w:t>验收通过后进入项目3年质保期。</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投标人应按照上述时间安排，制定相应的项目实施详细进度计划，确定每个实施阶段的时间表及工作目标。</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2、项目组织及实施要求</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投标方应保证投标项目在招标方条件成熟时应立即开展实施；</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在项目实施过程中应服从招标方的统一领导和协调，招标方有权裁决投标方的责任范围，投标方必须执行，在招标方限定的时间内解决问题。如果投标方不能按时完成评估内容，招标方有权中止项目、索赔或拒付款项；</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投标方需根据自己的工程实施经验结合招标方的实际需求进一步细化和完善工作任务书，作为工程实施的指导性文件；</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应根据招标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投标方应负责配合招标方制定相关验收标准，并完成工程实施等验收工作。</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zh-CN"/>
        </w:rPr>
        <w:t>等保测评、</w:t>
      </w:r>
      <w:r>
        <w:rPr>
          <w:rFonts w:asciiTheme="minorEastAsia" w:hAnsiTheme="minorEastAsia" w:eastAsiaTheme="minorEastAsia"/>
          <w:b/>
          <w:color w:val="auto"/>
          <w:sz w:val="24"/>
          <w:highlight w:val="none"/>
        </w:rPr>
        <w:t>商用密码应用安全性评估</w:t>
      </w:r>
      <w:r>
        <w:rPr>
          <w:rFonts w:hint="eastAsia" w:asciiTheme="minorEastAsia" w:hAnsiTheme="minorEastAsia" w:eastAsiaTheme="minorEastAsia"/>
          <w:b/>
          <w:color w:val="auto"/>
          <w:sz w:val="24"/>
          <w:highlight w:val="none"/>
        </w:rPr>
        <w:t>及第三方检测</w:t>
      </w:r>
    </w:p>
    <w:p>
      <w:pPr>
        <w:widowControl/>
        <w:tabs>
          <w:tab w:val="left" w:pos="0"/>
        </w:tabs>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等保测评</w:t>
      </w:r>
      <w:r>
        <w:rPr>
          <w:rFonts w:hint="eastAsia" w:asciiTheme="minorEastAsia" w:hAnsiTheme="minorEastAsia" w:eastAsiaTheme="minorEastAsia"/>
          <w:color w:val="auto"/>
          <w:sz w:val="24"/>
          <w:highlight w:val="none"/>
        </w:rPr>
        <w:t>：本项目建成后终验前，系统需通过三级网络安全等级保护测评。</w:t>
      </w:r>
    </w:p>
    <w:p>
      <w:pPr>
        <w:widowControl/>
        <w:tabs>
          <w:tab w:val="left" w:pos="0"/>
        </w:tabs>
        <w:spacing w:line="360" w:lineRule="auto"/>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商用密码应用安全性评估</w:t>
      </w:r>
      <w:r>
        <w:rPr>
          <w:rFonts w:hint="eastAsia" w:asciiTheme="minorEastAsia" w:hAnsiTheme="minorEastAsia" w:eastAsiaTheme="minorEastAsia"/>
          <w:color w:val="auto"/>
          <w:sz w:val="24"/>
          <w:highlight w:val="none"/>
        </w:rPr>
        <w:t>：本项目按照等保三级要求加强安全管理建设，将依据被测信息系统通过评审的密码应用方案和GM/T 0054-2018《信息系统密码应用基本要求》，从总体要求、物理和环境安全、网络和通信安全、设备和计算安全、应用和数据安全、密钥管理以及安全管理等方面开展评估。采用商用密码技术、产品和服务集成建设的网络和信息系统中，对其密码应用的合规性、正确性和有效性等进行评估。系统定级为等保三级。本项目建成后终验前，系统需通过该测评。</w:t>
      </w:r>
    </w:p>
    <w:p>
      <w:pPr>
        <w:widowControl/>
        <w:tabs>
          <w:tab w:val="left" w:pos="0"/>
        </w:tabs>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第三方软件功能检测</w:t>
      </w:r>
      <w:r>
        <w:rPr>
          <w:rFonts w:hint="eastAsia" w:asciiTheme="minorEastAsia" w:hAnsiTheme="minorEastAsia" w:eastAsiaTheme="minorEastAsia"/>
          <w:color w:val="auto"/>
          <w:sz w:val="24"/>
          <w:highlight w:val="none"/>
        </w:rPr>
        <w:t>：本项目涉及到应用软件系统建设的市政府投资信息化项目，需经中国合格评定国家认可委员会认可的第三方软件检测机构进行相应的验收测试。通过定量性的测试结果对项目进行评价，作为验收的依据之一。本项目建成后终验前，系统需通过该测评。</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以上三项测评相关费用</w:t>
      </w:r>
      <w:r>
        <w:rPr>
          <w:rFonts w:hint="eastAsia" w:asciiTheme="minorEastAsia" w:hAnsiTheme="minorEastAsia" w:eastAsiaTheme="minorEastAsia"/>
          <w:b/>
          <w:bCs/>
          <w:color w:val="auto"/>
          <w:sz w:val="24"/>
          <w:highlight w:val="none"/>
        </w:rPr>
        <w:t>均不包含</w:t>
      </w:r>
      <w:r>
        <w:rPr>
          <w:rFonts w:hint="eastAsia" w:asciiTheme="minorEastAsia" w:hAnsiTheme="minorEastAsia" w:eastAsiaTheme="minorEastAsia"/>
          <w:color w:val="auto"/>
          <w:sz w:val="24"/>
          <w:highlight w:val="none"/>
        </w:rPr>
        <w:t>在本次投标报价内，但中标人需要配合完成测评和整改工作，直至通过相关检测测评。</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lang w:val="zh-CN"/>
        </w:rPr>
        <w:t>项目质量保证</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方须保证所提供的所有产品、中间件、数据库符合国家有关规定。投标方须保证所提供产品具有合法的版权或使用权，本项目采购的产品，如在本项目范围内使用过程中出现版权或使用权纠纷，应由投标方负责，采购方不承担责任，并且不得影响甲方对产品软件的使用。</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2、投标方必须保证解决项目所涉及的技术问题，如因技术原因无法满足采购人需求，由此产生的风险由投标人承担。</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3、投标方在质保期内，如遇软件产品升级、改版，应免费提供更新、升级服务。</w:t>
      </w:r>
    </w:p>
    <w:p>
      <w:pPr>
        <w:widowControl/>
        <w:tabs>
          <w:tab w:val="left" w:pos="0"/>
        </w:tabs>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4、质保期限结束后，本项目建设内容的所有软件产权、数据产权需移交给甲方，具体时间由甲方提出。</w:t>
      </w:r>
    </w:p>
    <w:p>
      <w:pPr>
        <w:pStyle w:val="89"/>
        <w:ind w:firstLine="480"/>
        <w:rPr>
          <w:color w:val="auto"/>
          <w:highlight w:val="none"/>
        </w:rPr>
      </w:pPr>
      <w:r>
        <w:rPr>
          <w:color w:val="auto"/>
          <w:highlight w:val="none"/>
        </w:rPr>
        <w:t>5</w:t>
      </w:r>
      <w:r>
        <w:rPr>
          <w:rFonts w:hint="eastAsia"/>
          <w:color w:val="auto"/>
          <w:highlight w:val="none"/>
        </w:rPr>
        <w:t>、</w:t>
      </w:r>
      <w:r>
        <w:rPr>
          <w:color w:val="auto"/>
          <w:highlight w:val="none"/>
        </w:rPr>
        <w:t>本项目建设完成后，</w:t>
      </w:r>
      <w:r>
        <w:rPr>
          <w:rFonts w:hint="eastAsia"/>
          <w:color w:val="auto"/>
          <w:highlight w:val="none"/>
        </w:rPr>
        <w:t>确保在国产终端上可正常使用，</w:t>
      </w:r>
      <w:r>
        <w:rPr>
          <w:color w:val="auto"/>
          <w:highlight w:val="none"/>
        </w:rPr>
        <w:t>如果有新增国产化服务器、操作系统、数据库等适配改造需求，项目建设方在技术上要支持国产化改造。</w:t>
      </w:r>
    </w:p>
    <w:p>
      <w:pPr>
        <w:pStyle w:val="89"/>
        <w:ind w:firstLine="480"/>
        <w:rPr>
          <w:color w:val="auto"/>
          <w:highlight w:val="none"/>
        </w:rPr>
      </w:pPr>
      <w:r>
        <w:rPr>
          <w:rFonts w:hint="eastAsia"/>
          <w:color w:val="auto"/>
          <w:highlight w:val="none"/>
        </w:rPr>
        <w:t>6、平台上架要求</w:t>
      </w:r>
    </w:p>
    <w:p>
      <w:pPr>
        <w:pStyle w:val="89"/>
        <w:ind w:firstLine="480"/>
        <w:rPr>
          <w:color w:val="auto"/>
          <w:highlight w:val="none"/>
        </w:rPr>
      </w:pPr>
      <w:r>
        <w:rPr>
          <w:rFonts w:hint="eastAsia"/>
          <w:color w:val="auto"/>
          <w:highlight w:val="none"/>
        </w:rPr>
        <w:t>本项目要求整体或部分内容上架浙政钉，以移动端为主，web端等应用为辅。</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5、培训要求</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1、现场培训</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所有产品部署现场，投标方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2、课程培训</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投标方应提供专门的课程培训，包括理论教授，问题讨论和上机操作，以便采购人能够迅速掌握相应的培训内容，同时为采购人自主组织开展培训推广提供支持。</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应提供详细的培训计划，包括课程的内容、资料讲义、授课方式、课程目标。</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3、培训费用</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所有培训所涉及的所有费用应由投标方出资，不得另行向采购人收取。</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6、售后要求</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1、投标方需对所提交的系统提供自终验合格之日起3年的免费质保期服务。</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保期内均提供（7*24）上门维护、升级服务，对故障即时响应，2小时以内到现场，4小时以内提出问题解决方案并实施。逾期未作出响应，投标方应承担由于故障所造成的全部损失。质保期内产生的维护费用均由投标人承担。</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3、▲在质保期内，中标单位需提供一名开发人员驻场协助开发、运维工作，驻场办公场所由招标人提供。</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4、技术服务特别提示</w:t>
      </w:r>
    </w:p>
    <w:p>
      <w:pPr>
        <w:widowControl/>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需求在开发期和试运行期内，仍有可能不断完善，投标人须承诺在采购需求或政策法规范围内，随着采购人需求的变动随时作出响应，修改应用软件。正式验收通过后，若有需求变动，在免费维护期内，投标人须承诺在采购需求和政策法规范围内，仍应免费按采购人需求对整个系统做出相应修改，以满足采购人的需求。</w:t>
      </w:r>
    </w:p>
    <w:p>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7、项目验收要求</w:t>
      </w:r>
    </w:p>
    <w:p>
      <w:pPr>
        <w:pStyle w:val="2"/>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通过试运行后，中标方向甲方提出终验申请，甲方组织相关单位进行系统的终验。系统终验合格的条件必须至少满足以下三个要求：已提供了合同要求的全部软件系统、应用软件的所有开发源代码、开发环境和可执行文件，涉及到加密的要提供解密算法；提供完整的系统配套的产品资料，包括系统安装配置手册、系统功能设计说明书、用户使用手册等；试运行时性能满足合同要求；测试和试运行时出现的问题已被解决。</w:t>
      </w:r>
    </w:p>
    <w:p>
      <w:pPr>
        <w:spacing w:line="360" w:lineRule="auto"/>
        <w:rPr>
          <w:rFonts w:asciiTheme="minorEastAsia" w:hAnsiTheme="minorEastAsia" w:eastAsiaTheme="minorEastAsia"/>
          <w:b/>
          <w:color w:val="auto"/>
          <w:sz w:val="24"/>
          <w:highlight w:val="none"/>
        </w:rPr>
      </w:pPr>
      <w:r>
        <w:rPr>
          <w:rFonts w:hint="eastAsia" w:ascii="宋体" w:hAnsi="宋体"/>
          <w:b/>
          <w:bCs/>
          <w:color w:val="auto"/>
          <w:szCs w:val="21"/>
          <w:highlight w:val="none"/>
        </w:rPr>
        <w:t>8、</w:t>
      </w:r>
      <w:r>
        <w:rPr>
          <w:rFonts w:hint="eastAsia" w:asciiTheme="minorEastAsia" w:hAnsiTheme="minorEastAsia" w:eastAsiaTheme="minorEastAsia"/>
          <w:b/>
          <w:color w:val="auto"/>
          <w:sz w:val="24"/>
          <w:highlight w:val="none"/>
        </w:rPr>
        <w:t xml:space="preserve"> 其他要求</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1、针对本项目定制开发部分的知识产权归甲方所有。</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2、需向采购单位开放本项目的源代码、数据结构、涉及到加密的要提供解密算法。</w:t>
      </w:r>
    </w:p>
    <w:p>
      <w:pPr>
        <w:spacing w:line="360" w:lineRule="auto"/>
        <w:ind w:firstLine="424" w:firstLineChars="177"/>
        <w:rPr>
          <w:rFonts w:asciiTheme="minorEastAsia" w:hAnsiTheme="minorEastAsia" w:eastAsiaTheme="minorEastAsia"/>
          <w:color w:val="auto"/>
          <w:sz w:val="24"/>
          <w:highlight w:val="none"/>
        </w:rPr>
      </w:pPr>
      <w:r>
        <w:rPr>
          <w:rFonts w:hint="eastAsia" w:ascii="宋体" w:hAnsi="宋体"/>
          <w:color w:val="auto"/>
          <w:sz w:val="24"/>
          <w:highlight w:val="none"/>
        </w:rPr>
        <w:t>3、开放涉及本系统所有的相关接口。</w:t>
      </w:r>
    </w:p>
    <w:p>
      <w:pPr>
        <w:pStyle w:val="2"/>
        <w:ind w:firstLine="0"/>
        <w:rPr>
          <w:color w:val="auto"/>
          <w:highlight w:val="none"/>
        </w:rPr>
      </w:pPr>
    </w:p>
    <w:p>
      <w:pPr>
        <w:pStyle w:val="23"/>
        <w:rPr>
          <w:rFonts w:ascii="宋体" w:hAnsi="宋体" w:cs="宋体"/>
          <w:color w:val="auto"/>
          <w:highlight w:val="none"/>
        </w:rPr>
      </w:pPr>
    </w:p>
    <w:p>
      <w:pPr>
        <w:pStyle w:val="5"/>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商务需求</w:t>
      </w:r>
    </w:p>
    <w:p>
      <w:pPr>
        <w:pStyle w:val="13"/>
        <w:snapToGrid w:val="0"/>
        <w:spacing w:line="360" w:lineRule="auto"/>
        <w:outlineLvl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1、服务期：</w:t>
      </w:r>
      <w:r>
        <w:rPr>
          <w:rFonts w:hint="eastAsia" w:hAnsi="宋体"/>
          <w:color w:val="auto"/>
          <w:sz w:val="24"/>
          <w:highlight w:val="none"/>
        </w:rPr>
        <w:t>验收合格后</w:t>
      </w:r>
      <w:r>
        <w:rPr>
          <w:rFonts w:hint="eastAsia" w:asciiTheme="minorEastAsia" w:hAnsiTheme="minorEastAsia" w:eastAsiaTheme="minorEastAsia"/>
          <w:color w:val="auto"/>
          <w:sz w:val="24"/>
          <w:highlight w:val="none"/>
        </w:rPr>
        <w:t>免费</w:t>
      </w:r>
      <w:r>
        <w:rPr>
          <w:rFonts w:hint="eastAsia" w:hAnsi="宋体" w:cs="宋体"/>
          <w:color w:val="auto"/>
          <w:sz w:val="24"/>
          <w:highlight w:val="none"/>
        </w:rPr>
        <w:t>质保三年。</w:t>
      </w:r>
    </w:p>
    <w:p>
      <w:pPr>
        <w:pStyle w:val="13"/>
        <w:snapToGrid w:val="0"/>
        <w:spacing w:line="360" w:lineRule="auto"/>
        <w:outlineLvl w:val="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2、交货时间及地点：</w:t>
      </w:r>
      <w:r>
        <w:rPr>
          <w:rFonts w:hint="eastAsia" w:asciiTheme="minorEastAsia" w:hAnsiTheme="minorEastAsia" w:eastAsiaTheme="minorEastAsia"/>
          <w:color w:val="auto"/>
          <w:kern w:val="0"/>
          <w:sz w:val="24"/>
          <w:highlight w:val="none"/>
        </w:rPr>
        <w:t>同前面“招标项目一览表”内所填的相关内容。</w:t>
      </w:r>
    </w:p>
    <w:p>
      <w:pPr>
        <w:spacing w:line="360" w:lineRule="auto"/>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sz w:val="24"/>
          <w:highlight w:val="none"/>
        </w:rPr>
        <w:t>付款条件：</w:t>
      </w:r>
      <w:r>
        <w:rPr>
          <w:rFonts w:hint="eastAsia" w:asciiTheme="minorEastAsia" w:hAnsiTheme="minorEastAsia" w:eastAsiaTheme="minorEastAsia" w:cstheme="minorEastAsia"/>
          <w:color w:val="auto"/>
          <w:sz w:val="24"/>
          <w:highlight w:val="none"/>
        </w:rPr>
        <w:t>在签订合同后5个工作日内支付合同金额的</w:t>
      </w: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0%，初验通过后5个工作日内支付合同金额的30%，终验通过后5个工作日内支付合同金额的</w:t>
      </w:r>
      <w:r>
        <w:rPr>
          <w:rFonts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0%。</w:t>
      </w:r>
      <w:r>
        <w:rPr>
          <w:rFonts w:hint="eastAsia" w:ascii="宋体" w:hAnsi="宋体" w:cs="宋体"/>
          <w:color w:val="auto"/>
          <w:sz w:val="24"/>
          <w:highlight w:val="none"/>
        </w:rPr>
        <w:br w:type="page"/>
      </w: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第五章 合同主要条款</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项目名称：</w:t>
      </w:r>
      <w:r>
        <w:rPr>
          <w:rFonts w:hint="eastAsia" w:ascii="宋体" w:hAnsi="宋体" w:cs="宋体"/>
          <w:color w:val="auto"/>
          <w:sz w:val="24"/>
          <w:highlight w:val="none"/>
        </w:rPr>
        <w:t xml:space="preserve">行政执法证据共享应用项目     </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rPr>
        <w:t>ZJWS2021-JJ316</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甲方（采购方）：</w:t>
      </w:r>
      <w:r>
        <w:rPr>
          <w:rFonts w:hint="eastAsia" w:ascii="宋体" w:hAnsi="宋体" w:cs="宋体"/>
          <w:color w:val="auto"/>
          <w:sz w:val="24"/>
          <w:highlight w:val="none"/>
        </w:rPr>
        <w:t>台州市综合行政执法局</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乙方（供应商）：</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鉴证方（招标方）：</w:t>
      </w:r>
      <w:r>
        <w:rPr>
          <w:rFonts w:hint="eastAsia" w:ascii="宋体" w:hAnsi="宋体" w:cs="宋体"/>
          <w:color w:val="auto"/>
          <w:sz w:val="24"/>
          <w:highlight w:val="none"/>
        </w:rPr>
        <w:t>浙江五石中正工程咨询有限公司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甲、乙双方根据台州市综合行政执法局行政执法证据共享应用项目公开招标的结果，签署本合同。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一、合同金额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1.乙方应按招标文件规定的时间向甲方提供有关技术资料。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四、履约保证金 </w:t>
      </w:r>
    </w:p>
    <w:p>
      <w:pPr>
        <w:spacing w:line="360" w:lineRule="auto"/>
        <w:ind w:firstLine="480" w:firstLineChars="200"/>
        <w:rPr>
          <w:rFonts w:ascii="宋体" w:hAnsi="宋体" w:cs="宋体"/>
          <w:color w:val="auto"/>
          <w:sz w:val="24"/>
          <w:highlight w:val="none"/>
        </w:rPr>
      </w:pPr>
      <w:r>
        <w:rPr>
          <w:rFonts w:hint="eastAsia" w:asciiTheme="majorEastAsia" w:hAnsiTheme="majorEastAsia" w:cstheme="majorEastAsia"/>
          <w:color w:val="auto"/>
          <w:sz w:val="24"/>
          <w:highlight w:val="none"/>
        </w:rPr>
        <w:t>中标后签订合同前5个工作日内，乙方需以保函形式提供甲方合同金额的</w:t>
      </w:r>
      <w:r>
        <w:rPr>
          <w:rFonts w:asciiTheme="majorEastAsia" w:hAnsiTheme="majorEastAsia" w:cstheme="majorEastAsia"/>
          <w:color w:val="auto"/>
          <w:sz w:val="24"/>
          <w:highlight w:val="none"/>
        </w:rPr>
        <w:t>2.</w:t>
      </w:r>
      <w:r>
        <w:rPr>
          <w:rFonts w:hint="eastAsia" w:asciiTheme="majorEastAsia" w:hAnsiTheme="majorEastAsia" w:cstheme="majorEastAsia"/>
          <w:color w:val="auto"/>
          <w:sz w:val="24"/>
          <w:highlight w:val="none"/>
        </w:rPr>
        <w:t>5%作为履约保证金，甲方在项目验收后5个工作日内退还乙方。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五、转包或分包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1.本合同范围的服务，应由乙方直接提供服务，不得转让他人提供服务；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3.如有转让和未经甲方同意的分包行为，甲方有权解除合同，追究乙方的违约责任。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六、合同履行时间、履行方式及履行地点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1.履行时间：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2.履行方式：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3.履行地点：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正式签订合同后7个工作日内支付40%合同款，初验合格后7个工作日内支付30%合同款，终验合格后支付30%合同款。</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八、税费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九、质量保证及售后服务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2.乙方提供的服务成果对达不到要求者，根据实际情况，经双方协商，可按以下办法处理：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3．如在服务过程中发生问题，乙方在接到甲方通知后在1小时内到达甲方现场。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w:t>
      </w:r>
    </w:p>
    <w:p>
      <w:pPr>
        <w:spacing w:line="360" w:lineRule="auto"/>
        <w:rPr>
          <w:rFonts w:ascii="宋体" w:hAnsi="宋体" w:cs="宋体"/>
          <w:color w:val="auto"/>
          <w:sz w:val="24"/>
          <w:highlight w:val="none"/>
        </w:rPr>
      </w:pPr>
      <w:r>
        <w:rPr>
          <w:rFonts w:hint="eastAsia" w:ascii="宋体" w:hAnsi="宋体" w:cs="宋体"/>
          <w:color w:val="auto"/>
          <w:sz w:val="24"/>
          <w:highlight w:val="none"/>
        </w:rPr>
        <w:t>五向乙方支付违约金。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十一、不可抗力事件处理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十二、诉讼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双方在执行合同中所发生的一切争议，应通过协商解决。如协商不成，可向甲方所在地人民法院提起诉讼。</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十三、合同生效及其它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2.本合同未尽事宜，遵照《民法典》有关条文执行。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3.本合同一式六份。甲、乙双方各执两份，采购代理机构及政府采购监管处两份。本项目未尽事宜以招标文件、投标文件及澄清文件等为准。</w:t>
      </w:r>
    </w:p>
    <w:p>
      <w:pPr>
        <w:pStyle w:val="26"/>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甲方（公章）：                         乙方（公章）：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       法定代表人或委托代理人（签字）：</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开户银行（必填）：                     开户银行（必填）：</w:t>
      </w:r>
    </w:p>
    <w:p>
      <w:pPr>
        <w:spacing w:line="360" w:lineRule="auto"/>
        <w:rPr>
          <w:rFonts w:ascii="宋体" w:hAnsi="宋体" w:cs="宋体"/>
          <w:color w:val="auto"/>
          <w:sz w:val="24"/>
          <w:highlight w:val="none"/>
        </w:rPr>
      </w:pPr>
      <w:r>
        <w:rPr>
          <w:rFonts w:hint="eastAsia" w:ascii="宋体" w:hAnsi="宋体" w:cs="宋体"/>
          <w:color w:val="auto"/>
          <w:sz w:val="24"/>
          <w:highlight w:val="none"/>
        </w:rPr>
        <w:t>账号（必填）：                         账号（必填）：</w:t>
      </w:r>
    </w:p>
    <w:p>
      <w:pPr>
        <w:spacing w:line="360" w:lineRule="auto"/>
        <w:rPr>
          <w:rFonts w:ascii="宋体" w:hAnsi="宋体" w:cs="宋体"/>
          <w:color w:val="auto"/>
          <w:sz w:val="24"/>
          <w:highlight w:val="none"/>
        </w:rPr>
      </w:pPr>
      <w:r>
        <w:rPr>
          <w:rFonts w:hint="eastAsia" w:ascii="宋体" w:hAnsi="宋体" w:cs="宋体"/>
          <w:color w:val="auto"/>
          <w:sz w:val="24"/>
          <w:highlight w:val="none"/>
        </w:rPr>
        <w:t>签订时间：     年   月   日            签订时间：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鉴证方（鉴证章）：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jc w:val="center"/>
        <w:rPr>
          <w:rFonts w:asciiTheme="minorEastAsia" w:hAnsiTheme="minorEastAsia" w:eastAsiaTheme="minorEastAsia" w:cstheme="minorEastAsia"/>
          <w:b/>
          <w:bCs/>
          <w:color w:val="auto"/>
          <w:sz w:val="36"/>
          <w:szCs w:val="4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附件考核表</w:t>
      </w:r>
    </w:p>
    <w:p>
      <w:pPr>
        <w:spacing w:line="360" w:lineRule="auto"/>
        <w:jc w:val="center"/>
        <w:rPr>
          <w:rFonts w:asciiTheme="minorEastAsia" w:hAnsiTheme="minorEastAsia" w:eastAsiaTheme="minorEastAsia" w:cstheme="minorEastAsia"/>
          <w:b/>
          <w:bCs/>
          <w:color w:val="auto"/>
          <w:sz w:val="36"/>
          <w:szCs w:val="44"/>
          <w:highlight w:val="none"/>
        </w:rPr>
      </w:pPr>
    </w:p>
    <w:p>
      <w:pPr>
        <w:pStyle w:val="26"/>
        <w:ind w:left="0" w:leftChars="0" w:firstLine="0"/>
        <w:rPr>
          <w:rFonts w:asciiTheme="minorEastAsia" w:hAnsiTheme="minorEastAsia" w:eastAsiaTheme="minorEastAsia" w:cstheme="minorEastAsia"/>
          <w:b/>
          <w:bCs/>
          <w:color w:val="auto"/>
          <w:sz w:val="36"/>
          <w:szCs w:val="44"/>
          <w:highlight w:val="none"/>
        </w:rPr>
      </w:pPr>
    </w:p>
    <w:p>
      <w:pPr>
        <w:pStyle w:val="26"/>
        <w:rPr>
          <w:rFonts w:asciiTheme="minorEastAsia" w:hAnsiTheme="minorEastAsia" w:eastAsiaTheme="minorEastAsia" w:cstheme="minorEastAsia"/>
          <w:b/>
          <w:bCs/>
          <w:color w:val="auto"/>
          <w:sz w:val="36"/>
          <w:szCs w:val="44"/>
          <w:highlight w:val="none"/>
        </w:rPr>
      </w:pPr>
    </w:p>
    <w:p>
      <w:pPr>
        <w:pStyle w:val="26"/>
        <w:rPr>
          <w:rFonts w:asciiTheme="minorEastAsia" w:hAnsiTheme="minorEastAsia" w:eastAsiaTheme="minorEastAsia" w:cstheme="minorEastAsia"/>
          <w:b/>
          <w:bCs/>
          <w:color w:val="auto"/>
          <w:sz w:val="36"/>
          <w:szCs w:val="44"/>
          <w:highlight w:val="none"/>
        </w:rPr>
      </w:pPr>
    </w:p>
    <w:p>
      <w:pPr>
        <w:pStyle w:val="26"/>
        <w:ind w:left="0" w:leftChars="0" w:firstLine="0"/>
        <w:rPr>
          <w:rFonts w:asciiTheme="minorEastAsia" w:hAnsiTheme="minorEastAsia" w:eastAsiaTheme="minorEastAsia" w:cstheme="minorEastAsia"/>
          <w:b/>
          <w:bCs/>
          <w:color w:val="auto"/>
          <w:sz w:val="36"/>
          <w:szCs w:val="44"/>
          <w:highlight w:val="none"/>
        </w:rPr>
      </w:pPr>
    </w:p>
    <w:p>
      <w:pPr>
        <w:spacing w:line="360" w:lineRule="auto"/>
        <w:jc w:val="center"/>
        <w:rPr>
          <w:rFonts w:ascii="宋体" w:hAnsi="宋体" w:cs="宋体"/>
          <w:b/>
          <w:bCs/>
          <w:color w:val="auto"/>
          <w:sz w:val="36"/>
          <w:szCs w:val="44"/>
          <w:highlight w:val="none"/>
        </w:rPr>
      </w:pPr>
      <w:bookmarkStart w:id="3" w:name="_GoBack"/>
      <w:bookmarkEnd w:id="3"/>
      <w:r>
        <w:rPr>
          <w:rFonts w:hint="eastAsia" w:ascii="宋体" w:hAnsi="宋体" w:cs="宋体"/>
          <w:b/>
          <w:bCs/>
          <w:color w:val="auto"/>
          <w:sz w:val="36"/>
          <w:szCs w:val="44"/>
          <w:highlight w:val="none"/>
        </w:rPr>
        <w:t>第六章 投标文件格式附件</w:t>
      </w:r>
    </w:p>
    <w:p>
      <w:pP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pacing w:line="360" w:lineRule="auto"/>
        <w:rPr>
          <w:rFonts w:ascii="宋体" w:hAnsi="宋体" w:cs="宋体"/>
          <w:b/>
          <w:color w:val="auto"/>
          <w:sz w:val="30"/>
          <w:szCs w:val="30"/>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（1）投标声明书；</w:t>
      </w:r>
    </w:p>
    <w:p>
      <w:pPr>
        <w:spacing w:line="360" w:lineRule="auto"/>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w:t>
      </w:r>
    </w:p>
    <w:p>
      <w:pPr>
        <w:spacing w:line="360" w:lineRule="auto"/>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（4）具有良好的商业信誉和健全的财务会计制度的承诺；</w:t>
      </w:r>
    </w:p>
    <w:p>
      <w:pPr>
        <w:spacing w:line="360" w:lineRule="auto"/>
        <w:rPr>
          <w:rFonts w:ascii="宋体" w:hAnsi="宋体" w:cs="宋体"/>
          <w:color w:val="auto"/>
          <w:sz w:val="24"/>
          <w:highlight w:val="none"/>
        </w:rPr>
      </w:pPr>
      <w:r>
        <w:rPr>
          <w:rFonts w:hint="eastAsia" w:ascii="宋体" w:hAnsi="宋体" w:cs="宋体"/>
          <w:color w:val="auto"/>
          <w:sz w:val="24"/>
          <w:highlight w:val="none"/>
        </w:rPr>
        <w:t>（5）依法缴纳税收和社会保障资金的承诺；</w:t>
      </w:r>
    </w:p>
    <w:p>
      <w:pPr>
        <w:spacing w:line="360" w:lineRule="auto"/>
        <w:rPr>
          <w:rFonts w:ascii="宋体" w:hAnsi="宋体" w:cs="宋体"/>
          <w:color w:val="auto"/>
          <w:sz w:val="24"/>
          <w:highlight w:val="none"/>
        </w:rPr>
      </w:pPr>
      <w:r>
        <w:rPr>
          <w:rFonts w:hint="eastAsia" w:ascii="宋体" w:hAnsi="宋体" w:cs="宋体"/>
          <w:color w:val="auto"/>
          <w:sz w:val="24"/>
          <w:highlight w:val="none"/>
        </w:rPr>
        <w:t>（6）参加政府采购活动前三年内，在经营活动中没有重大违法记录；</w:t>
      </w:r>
    </w:p>
    <w:p>
      <w:pPr>
        <w:spacing w:line="360" w:lineRule="auto"/>
        <w:rPr>
          <w:rFonts w:ascii="宋体" w:hAnsi="宋体" w:cs="宋体"/>
          <w:color w:val="auto"/>
          <w:sz w:val="24"/>
          <w:highlight w:val="none"/>
        </w:rPr>
      </w:pPr>
      <w:r>
        <w:rPr>
          <w:rFonts w:hint="eastAsia" w:ascii="宋体" w:hAnsi="宋体" w:cs="宋体"/>
          <w:color w:val="auto"/>
          <w:sz w:val="24"/>
          <w:highlight w:val="none"/>
        </w:rPr>
        <w:t>（7）需要说明的其他资料。</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18"/>
        <w:spacing w:line="360" w:lineRule="auto"/>
        <w:ind w:left="0" w:firstLine="0" w:firstLineChars="0"/>
        <w:outlineLvl w:val="2"/>
        <w:rPr>
          <w:rFonts w:ascii="宋体" w:hAnsi="宋体" w:cs="宋体"/>
          <w:b/>
          <w:color w:val="auto"/>
          <w:sz w:val="28"/>
          <w:highlight w:val="none"/>
        </w:rPr>
      </w:pPr>
    </w:p>
    <w:p>
      <w:pPr>
        <w:pStyle w:val="18"/>
        <w:spacing w:line="360" w:lineRule="auto"/>
        <w:ind w:left="0" w:firstLine="0" w:firstLineChars="0"/>
        <w:outlineLvl w:val="2"/>
        <w:rPr>
          <w:rFonts w:ascii="宋体" w:hAnsi="宋体" w:cs="宋体"/>
          <w:b/>
          <w:color w:val="auto"/>
          <w:sz w:val="28"/>
          <w:highlight w:val="none"/>
        </w:rPr>
      </w:pPr>
    </w:p>
    <w:p>
      <w:pPr>
        <w:pStyle w:val="18"/>
        <w:spacing w:line="360" w:lineRule="auto"/>
        <w:ind w:left="0" w:firstLine="0" w:firstLineChars="0"/>
        <w:outlineLvl w:val="2"/>
        <w:rPr>
          <w:rFonts w:ascii="宋体" w:hAnsi="宋体" w:cs="宋体"/>
          <w:b/>
          <w:color w:val="auto"/>
          <w:sz w:val="28"/>
          <w:highlight w:val="none"/>
        </w:rPr>
      </w:pPr>
    </w:p>
    <w:p>
      <w:pPr>
        <w:pStyle w:val="18"/>
        <w:spacing w:line="360" w:lineRule="auto"/>
        <w:ind w:left="0" w:firstLine="0" w:firstLineChars="0"/>
        <w:outlineLvl w:val="2"/>
        <w:rPr>
          <w:rFonts w:ascii="宋体" w:hAnsi="宋体" w:cs="宋体"/>
          <w:b/>
          <w:color w:val="auto"/>
          <w:sz w:val="28"/>
          <w:highlight w:val="none"/>
        </w:rPr>
      </w:pPr>
    </w:p>
    <w:p>
      <w:pPr>
        <w:pStyle w:val="18"/>
        <w:spacing w:line="360" w:lineRule="auto"/>
        <w:ind w:left="0" w:firstLine="0" w:firstLineChars="0"/>
        <w:outlineLvl w:val="2"/>
        <w:rPr>
          <w:rFonts w:ascii="宋体" w:hAnsi="宋体" w:cs="宋体"/>
          <w:b/>
          <w:color w:val="auto"/>
          <w:sz w:val="28"/>
          <w:highlight w:val="none"/>
        </w:rPr>
      </w:pPr>
    </w:p>
    <w:p>
      <w:pPr>
        <w:pStyle w:val="18"/>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附件2 </w:t>
      </w:r>
    </w:p>
    <w:p>
      <w:pPr>
        <w:adjustRightInd w:val="0"/>
        <w:snapToGrid w:val="0"/>
        <w:spacing w:line="360" w:lineRule="auto"/>
        <w:ind w:right="480"/>
        <w:jc w:val="cente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kern w:val="0"/>
          <w:sz w:val="24"/>
          <w:highlight w:val="none"/>
          <w:lang w:val="zh-CN"/>
        </w:rPr>
        <w:t>投标声明书</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 xml:space="preserve">   （投标人名称）         </w:t>
      </w:r>
      <w:r>
        <w:rPr>
          <w:rFonts w:hint="eastAsia" w:asciiTheme="minorEastAsia" w:hAnsiTheme="minorEastAsia" w:eastAsiaTheme="minorEastAsia" w:cstheme="minorEastAsia"/>
          <w:color w:val="auto"/>
          <w:kern w:val="0"/>
          <w:sz w:val="24"/>
          <w:highlight w:val="none"/>
        </w:rPr>
        <w:t>系中华人民共和国合法企业，经营地址</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w:t>
      </w:r>
      <w:r>
        <w:rPr>
          <w:rFonts w:hint="eastAsia" w:asciiTheme="minorEastAsia" w:hAnsiTheme="minorEastAsia" w:eastAsiaTheme="minorEastAsia" w:cstheme="minorEastAsia"/>
          <w:color w:val="auto"/>
          <w:kern w:val="0"/>
          <w:sz w:val="24"/>
          <w:highlight w:val="none"/>
          <w:u w:val="single"/>
        </w:rPr>
        <w:t xml:space="preserve">   姓名   </w:t>
      </w:r>
      <w:r>
        <w:rPr>
          <w:rFonts w:hint="eastAsia" w:asciiTheme="minorEastAsia" w:hAnsiTheme="minorEastAsia" w:eastAsiaTheme="minorEastAsia" w:cstheme="minorEastAsia"/>
          <w:color w:val="auto"/>
          <w:kern w:val="0"/>
          <w:sz w:val="24"/>
          <w:highlight w:val="none"/>
        </w:rPr>
        <w:t>）系（</w:t>
      </w:r>
      <w:r>
        <w:rPr>
          <w:rFonts w:hint="eastAsia" w:asciiTheme="minorEastAsia" w:hAnsiTheme="minorEastAsia" w:eastAsiaTheme="minorEastAsia" w:cstheme="minorEastAsia"/>
          <w:color w:val="auto"/>
          <w:kern w:val="0"/>
          <w:sz w:val="24"/>
          <w:highlight w:val="none"/>
          <w:u w:val="single"/>
        </w:rPr>
        <w:t xml:space="preserve">    投标人名称    </w:t>
      </w:r>
      <w:r>
        <w:rPr>
          <w:rFonts w:hint="eastAsia" w:asciiTheme="minorEastAsia" w:hAnsiTheme="minorEastAsia" w:eastAsiaTheme="minorEastAsia" w:cstheme="minorEastAsia"/>
          <w:color w:val="auto"/>
          <w:kern w:val="0"/>
          <w:sz w:val="24"/>
          <w:highlight w:val="none"/>
        </w:rPr>
        <w:t>）的法定代表人，我公司自愿参加贵方组织的</w:t>
      </w:r>
      <w:r>
        <w:rPr>
          <w:rFonts w:hint="eastAsia" w:asciiTheme="minorEastAsia" w:hAnsiTheme="minorEastAsia" w:eastAsiaTheme="minorEastAsia" w:cstheme="minorEastAsia"/>
          <w:color w:val="auto"/>
          <w:kern w:val="0"/>
          <w:sz w:val="24"/>
          <w:highlight w:val="none"/>
          <w:u w:val="single"/>
        </w:rPr>
        <w:t>行政执法证据共享应用项目</w:t>
      </w:r>
      <w:r>
        <w:rPr>
          <w:rFonts w:hint="eastAsia" w:asciiTheme="minorEastAsia" w:hAnsiTheme="minorEastAsia" w:eastAsiaTheme="minorEastAsia" w:cstheme="minorEastAsia"/>
          <w:color w:val="auto"/>
          <w:kern w:val="0"/>
          <w:sz w:val="24"/>
          <w:highlight w:val="none"/>
        </w:rPr>
        <w:t>（编号为</w:t>
      </w:r>
      <w:r>
        <w:rPr>
          <w:rFonts w:hint="eastAsia" w:asciiTheme="minorEastAsia" w:hAnsiTheme="minorEastAsia" w:eastAsiaTheme="minorEastAsia" w:cstheme="minorEastAsia"/>
          <w:color w:val="auto"/>
          <w:kern w:val="0"/>
          <w:sz w:val="24"/>
          <w:highlight w:val="none"/>
          <w:u w:val="single"/>
        </w:rPr>
        <w:t>ZJWS2021-JJ316</w:t>
      </w:r>
      <w:r>
        <w:rPr>
          <w:rFonts w:hint="eastAsia" w:asciiTheme="minorEastAsia" w:hAnsiTheme="minorEastAsia" w:eastAsiaTheme="minorEastAsia" w:cstheme="minorEastAsia"/>
          <w:color w:val="auto"/>
          <w:kern w:val="0"/>
          <w:sz w:val="24"/>
          <w:highlight w:val="none"/>
        </w:rPr>
        <w:t>）的投标，为此，我公司就本次投标有关事项郑重声明如下：</w:t>
      </w:r>
    </w:p>
    <w:p>
      <w:pPr>
        <w:snapToGrid w:val="0"/>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sz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Theme="minorEastAsia" w:hAnsiTheme="minorEastAsia" w:eastAsiaTheme="minorEastAsia" w:cstheme="minorEastAsia"/>
          <w:color w:val="auto"/>
          <w:kern w:val="0"/>
          <w:sz w:val="24"/>
          <w:highlight w:val="none"/>
          <w:lang w:val="af-ZA"/>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kern w:val="0"/>
          <w:sz w:val="24"/>
          <w:highlight w:val="none"/>
        </w:rPr>
        <w:t>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kern w:val="0"/>
          <w:sz w:val="24"/>
          <w:highlight w:val="none"/>
        </w:rPr>
        <w:t>保证，</w:t>
      </w:r>
      <w:r>
        <w:rPr>
          <w:rFonts w:hint="eastAsia" w:asciiTheme="minorEastAsia" w:hAnsiTheme="minorEastAsia" w:eastAsiaTheme="minorEastAsia" w:cstheme="minorEastAsia"/>
          <w:color w:val="auto"/>
          <w:kern w:val="0"/>
          <w:sz w:val="24"/>
          <w:highlight w:val="none"/>
          <w:lang w:val="af-ZA"/>
        </w:rPr>
        <w:t>采购人在中华人民共和国境内使用</w:t>
      </w:r>
      <w:r>
        <w:rPr>
          <w:rFonts w:hint="eastAsia" w:asciiTheme="minorEastAsia" w:hAnsiTheme="minorEastAsia" w:eastAsiaTheme="minorEastAsia" w:cstheme="minorEastAsia"/>
          <w:color w:val="auto"/>
          <w:kern w:val="0"/>
          <w:sz w:val="24"/>
          <w:highlight w:val="none"/>
        </w:rPr>
        <w:t>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af-ZA"/>
        </w:rPr>
        <w:t>5、我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kern w:val="0"/>
          <w:sz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6、以上事项如有虚假或隐瞒，我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sz w:val="24"/>
          <w:highlight w:val="none"/>
        </w:rPr>
        <w:t>愿意承担一切后果，并不再寻求任何旨在减轻或免除法律责任的辩解。</w:t>
      </w:r>
    </w:p>
    <w:p>
      <w:pPr>
        <w:adjustRightInd w:val="0"/>
        <w:snapToGrid w:val="0"/>
        <w:spacing w:line="360" w:lineRule="auto"/>
        <w:jc w:val="left"/>
        <w:rPr>
          <w:rFonts w:asciiTheme="minorEastAsia" w:hAnsiTheme="minorEastAsia" w:eastAsiaTheme="minorEastAsia" w:cstheme="minorEastAsia"/>
          <w:color w:val="auto"/>
          <w:kern w:val="0"/>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投标人名称(公章)：</w:t>
      </w:r>
      <w:r>
        <w:rPr>
          <w:rFonts w:hint="eastAsia" w:asciiTheme="minorEastAsia" w:hAnsiTheme="minorEastAsia" w:eastAsiaTheme="minorEastAsia" w:cstheme="minorEastAsia"/>
          <w:color w:val="auto"/>
          <w:kern w:val="0"/>
          <w:sz w:val="24"/>
          <w:highlight w:val="none"/>
          <w:u w:val="single"/>
          <w:lang w:val="zh-CN"/>
        </w:rPr>
        <w:t xml:space="preserve">         </w:t>
      </w:r>
    </w:p>
    <w:p>
      <w:pPr>
        <w:adjustRightInd w:val="0"/>
        <w:snapToGrid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eastAsiaTheme="minorEastAsia" w:cstheme="minorEastAsia"/>
          <w:color w:val="auto"/>
          <w:kern w:val="0"/>
          <w:sz w:val="24"/>
          <w:highlight w:val="none"/>
          <w:lang w:val="zh-CN"/>
        </w:rPr>
        <w:t>)或授权委托代理人(签字)：</w:t>
      </w:r>
      <w:r>
        <w:rPr>
          <w:rFonts w:hint="eastAsia" w:asciiTheme="minorEastAsia" w:hAnsiTheme="minorEastAsia" w:eastAsiaTheme="minorEastAsia" w:cstheme="minorEastAsia"/>
          <w:color w:val="auto"/>
          <w:kern w:val="0"/>
          <w:sz w:val="24"/>
          <w:highlight w:val="none"/>
          <w:u w:val="single"/>
          <w:lang w:val="zh-CN"/>
        </w:rPr>
        <w:t xml:space="preserve">         </w:t>
      </w:r>
    </w:p>
    <w:p>
      <w:pPr>
        <w:adjustRightInd w:val="0"/>
        <w:snapToGrid w:val="0"/>
        <w:spacing w:line="360" w:lineRule="auto"/>
        <w:ind w:right="48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w:t>
      </w:r>
    </w:p>
    <w:p>
      <w:pPr>
        <w:spacing w:line="360" w:lineRule="auto"/>
        <w:jc w:val="left"/>
        <w:rPr>
          <w:rFonts w:ascii="宋体" w:hAnsi="宋体" w:cs="宋体"/>
          <w:b/>
          <w:color w:val="auto"/>
          <w:sz w:val="28"/>
          <w:highlight w:val="none"/>
        </w:rPr>
      </w:pPr>
      <w:r>
        <w:rPr>
          <w:rFonts w:hint="eastAsia" w:ascii="宋体" w:hAnsi="宋体" w:cs="宋体"/>
          <w:b/>
          <w:color w:val="auto"/>
          <w:sz w:val="28"/>
          <w:highlight w:val="none"/>
        </w:rPr>
        <w:t>附件3</w:t>
      </w: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授权委托书</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浙江五石中正工程咨询有限公司</w:t>
      </w:r>
      <w:r>
        <w:rPr>
          <w:rFonts w:hint="eastAsia" w:asciiTheme="minorEastAsia" w:hAnsiTheme="minorEastAsia" w:eastAsiaTheme="minorEastAsia" w:cstheme="minorEastAsia"/>
          <w:color w:val="auto"/>
          <w:sz w:val="24"/>
          <w:highlight w:val="none"/>
        </w:rPr>
        <w:t>（采购代理机构名称）：</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（投标人全称）</w:t>
      </w:r>
      <w:r>
        <w:rPr>
          <w:rFonts w:hint="eastAsia" w:asciiTheme="minorEastAsia" w:hAnsiTheme="minorEastAsia" w:eastAsiaTheme="minorEastAsia" w:cstheme="minorEastAsia"/>
          <w:color w:val="auto"/>
          <w:sz w:val="24"/>
          <w:highlight w:val="none"/>
        </w:rPr>
        <w:t>法定代表人（或营业执照中单位负责人）</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 xml:space="preserve">（法定代表人或营业执照中单位负责人姓名） </w:t>
      </w:r>
      <w:r>
        <w:rPr>
          <w:rFonts w:hint="eastAsia" w:asciiTheme="minorEastAsia" w:hAnsiTheme="minorEastAsia" w:eastAsiaTheme="minorEastAsia" w:cstheme="minorEastAsia"/>
          <w:color w:val="auto"/>
          <w:sz w:val="24"/>
          <w:highlight w:val="none"/>
        </w:rPr>
        <w:t>授权</w:t>
      </w:r>
      <w:r>
        <w:rPr>
          <w:rFonts w:hint="eastAsia" w:asciiTheme="minorEastAsia" w:hAnsiTheme="minorEastAsia" w:eastAsiaTheme="minorEastAsia" w:cstheme="minorEastAsia"/>
          <w:color w:val="auto"/>
          <w:sz w:val="24"/>
          <w:highlight w:val="none"/>
          <w:u w:val="single"/>
        </w:rPr>
        <w:t xml:space="preserve"> （授权委托代理人姓名） </w:t>
      </w:r>
      <w:r>
        <w:rPr>
          <w:rFonts w:hint="eastAsia" w:asciiTheme="minorEastAsia" w:hAnsiTheme="minorEastAsia" w:eastAsiaTheme="minorEastAsia" w:cstheme="minorEastAsia"/>
          <w:color w:val="auto"/>
          <w:sz w:val="24"/>
          <w:highlight w:val="none"/>
        </w:rPr>
        <w:t>为授权委托代理人，参加贵单位组织的</w:t>
      </w:r>
      <w:r>
        <w:rPr>
          <w:rFonts w:hint="eastAsia" w:asciiTheme="minorEastAsia" w:hAnsiTheme="minorEastAsia" w:eastAsiaTheme="minorEastAsia" w:cstheme="minorEastAsia"/>
          <w:color w:val="auto"/>
          <w:sz w:val="24"/>
          <w:highlight w:val="none"/>
          <w:u w:val="single"/>
        </w:rPr>
        <w:t xml:space="preserve"> 行政执法证据共享应用项目 </w:t>
      </w:r>
      <w:r>
        <w:rPr>
          <w:rFonts w:hint="eastAsia" w:asciiTheme="minorEastAsia" w:hAnsiTheme="minorEastAsia" w:eastAsiaTheme="minorEastAsia" w:cstheme="minorEastAsia"/>
          <w:color w:val="auto"/>
          <w:sz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授权委托代理人无转委托权，特此委托。</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投标人全称（公章）：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日</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w:t>
            </w:r>
          </w:p>
        </w:tc>
      </w:tr>
    </w:tbl>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法定代表人姓名：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详细通讯地址：</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p>
      <w:pPr>
        <w:spacing w:line="360" w:lineRule="auto"/>
        <w:rPr>
          <w:rFonts w:asciiTheme="minorEastAsia" w:hAnsiTheme="minorEastAsia" w:eastAsiaTheme="minorEastAsia" w:cstheme="minorEastAsia"/>
          <w:b/>
          <w:color w:val="auto"/>
          <w:sz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授权委托代理人身份证复印件粘帖处</w:t>
            </w:r>
          </w:p>
        </w:tc>
      </w:tr>
    </w:tbl>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授权委托代理人姓名：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详细通讯地址：</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p>
      <w:pPr>
        <w:pStyle w:val="18"/>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附件4               </w:t>
      </w:r>
    </w:p>
    <w:p>
      <w:pPr>
        <w:pStyle w:val="18"/>
        <w:spacing w:line="360" w:lineRule="auto"/>
        <w:ind w:left="0" w:firstLine="0" w:firstLineChars="0"/>
        <w:jc w:val="center"/>
        <w:outlineLvl w:val="2"/>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有效的法人或者其他组织的营业执照等证明文件（复印件），自然人的身份证明</w:t>
      </w:r>
    </w:p>
    <w:p>
      <w:pPr>
        <w:pStyle w:val="18"/>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pPr>
        <w:pStyle w:val="18"/>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pPr>
        <w:pStyle w:val="18"/>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pPr>
        <w:spacing w:line="360" w:lineRule="auto"/>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说明：</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1.如供应商是企业（包括合伙企业），提供在工商部门注册的有效“企业法人营业执照”或“营业执照”；</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2.如供应商是事业单位，提供有效的“事业单位法人证书”；</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3.如供应商是非企业专业服务机构的，提供执业许可证等证明文件；</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4.如供应商是个体工商户，提供有效的“个体工商户营业执照”；</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5.如供应商是自然人，提供有效的自然人身份证明。</w:t>
      </w:r>
    </w:p>
    <w:p>
      <w:pPr>
        <w:spacing w:after="312" w:afterLines="100" w:line="480" w:lineRule="auto"/>
        <w:jc w:val="left"/>
        <w:rPr>
          <w:rFonts w:ascii="宋体" w:hAnsi="宋体" w:cs="宋体"/>
          <w:b/>
          <w:color w:val="auto"/>
          <w:sz w:val="28"/>
          <w:highlight w:val="none"/>
        </w:rPr>
      </w:pPr>
      <w:r>
        <w:rPr>
          <w:rFonts w:hint="eastAsia" w:asciiTheme="minorEastAsia" w:hAnsiTheme="minorEastAsia" w:eastAsiaTheme="minorEastAsia" w:cstheme="minorEastAsia"/>
          <w:b/>
          <w:color w:val="auto"/>
          <w:sz w:val="24"/>
          <w:highlight w:val="none"/>
        </w:rPr>
        <w:br w:type="page"/>
      </w:r>
    </w:p>
    <w:p>
      <w:pPr>
        <w:rPr>
          <w:b/>
          <w:bCs/>
          <w:color w:val="auto"/>
          <w:sz w:val="28"/>
          <w:szCs w:val="28"/>
          <w:highlight w:val="none"/>
        </w:rPr>
      </w:pPr>
      <w:r>
        <w:rPr>
          <w:rFonts w:hint="eastAsia"/>
          <w:b/>
          <w:bCs/>
          <w:color w:val="auto"/>
          <w:sz w:val="28"/>
          <w:szCs w:val="28"/>
          <w:highlight w:val="none"/>
        </w:rPr>
        <w:t>附件5</w:t>
      </w:r>
    </w:p>
    <w:p>
      <w:pPr>
        <w:spacing w:after="312" w:afterLines="100" w:line="48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lang w:val="zh-CN"/>
        </w:rPr>
        <w:t>具备健全的财务会计制度的承诺函</w:t>
      </w:r>
    </w:p>
    <w:p>
      <w:pPr>
        <w:widowControl/>
        <w:spacing w:line="600" w:lineRule="exact"/>
        <w:rPr>
          <w:rFonts w:asciiTheme="minorEastAsia" w:hAnsiTheme="minorEastAsia" w:eastAsiaTheme="minorEastAsia" w:cstheme="minorEastAsia"/>
          <w:color w:val="auto"/>
          <w:kern w:val="0"/>
          <w:sz w:val="24"/>
          <w:highlight w:val="none"/>
        </w:rPr>
      </w:pPr>
    </w:p>
    <w:p>
      <w:pPr>
        <w:widowControl/>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spacing w:val="-6"/>
          <w:sz w:val="24"/>
          <w:highlight w:val="none"/>
          <w:u w:val="single"/>
        </w:rPr>
        <w:t>台州市综合行政执法局、</w:t>
      </w:r>
      <w:r>
        <w:rPr>
          <w:rFonts w:hint="eastAsia" w:asciiTheme="minorEastAsia" w:hAnsiTheme="minorEastAsia" w:eastAsiaTheme="minorEastAsia" w:cstheme="minorEastAsia"/>
          <w:color w:val="auto"/>
          <w:sz w:val="24"/>
          <w:highlight w:val="none"/>
          <w:u w:val="single"/>
        </w:rPr>
        <w:t>浙江五石中正工程咨询有限公司</w:t>
      </w:r>
    </w:p>
    <w:p>
      <w:pPr>
        <w:pStyle w:val="11"/>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我公司参加</w:t>
      </w:r>
      <w:r>
        <w:rPr>
          <w:rFonts w:hint="eastAsia" w:asciiTheme="minorEastAsia" w:hAnsiTheme="minorEastAsia" w:eastAsiaTheme="minorEastAsia" w:cstheme="minorEastAsia"/>
          <w:color w:val="auto"/>
          <w:highlight w:val="none"/>
          <w:u w:val="single"/>
        </w:rPr>
        <w:t>行政执法证据共享应用项目（编号为ZJWS2021-JJ316）</w:t>
      </w:r>
      <w:r>
        <w:rPr>
          <w:rFonts w:hint="eastAsia" w:asciiTheme="minorEastAsia" w:hAnsiTheme="minorEastAsia" w:eastAsiaTheme="minorEastAsia" w:cstheme="minorEastAsia"/>
          <w:color w:val="auto"/>
          <w:highlight w:val="none"/>
        </w:rPr>
        <w:t>的投标活动，作如下承诺：</w:t>
      </w:r>
    </w:p>
    <w:p>
      <w:pPr>
        <w:pStyle w:val="11"/>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pPr>
        <w:spacing w:line="6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spacing w:line="360" w:lineRule="auto"/>
        <w:rPr>
          <w:rFonts w:asciiTheme="minorEastAsia" w:hAnsiTheme="minorEastAsia" w:eastAsiaTheme="minorEastAsia" w:cstheme="minorEastAsia"/>
          <w:color w:val="auto"/>
          <w:sz w:val="24"/>
          <w:highlight w:val="none"/>
          <w:lang w:val="zh-CN"/>
        </w:rPr>
      </w:pPr>
    </w:p>
    <w:p>
      <w:pPr>
        <w:pStyle w:val="11"/>
        <w:rPr>
          <w:rFonts w:asciiTheme="minorEastAsia" w:hAnsiTheme="minorEastAsia" w:eastAsiaTheme="minorEastAsia" w:cstheme="minorEastAsia"/>
          <w:color w:val="auto"/>
          <w:highlight w:val="none"/>
          <w:lang w:val="zh-CN"/>
        </w:rPr>
      </w:pPr>
    </w:p>
    <w:p>
      <w:pPr>
        <w:pStyle w:val="11"/>
        <w:rPr>
          <w:rFonts w:asciiTheme="minorEastAsia" w:hAnsiTheme="minorEastAsia" w:eastAsiaTheme="minorEastAsia" w:cstheme="minorEastAsia"/>
          <w:color w:val="auto"/>
          <w:highlight w:val="none"/>
          <w:lang w:val="zh-CN"/>
        </w:rPr>
      </w:pPr>
    </w:p>
    <w:p>
      <w:pPr>
        <w:pStyle w:val="11"/>
        <w:rPr>
          <w:rFonts w:asciiTheme="minorEastAsia" w:hAnsiTheme="minorEastAsia" w:eastAsiaTheme="minorEastAsia" w:cstheme="minorEastAsia"/>
          <w:color w:val="auto"/>
          <w:highlight w:val="none"/>
          <w:lang w:val="zh-CN"/>
        </w:rPr>
      </w:pPr>
    </w:p>
    <w:p>
      <w:pPr>
        <w:widowControl/>
        <w:wordWrap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rPr>
        <w:t xml:space="preserve">(公章)：             </w:t>
      </w:r>
    </w:p>
    <w:p>
      <w:pPr>
        <w:widowControl/>
        <w:spacing w:line="360" w:lineRule="auto"/>
        <w:jc w:val="left"/>
        <w:rPr>
          <w:rFonts w:asciiTheme="minorEastAsia" w:hAnsiTheme="minorEastAsia" w:eastAsiaTheme="minorEastAsia" w:cstheme="minorEastAsia"/>
          <w:color w:val="auto"/>
          <w:kern w:val="0"/>
          <w:sz w:val="24"/>
          <w:highlight w:val="none"/>
        </w:rPr>
      </w:pPr>
    </w:p>
    <w:p>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p>
    <w:p>
      <w:pPr>
        <w:widowControl/>
        <w:spacing w:line="360" w:lineRule="auto"/>
        <w:jc w:val="left"/>
        <w:rPr>
          <w:rFonts w:asciiTheme="minorEastAsia" w:hAnsiTheme="minorEastAsia" w:eastAsiaTheme="minorEastAsia" w:cstheme="minorEastAsia"/>
          <w:color w:val="auto"/>
          <w:kern w:val="0"/>
          <w:sz w:val="24"/>
          <w:highlight w:val="none"/>
        </w:rPr>
      </w:pPr>
    </w:p>
    <w:p>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w:t>
      </w:r>
    </w:p>
    <w:p>
      <w:pPr>
        <w:spacing w:line="360" w:lineRule="auto"/>
        <w:rPr>
          <w:rFonts w:asciiTheme="minorEastAsia" w:hAnsiTheme="minorEastAsia" w:eastAsiaTheme="minorEastAsia" w:cstheme="minorEastAsia"/>
          <w:b/>
          <w:bCs/>
          <w:color w:val="auto"/>
          <w:spacing w:val="-6"/>
          <w:sz w:val="24"/>
          <w:highlight w:val="none"/>
        </w:rPr>
      </w:pPr>
    </w:p>
    <w:p>
      <w:pPr>
        <w:adjustRightInd w:val="0"/>
        <w:spacing w:line="360" w:lineRule="auto"/>
        <w:rPr>
          <w:rFonts w:ascii="宋体" w:hAnsi="宋体" w:cs="宋体"/>
          <w:b/>
          <w:color w:val="auto"/>
          <w:sz w:val="28"/>
          <w:highlight w:val="none"/>
        </w:rPr>
      </w:pPr>
      <w:r>
        <w:rPr>
          <w:rFonts w:hint="eastAsia" w:asciiTheme="minorEastAsia" w:hAnsiTheme="minorEastAsia" w:eastAsiaTheme="minorEastAsia" w:cstheme="minorEastAsia"/>
          <w:b/>
          <w:bCs/>
          <w:color w:val="auto"/>
          <w:spacing w:val="-6"/>
          <w:sz w:val="24"/>
          <w:highlight w:val="none"/>
        </w:rPr>
        <w:br w:type="page"/>
      </w:r>
    </w:p>
    <w:p>
      <w:pPr>
        <w:rPr>
          <w:rFonts w:asciiTheme="minorEastAsia" w:hAnsiTheme="minorEastAsia" w:eastAsiaTheme="minorEastAsia" w:cstheme="minorEastAsia"/>
          <w:b/>
          <w:color w:val="auto"/>
          <w:sz w:val="24"/>
          <w:highlight w:val="none"/>
        </w:rPr>
      </w:pPr>
      <w:r>
        <w:rPr>
          <w:rFonts w:hint="eastAsia"/>
          <w:b/>
          <w:bCs/>
          <w:color w:val="auto"/>
          <w:sz w:val="28"/>
          <w:szCs w:val="28"/>
          <w:highlight w:val="none"/>
        </w:rPr>
        <w:t>附件6</w:t>
      </w:r>
    </w:p>
    <w:p>
      <w:pPr>
        <w:spacing w:after="312" w:afterLines="100" w:line="48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lang w:val="zh-CN"/>
        </w:rPr>
        <w:t>无税收缴纳、社会保障等方面的失信记录的承诺函</w:t>
      </w:r>
    </w:p>
    <w:p>
      <w:pPr>
        <w:widowControl/>
        <w:spacing w:line="600" w:lineRule="exact"/>
        <w:rPr>
          <w:rFonts w:asciiTheme="minorEastAsia" w:hAnsiTheme="minorEastAsia" w:eastAsiaTheme="minorEastAsia" w:cstheme="minorEastAsia"/>
          <w:color w:val="auto"/>
          <w:kern w:val="0"/>
          <w:sz w:val="24"/>
          <w:highlight w:val="none"/>
        </w:rPr>
      </w:pPr>
    </w:p>
    <w:p>
      <w:pPr>
        <w:widowControl/>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spacing w:val="-6"/>
          <w:sz w:val="24"/>
          <w:highlight w:val="none"/>
          <w:u w:val="single"/>
        </w:rPr>
        <w:t>台州市综合行政执法局、</w:t>
      </w:r>
      <w:r>
        <w:rPr>
          <w:rFonts w:hint="eastAsia" w:asciiTheme="minorEastAsia" w:hAnsiTheme="minorEastAsia" w:eastAsiaTheme="minorEastAsia" w:cstheme="minorEastAsia"/>
          <w:color w:val="auto"/>
          <w:sz w:val="24"/>
          <w:highlight w:val="none"/>
          <w:u w:val="single"/>
        </w:rPr>
        <w:t>浙江五石中正工程咨询有限公司</w:t>
      </w:r>
    </w:p>
    <w:p>
      <w:pPr>
        <w:pStyle w:val="11"/>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我公司参加</w:t>
      </w:r>
      <w:r>
        <w:rPr>
          <w:rFonts w:hint="eastAsia" w:asciiTheme="minorEastAsia" w:hAnsiTheme="minorEastAsia" w:eastAsiaTheme="minorEastAsia" w:cstheme="minorEastAsia"/>
          <w:color w:val="auto"/>
          <w:highlight w:val="none"/>
          <w:u w:val="single"/>
        </w:rPr>
        <w:t>行政执法证据共享应用项目（编号为ZJWS2021-JJ316）</w:t>
      </w:r>
      <w:r>
        <w:rPr>
          <w:rFonts w:hint="eastAsia" w:asciiTheme="minorEastAsia" w:hAnsiTheme="minorEastAsia" w:eastAsiaTheme="minorEastAsia" w:cstheme="minorEastAsia"/>
          <w:color w:val="auto"/>
          <w:highlight w:val="none"/>
        </w:rPr>
        <w:t>的投标活动，作如下承诺：</w:t>
      </w:r>
    </w:p>
    <w:p>
      <w:pPr>
        <w:pStyle w:val="11"/>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spacing w:line="360" w:lineRule="auto"/>
        <w:rPr>
          <w:rFonts w:asciiTheme="minorEastAsia" w:hAnsiTheme="minorEastAsia" w:eastAsiaTheme="minorEastAsia" w:cstheme="minorEastAsia"/>
          <w:color w:val="auto"/>
          <w:sz w:val="24"/>
          <w:highlight w:val="none"/>
          <w:lang w:val="zh-CN"/>
        </w:rPr>
      </w:pPr>
    </w:p>
    <w:p>
      <w:pPr>
        <w:pStyle w:val="11"/>
        <w:rPr>
          <w:rFonts w:asciiTheme="minorEastAsia" w:hAnsiTheme="minorEastAsia" w:eastAsiaTheme="minorEastAsia" w:cstheme="minorEastAsia"/>
          <w:color w:val="auto"/>
          <w:highlight w:val="none"/>
          <w:lang w:val="zh-CN"/>
        </w:rPr>
      </w:pPr>
    </w:p>
    <w:p>
      <w:pPr>
        <w:pStyle w:val="11"/>
        <w:rPr>
          <w:rFonts w:asciiTheme="minorEastAsia" w:hAnsiTheme="minorEastAsia" w:eastAsiaTheme="minorEastAsia" w:cstheme="minorEastAsia"/>
          <w:color w:val="auto"/>
          <w:highlight w:val="none"/>
          <w:lang w:val="zh-CN"/>
        </w:rPr>
      </w:pPr>
    </w:p>
    <w:p>
      <w:pPr>
        <w:widowControl/>
        <w:wordWrap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rPr>
        <w:t xml:space="preserve">(公章)：             </w:t>
      </w:r>
    </w:p>
    <w:p>
      <w:pPr>
        <w:widowControl/>
        <w:spacing w:line="360" w:lineRule="auto"/>
        <w:jc w:val="left"/>
        <w:rPr>
          <w:rFonts w:asciiTheme="minorEastAsia" w:hAnsiTheme="minorEastAsia" w:eastAsiaTheme="minorEastAsia" w:cstheme="minorEastAsia"/>
          <w:color w:val="auto"/>
          <w:kern w:val="0"/>
          <w:sz w:val="24"/>
          <w:highlight w:val="none"/>
        </w:rPr>
      </w:pPr>
    </w:p>
    <w:p>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p>
    <w:p>
      <w:pPr>
        <w:widowControl/>
        <w:spacing w:line="360" w:lineRule="auto"/>
        <w:jc w:val="left"/>
        <w:rPr>
          <w:rFonts w:asciiTheme="minorEastAsia" w:hAnsiTheme="minorEastAsia" w:eastAsiaTheme="minorEastAsia" w:cstheme="minorEastAsia"/>
          <w:color w:val="auto"/>
          <w:kern w:val="0"/>
          <w:sz w:val="24"/>
          <w:highlight w:val="none"/>
        </w:rPr>
      </w:pPr>
    </w:p>
    <w:p>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w:t>
      </w:r>
    </w:p>
    <w:p>
      <w:pPr>
        <w:pStyle w:val="57"/>
        <w:shd w:val="clear" w:color="auto" w:fill="FFFFFF"/>
        <w:spacing w:before="0" w:beforeAutospacing="0" w:after="0" w:afterAutospacing="0" w:line="360" w:lineRule="auto"/>
        <w:rPr>
          <w:rFonts w:asciiTheme="minorEastAsia" w:hAnsiTheme="minorEastAsia" w:eastAsiaTheme="minorEastAsia" w:cstheme="minorEastAsia"/>
          <w:b/>
          <w:color w:val="auto"/>
          <w:highlight w:val="none"/>
        </w:rPr>
      </w:pPr>
    </w:p>
    <w:p>
      <w:pPr>
        <w:spacing w:line="360" w:lineRule="auto"/>
        <w:rPr>
          <w:rFonts w:asciiTheme="minorEastAsia" w:hAnsiTheme="minorEastAsia" w:eastAsiaTheme="minorEastAsia" w:cstheme="minorEastAsia"/>
          <w:b/>
          <w:color w:val="auto"/>
          <w:sz w:val="24"/>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rPr>
          <w:b/>
          <w:bCs/>
          <w:color w:val="auto"/>
          <w:sz w:val="28"/>
          <w:szCs w:val="28"/>
          <w:highlight w:val="none"/>
        </w:rPr>
      </w:pPr>
      <w:r>
        <w:rPr>
          <w:rFonts w:hint="eastAsia"/>
          <w:b/>
          <w:bCs/>
          <w:color w:val="auto"/>
          <w:sz w:val="28"/>
          <w:szCs w:val="28"/>
          <w:highlight w:val="none"/>
        </w:rPr>
        <w:t>附件7</w:t>
      </w:r>
    </w:p>
    <w:p>
      <w:pPr>
        <w:widowControl/>
        <w:spacing w:line="360" w:lineRule="auto"/>
        <w:jc w:val="center"/>
        <w:outlineLvl w:val="2"/>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参加政府采购活动前3年内在经营活动中没有重大违法记录的书面声明</w:t>
      </w:r>
    </w:p>
    <w:p>
      <w:pPr>
        <w:pStyle w:val="18"/>
        <w:spacing w:line="360" w:lineRule="auto"/>
        <w:ind w:left="169" w:hanging="169" w:hangingChars="74"/>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声明函</w:t>
      </w:r>
    </w:p>
    <w:p>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rPr>
        <w:t>台州市综合行政执法局、浙江五石中正工程咨询有限公司</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pPr>
        <w:spacing w:line="360" w:lineRule="auto"/>
        <w:rPr>
          <w:rFonts w:asciiTheme="minorEastAsia" w:hAnsiTheme="minorEastAsia" w:eastAsiaTheme="minorEastAsia" w:cstheme="minorEastAsia"/>
          <w:color w:val="auto"/>
          <w:spacing w:val="-6"/>
          <w:sz w:val="24"/>
          <w:highlight w:val="none"/>
        </w:rPr>
      </w:pPr>
    </w:p>
    <w:p>
      <w:pPr>
        <w:pStyle w:val="84"/>
        <w:spacing w:line="360" w:lineRule="auto"/>
        <w:rPr>
          <w:rFonts w:asciiTheme="minorEastAsia" w:hAnsiTheme="minorEastAsia" w:eastAsiaTheme="minorEastAsia" w:cstheme="minorEastAsia"/>
          <w:color w:val="auto"/>
          <w:spacing w:val="-6"/>
          <w:highlight w:val="none"/>
        </w:rPr>
      </w:pPr>
    </w:p>
    <w:p>
      <w:pPr>
        <w:pStyle w:val="85"/>
        <w:spacing w:line="360" w:lineRule="auto"/>
        <w:ind w:left="0"/>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供应商名称（盖章）：</w:t>
      </w:r>
    </w:p>
    <w:p>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供应商授权代表签字：</w:t>
      </w:r>
    </w:p>
    <w:p>
      <w:pPr>
        <w:widowControl/>
        <w:tabs>
          <w:tab w:val="left" w:pos="3225"/>
        </w:tabs>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pPr>
        <w:snapToGrid w:val="0"/>
        <w:spacing w:line="360" w:lineRule="auto"/>
        <w:ind w:firstLine="2160" w:firstLineChars="900"/>
        <w:rPr>
          <w:rFonts w:asciiTheme="minorEastAsia" w:hAnsiTheme="minorEastAsia" w:eastAsiaTheme="minorEastAsia" w:cstheme="minorEastAsia"/>
          <w:color w:val="auto"/>
          <w:sz w:val="24"/>
          <w:highlight w:val="none"/>
          <w:lang w:val="zh-CN"/>
        </w:rPr>
      </w:pPr>
    </w:p>
    <w:p>
      <w:pPr>
        <w:spacing w:line="360" w:lineRule="auto"/>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附件8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pacing w:line="360" w:lineRule="auto"/>
        <w:rPr>
          <w:rFonts w:ascii="宋体" w:hAnsi="宋体" w:cs="宋体"/>
          <w:color w:val="auto"/>
          <w:sz w:val="24"/>
          <w:szCs w:val="32"/>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23"/>
        <w:rPr>
          <w:rFonts w:ascii="宋体" w:hAnsi="宋体" w:cs="宋体"/>
          <w:color w:val="auto"/>
          <w:highlight w:val="none"/>
        </w:rPr>
      </w:pPr>
    </w:p>
    <w:p>
      <w:pPr>
        <w:rPr>
          <w:color w:val="auto"/>
          <w:highlight w:val="none"/>
        </w:rPr>
      </w:pPr>
    </w:p>
    <w:p>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color w:val="auto"/>
          <w:sz w:val="24"/>
          <w:szCs w:val="32"/>
          <w:highlight w:val="none"/>
        </w:rPr>
      </w:pPr>
    </w:p>
    <w:p>
      <w:pPr>
        <w:pStyle w:val="7"/>
        <w:rPr>
          <w:color w:val="auto"/>
          <w:highlight w:val="none"/>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9</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57"/>
              <w:shd w:val="clear" w:color="auto" w:fill="FFFFFF"/>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pPr>
              <w:pStyle w:val="57"/>
              <w:shd w:val="clear" w:color="auto" w:fill="FFFFFF"/>
              <w:spacing w:line="360" w:lineRule="auto"/>
              <w:jc w:val="both"/>
              <w:rPr>
                <w:bCs/>
                <w:color w:val="auto"/>
                <w:highlight w:val="none"/>
              </w:rPr>
            </w:pPr>
          </w:p>
        </w:tc>
        <w:tc>
          <w:tcPr>
            <w:tcW w:w="1560" w:type="dxa"/>
            <w:vAlign w:val="center"/>
          </w:tcPr>
          <w:p>
            <w:pPr>
              <w:pStyle w:val="57"/>
              <w:shd w:val="clear" w:color="auto" w:fill="FFFFFF"/>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pPr>
              <w:pStyle w:val="57"/>
              <w:shd w:val="clear" w:color="auto" w:fill="FFFFFF"/>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57"/>
              <w:shd w:val="clear" w:color="auto" w:fill="FFFFFF"/>
              <w:spacing w:line="360" w:lineRule="auto"/>
              <w:jc w:val="both"/>
              <w:rPr>
                <w:bCs/>
                <w:color w:val="auto"/>
                <w:spacing w:val="16"/>
                <w:highlight w:val="none"/>
              </w:rPr>
            </w:pPr>
            <w:r>
              <w:rPr>
                <w:rFonts w:hint="eastAsia"/>
                <w:bCs/>
                <w:color w:val="auto"/>
                <w:spacing w:val="27"/>
                <w:highlight w:val="none"/>
              </w:rPr>
              <w:t>地址</w:t>
            </w:r>
          </w:p>
        </w:tc>
        <w:tc>
          <w:tcPr>
            <w:tcW w:w="3765" w:type="dxa"/>
            <w:gridSpan w:val="6"/>
            <w:vAlign w:val="center"/>
          </w:tcPr>
          <w:p>
            <w:pPr>
              <w:pStyle w:val="57"/>
              <w:shd w:val="clear" w:color="auto" w:fill="FFFFFF"/>
              <w:spacing w:line="360" w:lineRule="auto"/>
              <w:jc w:val="both"/>
              <w:rPr>
                <w:bCs/>
                <w:color w:val="auto"/>
                <w:spacing w:val="16"/>
                <w:highlight w:val="none"/>
              </w:rPr>
            </w:pPr>
          </w:p>
        </w:tc>
        <w:tc>
          <w:tcPr>
            <w:tcW w:w="1560" w:type="dxa"/>
            <w:vAlign w:val="center"/>
          </w:tcPr>
          <w:p>
            <w:pPr>
              <w:pStyle w:val="57"/>
              <w:shd w:val="clear" w:color="auto" w:fill="FFFFFF"/>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pPr>
              <w:pStyle w:val="57"/>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pPr>
              <w:pStyle w:val="57"/>
              <w:shd w:val="clear" w:color="auto" w:fill="FFFFFF"/>
              <w:spacing w:line="360" w:lineRule="auto"/>
              <w:jc w:val="both"/>
              <w:rPr>
                <w:bCs/>
                <w:color w:val="auto"/>
                <w:spacing w:val="16"/>
                <w:highlight w:val="none"/>
              </w:rPr>
            </w:pPr>
            <w:r>
              <w:rPr>
                <w:rFonts w:hint="eastAsia"/>
                <w:bCs/>
                <w:color w:val="auto"/>
                <w:spacing w:val="27"/>
                <w:highlight w:val="none"/>
              </w:rPr>
              <w:t>股东姓名</w:t>
            </w:r>
          </w:p>
        </w:tc>
        <w:tc>
          <w:tcPr>
            <w:tcW w:w="690" w:type="dxa"/>
            <w:vAlign w:val="center"/>
          </w:tcPr>
          <w:p>
            <w:pPr>
              <w:pStyle w:val="57"/>
              <w:shd w:val="clear" w:color="auto" w:fill="FFFFFF"/>
              <w:spacing w:before="0" w:beforeAutospacing="0" w:after="0" w:afterAutospacing="0" w:line="360" w:lineRule="auto"/>
              <w:jc w:val="both"/>
              <w:rPr>
                <w:bCs/>
                <w:color w:val="auto"/>
                <w:spacing w:val="16"/>
                <w:highlight w:val="none"/>
              </w:rPr>
            </w:pPr>
          </w:p>
        </w:tc>
        <w:tc>
          <w:tcPr>
            <w:tcW w:w="960" w:type="dxa"/>
            <w:gridSpan w:val="2"/>
            <w:vAlign w:val="center"/>
          </w:tcPr>
          <w:p>
            <w:pPr>
              <w:pStyle w:val="57"/>
              <w:shd w:val="clear" w:color="auto" w:fill="FFFFFF"/>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vAlign w:val="center"/>
          </w:tcPr>
          <w:p>
            <w:pPr>
              <w:widowControl/>
              <w:spacing w:line="360" w:lineRule="auto"/>
              <w:rPr>
                <w:rFonts w:ascii="宋体" w:hAnsi="宋体" w:cs="宋体"/>
                <w:bCs/>
                <w:color w:val="auto"/>
                <w:spacing w:val="16"/>
                <w:kern w:val="0"/>
                <w:sz w:val="24"/>
                <w:highlight w:val="none"/>
              </w:rPr>
            </w:pPr>
          </w:p>
          <w:p>
            <w:pPr>
              <w:pStyle w:val="57"/>
              <w:shd w:val="clear" w:color="auto" w:fill="FFFFFF"/>
              <w:spacing w:line="360" w:lineRule="auto"/>
              <w:jc w:val="both"/>
              <w:rPr>
                <w:bCs/>
                <w:color w:val="auto"/>
                <w:spacing w:val="16"/>
                <w:highlight w:val="none"/>
              </w:rPr>
            </w:pPr>
          </w:p>
        </w:tc>
        <w:tc>
          <w:tcPr>
            <w:tcW w:w="1560" w:type="dxa"/>
            <w:vAlign w:val="center"/>
          </w:tcPr>
          <w:p>
            <w:pPr>
              <w:pStyle w:val="57"/>
              <w:shd w:val="clear" w:color="auto" w:fill="FFFFFF"/>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pPr>
              <w:pStyle w:val="57"/>
              <w:shd w:val="clear" w:color="auto" w:fill="FFFFFF"/>
              <w:spacing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57"/>
              <w:shd w:val="clear" w:color="auto" w:fill="FFFFFF"/>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pPr>
              <w:pStyle w:val="57"/>
              <w:shd w:val="clear" w:color="auto" w:fill="FFFFFF"/>
              <w:spacing w:line="360" w:lineRule="auto"/>
              <w:jc w:val="both"/>
              <w:rPr>
                <w:bCs/>
                <w:color w:val="auto"/>
                <w:spacing w:val="16"/>
                <w:highlight w:val="none"/>
              </w:rPr>
            </w:pPr>
          </w:p>
        </w:tc>
        <w:tc>
          <w:tcPr>
            <w:tcW w:w="960" w:type="dxa"/>
            <w:gridSpan w:val="2"/>
            <w:tcBorders>
              <w:top w:val="nil"/>
            </w:tcBorders>
            <w:vAlign w:val="center"/>
          </w:tcPr>
          <w:p>
            <w:pPr>
              <w:pStyle w:val="57"/>
              <w:shd w:val="clear" w:color="auto" w:fill="FFFFFF"/>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tcBorders>
            <w:vAlign w:val="center"/>
          </w:tcPr>
          <w:p>
            <w:pPr>
              <w:widowControl/>
              <w:spacing w:line="360" w:lineRule="auto"/>
              <w:rPr>
                <w:rFonts w:ascii="宋体" w:hAnsi="宋体" w:cs="宋体"/>
                <w:bCs/>
                <w:color w:val="auto"/>
                <w:spacing w:val="16"/>
                <w:kern w:val="0"/>
                <w:sz w:val="24"/>
                <w:highlight w:val="none"/>
              </w:rPr>
            </w:pPr>
          </w:p>
          <w:p>
            <w:pPr>
              <w:pStyle w:val="57"/>
              <w:shd w:val="clear" w:color="auto" w:fill="FFFFFF"/>
              <w:spacing w:line="360" w:lineRule="auto"/>
              <w:jc w:val="both"/>
              <w:rPr>
                <w:bCs/>
                <w:color w:val="auto"/>
                <w:spacing w:val="16"/>
                <w:highlight w:val="none"/>
              </w:rPr>
            </w:pPr>
          </w:p>
        </w:tc>
        <w:tc>
          <w:tcPr>
            <w:tcW w:w="1560" w:type="dxa"/>
            <w:vMerge w:val="restart"/>
            <w:vAlign w:val="center"/>
          </w:tcPr>
          <w:p>
            <w:pPr>
              <w:pStyle w:val="57"/>
              <w:shd w:val="clear" w:color="auto" w:fill="FFFFFF"/>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pPr>
              <w:pStyle w:val="57"/>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pPr>
              <w:pStyle w:val="57"/>
              <w:shd w:val="clear" w:color="auto" w:fill="FFFFFF"/>
              <w:spacing w:line="360" w:lineRule="auto"/>
              <w:ind w:left="107"/>
              <w:jc w:val="both"/>
              <w:rPr>
                <w:bCs/>
                <w:color w:val="auto"/>
                <w:highlight w:val="none"/>
              </w:rPr>
            </w:pPr>
          </w:p>
        </w:tc>
        <w:tc>
          <w:tcPr>
            <w:tcW w:w="690" w:type="dxa"/>
            <w:vMerge w:val="continue"/>
            <w:vAlign w:val="center"/>
          </w:tcPr>
          <w:p>
            <w:pPr>
              <w:pStyle w:val="57"/>
              <w:shd w:val="clear" w:color="auto" w:fill="FFFFFF"/>
              <w:spacing w:line="360" w:lineRule="auto"/>
              <w:jc w:val="both"/>
              <w:rPr>
                <w:bCs/>
                <w:color w:val="auto"/>
                <w:spacing w:val="16"/>
                <w:highlight w:val="none"/>
              </w:rPr>
            </w:pPr>
          </w:p>
        </w:tc>
        <w:tc>
          <w:tcPr>
            <w:tcW w:w="960" w:type="dxa"/>
            <w:gridSpan w:val="2"/>
            <w:vAlign w:val="center"/>
          </w:tcPr>
          <w:p>
            <w:pPr>
              <w:pStyle w:val="57"/>
              <w:shd w:val="clear" w:color="auto" w:fill="FFFFFF"/>
              <w:spacing w:line="360" w:lineRule="auto"/>
              <w:jc w:val="both"/>
              <w:rPr>
                <w:bCs/>
                <w:color w:val="auto"/>
                <w:spacing w:val="16"/>
                <w:highlight w:val="none"/>
              </w:rPr>
            </w:pPr>
            <w:r>
              <w:rPr>
                <w:rFonts w:hint="eastAsia"/>
                <w:bCs/>
                <w:color w:val="auto"/>
                <w:spacing w:val="27"/>
                <w:highlight w:val="none"/>
              </w:rPr>
              <w:t>手机</w:t>
            </w:r>
          </w:p>
        </w:tc>
        <w:tc>
          <w:tcPr>
            <w:tcW w:w="2115" w:type="dxa"/>
            <w:gridSpan w:val="3"/>
            <w:vAlign w:val="center"/>
          </w:tcPr>
          <w:p>
            <w:pPr>
              <w:pStyle w:val="57"/>
              <w:shd w:val="clear" w:color="auto" w:fill="FFFFFF"/>
              <w:spacing w:line="360" w:lineRule="auto"/>
              <w:jc w:val="both"/>
              <w:rPr>
                <w:bCs/>
                <w:color w:val="auto"/>
                <w:spacing w:val="16"/>
                <w:highlight w:val="none"/>
              </w:rPr>
            </w:pPr>
          </w:p>
        </w:tc>
        <w:tc>
          <w:tcPr>
            <w:tcW w:w="1560" w:type="dxa"/>
            <w:vMerge w:val="continue"/>
            <w:vAlign w:val="center"/>
          </w:tcPr>
          <w:p>
            <w:pPr>
              <w:pStyle w:val="57"/>
              <w:shd w:val="clear" w:color="auto" w:fill="FFFFFF"/>
              <w:spacing w:line="360" w:lineRule="auto"/>
              <w:jc w:val="center"/>
              <w:rPr>
                <w:bCs/>
                <w:color w:val="auto"/>
                <w:spacing w:val="16"/>
                <w:highlight w:val="none"/>
              </w:rPr>
            </w:pPr>
          </w:p>
        </w:tc>
        <w:tc>
          <w:tcPr>
            <w:tcW w:w="2608" w:type="dxa"/>
            <w:gridSpan w:val="3"/>
            <w:vMerge w:val="continue"/>
            <w:vAlign w:val="center"/>
          </w:tcPr>
          <w:p>
            <w:pPr>
              <w:pStyle w:val="57"/>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57"/>
              <w:shd w:val="clear" w:color="auto" w:fill="FFFFFF"/>
              <w:spacing w:line="360" w:lineRule="auto"/>
              <w:ind w:left="107"/>
              <w:jc w:val="both"/>
              <w:rPr>
                <w:bCs/>
                <w:color w:val="auto"/>
                <w:highlight w:val="none"/>
              </w:rPr>
            </w:pPr>
            <w:r>
              <w:rPr>
                <w:rFonts w:hint="eastAsia"/>
                <w:bCs/>
                <w:color w:val="auto"/>
                <w:highlight w:val="none"/>
              </w:rPr>
              <w:t>1.</w:t>
            </w:r>
          </w:p>
          <w:p>
            <w:pPr>
              <w:pStyle w:val="57"/>
              <w:shd w:val="clear" w:color="auto" w:fill="FFFFFF"/>
              <w:spacing w:line="360" w:lineRule="auto"/>
              <w:ind w:left="107"/>
              <w:jc w:val="both"/>
              <w:rPr>
                <w:bCs/>
                <w:color w:val="auto"/>
                <w:highlight w:val="none"/>
              </w:rPr>
            </w:pPr>
            <w:r>
              <w:rPr>
                <w:rFonts w:hint="eastAsia"/>
                <w:bCs/>
                <w:color w:val="auto"/>
                <w:highlight w:val="none"/>
              </w:rPr>
              <w:t>企</w:t>
            </w:r>
          </w:p>
          <w:p>
            <w:pPr>
              <w:pStyle w:val="57"/>
              <w:shd w:val="clear" w:color="auto" w:fill="FFFFFF"/>
              <w:spacing w:line="360" w:lineRule="auto"/>
              <w:ind w:left="107"/>
              <w:jc w:val="both"/>
              <w:rPr>
                <w:bCs/>
                <w:color w:val="auto"/>
                <w:highlight w:val="none"/>
              </w:rPr>
            </w:pPr>
            <w:r>
              <w:rPr>
                <w:rFonts w:hint="eastAsia"/>
                <w:bCs/>
                <w:color w:val="auto"/>
                <w:highlight w:val="none"/>
              </w:rPr>
              <w:t>业</w:t>
            </w:r>
          </w:p>
          <w:p>
            <w:pPr>
              <w:pStyle w:val="57"/>
              <w:shd w:val="clear" w:color="auto" w:fill="FFFFFF"/>
              <w:spacing w:line="360" w:lineRule="auto"/>
              <w:ind w:left="107"/>
              <w:jc w:val="both"/>
              <w:rPr>
                <w:bCs/>
                <w:color w:val="auto"/>
                <w:spacing w:val="27"/>
                <w:highlight w:val="none"/>
              </w:rPr>
            </w:pPr>
            <w:r>
              <w:rPr>
                <w:rFonts w:hint="eastAsia"/>
                <w:bCs/>
                <w:color w:val="auto"/>
                <w:spacing w:val="27"/>
                <w:highlight w:val="none"/>
              </w:rPr>
              <w:t>概</w:t>
            </w:r>
          </w:p>
          <w:p>
            <w:pPr>
              <w:pStyle w:val="57"/>
              <w:shd w:val="clear" w:color="auto" w:fill="FFFFFF"/>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pPr>
              <w:pStyle w:val="57"/>
              <w:shd w:val="clear" w:color="auto" w:fill="FFFFFF"/>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pPr>
              <w:pStyle w:val="57"/>
              <w:shd w:val="clear" w:color="auto" w:fill="FFFFFF"/>
              <w:spacing w:line="360" w:lineRule="auto"/>
              <w:jc w:val="both"/>
              <w:rPr>
                <w:bCs/>
                <w:color w:val="auto"/>
                <w:spacing w:val="16"/>
                <w:highlight w:val="none"/>
              </w:rPr>
            </w:pPr>
          </w:p>
        </w:tc>
        <w:tc>
          <w:tcPr>
            <w:tcW w:w="926" w:type="dxa"/>
            <w:tcBorders>
              <w:top w:val="nil"/>
            </w:tcBorders>
            <w:vAlign w:val="center"/>
          </w:tcPr>
          <w:p>
            <w:pPr>
              <w:pStyle w:val="57"/>
              <w:shd w:val="clear" w:color="auto" w:fill="FFFFFF"/>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pPr>
              <w:widowControl/>
              <w:spacing w:line="360" w:lineRule="auto"/>
              <w:rPr>
                <w:rFonts w:ascii="宋体" w:hAnsi="宋体" w:cs="宋体"/>
                <w:bCs/>
                <w:color w:val="auto"/>
                <w:spacing w:val="16"/>
                <w:kern w:val="0"/>
                <w:sz w:val="24"/>
                <w:highlight w:val="none"/>
              </w:rPr>
            </w:pPr>
          </w:p>
          <w:p>
            <w:pPr>
              <w:widowControl/>
              <w:spacing w:line="360" w:lineRule="auto"/>
              <w:rPr>
                <w:rFonts w:ascii="宋体" w:hAnsi="宋体" w:cs="宋体"/>
                <w:bCs/>
                <w:color w:val="auto"/>
                <w:spacing w:val="16"/>
                <w:kern w:val="0"/>
                <w:sz w:val="24"/>
                <w:highlight w:val="none"/>
              </w:rPr>
            </w:pPr>
          </w:p>
          <w:p>
            <w:pPr>
              <w:pStyle w:val="57"/>
              <w:shd w:val="clear" w:color="auto" w:fill="FFFFFF"/>
              <w:spacing w:line="360" w:lineRule="auto"/>
              <w:jc w:val="both"/>
              <w:rPr>
                <w:bCs/>
                <w:color w:val="auto"/>
                <w:spacing w:val="16"/>
                <w:highlight w:val="none"/>
              </w:rPr>
            </w:pPr>
          </w:p>
        </w:tc>
        <w:tc>
          <w:tcPr>
            <w:tcW w:w="1560" w:type="dxa"/>
            <w:vAlign w:val="center"/>
          </w:tcPr>
          <w:p>
            <w:pPr>
              <w:pStyle w:val="57"/>
              <w:shd w:val="clear" w:color="auto" w:fill="FFFFFF"/>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pPr>
              <w:widowControl/>
              <w:spacing w:line="360" w:lineRule="auto"/>
              <w:rPr>
                <w:rFonts w:ascii="宋体" w:hAnsi="宋体" w:cs="宋体"/>
                <w:bCs/>
                <w:color w:val="auto"/>
                <w:spacing w:val="16"/>
                <w:kern w:val="0"/>
                <w:sz w:val="24"/>
                <w:highlight w:val="none"/>
              </w:rPr>
            </w:pPr>
          </w:p>
          <w:p>
            <w:pPr>
              <w:pStyle w:val="57"/>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57"/>
              <w:shd w:val="clear" w:color="auto" w:fill="FFFFFF"/>
              <w:spacing w:line="360" w:lineRule="auto"/>
              <w:ind w:left="107"/>
              <w:jc w:val="both"/>
              <w:rPr>
                <w:bCs/>
                <w:color w:val="auto"/>
                <w:highlight w:val="none"/>
              </w:rPr>
            </w:pPr>
          </w:p>
        </w:tc>
        <w:tc>
          <w:tcPr>
            <w:tcW w:w="690" w:type="dxa"/>
            <w:vAlign w:val="center"/>
          </w:tcPr>
          <w:p>
            <w:pPr>
              <w:pStyle w:val="57"/>
              <w:shd w:val="clear" w:color="auto" w:fill="FFFFFF"/>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pPr>
              <w:pStyle w:val="57"/>
              <w:shd w:val="clear" w:color="auto" w:fill="FFFFFF"/>
              <w:spacing w:line="360" w:lineRule="auto"/>
              <w:jc w:val="both"/>
              <w:rPr>
                <w:bCs/>
                <w:color w:val="auto"/>
                <w:highlight w:val="none"/>
              </w:rPr>
            </w:pPr>
          </w:p>
        </w:tc>
        <w:tc>
          <w:tcPr>
            <w:tcW w:w="926" w:type="dxa"/>
            <w:vAlign w:val="center"/>
          </w:tcPr>
          <w:p>
            <w:pPr>
              <w:pStyle w:val="57"/>
              <w:shd w:val="clear" w:color="auto" w:fill="FFFFFF"/>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pPr>
              <w:pStyle w:val="57"/>
              <w:shd w:val="clear" w:color="auto" w:fill="FFFFFF"/>
              <w:spacing w:line="360" w:lineRule="auto"/>
              <w:jc w:val="both"/>
              <w:rPr>
                <w:bCs/>
                <w:color w:val="auto"/>
                <w:highlight w:val="none"/>
              </w:rPr>
            </w:pPr>
            <w:r>
              <w:rPr>
                <w:rFonts w:hint="eastAsia"/>
                <w:bCs/>
                <w:color w:val="auto"/>
                <w:highlight w:val="none"/>
              </w:rPr>
              <w:t>平方米</w:t>
            </w:r>
          </w:p>
          <w:p>
            <w:pPr>
              <w:pStyle w:val="57"/>
              <w:shd w:val="clear" w:color="auto" w:fill="FFFFFF"/>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pPr>
              <w:pStyle w:val="57"/>
              <w:shd w:val="clear" w:color="auto" w:fill="FFFFFF"/>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pPr>
              <w:pStyle w:val="57"/>
              <w:shd w:val="clear" w:color="auto" w:fill="FFFFFF"/>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57"/>
              <w:shd w:val="clear" w:color="auto" w:fill="FFFFFF"/>
              <w:spacing w:line="360" w:lineRule="auto"/>
              <w:ind w:left="107"/>
              <w:jc w:val="both"/>
              <w:rPr>
                <w:bCs/>
                <w:color w:val="auto"/>
                <w:highlight w:val="none"/>
              </w:rPr>
            </w:pPr>
          </w:p>
        </w:tc>
        <w:tc>
          <w:tcPr>
            <w:tcW w:w="690" w:type="dxa"/>
            <w:vAlign w:val="center"/>
          </w:tcPr>
          <w:p>
            <w:pPr>
              <w:pStyle w:val="57"/>
              <w:shd w:val="clear" w:color="auto" w:fill="FFFFFF"/>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pPr>
              <w:pStyle w:val="57"/>
              <w:shd w:val="clear" w:color="auto" w:fill="FFFFFF"/>
              <w:spacing w:line="360" w:lineRule="auto"/>
              <w:ind w:left="2"/>
              <w:jc w:val="both"/>
              <w:rPr>
                <w:bCs/>
                <w:color w:val="auto"/>
                <w:highlight w:val="none"/>
              </w:rPr>
            </w:pPr>
          </w:p>
        </w:tc>
        <w:tc>
          <w:tcPr>
            <w:tcW w:w="926" w:type="dxa"/>
            <w:vAlign w:val="center"/>
          </w:tcPr>
          <w:p>
            <w:pPr>
              <w:pStyle w:val="57"/>
              <w:shd w:val="clear" w:color="auto" w:fill="FFFFFF"/>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pPr>
              <w:widowControl/>
              <w:spacing w:line="360" w:lineRule="auto"/>
              <w:rPr>
                <w:rFonts w:ascii="宋体" w:hAnsi="宋体" w:cs="宋体"/>
                <w:bCs/>
                <w:color w:val="auto"/>
                <w:kern w:val="0"/>
                <w:sz w:val="24"/>
                <w:highlight w:val="none"/>
              </w:rPr>
            </w:pPr>
          </w:p>
          <w:p>
            <w:pPr>
              <w:pStyle w:val="57"/>
              <w:shd w:val="clear" w:color="auto" w:fill="FFFFFF"/>
              <w:spacing w:line="360" w:lineRule="auto"/>
              <w:ind w:left="107"/>
              <w:jc w:val="both"/>
              <w:rPr>
                <w:bCs/>
                <w:color w:val="auto"/>
                <w:highlight w:val="none"/>
              </w:rPr>
            </w:pPr>
          </w:p>
        </w:tc>
        <w:tc>
          <w:tcPr>
            <w:tcW w:w="1675" w:type="dxa"/>
            <w:gridSpan w:val="2"/>
            <w:vAlign w:val="center"/>
          </w:tcPr>
          <w:p>
            <w:pPr>
              <w:pStyle w:val="57"/>
              <w:shd w:val="clear" w:color="auto" w:fill="FFFFFF"/>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pPr>
              <w:pStyle w:val="57"/>
              <w:shd w:val="clear" w:color="auto" w:fill="FFFFFF"/>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57"/>
              <w:shd w:val="clear" w:color="auto" w:fill="FFFFFF"/>
              <w:spacing w:line="360" w:lineRule="auto"/>
              <w:ind w:left="107"/>
              <w:jc w:val="both"/>
              <w:rPr>
                <w:bCs/>
                <w:color w:val="auto"/>
                <w:highlight w:val="none"/>
              </w:rPr>
            </w:pPr>
          </w:p>
        </w:tc>
        <w:tc>
          <w:tcPr>
            <w:tcW w:w="690" w:type="dxa"/>
            <w:vAlign w:val="center"/>
          </w:tcPr>
          <w:p>
            <w:pPr>
              <w:pStyle w:val="57"/>
              <w:shd w:val="clear" w:color="auto" w:fill="FFFFFF"/>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pPr>
              <w:pStyle w:val="57"/>
              <w:shd w:val="clear" w:color="auto" w:fill="FFFFFF"/>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57"/>
              <w:shd w:val="clear" w:color="auto" w:fill="FFFFFF"/>
              <w:spacing w:line="360" w:lineRule="auto"/>
              <w:ind w:left="107"/>
              <w:jc w:val="both"/>
              <w:rPr>
                <w:bCs/>
                <w:color w:val="auto"/>
                <w:highlight w:val="none"/>
              </w:rPr>
            </w:pPr>
          </w:p>
        </w:tc>
        <w:tc>
          <w:tcPr>
            <w:tcW w:w="7933" w:type="dxa"/>
            <w:gridSpan w:val="10"/>
            <w:vAlign w:val="center"/>
          </w:tcPr>
          <w:p>
            <w:pPr>
              <w:pStyle w:val="57"/>
              <w:shd w:val="clear" w:color="auto" w:fill="FFFFFF"/>
              <w:spacing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57"/>
              <w:shd w:val="clear" w:color="auto" w:fill="FFFFFF"/>
              <w:spacing w:line="360" w:lineRule="auto"/>
              <w:ind w:left="107"/>
              <w:jc w:val="both"/>
              <w:rPr>
                <w:bCs/>
                <w:color w:val="auto"/>
                <w:highlight w:val="none"/>
              </w:rPr>
            </w:pPr>
            <w:r>
              <w:rPr>
                <w:rFonts w:hint="eastAsia"/>
                <w:bCs/>
                <w:color w:val="auto"/>
                <w:highlight w:val="none"/>
              </w:rPr>
              <w:t>2．</w:t>
            </w:r>
          </w:p>
          <w:p>
            <w:pPr>
              <w:pStyle w:val="57"/>
              <w:shd w:val="clear" w:color="auto" w:fill="FFFFFF"/>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pPr>
              <w:pStyle w:val="57"/>
              <w:shd w:val="clear" w:color="auto" w:fill="FFFFFF"/>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pPr>
              <w:pStyle w:val="57"/>
              <w:shd w:val="clear" w:color="auto" w:fill="FFFFFF"/>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pPr>
              <w:pStyle w:val="57"/>
              <w:shd w:val="clear" w:color="auto" w:fill="FFFFFF"/>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pPr>
              <w:pStyle w:val="57"/>
              <w:shd w:val="clear" w:color="auto" w:fill="FFFFFF"/>
              <w:spacing w:line="360" w:lineRule="auto"/>
              <w:jc w:val="both"/>
              <w:rPr>
                <w:bCs/>
                <w:color w:val="auto"/>
                <w:highlight w:val="none"/>
              </w:rPr>
            </w:pPr>
            <w:r>
              <w:rPr>
                <w:rFonts w:hint="eastAsia"/>
                <w:bCs/>
                <w:color w:val="auto"/>
                <w:spacing w:val="27"/>
                <w:highlight w:val="none"/>
              </w:rPr>
              <w:t>编号</w:t>
            </w:r>
          </w:p>
        </w:tc>
        <w:tc>
          <w:tcPr>
            <w:tcW w:w="1618" w:type="dxa"/>
            <w:vAlign w:val="center"/>
          </w:tcPr>
          <w:p>
            <w:pPr>
              <w:pStyle w:val="57"/>
              <w:shd w:val="clear" w:color="auto" w:fill="FFFFFF"/>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pPr>
              <w:pStyle w:val="57"/>
              <w:shd w:val="clear" w:color="auto" w:fill="FFFFFF"/>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57"/>
              <w:shd w:val="clear" w:color="auto" w:fill="FFFFFF"/>
              <w:spacing w:line="360" w:lineRule="auto"/>
              <w:ind w:left="107"/>
              <w:jc w:val="both"/>
              <w:rPr>
                <w:bCs/>
                <w:color w:val="auto"/>
                <w:highlight w:val="none"/>
              </w:rPr>
            </w:pPr>
          </w:p>
        </w:tc>
        <w:tc>
          <w:tcPr>
            <w:tcW w:w="1355" w:type="dxa"/>
            <w:gridSpan w:val="2"/>
            <w:vMerge w:val="continue"/>
            <w:vAlign w:val="center"/>
          </w:tcPr>
          <w:p>
            <w:pPr>
              <w:pStyle w:val="57"/>
              <w:shd w:val="clear" w:color="auto" w:fill="FFFFFF"/>
              <w:spacing w:line="360" w:lineRule="auto"/>
              <w:jc w:val="both"/>
              <w:rPr>
                <w:bCs/>
                <w:color w:val="auto"/>
                <w:highlight w:val="none"/>
              </w:rPr>
            </w:pPr>
          </w:p>
        </w:tc>
        <w:tc>
          <w:tcPr>
            <w:tcW w:w="1333" w:type="dxa"/>
            <w:gridSpan w:val="3"/>
            <w:vAlign w:val="center"/>
          </w:tcPr>
          <w:p>
            <w:pPr>
              <w:pStyle w:val="57"/>
              <w:shd w:val="clear" w:color="auto" w:fill="FFFFFF"/>
              <w:spacing w:line="360" w:lineRule="auto"/>
              <w:jc w:val="both"/>
              <w:rPr>
                <w:bCs/>
                <w:color w:val="auto"/>
                <w:highlight w:val="none"/>
              </w:rPr>
            </w:pPr>
          </w:p>
        </w:tc>
        <w:tc>
          <w:tcPr>
            <w:tcW w:w="1077" w:type="dxa"/>
            <w:vAlign w:val="center"/>
          </w:tcPr>
          <w:p>
            <w:pPr>
              <w:pStyle w:val="57"/>
              <w:shd w:val="clear" w:color="auto" w:fill="FFFFFF"/>
              <w:spacing w:line="360" w:lineRule="auto"/>
              <w:jc w:val="both"/>
              <w:rPr>
                <w:bCs/>
                <w:color w:val="auto"/>
                <w:highlight w:val="none"/>
              </w:rPr>
            </w:pPr>
          </w:p>
        </w:tc>
        <w:tc>
          <w:tcPr>
            <w:tcW w:w="1617" w:type="dxa"/>
            <w:gridSpan w:val="2"/>
            <w:vAlign w:val="center"/>
          </w:tcPr>
          <w:p>
            <w:pPr>
              <w:pStyle w:val="57"/>
              <w:shd w:val="clear" w:color="auto" w:fill="FFFFFF"/>
              <w:spacing w:line="360" w:lineRule="auto"/>
              <w:jc w:val="both"/>
              <w:rPr>
                <w:bCs/>
                <w:color w:val="auto"/>
                <w:highlight w:val="none"/>
              </w:rPr>
            </w:pPr>
          </w:p>
        </w:tc>
        <w:tc>
          <w:tcPr>
            <w:tcW w:w="2551" w:type="dxa"/>
            <w:gridSpan w:val="2"/>
            <w:vAlign w:val="center"/>
          </w:tcPr>
          <w:p>
            <w:pPr>
              <w:pStyle w:val="57"/>
              <w:shd w:val="clear" w:color="auto" w:fill="FFFFFF"/>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57"/>
              <w:shd w:val="clear" w:color="auto" w:fill="FFFFFF"/>
              <w:spacing w:line="360" w:lineRule="auto"/>
              <w:ind w:left="107"/>
              <w:jc w:val="both"/>
              <w:rPr>
                <w:bCs/>
                <w:color w:val="auto"/>
                <w:spacing w:val="16"/>
                <w:highlight w:val="none"/>
              </w:rPr>
            </w:pPr>
          </w:p>
        </w:tc>
        <w:tc>
          <w:tcPr>
            <w:tcW w:w="1355" w:type="dxa"/>
            <w:gridSpan w:val="2"/>
            <w:vAlign w:val="center"/>
          </w:tcPr>
          <w:p>
            <w:pPr>
              <w:pStyle w:val="57"/>
              <w:shd w:val="clear" w:color="auto" w:fill="FFFFFF"/>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pPr>
              <w:pStyle w:val="57"/>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57"/>
              <w:shd w:val="clear" w:color="auto" w:fill="FFFFFF"/>
              <w:spacing w:line="360" w:lineRule="auto"/>
              <w:ind w:left="107"/>
              <w:jc w:val="both"/>
              <w:rPr>
                <w:bCs/>
                <w:color w:val="auto"/>
                <w:spacing w:val="27"/>
                <w:highlight w:val="none"/>
              </w:rPr>
            </w:pPr>
          </w:p>
        </w:tc>
        <w:tc>
          <w:tcPr>
            <w:tcW w:w="1355" w:type="dxa"/>
            <w:gridSpan w:val="2"/>
            <w:vAlign w:val="center"/>
          </w:tcPr>
          <w:p>
            <w:pPr>
              <w:pStyle w:val="57"/>
              <w:shd w:val="clear" w:color="auto" w:fill="FFFFFF"/>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pPr>
              <w:pStyle w:val="57"/>
              <w:shd w:val="clear" w:color="auto" w:fill="FFFFFF"/>
              <w:spacing w:line="360" w:lineRule="auto"/>
              <w:jc w:val="both"/>
              <w:rPr>
                <w:bCs/>
                <w:color w:val="auto"/>
                <w:spacing w:val="16"/>
                <w:highlight w:val="none"/>
              </w:rPr>
            </w:pPr>
          </w:p>
        </w:tc>
      </w:tr>
    </w:tbl>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pacing w:line="360" w:lineRule="auto"/>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p>
    <w:p>
      <w:pPr>
        <w:spacing w:line="360" w:lineRule="auto"/>
        <w:rPr>
          <w:rFonts w:ascii="宋体" w:hAnsi="宋体" w:cs="宋体"/>
          <w:color w:val="auto"/>
          <w:sz w:val="24"/>
          <w:highlight w:val="none"/>
        </w:rPr>
      </w:pPr>
      <w:r>
        <w:rPr>
          <w:rFonts w:hint="eastAsia" w:ascii="宋体" w:hAnsi="宋体" w:cs="宋体"/>
          <w:b/>
          <w:color w:val="auto"/>
          <w:sz w:val="28"/>
          <w:highlight w:val="none"/>
        </w:rPr>
        <w:t>附件10</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7"/>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6"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bl>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3.出具上述人员在本单位服务的外部证明，如：投标截止日之前六个月以内的代缴个税税单、参加社会保险的《投保单》或《社会保险参保人员证明》等。</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附件11</w:t>
      </w:r>
    </w:p>
    <w:p>
      <w:pPr>
        <w:spacing w:before="156" w:beforeLines="50" w:after="156"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vAlign w:val="center"/>
          </w:tcPr>
          <w:p>
            <w:pPr>
              <w:jc w:val="center"/>
              <w:rPr>
                <w:rFonts w:ascii="宋体" w:hAnsi="宋体" w:cs="宋体"/>
                <w:b/>
                <w:bCs/>
                <w:color w:val="auto"/>
                <w:sz w:val="24"/>
                <w:highlight w:val="none"/>
                <w:lang w:val="zh-CN"/>
              </w:rPr>
            </w:pPr>
          </w:p>
        </w:tc>
        <w:tc>
          <w:tcPr>
            <w:tcW w:w="3685" w:type="dxa"/>
            <w:tcBorders>
              <w:top w:val="single" w:color="auto" w:sz="12" w:space="0"/>
              <w:righ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vAlign w:val="center"/>
          </w:tcPr>
          <w:p>
            <w:pPr>
              <w:jc w:val="center"/>
              <w:rPr>
                <w:rFonts w:ascii="宋体" w:hAnsi="宋体" w:cs="宋体"/>
                <w:b/>
                <w:bCs/>
                <w:color w:val="auto"/>
                <w:sz w:val="24"/>
                <w:highlight w:val="none"/>
                <w:lang w:val="zh-CN"/>
              </w:rPr>
            </w:pPr>
          </w:p>
        </w:tc>
        <w:tc>
          <w:tcPr>
            <w:tcW w:w="3685" w:type="dxa"/>
            <w:vMerge w:val="restart"/>
            <w:tcBorders>
              <w:right w:val="single" w:color="auto" w:sz="1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hAnsi="宋体" w:cs="宋体"/>
                <w:b/>
                <w:bCs/>
                <w:color w:val="auto"/>
                <w:sz w:val="24"/>
                <w:highlight w:val="none"/>
                <w:lang w:val="zh-CN"/>
              </w:rPr>
            </w:pPr>
          </w:p>
        </w:tc>
      </w:tr>
    </w:tbl>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12</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（第 标）</w:t>
      </w:r>
    </w:p>
    <w:p>
      <w:pP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pacing w:line="360" w:lineRule="auto"/>
        <w:rPr>
          <w:rFonts w:ascii="宋体" w:hAnsi="宋体" w:cs="宋体"/>
          <w:color w:val="auto"/>
          <w:sz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73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pPr>
              <w:spacing w:line="360" w:lineRule="auto"/>
              <w:ind w:left="52"/>
              <w:rPr>
                <w:rFonts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pP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rPr>
          <w:rFonts w:ascii="宋体" w:hAnsi="宋体" w:cs="宋体"/>
          <w:b/>
          <w:bCs/>
          <w:color w:val="auto"/>
          <w:sz w:val="28"/>
          <w:szCs w:val="36"/>
          <w:highlight w:val="none"/>
          <w:lang w:val="zh-CN"/>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pacing w:line="360" w:lineRule="auto"/>
        <w:jc w:val="left"/>
        <w:rPr>
          <w:rFonts w:ascii="宋体" w:hAnsi="宋体" w:cs="宋体"/>
          <w:b/>
          <w:bCs/>
          <w:color w:val="auto"/>
          <w:sz w:val="24"/>
          <w:szCs w:val="32"/>
          <w:highlight w:val="none"/>
          <w:lang w:val="zh-CN"/>
        </w:rPr>
      </w:pPr>
    </w:p>
    <w:tbl>
      <w:tblPr>
        <w:tblStyle w:val="2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6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6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62"/>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ascii="宋体" w:hAnsi="宋体" w:cs="宋体"/>
                <w:color w:val="auto"/>
                <w:szCs w:val="21"/>
                <w:highlight w:val="none"/>
              </w:rPr>
            </w:pPr>
          </w:p>
        </w:tc>
        <w:tc>
          <w:tcPr>
            <w:tcW w:w="2258" w:type="dxa"/>
          </w:tcPr>
          <w:p>
            <w:pPr>
              <w:pStyle w:val="62"/>
              <w:spacing w:line="360" w:lineRule="auto"/>
              <w:jc w:val="center"/>
              <w:rPr>
                <w:rFonts w:ascii="宋体" w:hAnsi="宋体" w:cs="宋体"/>
                <w:color w:val="auto"/>
                <w:szCs w:val="21"/>
                <w:highlight w:val="none"/>
              </w:rPr>
            </w:pPr>
          </w:p>
        </w:tc>
        <w:tc>
          <w:tcPr>
            <w:tcW w:w="2260" w:type="dxa"/>
          </w:tcPr>
          <w:p>
            <w:pPr>
              <w:pStyle w:val="6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2"/>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ascii="宋体" w:hAnsi="宋体" w:cs="宋体"/>
                <w:color w:val="auto"/>
                <w:szCs w:val="21"/>
                <w:highlight w:val="none"/>
              </w:rPr>
            </w:pPr>
          </w:p>
        </w:tc>
        <w:tc>
          <w:tcPr>
            <w:tcW w:w="2258" w:type="dxa"/>
          </w:tcPr>
          <w:p>
            <w:pPr>
              <w:pStyle w:val="62"/>
              <w:spacing w:line="360" w:lineRule="auto"/>
              <w:jc w:val="center"/>
              <w:rPr>
                <w:rFonts w:ascii="宋体" w:hAnsi="宋体" w:cs="宋体"/>
                <w:color w:val="auto"/>
                <w:szCs w:val="21"/>
                <w:highlight w:val="none"/>
              </w:rPr>
            </w:pPr>
          </w:p>
        </w:tc>
        <w:tc>
          <w:tcPr>
            <w:tcW w:w="2260" w:type="dxa"/>
          </w:tcPr>
          <w:p>
            <w:pPr>
              <w:pStyle w:val="6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2"/>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ascii="宋体" w:hAnsi="宋体" w:cs="宋体"/>
                <w:color w:val="auto"/>
                <w:szCs w:val="21"/>
                <w:highlight w:val="none"/>
              </w:rPr>
            </w:pPr>
          </w:p>
        </w:tc>
        <w:tc>
          <w:tcPr>
            <w:tcW w:w="2258" w:type="dxa"/>
          </w:tcPr>
          <w:p>
            <w:pPr>
              <w:pStyle w:val="62"/>
              <w:spacing w:line="360" w:lineRule="auto"/>
              <w:jc w:val="center"/>
              <w:rPr>
                <w:rFonts w:ascii="宋体" w:hAnsi="宋体" w:cs="宋体"/>
                <w:color w:val="auto"/>
                <w:szCs w:val="21"/>
                <w:highlight w:val="none"/>
              </w:rPr>
            </w:pPr>
          </w:p>
        </w:tc>
        <w:tc>
          <w:tcPr>
            <w:tcW w:w="2260" w:type="dxa"/>
          </w:tcPr>
          <w:p>
            <w:pPr>
              <w:pStyle w:val="6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2"/>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ascii="宋体" w:hAnsi="宋体" w:cs="宋体"/>
                <w:color w:val="auto"/>
                <w:szCs w:val="21"/>
                <w:highlight w:val="none"/>
              </w:rPr>
            </w:pPr>
          </w:p>
        </w:tc>
        <w:tc>
          <w:tcPr>
            <w:tcW w:w="2258" w:type="dxa"/>
          </w:tcPr>
          <w:p>
            <w:pPr>
              <w:pStyle w:val="62"/>
              <w:spacing w:line="360" w:lineRule="auto"/>
              <w:jc w:val="center"/>
              <w:rPr>
                <w:rFonts w:ascii="宋体" w:hAnsi="宋体" w:cs="宋体"/>
                <w:color w:val="auto"/>
                <w:szCs w:val="21"/>
                <w:highlight w:val="none"/>
              </w:rPr>
            </w:pPr>
          </w:p>
        </w:tc>
        <w:tc>
          <w:tcPr>
            <w:tcW w:w="2260" w:type="dxa"/>
          </w:tcPr>
          <w:p>
            <w:pPr>
              <w:pStyle w:val="6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2"/>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ascii="宋体" w:hAnsi="宋体" w:cs="宋体"/>
                <w:color w:val="auto"/>
                <w:szCs w:val="21"/>
                <w:highlight w:val="none"/>
              </w:rPr>
            </w:pPr>
          </w:p>
        </w:tc>
        <w:tc>
          <w:tcPr>
            <w:tcW w:w="2258" w:type="dxa"/>
          </w:tcPr>
          <w:p>
            <w:pPr>
              <w:pStyle w:val="62"/>
              <w:spacing w:line="360" w:lineRule="auto"/>
              <w:jc w:val="center"/>
              <w:rPr>
                <w:rFonts w:ascii="宋体" w:hAnsi="宋体" w:cs="宋体"/>
                <w:color w:val="auto"/>
                <w:szCs w:val="21"/>
                <w:highlight w:val="none"/>
              </w:rPr>
            </w:pPr>
          </w:p>
        </w:tc>
        <w:tc>
          <w:tcPr>
            <w:tcW w:w="2260" w:type="dxa"/>
          </w:tcPr>
          <w:p>
            <w:pPr>
              <w:pStyle w:val="6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2"/>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2"/>
              <w:spacing w:line="360" w:lineRule="auto"/>
              <w:jc w:val="center"/>
              <w:rPr>
                <w:rFonts w:ascii="宋体" w:hAnsi="宋体" w:cs="宋体"/>
                <w:color w:val="auto"/>
                <w:szCs w:val="21"/>
                <w:highlight w:val="none"/>
              </w:rPr>
            </w:pPr>
          </w:p>
        </w:tc>
        <w:tc>
          <w:tcPr>
            <w:tcW w:w="2258" w:type="dxa"/>
          </w:tcPr>
          <w:p>
            <w:pPr>
              <w:pStyle w:val="62"/>
              <w:spacing w:line="360" w:lineRule="auto"/>
              <w:jc w:val="center"/>
              <w:rPr>
                <w:rFonts w:ascii="宋体" w:hAnsi="宋体" w:cs="宋体"/>
                <w:color w:val="auto"/>
                <w:szCs w:val="21"/>
                <w:highlight w:val="none"/>
              </w:rPr>
            </w:pPr>
          </w:p>
        </w:tc>
        <w:tc>
          <w:tcPr>
            <w:tcW w:w="2260" w:type="dxa"/>
          </w:tcPr>
          <w:p>
            <w:pPr>
              <w:pStyle w:val="62"/>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2"/>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2"/>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62"/>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62"/>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62"/>
              <w:spacing w:line="360" w:lineRule="auto"/>
              <w:jc w:val="center"/>
              <w:rPr>
                <w:rFonts w:ascii="宋体" w:hAnsi="宋体" w:cs="宋体"/>
                <w:color w:val="auto"/>
                <w:szCs w:val="21"/>
                <w:highlight w:val="none"/>
              </w:rPr>
            </w:pPr>
          </w:p>
        </w:tc>
      </w:tr>
    </w:tbl>
    <w:p>
      <w:pPr>
        <w:spacing w:line="360" w:lineRule="auto"/>
        <w:jc w:val="left"/>
        <w:rPr>
          <w:rFonts w:ascii="宋体" w:hAnsi="宋体" w:cs="宋体"/>
          <w:b/>
          <w:bCs/>
          <w:color w:val="auto"/>
          <w:sz w:val="24"/>
          <w:szCs w:val="32"/>
          <w:highlight w:val="none"/>
          <w:lang w:val="zh-CN"/>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5</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pacing w:line="360" w:lineRule="auto"/>
        <w:rPr>
          <w:rFonts w:ascii="宋体" w:hAnsi="宋体" w:cs="宋体"/>
          <w:b/>
          <w:bCs/>
          <w:color w:val="auto"/>
          <w:sz w:val="24"/>
          <w:highlight w:val="none"/>
        </w:rPr>
      </w:pP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6</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pacing w:line="360" w:lineRule="auto"/>
        <w:rPr>
          <w:rFonts w:ascii="宋体" w:hAnsi="宋体" w:cs="宋体"/>
          <w:b/>
          <w:color w:val="auto"/>
          <w:sz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附件17</w:t>
      </w:r>
    </w:p>
    <w:p>
      <w:pP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pacing w:line="360" w:lineRule="auto"/>
        <w:rPr>
          <w:rFonts w:ascii="宋体" w:hAnsi="宋体" w:cs="宋体"/>
          <w:b/>
          <w:color w:val="auto"/>
          <w:sz w:val="24"/>
          <w:highlight w:val="none"/>
        </w:rPr>
      </w:pP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5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5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5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50"/>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50"/>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50"/>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0"/>
              <w:widowControl/>
              <w:spacing w:line="360" w:lineRule="auto"/>
              <w:jc w:val="left"/>
              <w:rPr>
                <w:rFonts w:ascii="宋体" w:hAnsi="宋体" w:cs="宋体"/>
                <w:bCs/>
                <w:color w:val="auto"/>
                <w:sz w:val="24"/>
                <w:highlight w:val="none"/>
              </w:rPr>
            </w:pPr>
          </w:p>
        </w:tc>
        <w:tc>
          <w:tcPr>
            <w:tcW w:w="2355" w:type="dxa"/>
            <w:vMerge w:val="continue"/>
            <w:vAlign w:val="center"/>
          </w:tcPr>
          <w:p>
            <w:pPr>
              <w:pStyle w:val="50"/>
              <w:widowControl/>
              <w:spacing w:line="360" w:lineRule="auto"/>
              <w:jc w:val="left"/>
              <w:rPr>
                <w:rFonts w:ascii="宋体" w:hAnsi="宋体" w:cs="宋体"/>
                <w:bCs/>
                <w:color w:val="auto"/>
                <w:sz w:val="24"/>
                <w:highlight w:val="none"/>
              </w:rPr>
            </w:pPr>
          </w:p>
        </w:tc>
        <w:tc>
          <w:tcPr>
            <w:tcW w:w="4061" w:type="dxa"/>
          </w:tcPr>
          <w:p>
            <w:pPr>
              <w:pStyle w:val="50"/>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50"/>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50"/>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50"/>
              <w:widowControl/>
              <w:spacing w:line="360" w:lineRule="auto"/>
              <w:jc w:val="left"/>
              <w:rPr>
                <w:rFonts w:ascii="宋体" w:hAnsi="宋体" w:cs="宋体"/>
                <w:bCs/>
                <w:color w:val="auto"/>
                <w:sz w:val="24"/>
                <w:highlight w:val="none"/>
              </w:rPr>
            </w:pPr>
          </w:p>
          <w:p>
            <w:pPr>
              <w:pStyle w:val="50"/>
              <w:widowControl/>
              <w:spacing w:line="360" w:lineRule="auto"/>
              <w:jc w:val="left"/>
              <w:rPr>
                <w:rFonts w:ascii="宋体" w:hAnsi="宋体" w:cs="宋体"/>
                <w:bCs/>
                <w:color w:val="auto"/>
                <w:sz w:val="24"/>
                <w:highlight w:val="none"/>
              </w:rPr>
            </w:pPr>
          </w:p>
          <w:p>
            <w:pPr>
              <w:pStyle w:val="50"/>
              <w:spacing w:line="360" w:lineRule="auto"/>
              <w:rPr>
                <w:rFonts w:ascii="宋体" w:hAnsi="宋体" w:cs="宋体"/>
                <w:bCs/>
                <w:color w:val="auto"/>
                <w:sz w:val="24"/>
                <w:highlight w:val="none"/>
              </w:rPr>
            </w:pPr>
          </w:p>
        </w:tc>
        <w:tc>
          <w:tcPr>
            <w:tcW w:w="1373" w:type="dxa"/>
          </w:tcPr>
          <w:p>
            <w:pPr>
              <w:pStyle w:val="50"/>
              <w:widowControl/>
              <w:spacing w:line="360" w:lineRule="auto"/>
              <w:jc w:val="left"/>
              <w:rPr>
                <w:rFonts w:ascii="宋体" w:hAnsi="宋体" w:cs="宋体"/>
                <w:bCs/>
                <w:color w:val="auto"/>
                <w:sz w:val="24"/>
                <w:highlight w:val="none"/>
              </w:rPr>
            </w:pPr>
          </w:p>
          <w:p>
            <w:pPr>
              <w:pStyle w:val="50"/>
              <w:widowControl/>
              <w:spacing w:line="360" w:lineRule="auto"/>
              <w:jc w:val="left"/>
              <w:rPr>
                <w:rFonts w:ascii="宋体" w:hAnsi="宋体" w:cs="宋体"/>
                <w:bCs/>
                <w:color w:val="auto"/>
                <w:sz w:val="24"/>
                <w:highlight w:val="none"/>
              </w:rPr>
            </w:pPr>
          </w:p>
          <w:p>
            <w:pPr>
              <w:pStyle w:val="50"/>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0"/>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50"/>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50"/>
              <w:widowControl/>
              <w:spacing w:line="360" w:lineRule="auto"/>
              <w:jc w:val="left"/>
              <w:rPr>
                <w:rFonts w:ascii="宋体" w:hAnsi="宋体" w:cs="宋体"/>
                <w:bCs/>
                <w:i/>
                <w:color w:val="auto"/>
                <w:sz w:val="24"/>
                <w:highlight w:val="none"/>
              </w:rPr>
            </w:pPr>
          </w:p>
          <w:p>
            <w:pPr>
              <w:pStyle w:val="50"/>
              <w:widowControl/>
              <w:spacing w:line="360" w:lineRule="auto"/>
              <w:jc w:val="left"/>
              <w:rPr>
                <w:rFonts w:ascii="宋体" w:hAnsi="宋体" w:cs="宋体"/>
                <w:bCs/>
                <w:i/>
                <w:color w:val="auto"/>
                <w:sz w:val="24"/>
                <w:highlight w:val="none"/>
              </w:rPr>
            </w:pPr>
          </w:p>
        </w:tc>
        <w:tc>
          <w:tcPr>
            <w:tcW w:w="1373" w:type="dxa"/>
          </w:tcPr>
          <w:p>
            <w:pPr>
              <w:pStyle w:val="50"/>
              <w:widowControl/>
              <w:spacing w:line="360" w:lineRule="auto"/>
              <w:jc w:val="left"/>
              <w:rPr>
                <w:rFonts w:ascii="宋体" w:hAnsi="宋体" w:cs="宋体"/>
                <w:bCs/>
                <w:i/>
                <w:color w:val="auto"/>
                <w:sz w:val="24"/>
                <w:highlight w:val="none"/>
              </w:rPr>
            </w:pPr>
          </w:p>
          <w:p>
            <w:pPr>
              <w:pStyle w:val="50"/>
              <w:widowControl/>
              <w:spacing w:line="360" w:lineRule="auto"/>
              <w:jc w:val="left"/>
              <w:rPr>
                <w:rFonts w:ascii="宋体" w:hAnsi="宋体" w:cs="宋体"/>
                <w:bCs/>
                <w:i/>
                <w:color w:val="auto"/>
                <w:sz w:val="24"/>
                <w:highlight w:val="none"/>
              </w:rPr>
            </w:pPr>
          </w:p>
          <w:p>
            <w:pPr>
              <w:pStyle w:val="50"/>
              <w:widowControl/>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0"/>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50"/>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50"/>
              <w:widowControl/>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50"/>
              <w:widowControl/>
              <w:spacing w:line="360" w:lineRule="auto"/>
              <w:jc w:val="left"/>
              <w:rPr>
                <w:rFonts w:ascii="宋体" w:hAnsi="宋体" w:cs="宋体"/>
                <w:bCs/>
                <w:color w:val="auto"/>
                <w:sz w:val="24"/>
                <w:highlight w:val="none"/>
              </w:rPr>
            </w:pPr>
          </w:p>
        </w:tc>
      </w:tr>
    </w:tbl>
    <w:p>
      <w:pPr>
        <w:spacing w:line="360" w:lineRule="auto"/>
        <w:ind w:left="549" w:hanging="549" w:hangingChars="171"/>
        <w:jc w:val="center"/>
        <w:rPr>
          <w:rFonts w:ascii="宋体" w:hAnsi="宋体" w:cs="宋体"/>
          <w:b/>
          <w:color w:val="auto"/>
          <w:sz w:val="32"/>
          <w:szCs w:val="32"/>
          <w:highlight w:val="none"/>
        </w:rPr>
      </w:pP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附件18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jc w:val="center"/>
        <w:rPr>
          <w:rFonts w:ascii="宋体" w:hAnsi="宋体" w:cs="宋体"/>
          <w:b/>
          <w:color w:val="auto"/>
          <w:spacing w:val="40"/>
          <w:sz w:val="84"/>
          <w:szCs w:val="84"/>
          <w:highlight w:val="none"/>
        </w:rPr>
      </w:pP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jc w:val="center"/>
        <w:rPr>
          <w:rFonts w:ascii="宋体" w:hAnsi="宋体" w:cs="宋体"/>
          <w:color w:val="auto"/>
          <w:sz w:val="36"/>
          <w:szCs w:val="36"/>
          <w:highlight w:val="none"/>
        </w:rPr>
      </w:pPr>
    </w:p>
    <w:p>
      <w:pPr>
        <w:jc w:val="center"/>
        <w:rPr>
          <w:rFonts w:ascii="宋体" w:hAnsi="宋体" w:cs="宋体"/>
          <w:color w:val="auto"/>
          <w:sz w:val="36"/>
          <w:szCs w:val="36"/>
          <w:highlight w:val="none"/>
        </w:rPr>
      </w:pPr>
    </w:p>
    <w:p>
      <w:pPr>
        <w:spacing w:line="360" w:lineRule="auto"/>
        <w:ind w:right="532"/>
        <w:jc w:val="center"/>
        <w:rPr>
          <w:rFonts w:ascii="宋体" w:hAnsi="宋体" w:cs="宋体"/>
          <w:color w:val="auto"/>
          <w:sz w:val="36"/>
          <w:szCs w:val="36"/>
          <w:highlight w:val="none"/>
        </w:rPr>
      </w:pPr>
    </w:p>
    <w:p>
      <w:pP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rPr>
          <w:rFonts w:ascii="宋体" w:hAnsi="宋体" w:cs="宋体"/>
          <w:color w:val="auto"/>
          <w:sz w:val="36"/>
          <w:szCs w:val="36"/>
          <w:highlight w:val="none"/>
        </w:rPr>
      </w:pPr>
      <w:r>
        <w:rPr>
          <w:rFonts w:hint="eastAsia" w:ascii="宋体" w:hAnsi="宋体" w:cs="宋体"/>
          <w:color w:val="auto"/>
          <w:sz w:val="36"/>
          <w:szCs w:val="36"/>
          <w:highlight w:val="none"/>
        </w:rPr>
        <w:t>地址：</w:t>
      </w:r>
    </w:p>
    <w:p>
      <w:pPr>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line="360" w:lineRule="auto"/>
        <w:rPr>
          <w:rFonts w:ascii="宋体" w:hAnsi="宋体" w:cs="宋体"/>
          <w:color w:val="auto"/>
          <w:sz w:val="24"/>
          <w:highlight w:val="none"/>
        </w:rPr>
      </w:pP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1、开标一览表（附件19）；</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2、报价明细表（附件20）；</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4、小微企业等声明函（附件21）；</w:t>
      </w:r>
    </w:p>
    <w:p>
      <w:pPr>
        <w:pStyle w:val="11"/>
        <w:rPr>
          <w:rFonts w:ascii="宋体" w:hAnsi="宋体" w:cs="宋体"/>
          <w:color w:val="auto"/>
          <w:highlight w:val="none"/>
        </w:rPr>
      </w:pPr>
    </w:p>
    <w:p>
      <w:pPr>
        <w:pStyle w:val="11"/>
        <w:rPr>
          <w:rFonts w:ascii="宋体" w:hAnsi="宋体" w:cs="宋体"/>
          <w:color w:val="auto"/>
          <w:highlight w:val="none"/>
        </w:rPr>
      </w:pPr>
      <w:r>
        <w:rPr>
          <w:rFonts w:hint="eastAsia" w:ascii="宋体" w:hAnsi="宋体" w:cs="宋体"/>
          <w:color w:val="auto"/>
          <w:highlight w:val="none"/>
        </w:rPr>
        <w:t>小微企业等声明函填表说明：</w:t>
      </w:r>
    </w:p>
    <w:p>
      <w:pPr>
        <w:pStyle w:val="11"/>
        <w:rPr>
          <w:rFonts w:ascii="宋体" w:hAnsi="宋体" w:cs="宋体"/>
          <w:color w:val="auto"/>
          <w:highlight w:val="none"/>
        </w:rPr>
      </w:pPr>
      <w:r>
        <w:rPr>
          <w:rFonts w:hint="eastAsia" w:ascii="宋体" w:hAnsi="宋体" w:cs="宋体"/>
          <w:color w:val="auto"/>
          <w:highlight w:val="none"/>
        </w:rPr>
        <w:t>1、标的设备分别由不同制造商制造的，请按序号填写齐全所有标的货物制造商的信息。</w:t>
      </w:r>
    </w:p>
    <w:p>
      <w:pPr>
        <w:pStyle w:val="11"/>
        <w:rPr>
          <w:rFonts w:ascii="宋体" w:hAnsi="宋体" w:cs="宋体"/>
          <w:color w:val="auto"/>
          <w:highlight w:val="none"/>
        </w:rPr>
      </w:pPr>
      <w:r>
        <w:rPr>
          <w:rFonts w:hint="eastAsia" w:ascii="宋体" w:hAnsi="宋体" w:cs="宋体"/>
          <w:color w:val="auto"/>
          <w:highlight w:val="none"/>
        </w:rPr>
        <w:t>2、从业人员、营业收入、资产总额填报上一年度数据，无上一年度数据的新成立企业可不填报。</w:t>
      </w:r>
    </w:p>
    <w:p>
      <w:pPr>
        <w:pStyle w:val="11"/>
        <w:rPr>
          <w:rFonts w:ascii="宋体" w:hAnsi="宋体" w:cs="宋体"/>
          <w:color w:val="auto"/>
          <w:highlight w:val="none"/>
        </w:rPr>
      </w:pPr>
      <w:r>
        <w:rPr>
          <w:rFonts w:hint="eastAsia" w:ascii="宋体" w:hAnsi="宋体" w:cs="宋体"/>
          <w:color w:val="auto"/>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pStyle w:val="11"/>
        <w:rPr>
          <w:rFonts w:ascii="宋体" w:hAnsi="宋体" w:cs="宋体"/>
          <w:color w:val="auto"/>
          <w:highlight w:val="none"/>
        </w:rPr>
      </w:pPr>
      <w:r>
        <w:rPr>
          <w:rFonts w:hint="eastAsia" w:ascii="宋体" w:hAnsi="宋体" w:cs="宋体"/>
          <w:color w:val="auto"/>
          <w:highlight w:val="none"/>
        </w:rPr>
        <w:t>http://202.106.120.146/baosong/appweb/orgScale.html</w:t>
      </w:r>
    </w:p>
    <w:p>
      <w:pPr>
        <w:pStyle w:val="11"/>
        <w:rPr>
          <w:rFonts w:ascii="宋体" w:hAnsi="宋体" w:cs="宋体"/>
          <w:color w:val="auto"/>
          <w:highlight w:val="none"/>
        </w:rPr>
      </w:pPr>
      <w:r>
        <w:rPr>
          <w:rFonts w:hint="eastAsia" w:ascii="宋体" w:hAnsi="宋体" w:cs="宋体"/>
          <w:color w:val="auto"/>
          <w:highlight w:val="none"/>
        </w:rPr>
        <w:t>4、供应商未提供《中小企业声明函》的、《中小企业声明函》中内容应填写而未进行填写或未如实填写的，将不给予供应商小微企业报价优惠扣除。</w:t>
      </w:r>
    </w:p>
    <w:p>
      <w:pPr>
        <w:pStyle w:val="11"/>
        <w:rPr>
          <w:rFonts w:ascii="宋体" w:hAnsi="宋体" w:cs="宋体"/>
          <w:color w:val="auto"/>
          <w:highlight w:val="none"/>
        </w:rPr>
      </w:pPr>
      <w:r>
        <w:rPr>
          <w:rFonts w:hint="eastAsia" w:ascii="宋体" w:hAnsi="宋体" w:cs="宋体"/>
          <w:color w:val="auto"/>
          <w:highlight w:val="none"/>
        </w:rPr>
        <w:t>预成交供应商享受小微企业报价优惠扣除的，将按规定公开预成交供应商的《中小企业声明函》。</w:t>
      </w:r>
    </w:p>
    <w:p>
      <w:pPr>
        <w:pStyle w:val="11"/>
        <w:rPr>
          <w:rFonts w:ascii="宋体" w:hAnsi="宋体" w:cs="宋体"/>
          <w:color w:val="auto"/>
          <w:highlight w:val="none"/>
        </w:rPr>
      </w:pPr>
      <w:r>
        <w:rPr>
          <w:rFonts w:hint="eastAsia" w:ascii="宋体" w:hAnsi="宋体" w:cs="宋体"/>
          <w:color w:val="auto"/>
          <w:highlight w:val="none"/>
        </w:rPr>
        <w:t>5、如国家对中小企业划型标准有新的规定的，从其规定。 </w:t>
      </w:r>
    </w:p>
    <w:p>
      <w:pPr>
        <w:spacing w:line="360" w:lineRule="auto"/>
        <w:rPr>
          <w:rFonts w:ascii="宋体" w:hAnsi="宋体" w:cs="宋体"/>
          <w:color w:val="auto"/>
          <w:sz w:val="24"/>
          <w:szCs w:val="32"/>
          <w:highlight w:val="none"/>
        </w:rPr>
      </w:pPr>
    </w:p>
    <w:p>
      <w:pPr>
        <w:pStyle w:val="23"/>
        <w:rPr>
          <w:rFonts w:ascii="宋体" w:hAnsi="宋体" w:cs="宋体"/>
          <w:color w:val="auto"/>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附件19</w:t>
      </w:r>
    </w:p>
    <w:p>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pacing w:line="360" w:lineRule="auto"/>
        <w:ind w:left="-2" w:hanging="2"/>
        <w:jc w:val="center"/>
        <w:rPr>
          <w:rFonts w:ascii="宋体" w:hAnsi="宋体" w:cs="宋体"/>
          <w:b/>
          <w:color w:val="auto"/>
          <w:sz w:val="32"/>
          <w:szCs w:val="32"/>
          <w:highlight w:val="none"/>
        </w:rPr>
      </w:pP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hAnsi="宋体" w:cs="宋体"/>
                <w:color w:val="auto"/>
                <w:sz w:val="24"/>
                <w:highlight w:val="none"/>
              </w:rPr>
            </w:pPr>
          </w:p>
        </w:tc>
        <w:tc>
          <w:tcPr>
            <w:tcW w:w="1349" w:type="dxa"/>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hAnsi="宋体" w:cs="宋体"/>
                <w:color w:val="auto"/>
                <w:sz w:val="24"/>
                <w:highlight w:val="none"/>
              </w:rPr>
            </w:pPr>
          </w:p>
        </w:tc>
      </w:tr>
    </w:tbl>
    <w:p>
      <w:pPr>
        <w:spacing w:line="360" w:lineRule="auto"/>
        <w:ind w:firstLine="480" w:firstLineChars="200"/>
        <w:jc w:val="left"/>
        <w:rPr>
          <w:rFonts w:ascii="宋体" w:hAnsi="宋体" w:cs="宋体"/>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附件20</w:t>
      </w:r>
    </w:p>
    <w:p>
      <w:pP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品牌、产地</w:t>
            </w:r>
          </w:p>
        </w:tc>
        <w:tc>
          <w:tcPr>
            <w:tcW w:w="1559" w:type="dxa"/>
            <w:vAlign w:val="center"/>
          </w:tcPr>
          <w:p>
            <w:pP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851" w:type="dxa"/>
            <w:vAlign w:val="center"/>
          </w:tcPr>
          <w:p>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合计人民币：大写                               小写</w:t>
            </w:r>
          </w:p>
        </w:tc>
      </w:tr>
    </w:tbl>
    <w:p>
      <w:pPr>
        <w:spacing w:line="360" w:lineRule="auto"/>
        <w:jc w:val="left"/>
        <w:rPr>
          <w:rFonts w:ascii="宋体" w:hAnsi="宋体" w:cs="宋体"/>
          <w:b/>
          <w:bCs/>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4.本表中的型号规格必须明确，招标文件中明确要求定制的除外。</w:t>
      </w:r>
    </w:p>
    <w:p>
      <w:pPr>
        <w:spacing w:line="360" w:lineRule="auto"/>
        <w:ind w:firstLine="480" w:firstLineChars="200"/>
        <w:jc w:val="left"/>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szCs w:val="32"/>
          <w:highlight w:val="none"/>
        </w:rPr>
      </w:pPr>
    </w:p>
    <w:p>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附件21</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3"/>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3"/>
          <w:rFonts w:hint="eastAsia" w:ascii="宋体" w:hAnsi="宋体" w:cs="宋体"/>
          <w:bCs/>
          <w:color w:val="auto"/>
          <w:sz w:val="24"/>
          <w:highlight w:val="none"/>
        </w:rPr>
        <w:footnoteReference w:id="1"/>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ind w:firstLine="420" w:firstLineChars="200"/>
        <w:jc w:val="left"/>
        <w:rPr>
          <w:rFonts w:asciiTheme="minorEastAsia" w:hAnsiTheme="minorEastAsia" w:eastAsiaTheme="minorEastAsia" w:cstheme="minorEastAsia"/>
          <w:color w:val="auto"/>
          <w:highlight w:val="none"/>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00000000000000000"/>
    <w:charset w:val="7A"/>
    <w:family w:val="script"/>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ingfang sc">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9"/>
      </w:pPr>
      <w:r>
        <w:rPr>
          <w:rStyle w:val="33"/>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19"/>
      </w:pPr>
      <w:r>
        <w:rPr>
          <w:rStyle w:val="33"/>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台州市政府采购招标文件</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53</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CE15"/>
    <w:multiLevelType w:val="singleLevel"/>
    <w:tmpl w:val="939BCE15"/>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pStyle w:val="9"/>
      <w:lvlText w:val="%1."/>
      <w:lvlJc w:val="left"/>
      <w:pPr>
        <w:tabs>
          <w:tab w:val="left" w:pos="360"/>
        </w:tabs>
        <w:ind w:left="360" w:hanging="360"/>
      </w:pPr>
      <w:rPr>
        <w:rFonts w:cs="Times New Roman"/>
      </w:rPr>
    </w:lvl>
  </w:abstractNum>
  <w:abstractNum w:abstractNumId="2">
    <w:nsid w:val="71A476F8"/>
    <w:multiLevelType w:val="multilevel"/>
    <w:tmpl w:val="71A476F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260"/>
    <w:rsid w:val="0002035B"/>
    <w:rsid w:val="00034BB6"/>
    <w:rsid w:val="000403F7"/>
    <w:rsid w:val="0006294D"/>
    <w:rsid w:val="00062AB3"/>
    <w:rsid w:val="000630DA"/>
    <w:rsid w:val="00082C5B"/>
    <w:rsid w:val="000F434E"/>
    <w:rsid w:val="00107BF6"/>
    <w:rsid w:val="001334F2"/>
    <w:rsid w:val="001358F3"/>
    <w:rsid w:val="0014385D"/>
    <w:rsid w:val="00165F2A"/>
    <w:rsid w:val="00172A27"/>
    <w:rsid w:val="00180836"/>
    <w:rsid w:val="00186933"/>
    <w:rsid w:val="001F4654"/>
    <w:rsid w:val="00200E74"/>
    <w:rsid w:val="00201D2F"/>
    <w:rsid w:val="00201D62"/>
    <w:rsid w:val="00203C2F"/>
    <w:rsid w:val="0021318F"/>
    <w:rsid w:val="00241352"/>
    <w:rsid w:val="00286DC1"/>
    <w:rsid w:val="00295E2D"/>
    <w:rsid w:val="002A1620"/>
    <w:rsid w:val="002B31D6"/>
    <w:rsid w:val="002B6305"/>
    <w:rsid w:val="002C0D3B"/>
    <w:rsid w:val="002C5C4C"/>
    <w:rsid w:val="0030238E"/>
    <w:rsid w:val="003102FB"/>
    <w:rsid w:val="00322F98"/>
    <w:rsid w:val="0033011F"/>
    <w:rsid w:val="00332E30"/>
    <w:rsid w:val="00353DAF"/>
    <w:rsid w:val="00394F4B"/>
    <w:rsid w:val="003B5E94"/>
    <w:rsid w:val="003C020E"/>
    <w:rsid w:val="003C5E00"/>
    <w:rsid w:val="003E6DE1"/>
    <w:rsid w:val="003F595C"/>
    <w:rsid w:val="003F78E0"/>
    <w:rsid w:val="00441FAE"/>
    <w:rsid w:val="00446CEF"/>
    <w:rsid w:val="00455E52"/>
    <w:rsid w:val="00490BFA"/>
    <w:rsid w:val="00491BDF"/>
    <w:rsid w:val="004B4165"/>
    <w:rsid w:val="004C4300"/>
    <w:rsid w:val="004D5EE6"/>
    <w:rsid w:val="004D69D3"/>
    <w:rsid w:val="00501A00"/>
    <w:rsid w:val="00503756"/>
    <w:rsid w:val="005121E4"/>
    <w:rsid w:val="00525A4C"/>
    <w:rsid w:val="00531666"/>
    <w:rsid w:val="00542F87"/>
    <w:rsid w:val="005A356E"/>
    <w:rsid w:val="005A4449"/>
    <w:rsid w:val="005E026A"/>
    <w:rsid w:val="00607AD7"/>
    <w:rsid w:val="00616E31"/>
    <w:rsid w:val="00636172"/>
    <w:rsid w:val="00646CA0"/>
    <w:rsid w:val="006540F3"/>
    <w:rsid w:val="00655E3C"/>
    <w:rsid w:val="00674C42"/>
    <w:rsid w:val="006B54AA"/>
    <w:rsid w:val="006D6513"/>
    <w:rsid w:val="006E5A80"/>
    <w:rsid w:val="006F33A6"/>
    <w:rsid w:val="006F4DFE"/>
    <w:rsid w:val="0073543B"/>
    <w:rsid w:val="0075349E"/>
    <w:rsid w:val="00783370"/>
    <w:rsid w:val="00787F9C"/>
    <w:rsid w:val="00793C81"/>
    <w:rsid w:val="007A2629"/>
    <w:rsid w:val="007A667E"/>
    <w:rsid w:val="007C1005"/>
    <w:rsid w:val="007C64D8"/>
    <w:rsid w:val="007D5CDA"/>
    <w:rsid w:val="007F5FAF"/>
    <w:rsid w:val="00802325"/>
    <w:rsid w:val="008154BD"/>
    <w:rsid w:val="00823978"/>
    <w:rsid w:val="008407FE"/>
    <w:rsid w:val="00847BE5"/>
    <w:rsid w:val="008633CC"/>
    <w:rsid w:val="0088066B"/>
    <w:rsid w:val="008A0ABE"/>
    <w:rsid w:val="008A4030"/>
    <w:rsid w:val="008C40FC"/>
    <w:rsid w:val="008E781F"/>
    <w:rsid w:val="00912983"/>
    <w:rsid w:val="009245F6"/>
    <w:rsid w:val="00944004"/>
    <w:rsid w:val="00946162"/>
    <w:rsid w:val="00966677"/>
    <w:rsid w:val="00986274"/>
    <w:rsid w:val="009B2FFC"/>
    <w:rsid w:val="009B3E22"/>
    <w:rsid w:val="009D6D38"/>
    <w:rsid w:val="009E5655"/>
    <w:rsid w:val="009F2B78"/>
    <w:rsid w:val="009F3459"/>
    <w:rsid w:val="009F36F6"/>
    <w:rsid w:val="009F4783"/>
    <w:rsid w:val="00A12F71"/>
    <w:rsid w:val="00A17880"/>
    <w:rsid w:val="00A30B75"/>
    <w:rsid w:val="00A60AFD"/>
    <w:rsid w:val="00A730CA"/>
    <w:rsid w:val="00A925C1"/>
    <w:rsid w:val="00AE0D1D"/>
    <w:rsid w:val="00AF276E"/>
    <w:rsid w:val="00AF4FF4"/>
    <w:rsid w:val="00B0420E"/>
    <w:rsid w:val="00B42A44"/>
    <w:rsid w:val="00B46BC8"/>
    <w:rsid w:val="00BC65AB"/>
    <w:rsid w:val="00BE0ADF"/>
    <w:rsid w:val="00BF387F"/>
    <w:rsid w:val="00C179BF"/>
    <w:rsid w:val="00C41DE8"/>
    <w:rsid w:val="00C44AFB"/>
    <w:rsid w:val="00C52E14"/>
    <w:rsid w:val="00C57611"/>
    <w:rsid w:val="00C767D4"/>
    <w:rsid w:val="00C853DB"/>
    <w:rsid w:val="00CA1322"/>
    <w:rsid w:val="00CB0437"/>
    <w:rsid w:val="00CC232E"/>
    <w:rsid w:val="00CD1804"/>
    <w:rsid w:val="00CD1DA5"/>
    <w:rsid w:val="00D06849"/>
    <w:rsid w:val="00D264AC"/>
    <w:rsid w:val="00D5269F"/>
    <w:rsid w:val="00D527A2"/>
    <w:rsid w:val="00D728E0"/>
    <w:rsid w:val="00D81417"/>
    <w:rsid w:val="00DA25C4"/>
    <w:rsid w:val="00DB1C05"/>
    <w:rsid w:val="00DB2B95"/>
    <w:rsid w:val="00DB6334"/>
    <w:rsid w:val="00DC320A"/>
    <w:rsid w:val="00DC58EF"/>
    <w:rsid w:val="00DC69E8"/>
    <w:rsid w:val="00E1695E"/>
    <w:rsid w:val="00E319E7"/>
    <w:rsid w:val="00E372BC"/>
    <w:rsid w:val="00E61AD4"/>
    <w:rsid w:val="00E650F1"/>
    <w:rsid w:val="00E67763"/>
    <w:rsid w:val="00E81C39"/>
    <w:rsid w:val="00E8742C"/>
    <w:rsid w:val="00EA2A16"/>
    <w:rsid w:val="00EB70D0"/>
    <w:rsid w:val="00EF2797"/>
    <w:rsid w:val="00F127FF"/>
    <w:rsid w:val="00F5278F"/>
    <w:rsid w:val="00F56287"/>
    <w:rsid w:val="00F64E95"/>
    <w:rsid w:val="00F74D1E"/>
    <w:rsid w:val="00F835F4"/>
    <w:rsid w:val="00F94869"/>
    <w:rsid w:val="00FC3C88"/>
    <w:rsid w:val="00FE2BF3"/>
    <w:rsid w:val="00FF2DBD"/>
    <w:rsid w:val="01221ADB"/>
    <w:rsid w:val="0146582F"/>
    <w:rsid w:val="0162067B"/>
    <w:rsid w:val="01935887"/>
    <w:rsid w:val="0225285D"/>
    <w:rsid w:val="022F3D89"/>
    <w:rsid w:val="0248373E"/>
    <w:rsid w:val="026B5F45"/>
    <w:rsid w:val="02F1679D"/>
    <w:rsid w:val="02F80E9F"/>
    <w:rsid w:val="03887300"/>
    <w:rsid w:val="045E051E"/>
    <w:rsid w:val="04AE50DC"/>
    <w:rsid w:val="04C51A89"/>
    <w:rsid w:val="04CC341D"/>
    <w:rsid w:val="04E15DC0"/>
    <w:rsid w:val="05137CD7"/>
    <w:rsid w:val="060B26E0"/>
    <w:rsid w:val="06903A8B"/>
    <w:rsid w:val="06C211AB"/>
    <w:rsid w:val="06C4428B"/>
    <w:rsid w:val="06F73904"/>
    <w:rsid w:val="072B4167"/>
    <w:rsid w:val="079F0256"/>
    <w:rsid w:val="07B54360"/>
    <w:rsid w:val="07FE2B6F"/>
    <w:rsid w:val="08097BDB"/>
    <w:rsid w:val="086973C1"/>
    <w:rsid w:val="086C0E69"/>
    <w:rsid w:val="08713E12"/>
    <w:rsid w:val="08A16C6F"/>
    <w:rsid w:val="090B6394"/>
    <w:rsid w:val="09630EDC"/>
    <w:rsid w:val="097A796A"/>
    <w:rsid w:val="09EB6542"/>
    <w:rsid w:val="0A487114"/>
    <w:rsid w:val="0A9667FD"/>
    <w:rsid w:val="0ADB4F19"/>
    <w:rsid w:val="0B1F671C"/>
    <w:rsid w:val="0C1E2BA0"/>
    <w:rsid w:val="0C484FF0"/>
    <w:rsid w:val="0C765CB2"/>
    <w:rsid w:val="0CCE3D8B"/>
    <w:rsid w:val="0D3F02D2"/>
    <w:rsid w:val="0D914D66"/>
    <w:rsid w:val="0DD061AE"/>
    <w:rsid w:val="0DFA6BCE"/>
    <w:rsid w:val="0E970358"/>
    <w:rsid w:val="0E9C6B36"/>
    <w:rsid w:val="0F454BF6"/>
    <w:rsid w:val="0F6F2D8B"/>
    <w:rsid w:val="0FAA25C8"/>
    <w:rsid w:val="0FBD4514"/>
    <w:rsid w:val="10053DFB"/>
    <w:rsid w:val="100F05DE"/>
    <w:rsid w:val="101F1EB6"/>
    <w:rsid w:val="10392EAE"/>
    <w:rsid w:val="10706EC2"/>
    <w:rsid w:val="11060CDB"/>
    <w:rsid w:val="110F1F8C"/>
    <w:rsid w:val="114D620F"/>
    <w:rsid w:val="118A0564"/>
    <w:rsid w:val="11D364F2"/>
    <w:rsid w:val="121217D2"/>
    <w:rsid w:val="12234209"/>
    <w:rsid w:val="127549CB"/>
    <w:rsid w:val="12807280"/>
    <w:rsid w:val="12A372EC"/>
    <w:rsid w:val="132A0908"/>
    <w:rsid w:val="134B0D26"/>
    <w:rsid w:val="13BD6E79"/>
    <w:rsid w:val="13FC1BC3"/>
    <w:rsid w:val="146F05F9"/>
    <w:rsid w:val="147A52C5"/>
    <w:rsid w:val="148463E6"/>
    <w:rsid w:val="14D20D9B"/>
    <w:rsid w:val="15180DDD"/>
    <w:rsid w:val="15A72BED"/>
    <w:rsid w:val="1621170E"/>
    <w:rsid w:val="16625909"/>
    <w:rsid w:val="167046B6"/>
    <w:rsid w:val="16861668"/>
    <w:rsid w:val="16AF29CB"/>
    <w:rsid w:val="174758FD"/>
    <w:rsid w:val="17832657"/>
    <w:rsid w:val="179F3E26"/>
    <w:rsid w:val="18312DCB"/>
    <w:rsid w:val="18820ED2"/>
    <w:rsid w:val="1885471A"/>
    <w:rsid w:val="188A686F"/>
    <w:rsid w:val="18B91D2B"/>
    <w:rsid w:val="18C40414"/>
    <w:rsid w:val="18E11A7C"/>
    <w:rsid w:val="195F3769"/>
    <w:rsid w:val="19AC6AA6"/>
    <w:rsid w:val="19D90C2D"/>
    <w:rsid w:val="19E0747E"/>
    <w:rsid w:val="19E44E8B"/>
    <w:rsid w:val="1A6A6D44"/>
    <w:rsid w:val="1A817123"/>
    <w:rsid w:val="1A836548"/>
    <w:rsid w:val="1B674FFA"/>
    <w:rsid w:val="1B76076C"/>
    <w:rsid w:val="1C093ECB"/>
    <w:rsid w:val="1C2A1FDB"/>
    <w:rsid w:val="1CC00D29"/>
    <w:rsid w:val="1CE4433A"/>
    <w:rsid w:val="1D150A30"/>
    <w:rsid w:val="1D4F2C15"/>
    <w:rsid w:val="1DC530BD"/>
    <w:rsid w:val="1E58234F"/>
    <w:rsid w:val="1E5F2147"/>
    <w:rsid w:val="1EE84AA8"/>
    <w:rsid w:val="1F031196"/>
    <w:rsid w:val="1F3E384B"/>
    <w:rsid w:val="208B01A6"/>
    <w:rsid w:val="20D32DCE"/>
    <w:rsid w:val="20E049A9"/>
    <w:rsid w:val="21D74311"/>
    <w:rsid w:val="227840A5"/>
    <w:rsid w:val="228447E5"/>
    <w:rsid w:val="23424F53"/>
    <w:rsid w:val="236E14E2"/>
    <w:rsid w:val="23E91F51"/>
    <w:rsid w:val="2421202A"/>
    <w:rsid w:val="24CD6279"/>
    <w:rsid w:val="24E96AC6"/>
    <w:rsid w:val="259005B7"/>
    <w:rsid w:val="260D6B74"/>
    <w:rsid w:val="268A132E"/>
    <w:rsid w:val="27872633"/>
    <w:rsid w:val="2787623F"/>
    <w:rsid w:val="27AC5CEC"/>
    <w:rsid w:val="27F80384"/>
    <w:rsid w:val="28076A74"/>
    <w:rsid w:val="287149B6"/>
    <w:rsid w:val="28870C9F"/>
    <w:rsid w:val="29803A90"/>
    <w:rsid w:val="29AA1528"/>
    <w:rsid w:val="29D148D0"/>
    <w:rsid w:val="29E5116A"/>
    <w:rsid w:val="2AC803DC"/>
    <w:rsid w:val="2AF71430"/>
    <w:rsid w:val="2B520C88"/>
    <w:rsid w:val="2BCA3B51"/>
    <w:rsid w:val="2C8F1FBC"/>
    <w:rsid w:val="2CCC26BD"/>
    <w:rsid w:val="2D3E2F42"/>
    <w:rsid w:val="2D4060F2"/>
    <w:rsid w:val="2D9F11C5"/>
    <w:rsid w:val="2DA07D6D"/>
    <w:rsid w:val="2EC854D0"/>
    <w:rsid w:val="2ECA3D6D"/>
    <w:rsid w:val="2F146C96"/>
    <w:rsid w:val="2F402F53"/>
    <w:rsid w:val="2FCC3729"/>
    <w:rsid w:val="30143D85"/>
    <w:rsid w:val="31752B09"/>
    <w:rsid w:val="32A775F4"/>
    <w:rsid w:val="32AC7E5E"/>
    <w:rsid w:val="32DD159F"/>
    <w:rsid w:val="335D305E"/>
    <w:rsid w:val="33F77211"/>
    <w:rsid w:val="341548E3"/>
    <w:rsid w:val="344C3438"/>
    <w:rsid w:val="35671120"/>
    <w:rsid w:val="35723DBA"/>
    <w:rsid w:val="359B739A"/>
    <w:rsid w:val="35B62223"/>
    <w:rsid w:val="35C05FE9"/>
    <w:rsid w:val="35E7353B"/>
    <w:rsid w:val="36110746"/>
    <w:rsid w:val="36602F80"/>
    <w:rsid w:val="36623E0E"/>
    <w:rsid w:val="3670532E"/>
    <w:rsid w:val="37712A39"/>
    <w:rsid w:val="37D35706"/>
    <w:rsid w:val="37E90138"/>
    <w:rsid w:val="39566B09"/>
    <w:rsid w:val="39E1476A"/>
    <w:rsid w:val="3A3D1CFB"/>
    <w:rsid w:val="3AE50133"/>
    <w:rsid w:val="3B0E77B2"/>
    <w:rsid w:val="3B345EA5"/>
    <w:rsid w:val="3B550335"/>
    <w:rsid w:val="3B5F50F7"/>
    <w:rsid w:val="3B6867E5"/>
    <w:rsid w:val="3C8225A7"/>
    <w:rsid w:val="3D1275D3"/>
    <w:rsid w:val="3DA04075"/>
    <w:rsid w:val="3DB531EC"/>
    <w:rsid w:val="3DBB71E5"/>
    <w:rsid w:val="3DDB0D31"/>
    <w:rsid w:val="3E83469F"/>
    <w:rsid w:val="3F217805"/>
    <w:rsid w:val="3F3442E5"/>
    <w:rsid w:val="3FED78DC"/>
    <w:rsid w:val="3FEF6784"/>
    <w:rsid w:val="40AF43CA"/>
    <w:rsid w:val="40D83598"/>
    <w:rsid w:val="410626FD"/>
    <w:rsid w:val="41FB12D8"/>
    <w:rsid w:val="427A0FAE"/>
    <w:rsid w:val="43036342"/>
    <w:rsid w:val="432930B3"/>
    <w:rsid w:val="43346686"/>
    <w:rsid w:val="43D911A2"/>
    <w:rsid w:val="44222E5D"/>
    <w:rsid w:val="44922D69"/>
    <w:rsid w:val="44DD4A6B"/>
    <w:rsid w:val="44E23928"/>
    <w:rsid w:val="4563730C"/>
    <w:rsid w:val="456B496E"/>
    <w:rsid w:val="45753AC8"/>
    <w:rsid w:val="45DE55DB"/>
    <w:rsid w:val="463948A0"/>
    <w:rsid w:val="464557C9"/>
    <w:rsid w:val="46867CEE"/>
    <w:rsid w:val="48065F91"/>
    <w:rsid w:val="480D5086"/>
    <w:rsid w:val="48694FA0"/>
    <w:rsid w:val="488E768B"/>
    <w:rsid w:val="48F073C8"/>
    <w:rsid w:val="49F41D5E"/>
    <w:rsid w:val="4AFF6678"/>
    <w:rsid w:val="4B1E31F7"/>
    <w:rsid w:val="4B6D2E85"/>
    <w:rsid w:val="4B8D3361"/>
    <w:rsid w:val="4BB273C9"/>
    <w:rsid w:val="4BCB3573"/>
    <w:rsid w:val="4BE82DE5"/>
    <w:rsid w:val="4C012361"/>
    <w:rsid w:val="4C433193"/>
    <w:rsid w:val="4C46236F"/>
    <w:rsid w:val="4C517CBF"/>
    <w:rsid w:val="4C696BA0"/>
    <w:rsid w:val="4C7E1155"/>
    <w:rsid w:val="4C976ED3"/>
    <w:rsid w:val="4CE75373"/>
    <w:rsid w:val="4D331D1F"/>
    <w:rsid w:val="4D5934CA"/>
    <w:rsid w:val="4D9176FF"/>
    <w:rsid w:val="4DBA747C"/>
    <w:rsid w:val="4E105EFB"/>
    <w:rsid w:val="4E7B6655"/>
    <w:rsid w:val="4F0A2110"/>
    <w:rsid w:val="4F7C5131"/>
    <w:rsid w:val="4FC212AC"/>
    <w:rsid w:val="4FC728A2"/>
    <w:rsid w:val="50120532"/>
    <w:rsid w:val="507E0FE9"/>
    <w:rsid w:val="50847247"/>
    <w:rsid w:val="517363A0"/>
    <w:rsid w:val="51776BB3"/>
    <w:rsid w:val="529C2C7E"/>
    <w:rsid w:val="530F6FAB"/>
    <w:rsid w:val="53560721"/>
    <w:rsid w:val="54143E2C"/>
    <w:rsid w:val="54272DA1"/>
    <w:rsid w:val="543809DD"/>
    <w:rsid w:val="55E04146"/>
    <w:rsid w:val="56531827"/>
    <w:rsid w:val="566D4B95"/>
    <w:rsid w:val="56BA2A52"/>
    <w:rsid w:val="57005DA5"/>
    <w:rsid w:val="572656D4"/>
    <w:rsid w:val="57313C7A"/>
    <w:rsid w:val="578671EF"/>
    <w:rsid w:val="578D0B51"/>
    <w:rsid w:val="57A674E7"/>
    <w:rsid w:val="58204A41"/>
    <w:rsid w:val="58572B42"/>
    <w:rsid w:val="59234CED"/>
    <w:rsid w:val="595233B1"/>
    <w:rsid w:val="598C712E"/>
    <w:rsid w:val="59AD06A4"/>
    <w:rsid w:val="59BD4088"/>
    <w:rsid w:val="59D40EB9"/>
    <w:rsid w:val="5A4D586D"/>
    <w:rsid w:val="5A6249B0"/>
    <w:rsid w:val="5A9E604B"/>
    <w:rsid w:val="5AD6029C"/>
    <w:rsid w:val="5B31130A"/>
    <w:rsid w:val="5B945B56"/>
    <w:rsid w:val="5BA37CD6"/>
    <w:rsid w:val="5C131EE5"/>
    <w:rsid w:val="5C244B26"/>
    <w:rsid w:val="5C584744"/>
    <w:rsid w:val="5C75591C"/>
    <w:rsid w:val="5C995E78"/>
    <w:rsid w:val="5CF21778"/>
    <w:rsid w:val="5E665952"/>
    <w:rsid w:val="5EE84C68"/>
    <w:rsid w:val="5FA703FC"/>
    <w:rsid w:val="5FE56379"/>
    <w:rsid w:val="602463B0"/>
    <w:rsid w:val="6026592A"/>
    <w:rsid w:val="60E07B05"/>
    <w:rsid w:val="61467567"/>
    <w:rsid w:val="617E39ED"/>
    <w:rsid w:val="61932504"/>
    <w:rsid w:val="61F4087F"/>
    <w:rsid w:val="621D5BA4"/>
    <w:rsid w:val="6256701D"/>
    <w:rsid w:val="626B7D02"/>
    <w:rsid w:val="62864D42"/>
    <w:rsid w:val="62C85520"/>
    <w:rsid w:val="62F852B9"/>
    <w:rsid w:val="63197EAF"/>
    <w:rsid w:val="635B6748"/>
    <w:rsid w:val="638E57A9"/>
    <w:rsid w:val="63947A95"/>
    <w:rsid w:val="64093676"/>
    <w:rsid w:val="64220681"/>
    <w:rsid w:val="64CA620D"/>
    <w:rsid w:val="64D861CD"/>
    <w:rsid w:val="64DB7264"/>
    <w:rsid w:val="653E102A"/>
    <w:rsid w:val="6563651B"/>
    <w:rsid w:val="6587055A"/>
    <w:rsid w:val="666F3C2D"/>
    <w:rsid w:val="669358D0"/>
    <w:rsid w:val="6721435E"/>
    <w:rsid w:val="672A39B3"/>
    <w:rsid w:val="678825A6"/>
    <w:rsid w:val="67955748"/>
    <w:rsid w:val="67B05ABC"/>
    <w:rsid w:val="67B167D1"/>
    <w:rsid w:val="67DB0789"/>
    <w:rsid w:val="67FE7192"/>
    <w:rsid w:val="684C32DB"/>
    <w:rsid w:val="685D4F36"/>
    <w:rsid w:val="685F1C50"/>
    <w:rsid w:val="68646806"/>
    <w:rsid w:val="690D12D9"/>
    <w:rsid w:val="69613631"/>
    <w:rsid w:val="699022E9"/>
    <w:rsid w:val="69A1759A"/>
    <w:rsid w:val="69E25B62"/>
    <w:rsid w:val="6A1B38EE"/>
    <w:rsid w:val="6A4D1A1F"/>
    <w:rsid w:val="6A69105A"/>
    <w:rsid w:val="6A714498"/>
    <w:rsid w:val="6B5473D5"/>
    <w:rsid w:val="6CEB3F4F"/>
    <w:rsid w:val="6D86699C"/>
    <w:rsid w:val="6DFD1A82"/>
    <w:rsid w:val="6E7C4E33"/>
    <w:rsid w:val="6E880AEF"/>
    <w:rsid w:val="6FA019E9"/>
    <w:rsid w:val="6FF739FD"/>
    <w:rsid w:val="70284E6B"/>
    <w:rsid w:val="70730722"/>
    <w:rsid w:val="71230DD5"/>
    <w:rsid w:val="714C5892"/>
    <w:rsid w:val="718F71B4"/>
    <w:rsid w:val="723A7CB1"/>
    <w:rsid w:val="727151E7"/>
    <w:rsid w:val="72D23BA6"/>
    <w:rsid w:val="72E2168C"/>
    <w:rsid w:val="738022F0"/>
    <w:rsid w:val="73A03B41"/>
    <w:rsid w:val="74341FF0"/>
    <w:rsid w:val="745919C6"/>
    <w:rsid w:val="74702A9A"/>
    <w:rsid w:val="748C0004"/>
    <w:rsid w:val="74C046C2"/>
    <w:rsid w:val="74F14380"/>
    <w:rsid w:val="751929F4"/>
    <w:rsid w:val="755D22E5"/>
    <w:rsid w:val="756C2BEA"/>
    <w:rsid w:val="75745308"/>
    <w:rsid w:val="75E76059"/>
    <w:rsid w:val="75FA76EF"/>
    <w:rsid w:val="761C2BBB"/>
    <w:rsid w:val="7620437E"/>
    <w:rsid w:val="76456711"/>
    <w:rsid w:val="7671701C"/>
    <w:rsid w:val="76C31F3F"/>
    <w:rsid w:val="76C77E2A"/>
    <w:rsid w:val="76F9017B"/>
    <w:rsid w:val="776A1DE8"/>
    <w:rsid w:val="77AA6501"/>
    <w:rsid w:val="77CB6175"/>
    <w:rsid w:val="77D86A06"/>
    <w:rsid w:val="780B4915"/>
    <w:rsid w:val="785D00CA"/>
    <w:rsid w:val="787417E9"/>
    <w:rsid w:val="78E16973"/>
    <w:rsid w:val="78FD21F4"/>
    <w:rsid w:val="794A5B32"/>
    <w:rsid w:val="794E4F7C"/>
    <w:rsid w:val="7A730192"/>
    <w:rsid w:val="7A9D0BD2"/>
    <w:rsid w:val="7B2F5245"/>
    <w:rsid w:val="7B564EC8"/>
    <w:rsid w:val="7B8A5EC2"/>
    <w:rsid w:val="7BCB320B"/>
    <w:rsid w:val="7C80540C"/>
    <w:rsid w:val="7CDB1252"/>
    <w:rsid w:val="7CE17663"/>
    <w:rsid w:val="7D3C42DB"/>
    <w:rsid w:val="7D5C6ADB"/>
    <w:rsid w:val="7D6E784A"/>
    <w:rsid w:val="7DA075A5"/>
    <w:rsid w:val="7DDD6CEA"/>
    <w:rsid w:val="7DED0920"/>
    <w:rsid w:val="7E3A10B9"/>
    <w:rsid w:val="7E636E14"/>
    <w:rsid w:val="7F3066E5"/>
    <w:rsid w:val="7F4D1DB5"/>
    <w:rsid w:val="7F5B6EA1"/>
    <w:rsid w:val="7F8677A0"/>
    <w:rsid w:val="7F8D4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6"/>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5"/>
    <w:basedOn w:val="1"/>
    <w:next w:val="1"/>
    <w:qFormat/>
    <w:uiPriority w:val="9"/>
    <w:pPr>
      <w:keepNext/>
      <w:keepLines/>
      <w:spacing w:before="280" w:after="290" w:line="376" w:lineRule="auto"/>
      <w:outlineLvl w:val="4"/>
    </w:pPr>
    <w:rPr>
      <w:b/>
      <w:bCs/>
      <w:sz w:val="28"/>
      <w:szCs w:val="28"/>
      <w:lang w:val="zh-CN"/>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1"/>
    <w:link w:val="48"/>
    <w:qFormat/>
    <w:uiPriority w:val="0"/>
    <w:pPr>
      <w:spacing w:after="120"/>
      <w:ind w:left="420" w:leftChars="200"/>
    </w:pPr>
  </w:style>
  <w:style w:type="paragraph" w:styleId="9">
    <w:name w:val="List Number"/>
    <w:basedOn w:val="1"/>
    <w:qFormat/>
    <w:uiPriority w:val="0"/>
    <w:pPr>
      <w:numPr>
        <w:ilvl w:val="0"/>
        <w:numId w:val="1"/>
      </w:numPr>
    </w:pPr>
  </w:style>
  <w:style w:type="paragraph" w:styleId="10">
    <w:name w:val="annotation text"/>
    <w:basedOn w:val="1"/>
    <w:link w:val="41"/>
    <w:qFormat/>
    <w:uiPriority w:val="0"/>
    <w:pPr>
      <w:jc w:val="left"/>
    </w:pPr>
  </w:style>
  <w:style w:type="paragraph" w:styleId="11">
    <w:name w:val="Body Text"/>
    <w:basedOn w:val="1"/>
    <w:next w:val="1"/>
    <w:link w:val="43"/>
    <w:qFormat/>
    <w:uiPriority w:val="0"/>
    <w:pPr>
      <w:spacing w:line="360" w:lineRule="exact"/>
    </w:pPr>
    <w:rPr>
      <w:sz w:val="24"/>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4"/>
    <w:link w:val="35"/>
    <w:qFormat/>
    <w:uiPriority w:val="0"/>
    <w:rPr>
      <w:rFonts w:ascii="宋体" w:hAnsi="Courier New"/>
    </w:rPr>
  </w:style>
  <w:style w:type="paragraph" w:styleId="14">
    <w:name w:val="Date"/>
    <w:basedOn w:val="1"/>
    <w:next w:val="1"/>
    <w:link w:val="47"/>
    <w:qFormat/>
    <w:uiPriority w:val="0"/>
    <w:pPr>
      <w:ind w:left="2500" w:leftChars="2500"/>
    </w:pPr>
    <w:rPr>
      <w:rFonts w:ascii="Calibri" w:hAnsi="Calibri" w:eastAsia="楷体_GB2312"/>
      <w:sz w:val="32"/>
      <w:szCs w:val="22"/>
    </w:rPr>
  </w:style>
  <w:style w:type="paragraph" w:styleId="15">
    <w:name w:val="Balloon Text"/>
    <w:basedOn w:val="1"/>
    <w:link w:val="36"/>
    <w:qFormat/>
    <w:uiPriority w:val="0"/>
    <w:rPr>
      <w:sz w:val="18"/>
      <w:szCs w:val="18"/>
    </w:rPr>
  </w:style>
  <w:style w:type="paragraph" w:styleId="16">
    <w:name w:val="footer"/>
    <w:basedOn w:val="1"/>
    <w:link w:val="37"/>
    <w:qFormat/>
    <w:uiPriority w:val="0"/>
    <w:pPr>
      <w:tabs>
        <w:tab w:val="center" w:pos="4153"/>
        <w:tab w:val="right" w:pos="8306"/>
      </w:tabs>
      <w:snapToGrid w:val="0"/>
      <w:jc w:val="left"/>
    </w:pPr>
    <w:rPr>
      <w:sz w:val="18"/>
    </w:rPr>
  </w:style>
  <w:style w:type="paragraph" w:styleId="17">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0"/>
    <w:pPr>
      <w:ind w:left="200" w:hanging="200" w:hangingChars="200"/>
    </w:pPr>
  </w:style>
  <w:style w:type="paragraph" w:styleId="19">
    <w:name w:val="footnote text"/>
    <w:basedOn w:val="1"/>
    <w:semiHidden/>
    <w:unhideWhenUsed/>
    <w:qFormat/>
    <w:uiPriority w:val="99"/>
    <w:pPr>
      <w:snapToGrid w:val="0"/>
      <w:jc w:val="left"/>
    </w:pPr>
    <w:rPr>
      <w:sz w:val="18"/>
    </w:rPr>
  </w:style>
  <w:style w:type="paragraph" w:styleId="20">
    <w:name w:val="toc 6"/>
    <w:basedOn w:val="1"/>
    <w:next w:val="1"/>
    <w:qFormat/>
    <w:uiPriority w:val="39"/>
    <w:pPr>
      <w:widowControl/>
      <w:ind w:left="1000"/>
      <w:jc w:val="left"/>
    </w:pPr>
    <w:rPr>
      <w:kern w:val="0"/>
      <w:sz w:val="18"/>
      <w:szCs w:val="20"/>
    </w:r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4">
    <w:name w:val="annotation subject"/>
    <w:basedOn w:val="10"/>
    <w:next w:val="10"/>
    <w:link w:val="40"/>
    <w:qFormat/>
    <w:uiPriority w:val="0"/>
    <w:rPr>
      <w:b/>
      <w:bCs/>
    </w:rPr>
  </w:style>
  <w:style w:type="paragraph" w:styleId="25">
    <w:name w:val="Body Text First Indent"/>
    <w:basedOn w:val="11"/>
    <w:next w:val="20"/>
    <w:qFormat/>
    <w:uiPriority w:val="0"/>
    <w:pPr>
      <w:ind w:firstLine="420"/>
    </w:pPr>
    <w:rPr>
      <w:sz w:val="21"/>
    </w:rPr>
  </w:style>
  <w:style w:type="paragraph" w:styleId="26">
    <w:name w:val="Body Text First Indent 2"/>
    <w:basedOn w:val="3"/>
    <w:qFormat/>
    <w:uiPriority w:val="0"/>
    <w:pPr>
      <w:ind w:firstLine="420"/>
    </w:pPr>
  </w:style>
  <w:style w:type="table" w:styleId="28">
    <w:name w:val="Table Grid"/>
    <w:basedOn w:val="2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Times New Roman" w:hAnsi="Times New Roman" w:eastAsia="宋体" w:cs="Times New Roman"/>
      <w:b/>
    </w:rPr>
  </w:style>
  <w:style w:type="character" w:styleId="31">
    <w:name w:val="Hyperlink"/>
    <w:basedOn w:val="29"/>
    <w:qFormat/>
    <w:uiPriority w:val="0"/>
    <w:rPr>
      <w:rFonts w:ascii="Times New Roman" w:hAnsi="Times New Roman" w:eastAsia="宋体" w:cs="Times New Roman"/>
      <w:color w:val="0000FF"/>
      <w:u w:val="single"/>
    </w:rPr>
  </w:style>
  <w:style w:type="character" w:styleId="32">
    <w:name w:val="annotation reference"/>
    <w:basedOn w:val="29"/>
    <w:qFormat/>
    <w:uiPriority w:val="0"/>
    <w:rPr>
      <w:rFonts w:ascii="Times New Roman" w:hAnsi="Times New Roman" w:eastAsia="宋体" w:cs="Times New Roman"/>
      <w:sz w:val="21"/>
      <w:szCs w:val="21"/>
    </w:rPr>
  </w:style>
  <w:style w:type="character" w:styleId="33">
    <w:name w:val="footnote reference"/>
    <w:basedOn w:val="29"/>
    <w:semiHidden/>
    <w:unhideWhenUsed/>
    <w:qFormat/>
    <w:uiPriority w:val="99"/>
    <w:rPr>
      <w:vertAlign w:val="superscript"/>
    </w:rPr>
  </w:style>
  <w:style w:type="character" w:customStyle="1" w:styleId="34">
    <w:name w:val="标题 1 字符"/>
    <w:basedOn w:val="29"/>
    <w:link w:val="4"/>
    <w:qFormat/>
    <w:uiPriority w:val="0"/>
    <w:rPr>
      <w:rFonts w:ascii="Times New Roman" w:hAnsi="Times New Roman" w:eastAsia="宋体" w:cs="Times New Roman"/>
      <w:b/>
      <w:bCs/>
      <w:kern w:val="44"/>
      <w:sz w:val="44"/>
      <w:szCs w:val="44"/>
    </w:rPr>
  </w:style>
  <w:style w:type="character" w:customStyle="1" w:styleId="35">
    <w:name w:val="纯文本 字符"/>
    <w:basedOn w:val="29"/>
    <w:link w:val="13"/>
    <w:qFormat/>
    <w:uiPriority w:val="0"/>
    <w:rPr>
      <w:rFonts w:ascii="宋体" w:hAnsi="Courier New" w:eastAsia="宋体" w:cs="Courier New"/>
      <w:sz w:val="21"/>
      <w:szCs w:val="21"/>
    </w:rPr>
  </w:style>
  <w:style w:type="character" w:customStyle="1" w:styleId="36">
    <w:name w:val="批注框文本 字符"/>
    <w:basedOn w:val="29"/>
    <w:link w:val="15"/>
    <w:qFormat/>
    <w:uiPriority w:val="0"/>
    <w:rPr>
      <w:rFonts w:ascii="Times New Roman" w:hAnsi="Times New Roman" w:eastAsia="宋体" w:cs="Times New Roman"/>
      <w:kern w:val="2"/>
      <w:sz w:val="18"/>
      <w:szCs w:val="18"/>
    </w:rPr>
  </w:style>
  <w:style w:type="character" w:customStyle="1" w:styleId="37">
    <w:name w:val="页脚 字符"/>
    <w:basedOn w:val="29"/>
    <w:link w:val="16"/>
    <w:qFormat/>
    <w:uiPriority w:val="0"/>
    <w:rPr>
      <w:rFonts w:ascii="Times New Roman" w:hAnsi="Times New Roman" w:eastAsia="宋体" w:cs="Times New Roman"/>
      <w:sz w:val="18"/>
      <w:szCs w:val="18"/>
    </w:rPr>
  </w:style>
  <w:style w:type="character" w:customStyle="1" w:styleId="38">
    <w:name w:val="标题 2 字符"/>
    <w:basedOn w:val="29"/>
    <w:link w:val="5"/>
    <w:qFormat/>
    <w:uiPriority w:val="0"/>
    <w:rPr>
      <w:rFonts w:ascii="Cambria" w:hAnsi="Cambria" w:eastAsia="宋体" w:cs="Times New Roman"/>
      <w:b/>
      <w:bCs/>
      <w:sz w:val="32"/>
      <w:szCs w:val="32"/>
    </w:rPr>
  </w:style>
  <w:style w:type="character" w:customStyle="1" w:styleId="39">
    <w:name w:val="font01"/>
    <w:qFormat/>
    <w:uiPriority w:val="0"/>
    <w:rPr>
      <w:rFonts w:hint="eastAsia" w:ascii="宋体" w:hAnsi="宋体" w:eastAsia="宋体" w:cs="宋体"/>
      <w:color w:val="000000"/>
      <w:sz w:val="24"/>
      <w:szCs w:val="24"/>
      <w:u w:val="none"/>
    </w:rPr>
  </w:style>
  <w:style w:type="character" w:customStyle="1" w:styleId="40">
    <w:name w:val="批注主题 字符"/>
    <w:basedOn w:val="41"/>
    <w:link w:val="24"/>
    <w:qFormat/>
    <w:uiPriority w:val="0"/>
    <w:rPr>
      <w:rFonts w:ascii="Times New Roman" w:hAnsi="Times New Roman" w:eastAsia="宋体" w:cs="Times New Roman"/>
      <w:b/>
      <w:bCs/>
      <w:kern w:val="2"/>
      <w:sz w:val="24"/>
      <w:szCs w:val="24"/>
    </w:rPr>
  </w:style>
  <w:style w:type="character" w:customStyle="1" w:styleId="41">
    <w:name w:val="批注文字 字符"/>
    <w:basedOn w:val="29"/>
    <w:link w:val="10"/>
    <w:qFormat/>
    <w:uiPriority w:val="0"/>
    <w:rPr>
      <w:rFonts w:ascii="Times New Roman" w:hAnsi="Times New Roman" w:eastAsia="宋体" w:cs="Times New Roman"/>
      <w:kern w:val="2"/>
      <w:sz w:val="24"/>
      <w:szCs w:val="24"/>
    </w:rPr>
  </w:style>
  <w:style w:type="character" w:customStyle="1" w:styleId="42">
    <w:name w:val="font11"/>
    <w:basedOn w:val="29"/>
    <w:qFormat/>
    <w:uiPriority w:val="0"/>
    <w:rPr>
      <w:rFonts w:hint="default" w:ascii="Times New Roman" w:hAnsi="Times New Roman" w:eastAsia="宋体" w:cs="Times New Roman"/>
      <w:color w:val="000000"/>
      <w:sz w:val="24"/>
      <w:szCs w:val="24"/>
      <w:u w:val="none"/>
    </w:rPr>
  </w:style>
  <w:style w:type="character" w:customStyle="1" w:styleId="43">
    <w:name w:val="正文文本 字符"/>
    <w:basedOn w:val="29"/>
    <w:link w:val="11"/>
    <w:qFormat/>
    <w:uiPriority w:val="0"/>
    <w:rPr>
      <w:rFonts w:ascii="Times New Roman" w:hAnsi="Times New Roman" w:eastAsia="宋体" w:cs="Times New Roman"/>
      <w:sz w:val="24"/>
      <w:szCs w:val="24"/>
    </w:rPr>
  </w:style>
  <w:style w:type="character" w:customStyle="1" w:styleId="44">
    <w:name w:val="页眉 字符"/>
    <w:basedOn w:val="29"/>
    <w:link w:val="17"/>
    <w:qFormat/>
    <w:uiPriority w:val="0"/>
    <w:rPr>
      <w:rFonts w:ascii="Times New Roman" w:hAnsi="Times New Roman" w:eastAsia="宋体" w:cs="Times New Roman"/>
      <w:sz w:val="18"/>
      <w:szCs w:val="18"/>
    </w:rPr>
  </w:style>
  <w:style w:type="character" w:customStyle="1" w:styleId="45">
    <w:name w:val="font31"/>
    <w:qFormat/>
    <w:uiPriority w:val="0"/>
    <w:rPr>
      <w:rFonts w:hint="eastAsia" w:ascii="宋体" w:hAnsi="宋体" w:eastAsia="宋体" w:cs="宋体"/>
      <w:color w:val="000000"/>
      <w:sz w:val="24"/>
      <w:szCs w:val="24"/>
      <w:u w:val="none"/>
    </w:rPr>
  </w:style>
  <w:style w:type="character" w:customStyle="1" w:styleId="46">
    <w:name w:val="标题 3 字符"/>
    <w:basedOn w:val="29"/>
    <w:link w:val="6"/>
    <w:qFormat/>
    <w:uiPriority w:val="0"/>
    <w:rPr>
      <w:rFonts w:ascii="Times New Roman" w:hAnsi="Times New Roman" w:eastAsia="宋体" w:cs="Times New Roman"/>
      <w:b/>
      <w:bCs/>
      <w:sz w:val="32"/>
      <w:szCs w:val="32"/>
    </w:rPr>
  </w:style>
  <w:style w:type="character" w:customStyle="1" w:styleId="47">
    <w:name w:val="日期 字符"/>
    <w:basedOn w:val="29"/>
    <w:link w:val="14"/>
    <w:qFormat/>
    <w:uiPriority w:val="0"/>
    <w:rPr>
      <w:rFonts w:ascii="Times New Roman" w:hAnsi="Times New Roman" w:eastAsia="宋体" w:cs="Times New Roman"/>
      <w:sz w:val="24"/>
      <w:szCs w:val="24"/>
    </w:rPr>
  </w:style>
  <w:style w:type="character" w:customStyle="1" w:styleId="48">
    <w:name w:val="正文文本缩进 字符"/>
    <w:basedOn w:val="29"/>
    <w:link w:val="3"/>
    <w:qFormat/>
    <w:uiPriority w:val="0"/>
    <w:rPr>
      <w:rFonts w:ascii="Times New Roman" w:hAnsi="Times New Roman" w:eastAsia="宋体" w:cs="Times New Roman"/>
      <w:kern w:val="2"/>
      <w:sz w:val="24"/>
      <w:szCs w:val="24"/>
    </w:rPr>
  </w:style>
  <w:style w:type="paragraph" w:customStyle="1" w:styleId="49">
    <w:name w:val="纯文本_3"/>
    <w:basedOn w:val="50"/>
    <w:qFormat/>
    <w:uiPriority w:val="0"/>
    <w:pPr>
      <w:widowControl/>
      <w:jc w:val="left"/>
    </w:pPr>
    <w:rPr>
      <w:rFonts w:ascii="宋体" w:hAnsi="Courier New"/>
      <w:szCs w:val="21"/>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0_1"/>
    <w:basedOn w:val="1"/>
    <w:qFormat/>
    <w:uiPriority w:val="0"/>
    <w:pPr>
      <w:widowControl/>
      <w:jc w:val="left"/>
    </w:pPr>
    <w:rPr>
      <w:rFonts w:ascii="宋体" w:hAnsi="Courier New"/>
      <w:szCs w:val="21"/>
    </w:rPr>
  </w:style>
  <w:style w:type="paragraph" w:customStyle="1" w:styleId="5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4">
    <w:name w:val="表格文字"/>
    <w:basedOn w:val="1"/>
    <w:next w:val="11"/>
    <w:qFormat/>
    <w:uiPriority w:val="0"/>
    <w:pPr>
      <w:adjustRightInd w:val="0"/>
      <w:spacing w:line="420" w:lineRule="atLeast"/>
      <w:jc w:val="left"/>
      <w:textAlignment w:val="baseline"/>
    </w:pPr>
    <w:rPr>
      <w:kern w:val="0"/>
    </w:rPr>
  </w:style>
  <w:style w:type="paragraph" w:customStyle="1" w:styleId="5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60">
    <w:name w:val="正文（首行缩进2字符）"/>
    <w:basedOn w:val="1"/>
    <w:qFormat/>
    <w:uiPriority w:val="0"/>
    <w:pPr>
      <w:spacing w:line="360" w:lineRule="auto"/>
      <w:ind w:firstLine="420" w:firstLineChars="200"/>
    </w:pPr>
    <w:rPr>
      <w:szCs w:val="21"/>
    </w:rPr>
  </w:style>
  <w:style w:type="paragraph" w:customStyle="1" w:styleId="61">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4"/>
    <w:qFormat/>
    <w:uiPriority w:val="0"/>
    <w:rPr>
      <w:rFonts w:ascii="Times New Roman" w:hAnsi="Times New Roman" w:eastAsia="宋体" w:cs="Times New Roman"/>
      <w:sz w:val="21"/>
      <w:szCs w:val="22"/>
      <w:lang w:val="en-US" w:eastAsia="zh-CN" w:bidi="ar-SA"/>
    </w:rPr>
  </w:style>
  <w:style w:type="paragraph" w:customStyle="1" w:styleId="6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列出段落1"/>
    <w:basedOn w:val="1"/>
    <w:qFormat/>
    <w:uiPriority w:val="0"/>
    <w:pPr>
      <w:ind w:firstLine="420" w:firstLineChars="200"/>
    </w:pPr>
    <w:rPr>
      <w:rFonts w:ascii="Calibri" w:hAnsi="Calibri"/>
      <w:kern w:val="0"/>
      <w:szCs w:val="20"/>
    </w:rPr>
  </w:style>
  <w:style w:type="paragraph" w:customStyle="1" w:styleId="68">
    <w:name w:val="正文2"/>
    <w:basedOn w:val="1"/>
    <w:qFormat/>
    <w:uiPriority w:val="0"/>
    <w:pPr>
      <w:spacing w:before="156" w:line="360" w:lineRule="auto"/>
      <w:ind w:firstLine="510" w:firstLineChars="200"/>
    </w:pPr>
    <w:rPr>
      <w:sz w:val="24"/>
      <w:szCs w:val="20"/>
    </w:rPr>
  </w:style>
  <w:style w:type="paragraph" w:customStyle="1" w:styleId="69">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70">
    <w:name w:val="列出段落2"/>
    <w:basedOn w:val="1"/>
    <w:qFormat/>
    <w:uiPriority w:val="0"/>
    <w:pPr>
      <w:ind w:firstLine="420" w:firstLineChars="200"/>
    </w:pPr>
    <w:rPr>
      <w:rFonts w:ascii="Calibri" w:hAnsi="Calibri"/>
      <w:szCs w:val="22"/>
    </w:rPr>
  </w:style>
  <w:style w:type="character" w:customStyle="1" w:styleId="71">
    <w:name w:val="font61"/>
    <w:basedOn w:val="29"/>
    <w:qFormat/>
    <w:uiPriority w:val="0"/>
    <w:rPr>
      <w:rFonts w:hint="default" w:ascii="Times New Roman" w:hAnsi="Times New Roman" w:cs="Times New Roman"/>
      <w:b/>
      <w:color w:val="000000"/>
      <w:sz w:val="21"/>
      <w:szCs w:val="21"/>
      <w:u w:val="none"/>
    </w:rPr>
  </w:style>
  <w:style w:type="character" w:customStyle="1" w:styleId="72">
    <w:name w:val="font112"/>
    <w:basedOn w:val="29"/>
    <w:qFormat/>
    <w:uiPriority w:val="0"/>
    <w:rPr>
      <w:rFonts w:hint="eastAsia" w:ascii="宋体" w:hAnsi="宋体" w:eastAsia="宋体" w:cs="宋体"/>
      <w:b/>
      <w:color w:val="000000"/>
      <w:sz w:val="21"/>
      <w:szCs w:val="21"/>
      <w:u w:val="none"/>
    </w:rPr>
  </w:style>
  <w:style w:type="character" w:customStyle="1" w:styleId="73">
    <w:name w:val="font41"/>
    <w:basedOn w:val="29"/>
    <w:qFormat/>
    <w:uiPriority w:val="0"/>
    <w:rPr>
      <w:rFonts w:hint="default" w:ascii="Times New Roman" w:hAnsi="Times New Roman" w:cs="Times New Roman"/>
      <w:b/>
      <w:color w:val="000000"/>
      <w:sz w:val="21"/>
      <w:szCs w:val="21"/>
      <w:u w:val="none"/>
    </w:rPr>
  </w:style>
  <w:style w:type="character" w:customStyle="1" w:styleId="74">
    <w:name w:val="font101"/>
    <w:basedOn w:val="29"/>
    <w:qFormat/>
    <w:uiPriority w:val="0"/>
    <w:rPr>
      <w:rFonts w:hint="default" w:ascii="Times New Roman" w:hAnsi="Times New Roman" w:cs="Times New Roman"/>
      <w:b/>
      <w:color w:val="000000"/>
      <w:sz w:val="18"/>
      <w:szCs w:val="18"/>
      <w:u w:val="none"/>
    </w:rPr>
  </w:style>
  <w:style w:type="character" w:customStyle="1" w:styleId="75">
    <w:name w:val="font81"/>
    <w:basedOn w:val="29"/>
    <w:qFormat/>
    <w:uiPriority w:val="0"/>
    <w:rPr>
      <w:rFonts w:hint="default" w:ascii="Times New Roman" w:hAnsi="Times New Roman" w:cs="Times New Roman"/>
      <w:b/>
      <w:color w:val="FF0000"/>
      <w:sz w:val="21"/>
      <w:szCs w:val="21"/>
      <w:u w:val="none"/>
    </w:rPr>
  </w:style>
  <w:style w:type="character" w:customStyle="1" w:styleId="76">
    <w:name w:val="font141"/>
    <w:basedOn w:val="29"/>
    <w:qFormat/>
    <w:uiPriority w:val="0"/>
    <w:rPr>
      <w:rFonts w:hint="eastAsia" w:ascii="宋体" w:hAnsi="宋体" w:eastAsia="宋体" w:cs="宋体"/>
      <w:b/>
      <w:color w:val="FF0000"/>
      <w:sz w:val="21"/>
      <w:szCs w:val="21"/>
      <w:u w:val="none"/>
    </w:rPr>
  </w:style>
  <w:style w:type="character" w:customStyle="1" w:styleId="77">
    <w:name w:val="font151"/>
    <w:basedOn w:val="29"/>
    <w:qFormat/>
    <w:uiPriority w:val="0"/>
    <w:rPr>
      <w:rFonts w:hint="default" w:ascii="Times New Roman" w:hAnsi="Times New Roman" w:cs="Times New Roman"/>
      <w:b/>
      <w:color w:val="000000"/>
      <w:sz w:val="21"/>
      <w:szCs w:val="21"/>
      <w:u w:val="none"/>
    </w:rPr>
  </w:style>
  <w:style w:type="character" w:customStyle="1" w:styleId="78">
    <w:name w:val="font21"/>
    <w:basedOn w:val="29"/>
    <w:qFormat/>
    <w:uiPriority w:val="0"/>
    <w:rPr>
      <w:rFonts w:hint="eastAsia" w:ascii="宋体" w:hAnsi="宋体" w:eastAsia="宋体" w:cs="宋体"/>
      <w:b/>
      <w:color w:val="FF0000"/>
      <w:sz w:val="24"/>
      <w:szCs w:val="24"/>
      <w:u w:val="none"/>
    </w:rPr>
  </w:style>
  <w:style w:type="paragraph" w:customStyle="1" w:styleId="79">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80">
    <w:name w:val="表格1"/>
    <w:qFormat/>
    <w:uiPriority w:val="0"/>
    <w:pPr>
      <w:spacing w:line="360" w:lineRule="auto"/>
    </w:pPr>
    <w:rPr>
      <w:rFonts w:ascii="Times New Roman" w:hAnsi="Times New Roman" w:eastAsia="仿宋" w:cs="Times New Roman"/>
      <w:kern w:val="2"/>
      <w:sz w:val="28"/>
      <w:lang w:val="en-US" w:eastAsia="zh-CN" w:bidi="ar-SA"/>
    </w:rPr>
  </w:style>
  <w:style w:type="paragraph" w:styleId="81">
    <w:name w:val="List Paragraph"/>
    <w:basedOn w:val="1"/>
    <w:qFormat/>
    <w:uiPriority w:val="0"/>
    <w:pPr>
      <w:ind w:firstLine="420" w:firstLineChars="200"/>
    </w:pPr>
  </w:style>
  <w:style w:type="paragraph" w:customStyle="1" w:styleId="82">
    <w:name w:val="样式 标题 31.1.1标题 333rd levelBOD 0Bold HeadCTH3H31Heading ...1"/>
    <w:basedOn w:val="6"/>
    <w:qFormat/>
    <w:uiPriority w:val="0"/>
    <w:pPr>
      <w:spacing w:before="0" w:after="0" w:line="360" w:lineRule="auto"/>
    </w:pPr>
    <w:rPr>
      <w:rFonts w:ascii="仿宋_GB2312" w:eastAsia="仿宋_GB2312"/>
      <w:sz w:val="24"/>
      <w:szCs w:val="20"/>
    </w:rPr>
  </w:style>
  <w:style w:type="paragraph" w:customStyle="1" w:styleId="83">
    <w:name w:val="*正文"/>
    <w:basedOn w:val="1"/>
    <w:qFormat/>
    <w:uiPriority w:val="0"/>
    <w:pPr>
      <w:spacing w:line="300" w:lineRule="auto"/>
      <w:ind w:firstLine="480" w:firstLineChars="200"/>
    </w:pPr>
  </w:style>
  <w:style w:type="paragraph" w:customStyle="1" w:styleId="8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p1"/>
    <w:basedOn w:val="1"/>
    <w:qFormat/>
    <w:uiPriority w:val="0"/>
    <w:pPr>
      <w:widowControl/>
      <w:spacing w:line="360" w:lineRule="auto"/>
      <w:ind w:firstLine="883" w:firstLineChars="200"/>
      <w:jc w:val="left"/>
    </w:pPr>
    <w:rPr>
      <w:rFonts w:ascii="pingfang sc" w:hAnsi="pingfang sc" w:eastAsia="pingfang sc"/>
      <w:kern w:val="0"/>
      <w:sz w:val="18"/>
      <w:szCs w:val="18"/>
    </w:r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正文 样式"/>
    <w:basedOn w:val="1"/>
    <w:qFormat/>
    <w:locked/>
    <w:uiPriority w:val="0"/>
    <w:pPr>
      <w:spacing w:line="360" w:lineRule="auto"/>
      <w:ind w:firstLine="482"/>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6155</Words>
  <Characters>35088</Characters>
  <Lines>292</Lines>
  <Paragraphs>82</Paragraphs>
  <TotalTime>35</TotalTime>
  <ScaleCrop>false</ScaleCrop>
  <LinksUpToDate>false</LinksUpToDate>
  <CharactersWithSpaces>41161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2020-05-13T04:57:00Z</dcterms:created>
  <dc:creator>S-mile</dc:creator>
  <cp:lastModifiedBy>WPS_1543283590</cp:lastModifiedBy>
  <cp:lastPrinted>2022-02-24T11:59:00Z</cp:lastPrinted>
  <dcterms:modified xsi:type="dcterms:W3CDTF">2022-03-04T08:58:48Z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A5F91873B7AA4118888919FFB75FD0EE</vt:lpwstr>
  </property>
</Properties>
</file>