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项目编号：ZJWS2022-JJ313</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eastAsia" w:ascii="宋体"/>
          <w:color w:val="auto"/>
          <w:kern w:val="0"/>
          <w:sz w:val="28"/>
          <w:highlight w:val="none"/>
          <w:lang w:eastAsia="zh-CN"/>
        </w:rPr>
      </w:pPr>
      <w:r>
        <w:rPr>
          <w:rFonts w:hint="eastAsia" w:ascii="宋体"/>
          <w:color w:val="auto"/>
          <w:kern w:val="0"/>
          <w:sz w:val="28"/>
          <w:highlight w:val="none"/>
          <w:lang w:eastAsia="zh-CN"/>
        </w:rPr>
        <w:t>采购项目：台州市立医院迁建工程大孔径螺旋CT采购项目</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2022</w:t>
      </w:r>
      <w:r>
        <w:rPr>
          <w:rFonts w:hint="eastAsia" w:ascii="宋体" w:cs="Times New Roman"/>
          <w:color w:val="auto"/>
          <w:kern w:val="0"/>
          <w:sz w:val="28"/>
          <w:highlight w:val="none"/>
          <w:lang w:eastAsia="zh-CN"/>
        </w:rPr>
        <w:t>年</w:t>
      </w:r>
      <w:r>
        <w:rPr>
          <w:rFonts w:hint="eastAsia" w:ascii="宋体" w:cs="Times New Roman"/>
          <w:color w:val="auto"/>
          <w:kern w:val="0"/>
          <w:sz w:val="28"/>
          <w:highlight w:val="none"/>
          <w:lang w:val="en-US" w:eastAsia="zh-CN"/>
        </w:rPr>
        <w:t>11</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2"/>
        <w:rPr>
          <w:color w:val="auto"/>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bidi w:val="0"/>
        <w:spacing w:line="360" w:lineRule="auto"/>
        <w:jc w:val="center"/>
        <w:rPr>
          <w:rFonts w:hint="eastAsia" w:ascii="宋体" w:hAnsi="宋体" w:eastAsia="宋体" w:cs="宋体"/>
          <w:b/>
          <w:bCs/>
          <w:color w:val="auto"/>
          <w:sz w:val="36"/>
          <w:szCs w:val="44"/>
          <w:highlight w:val="none"/>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eastAsia" w:ascii="宋体" w:hAnsi="宋体" w:cs="宋体"/>
          <w:b/>
          <w:bCs/>
          <w:color w:val="auto"/>
          <w:sz w:val="24"/>
          <w:szCs w:val="32"/>
          <w:highlight w:val="none"/>
          <w:lang w:eastAsia="zh-CN"/>
        </w:rPr>
        <w:t>台州市立医院迁建工程大孔径螺旋CT采购项目</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eastAsia" w:ascii="宋体" w:hAnsi="宋体" w:cs="宋体"/>
          <w:color w:val="auto"/>
          <w:sz w:val="24"/>
          <w:szCs w:val="32"/>
          <w:highlight w:val="none"/>
          <w:lang w:eastAsia="zh-CN"/>
        </w:rPr>
        <w:t>ZJWS2022-JJ313</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7"/>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801"/>
        <w:gridCol w:w="860"/>
        <w:gridCol w:w="820"/>
        <w:gridCol w:w="207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1801"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6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8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70" w:type="dxa"/>
            <w:vAlign w:val="center"/>
          </w:tcPr>
          <w:p>
            <w:pPr>
              <w:spacing w:line="24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bCs/>
                <w:color w:val="auto"/>
                <w:sz w:val="24"/>
                <w:highlight w:val="none"/>
              </w:rPr>
              <w:t>交货期</w:t>
            </w:r>
          </w:p>
        </w:tc>
        <w:tc>
          <w:tcPr>
            <w:tcW w:w="2880"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1801" w:type="dxa"/>
            <w:vAlign w:val="center"/>
          </w:tcPr>
          <w:p>
            <w:pPr>
              <w:spacing w:line="240" w:lineRule="auto"/>
              <w:jc w:val="center"/>
              <w:rPr>
                <w:rFonts w:hint="eastAsia" w:ascii="宋体" w:eastAsia="宋体"/>
                <w:color w:val="auto"/>
                <w:sz w:val="24"/>
                <w:szCs w:val="24"/>
                <w:highlight w:val="none"/>
                <w:lang w:eastAsia="zh-CN"/>
              </w:rPr>
            </w:pPr>
            <w:r>
              <w:rPr>
                <w:rFonts w:hint="eastAsia" w:ascii="宋体" w:hAnsi="宋体"/>
                <w:color w:val="auto"/>
                <w:kern w:val="0"/>
                <w:sz w:val="24"/>
                <w:szCs w:val="24"/>
                <w:highlight w:val="none"/>
                <w:lang w:eastAsia="zh-CN"/>
              </w:rPr>
              <w:t>台州市立医院迁建工程大孔径螺旋CT采购项目</w:t>
            </w:r>
          </w:p>
        </w:tc>
        <w:tc>
          <w:tcPr>
            <w:tcW w:w="86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1套</w:t>
            </w:r>
          </w:p>
        </w:tc>
        <w:tc>
          <w:tcPr>
            <w:tcW w:w="82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600万元</w:t>
            </w:r>
          </w:p>
        </w:tc>
        <w:tc>
          <w:tcPr>
            <w:tcW w:w="2070"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合同</w:t>
            </w:r>
            <w:r>
              <w:rPr>
                <w:rFonts w:hint="eastAsia" w:ascii="宋体" w:hAnsi="宋体" w:cs="Times New Roman"/>
                <w:b w:val="0"/>
                <w:bCs w:val="0"/>
                <w:color w:val="auto"/>
                <w:sz w:val="24"/>
                <w:szCs w:val="24"/>
                <w:highlight w:val="none"/>
                <w:lang w:val="en-US" w:eastAsia="zh-CN"/>
              </w:rPr>
              <w:t>签订后两个月内送货到</w:t>
            </w:r>
            <w:r>
              <w:rPr>
                <w:rFonts w:hint="eastAsia" w:ascii="宋体" w:hAnsi="宋体"/>
                <w:b w:val="0"/>
                <w:bCs w:val="0"/>
                <w:color w:val="auto"/>
                <w:sz w:val="24"/>
                <w:szCs w:val="24"/>
                <w:highlight w:val="none"/>
                <w:lang w:val="en-US" w:eastAsia="zh-CN"/>
              </w:rPr>
              <w:t>市立医院指定地点</w:t>
            </w:r>
          </w:p>
        </w:tc>
        <w:tc>
          <w:tcPr>
            <w:tcW w:w="2880" w:type="dxa"/>
            <w:vAlign w:val="center"/>
          </w:tcPr>
          <w:p>
            <w:pPr>
              <w:spacing w:line="240" w:lineRule="auto"/>
              <w:jc w:val="both"/>
              <w:rPr>
                <w:rFonts w:hint="eastAsia" w:ascii="宋体" w:hAnsi="宋体" w:cs="Times New Roman"/>
                <w:b w:val="0"/>
                <w:bCs w:val="0"/>
                <w:color w:val="auto"/>
                <w:sz w:val="24"/>
                <w:szCs w:val="24"/>
                <w:highlight w:val="none"/>
                <w:lang w:val="en-US" w:eastAsia="zh-CN"/>
              </w:rPr>
            </w:pPr>
            <w:r>
              <w:rPr>
                <w:rFonts w:hint="eastAsia" w:ascii="宋体" w:hAnsi="宋体" w:cs="Times New Roman"/>
                <w:b w:val="0"/>
                <w:bCs w:val="0"/>
                <w:color w:val="auto"/>
                <w:sz w:val="24"/>
                <w:szCs w:val="24"/>
                <w:highlight w:val="none"/>
                <w:lang w:val="en-US" w:eastAsia="zh-CN"/>
              </w:rPr>
              <w:t>机架孔径：≥85cm</w:t>
            </w:r>
          </w:p>
          <w:p>
            <w:pPr>
              <w:spacing w:line="240" w:lineRule="auto"/>
              <w:jc w:val="center"/>
              <w:rPr>
                <w:rFonts w:hint="eastAsia" w:ascii="宋体" w:hAnsi="宋体" w:cs="Times New Roman"/>
                <w:b w:val="0"/>
                <w:bCs w:val="0"/>
                <w:color w:val="auto"/>
                <w:sz w:val="24"/>
                <w:szCs w:val="24"/>
                <w:highlight w:val="none"/>
                <w:lang w:val="en-US" w:eastAsia="zh-CN"/>
              </w:rPr>
            </w:pPr>
            <w:r>
              <w:rPr>
                <w:rFonts w:hint="eastAsia" w:ascii="宋体" w:hAnsi="宋体" w:cs="Times New Roman"/>
                <w:b w:val="0"/>
                <w:bCs w:val="0"/>
                <w:color w:val="auto"/>
                <w:sz w:val="24"/>
                <w:szCs w:val="24"/>
                <w:highlight w:val="none"/>
                <w:lang w:val="en-US" w:eastAsia="zh-CN"/>
              </w:rPr>
              <w:t>扫描时间/360</w:t>
            </w:r>
            <w:r>
              <w:rPr>
                <w:rFonts w:hint="eastAsia" w:ascii="宋体" w:hAnsi="宋体" w:cs="Times New Roman"/>
                <w:b w:val="0"/>
                <w:bCs w:val="0"/>
                <w:color w:val="auto"/>
                <w:sz w:val="24"/>
                <w:szCs w:val="24"/>
                <w:highlight w:val="none"/>
                <w:lang w:val="en-US" w:eastAsia="zh-CN"/>
              </w:rPr>
              <w:sym w:font="Symbol" w:char="F0B0"/>
            </w:r>
            <w:r>
              <w:rPr>
                <w:rFonts w:hint="eastAsia" w:ascii="宋体" w:hAnsi="宋体" w:cs="Times New Roman"/>
                <w:b w:val="0"/>
                <w:bCs w:val="0"/>
                <w:color w:val="auto"/>
                <w:sz w:val="24"/>
                <w:szCs w:val="24"/>
                <w:highlight w:val="none"/>
                <w:lang w:val="en-US" w:eastAsia="zh-CN"/>
              </w:rPr>
              <w:t>：≤0.5秒</w:t>
            </w:r>
          </w:p>
          <w:p>
            <w:pPr>
              <w:spacing w:line="240" w:lineRule="auto"/>
              <w:jc w:val="center"/>
              <w:rPr>
                <w:rFonts w:hint="eastAsia" w:ascii="宋体" w:hAnsi="宋体" w:cs="Times New Roman"/>
                <w:b w:val="0"/>
                <w:bCs w:val="0"/>
                <w:color w:val="auto"/>
                <w:sz w:val="24"/>
                <w:szCs w:val="24"/>
                <w:highlight w:val="none"/>
                <w:lang w:val="en-US" w:eastAsia="zh-CN"/>
              </w:rPr>
            </w:pPr>
            <w:r>
              <w:rPr>
                <w:rFonts w:hint="eastAsia" w:ascii="宋体" w:hAnsi="宋体" w:cs="Times New Roman"/>
                <w:b w:val="0"/>
                <w:bCs w:val="0"/>
                <w:color w:val="auto"/>
                <w:sz w:val="24"/>
                <w:szCs w:val="24"/>
                <w:highlight w:val="none"/>
                <w:lang w:val="en-US" w:eastAsia="zh-CN"/>
              </w:rPr>
              <w:t>扫描成像：≥64层/360</w:t>
            </w:r>
            <w:r>
              <w:rPr>
                <w:rFonts w:hint="eastAsia" w:ascii="宋体" w:hAnsi="宋体" w:cs="Times New Roman"/>
                <w:b w:val="0"/>
                <w:bCs w:val="0"/>
                <w:color w:val="auto"/>
                <w:sz w:val="24"/>
                <w:szCs w:val="24"/>
                <w:highlight w:val="none"/>
                <w:lang w:val="en-US" w:eastAsia="zh-CN"/>
              </w:rPr>
              <w:sym w:font="Symbol" w:char="F0B0"/>
            </w:r>
          </w:p>
        </w:tc>
      </w:tr>
      <w:bookmarkEnd w:id="0"/>
    </w:tbl>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①符合《中华人民共和国政府采购法》第二十二条及其他法律、行政法规规定的对投标主体的要求；</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北京时间</w:t>
      </w:r>
      <w:r>
        <w:rPr>
          <w:rFonts w:hint="eastAsia" w:ascii="宋体" w:hAnsi="宋体" w:cs="宋体"/>
          <w:color w:val="auto"/>
          <w:sz w:val="24"/>
          <w:szCs w:val="32"/>
          <w:highlight w:val="none"/>
          <w:lang w:eastAsia="zh-CN"/>
        </w:rPr>
        <w:t>2022年</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:00</w:t>
      </w:r>
      <w:r>
        <w:rPr>
          <w:rFonts w:hint="eastAsia" w:ascii="宋体" w:hAnsi="宋体" w:cs="宋体"/>
          <w:color w:val="auto"/>
          <w:sz w:val="24"/>
          <w:szCs w:val="32"/>
          <w:highlight w:val="none"/>
          <w:lang w:val="en-US" w:eastAsia="zh-CN"/>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台州市椒江区东环大道576号二楼（</w:t>
      </w:r>
      <w:r>
        <w:rPr>
          <w:rFonts w:hint="eastAsia" w:ascii="宋体" w:hAnsi="宋体" w:cs="宋体"/>
          <w:color w:val="auto"/>
          <w:sz w:val="24"/>
          <w:szCs w:val="32"/>
          <w:highlight w:val="none"/>
          <w:lang w:val="en-US" w:eastAsia="zh-CN"/>
        </w:rPr>
        <w:t>五石</w:t>
      </w:r>
      <w:r>
        <w:rPr>
          <w:rFonts w:hint="eastAsia" w:ascii="宋体" w:hAnsi="宋体" w:cs="宋体"/>
          <w:color w:val="auto"/>
          <w:sz w:val="24"/>
          <w:szCs w:val="32"/>
          <w:highlight w:val="none"/>
        </w:rPr>
        <w:t>开标室</w:t>
      </w:r>
      <w:r>
        <w:rPr>
          <w:rFonts w:hint="eastAsia" w:ascii="宋体" w:hAnsi="宋体" w:cs="宋体"/>
          <w:color w:val="auto"/>
          <w:sz w:val="24"/>
          <w:szCs w:val="32"/>
          <w:highlight w:val="none"/>
          <w:lang w:eastAsia="zh-CN"/>
        </w:rPr>
        <w:t>）。</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项目负责人：徐</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15088711407</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2、采购人：</w:t>
      </w:r>
      <w:r>
        <w:rPr>
          <w:rFonts w:hint="eastAsia" w:ascii="宋体" w:hAnsi="宋体" w:cs="宋体"/>
          <w:color w:val="auto"/>
          <w:sz w:val="24"/>
          <w:szCs w:val="32"/>
          <w:highlight w:val="none"/>
          <w:lang w:eastAsia="zh-CN"/>
        </w:rPr>
        <w:t>台州市立医院；</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项目</w:t>
      </w:r>
      <w:r>
        <w:rPr>
          <w:rFonts w:hint="eastAsia" w:ascii="宋体" w:hAnsi="宋体" w:cs="宋体"/>
          <w:color w:val="auto"/>
          <w:sz w:val="24"/>
          <w:szCs w:val="32"/>
          <w:highlight w:val="none"/>
        </w:rPr>
        <w:t>联系人：</w:t>
      </w:r>
      <w:r>
        <w:rPr>
          <w:rFonts w:hint="eastAsia" w:ascii="宋体" w:hAnsi="宋体" w:cs="Arial"/>
          <w:color w:val="auto"/>
          <w:sz w:val="24"/>
          <w:highlight w:val="none"/>
          <w:lang w:val="en-US" w:eastAsia="zh-CN"/>
        </w:rPr>
        <w:t>陈</w:t>
      </w:r>
      <w:r>
        <w:rPr>
          <w:rFonts w:hint="eastAsia" w:ascii="宋体" w:hAnsi="宋体" w:cs="Arial"/>
          <w:color w:val="auto"/>
          <w:sz w:val="24"/>
          <w:highlight w:val="none"/>
        </w:rPr>
        <w:t>先生</w:t>
      </w:r>
      <w:r>
        <w:rPr>
          <w:rFonts w:hint="eastAsia" w:ascii="宋体" w:hAnsi="宋体" w:cs="Arial"/>
          <w:color w:val="auto"/>
          <w:sz w:val="24"/>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0576-88598031</w:t>
      </w:r>
      <w:r>
        <w:rPr>
          <w:rFonts w:hint="eastAsia" w:ascii="宋体" w:hAnsi="宋体" w:cs="宋体"/>
          <w:color w:val="auto"/>
          <w:sz w:val="24"/>
          <w:szCs w:val="32"/>
          <w:highlight w:val="none"/>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8"/>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lang w:eastAsia="zh-CN"/>
        </w:rPr>
        <w:t>月</w:t>
      </w: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7"/>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pacing w:line="240" w:lineRule="auto"/>
              <w:rPr>
                <w:rFonts w:hint="default" w:ascii="宋体" w:eastAsia="宋体" w:cs="宋体"/>
                <w:color w:val="auto"/>
                <w:sz w:val="24"/>
                <w:highlight w:val="none"/>
                <w:lang w:val="en-US" w:eastAsia="zh-CN"/>
              </w:rPr>
            </w:pPr>
            <w:r>
              <w:rPr>
                <w:rFonts w:hint="eastAsia" w:ascii="宋体" w:hAnsi="宋体" w:cs="宋体"/>
                <w:color w:val="auto"/>
                <w:sz w:val="24"/>
                <w:highlight w:val="none"/>
              </w:rPr>
              <w:t>截止时间：</w:t>
            </w:r>
            <w:r>
              <w:rPr>
                <w:rFonts w:hint="eastAsia" w:ascii="宋体" w:hAnsi="宋体" w:cs="宋体"/>
                <w:b w:val="0"/>
                <w:bCs w:val="0"/>
                <w:color w:val="auto"/>
                <w:sz w:val="24"/>
                <w:szCs w:val="32"/>
                <w:highlight w:val="none"/>
                <w:lang w:val="en-US" w:eastAsia="zh-CN"/>
              </w:rPr>
              <w:t>北京时间</w:t>
            </w:r>
            <w:r>
              <w:rPr>
                <w:rFonts w:hint="eastAsia" w:ascii="宋体" w:hAnsi="宋体" w:cs="宋体"/>
                <w:color w:val="auto"/>
                <w:sz w:val="24"/>
                <w:szCs w:val="32"/>
                <w:highlight w:val="none"/>
                <w:lang w:eastAsia="zh-CN"/>
              </w:rPr>
              <w:t>2022年</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:00</w:t>
            </w:r>
            <w:r>
              <w:rPr>
                <w:rFonts w:hint="eastAsia" w:ascii="宋体" w:hAnsi="宋体" w:cs="宋体"/>
                <w:color w:val="auto"/>
                <w:sz w:val="24"/>
                <w:szCs w:val="32"/>
                <w:highlight w:val="none"/>
                <w:lang w:val="en-US" w:eastAsia="zh-CN"/>
              </w:rPr>
              <w:t>整。</w:t>
            </w:r>
          </w:p>
          <w:p>
            <w:pPr>
              <w:spacing w:line="240" w:lineRule="auto"/>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w:t>
            </w:r>
            <w:r>
              <w:rPr>
                <w:rFonts w:hint="eastAsia" w:ascii="宋体" w:hAnsi="宋体" w:cs="宋体"/>
                <w:b w:val="0"/>
                <w:bCs w:val="0"/>
                <w:color w:val="auto"/>
                <w:sz w:val="24"/>
                <w:szCs w:val="32"/>
                <w:highlight w:val="none"/>
                <w:lang w:val="en-US" w:eastAsia="zh-CN"/>
              </w:rPr>
              <w:t>北京时间</w:t>
            </w:r>
            <w:r>
              <w:rPr>
                <w:rFonts w:hint="eastAsia" w:ascii="宋体" w:hAnsi="宋体" w:cs="宋体"/>
                <w:color w:val="auto"/>
                <w:sz w:val="24"/>
                <w:szCs w:val="32"/>
                <w:highlight w:val="none"/>
                <w:lang w:eastAsia="zh-CN"/>
              </w:rPr>
              <w:t>2022年</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:00</w:t>
            </w:r>
            <w:r>
              <w:rPr>
                <w:rFonts w:hint="eastAsia" w:ascii="宋体" w:hAnsi="宋体" w:cs="宋体"/>
                <w:color w:val="auto"/>
                <w:sz w:val="24"/>
                <w:szCs w:val="32"/>
                <w:highlight w:val="none"/>
                <w:lang w:val="en-US" w:eastAsia="zh-CN"/>
              </w:rPr>
              <w:t>整</w:t>
            </w:r>
            <w:r>
              <w:rPr>
                <w:rFonts w:hint="eastAsia" w:ascii="宋体" w:hAnsi="宋体" w:cs="宋体"/>
                <w:b w:val="0"/>
                <w:bCs w:val="0"/>
                <w:color w:val="auto"/>
                <w:sz w:val="24"/>
                <w:szCs w:val="32"/>
                <w:highlight w:val="none"/>
                <w:lang w:val="en-US" w:eastAsia="zh-CN"/>
              </w:rPr>
              <w:t>。</w:t>
            </w:r>
          </w:p>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color w:val="auto"/>
                <w:sz w:val="24"/>
                <w:szCs w:val="32"/>
                <w:highlight w:val="none"/>
              </w:rPr>
              <w:t>台州市椒江区东环大道576号二楼（</w:t>
            </w:r>
            <w:r>
              <w:rPr>
                <w:rFonts w:hint="eastAsia" w:ascii="宋体" w:hAnsi="宋体" w:cs="宋体"/>
                <w:color w:val="auto"/>
                <w:sz w:val="24"/>
                <w:szCs w:val="32"/>
                <w:highlight w:val="none"/>
                <w:lang w:val="en-US" w:eastAsia="zh-CN"/>
              </w:rPr>
              <w:t>五石</w:t>
            </w:r>
            <w:r>
              <w:rPr>
                <w:rFonts w:hint="eastAsia" w:ascii="宋体" w:hAnsi="宋体" w:cs="宋体"/>
                <w:color w:val="auto"/>
                <w:sz w:val="24"/>
                <w:szCs w:val="32"/>
                <w:highlight w:val="none"/>
              </w:rPr>
              <w:t>开标室</w:t>
            </w:r>
            <w:r>
              <w:rPr>
                <w:rFonts w:hint="eastAsia" w:ascii="宋体" w:hAnsi="宋体" w:cs="宋体"/>
                <w:color w:val="auto"/>
                <w:sz w:val="24"/>
                <w:szCs w:val="32"/>
                <w:highlight w:val="none"/>
                <w:lang w:eastAsia="zh-CN"/>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w:t>
            </w:r>
            <w:r>
              <w:rPr>
                <w:rFonts w:hint="eastAsia" w:ascii="宋体" w:hAnsi="宋体" w:cs="宋体"/>
                <w:color w:val="auto"/>
                <w:sz w:val="24"/>
                <w:highlight w:val="none"/>
                <w:lang w:eastAsia="zh-CN"/>
              </w:rPr>
              <w:t>工业</w:t>
            </w:r>
            <w:r>
              <w:rPr>
                <w:rFonts w:hint="eastAsia" w:ascii="宋体" w:hAnsi="宋体" w:cs="宋体"/>
                <w:color w:val="auto"/>
                <w:sz w:val="24"/>
                <w:highlight w:val="none"/>
                <w:lang w:val="en-US" w:eastAsia="zh-CN"/>
              </w:rPr>
              <w:t>-制造业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A.设备配置清单</w:t>
      </w:r>
      <w:r>
        <w:rPr>
          <w:rFonts w:hint="eastAsia" w:ascii="宋体" w:hAnsi="宋体" w:eastAsia="宋体" w:cs="宋体"/>
          <w:b/>
          <w:bCs/>
          <w:color w:val="auto"/>
          <w:sz w:val="24"/>
          <w:szCs w:val="32"/>
          <w:highlight w:val="none"/>
          <w:lang w:eastAsia="zh-CN"/>
        </w:rPr>
        <w:t>（均不含报价）</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【特别提示：节能和环境标志产品最新一期政府采购清单，可在“中国政府采购网”中查看】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（7）供应商为医疗器械生产企业的：第二类、第三类医疗器械生产企业提供《医疗器械生产许可证》、第一类医疗器械生产企业提供第一类医疗器械生产备案凭证；</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供应商为医疗器械经营企业的：第三类医疗器械经营企业提供《医疗器械经营许可证》、第二类医疗器械经营企业提供第二类医疗器械经营备案凭证；（适用于按医疗器械管理的货物）；</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食品药品监督管理部门核发的完整有效的医疗器械注册或备案证明；（适用于按医疗器械管理的设备）；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（8）投标人认为需要提供的其他资料（包括可能影响投标人商务与技术文件评分的各类证明材料）；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（9）售后服务描述及承诺：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p>
      <w:pPr>
        <w:pStyle w:val="2"/>
        <w:rPr>
          <w:rFonts w:hint="eastAsia" w:ascii="宋体" w:hAnsi="宋体" w:cs="宋体"/>
          <w:color w:val="auto"/>
          <w:sz w:val="24"/>
          <w:szCs w:val="32"/>
          <w:highlight w:val="none"/>
        </w:rPr>
      </w:pPr>
    </w:p>
    <w:p>
      <w:pPr>
        <w:pStyle w:val="3"/>
        <w:rPr>
          <w:rFonts w:hint="eastAsia"/>
          <w:color w:val="auto"/>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w:t>
      </w:r>
      <w:bookmarkStart w:id="9" w:name="_GoBack"/>
      <w:r>
        <w:rPr>
          <w:rFonts w:hint="eastAsia" w:ascii="宋体" w:hAnsi="宋体" w:eastAsia="宋体" w:cs="宋体"/>
          <w:b w:val="0"/>
          <w:bCs w:val="0"/>
          <w:color w:val="auto"/>
          <w:sz w:val="24"/>
          <w:szCs w:val="32"/>
          <w:highlight w:val="none"/>
          <w:lang w:val="zh-CN" w:eastAsia="zh-CN"/>
        </w:rPr>
        <w:t>打分</w:t>
      </w:r>
      <w:bookmarkEnd w:id="9"/>
      <w:r>
        <w:rPr>
          <w:rFonts w:hint="eastAsia" w:ascii="宋体" w:hAnsi="宋体" w:eastAsia="宋体" w:cs="宋体"/>
          <w:b w:val="0"/>
          <w:bCs w:val="0"/>
          <w:color w:val="auto"/>
          <w:sz w:val="24"/>
          <w:szCs w:val="32"/>
          <w:highlight w:val="none"/>
          <w:lang w:val="zh-CN" w:eastAsia="zh-CN"/>
        </w:rPr>
        <w:t>；其余在规定的分值内单独评定打分。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auto"/>
          <w:sz w:val="24"/>
          <w:szCs w:val="32"/>
          <w:highlight w:val="none"/>
          <w:u w:val="single"/>
          <w:lang w:eastAsia="zh-CN"/>
        </w:rPr>
      </w:pPr>
      <w:r>
        <w:rPr>
          <w:rFonts w:hint="eastAsia" w:ascii="宋体" w:hAnsi="宋体" w:eastAsia="宋体" w:cs="宋体"/>
          <w:b w:val="0"/>
          <w:bCs w:val="0"/>
          <w:color w:val="auto"/>
          <w:sz w:val="24"/>
          <w:szCs w:val="32"/>
          <w:highlight w:val="none"/>
          <w:u w:val="single"/>
          <w:lang w:eastAsia="zh-CN"/>
        </w:rPr>
        <w:t>投标报价得分=</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评标基准价／投标报价</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w:t>
      </w:r>
      <w:r>
        <w:rPr>
          <w:rFonts w:hint="eastAsia" w:ascii="宋体" w:hAnsi="宋体" w:cs="宋体"/>
          <w:b w:val="0"/>
          <w:bCs w:val="0"/>
          <w:color w:val="auto"/>
          <w:sz w:val="24"/>
          <w:szCs w:val="32"/>
          <w:highlight w:val="none"/>
          <w:u w:val="single"/>
          <w:lang w:val="en-US" w:eastAsia="zh-CN"/>
        </w:rPr>
        <w:t>3</w:t>
      </w:r>
      <w:r>
        <w:rPr>
          <w:rFonts w:hint="eastAsia" w:ascii="宋体" w:hAnsi="宋体" w:eastAsia="宋体" w:cs="宋体"/>
          <w:b w:val="0"/>
          <w:bCs w:val="0"/>
          <w:color w:val="auto"/>
          <w:sz w:val="24"/>
          <w:szCs w:val="32"/>
          <w:highlight w:val="none"/>
          <w:u w:val="single"/>
          <w:lang w:eastAsia="zh-CN"/>
        </w:rPr>
        <w:t>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ascii="宋体" w:hAnsi="宋体" w:cs="宋体"/>
          <w:color w:val="auto"/>
          <w:sz w:val="24"/>
          <w:highlight w:val="none"/>
          <w:lang w:val="zh-CN"/>
        </w:rPr>
      </w:pPr>
      <w:r>
        <w:rPr>
          <w:rFonts w:hint="eastAsia" w:ascii="宋体" w:hAnsi="宋体" w:eastAsia="宋体" w:cs="宋体"/>
          <w:color w:val="auto"/>
          <w:sz w:val="24"/>
          <w:szCs w:val="32"/>
          <w:highlight w:val="none"/>
          <w:lang w:val="zh-CN"/>
        </w:rPr>
        <w:t>①</w:t>
      </w:r>
      <w:r>
        <w:rPr>
          <w:rFonts w:hint="eastAsia" w:ascii="宋体" w:hAnsi="宋体" w:cs="宋体"/>
          <w:color w:val="auto"/>
          <w:sz w:val="24"/>
          <w:highlight w:val="none"/>
          <w:lang w:val="zh-CN"/>
        </w:rPr>
        <w:t>根据财政部、工业和信息化部发布的《政府采购促进中小企业发展管 理办法》(财库〔2020〕46 号 ) 和《财政部关于进一步加大政府 采购支持中小企业力度的通知》(财库〔2022〕19 号 )相关规定，对于经主管预算单位统筹后未预留份额专门面向中小企业采购的采购项目，以及预留份额项目中的非预留部分采购包，采购人、采购代理机构应当对符合本办法规定的小微企业报价给予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auto"/>
          <w:sz w:val="24"/>
          <w:highlight w:val="none"/>
        </w:rPr>
        <w:t>20</w:t>
      </w:r>
      <w:r>
        <w:rPr>
          <w:rFonts w:hint="eastAsia" w:ascii="宋体" w:hAnsi="宋体" w:cs="宋体"/>
          <w:color w:val="auto"/>
          <w:sz w:val="24"/>
          <w:highlight w:val="none"/>
          <w:lang w:val="zh-CN"/>
        </w:rPr>
        <w:t>%的扣除，用扣除后的价格参加评审。</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接受大中型企业与小微企业组成联合体或者允许大中型企业向一家或者多家小微企业分包的采购项目，对于联合体协议或者分包意向协议约定小微企业的合同份额占到合同总金额 30%以上的，采购人、采购代理机构应当对联合体或者大中型企业的报价给予 </w:t>
      </w:r>
      <w:r>
        <w:rPr>
          <w:rFonts w:ascii="宋体" w:hAnsi="宋体" w:cs="宋体"/>
          <w:color w:val="auto"/>
          <w:sz w:val="24"/>
          <w:highlight w:val="none"/>
        </w:rPr>
        <w:t>6</w:t>
      </w:r>
      <w:r>
        <w:rPr>
          <w:rFonts w:hint="eastAsia" w:ascii="宋体" w:hAnsi="宋体" w:cs="宋体"/>
          <w:color w:val="auto"/>
          <w:sz w:val="24"/>
          <w:highlight w:val="none"/>
          <w:lang w:val="zh-CN"/>
        </w:rPr>
        <w:t>%的扣除，用扣除后的价格参加评审。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w:t>
      </w:r>
      <w:r>
        <w:rPr>
          <w:rFonts w:hint="eastAsia" w:ascii="宋体" w:hAnsi="宋体" w:cs="宋体"/>
          <w:color w:val="auto"/>
          <w:sz w:val="24"/>
          <w:highlight w:val="none"/>
          <w:lang w:val="zh-CN"/>
        </w:rPr>
        <w:t xml:space="preserve"> </w:t>
      </w:r>
      <w:r>
        <w:rPr>
          <w:rFonts w:ascii="宋体" w:hAnsi="宋体" w:cs="宋体"/>
          <w:color w:val="auto"/>
          <w:sz w:val="24"/>
          <w:highlight w:val="none"/>
        </w:rPr>
        <w:t>20</w:t>
      </w:r>
      <w:r>
        <w:rPr>
          <w:rFonts w:hint="eastAsia" w:ascii="宋体" w:hAnsi="宋体" w:cs="宋体"/>
          <w:color w:val="auto"/>
          <w:sz w:val="24"/>
          <w:highlight w:val="none"/>
          <w:lang w:val="zh-CN"/>
        </w:rPr>
        <w:t>%</w:t>
      </w:r>
      <w:r>
        <w:rPr>
          <w:rFonts w:hint="eastAsia" w:ascii="宋体" w:hAnsi="宋体" w:cs="宋体"/>
          <w:color w:val="auto"/>
          <w:sz w:val="24"/>
          <w:highlight w:val="none"/>
        </w:rPr>
        <w:t>的扣除。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对符合规定的联合体或者大中型企业的报价给予</w:t>
      </w:r>
      <w:r>
        <w:rPr>
          <w:rFonts w:ascii="宋体" w:hAnsi="宋体" w:cs="宋体"/>
          <w:color w:val="auto"/>
          <w:sz w:val="24"/>
          <w:highlight w:val="none"/>
        </w:rPr>
        <w:t>6</w:t>
      </w:r>
      <w:r>
        <w:rPr>
          <w:rFonts w:hint="eastAsia" w:ascii="宋体" w:hAnsi="宋体" w:cs="宋体"/>
          <w:color w:val="auto"/>
          <w:sz w:val="24"/>
          <w:highlight w:val="none"/>
          <w:lang w:val="zh-CN"/>
        </w:rPr>
        <w:t>%</w:t>
      </w:r>
      <w:r>
        <w:rPr>
          <w:rFonts w:hint="eastAsia" w:ascii="宋体" w:hAnsi="宋体" w:cs="宋体"/>
          <w:color w:val="auto"/>
          <w:sz w:val="24"/>
          <w:highlight w:val="none"/>
        </w:rPr>
        <w:t>的扣除。（不接受联合体投标的，本条不适用）。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w:t>
      </w:r>
      <w:r>
        <w:rPr>
          <w:rFonts w:ascii="宋体" w:hAnsi="宋体" w:cs="宋体"/>
          <w:color w:val="auto"/>
          <w:sz w:val="24"/>
          <w:highlight w:val="none"/>
        </w:rPr>
        <w:t>20</w:t>
      </w:r>
      <w:r>
        <w:rPr>
          <w:rFonts w:hint="eastAsia" w:ascii="宋体" w:hAnsi="宋体" w:cs="宋体"/>
          <w:color w:val="auto"/>
          <w:sz w:val="24"/>
          <w:highlight w:val="none"/>
        </w:rPr>
        <w:t>%后参与评审。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pP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8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技术功能符合度：对应于采购文件技术指标的符合度，</w:t>
            </w:r>
            <w:r>
              <w:rPr>
                <w:rFonts w:hint="eastAsia" w:ascii="宋体" w:hAnsi="宋体" w:cs="宋体"/>
                <w:color w:val="auto"/>
                <w:sz w:val="24"/>
                <w:szCs w:val="24"/>
                <w:highlight w:val="none"/>
                <w:lang w:val="en-US" w:eastAsia="zh-CN"/>
              </w:rPr>
              <w:t>一般参数</w:t>
            </w:r>
            <w:r>
              <w:rPr>
                <w:rFonts w:hint="eastAsia" w:ascii="宋体" w:hAnsi="宋体" w:eastAsia="宋体" w:cs="宋体"/>
                <w:color w:val="auto"/>
                <w:sz w:val="24"/>
                <w:szCs w:val="24"/>
                <w:highlight w:val="none"/>
              </w:rPr>
              <w:t>每条不满足要求扣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★参数每条不满足扣5分，</w:t>
            </w:r>
            <w:r>
              <w:rPr>
                <w:rFonts w:hint="eastAsia" w:ascii="宋体" w:hAnsi="宋体" w:eastAsia="宋体" w:cs="宋体"/>
                <w:color w:val="auto"/>
                <w:sz w:val="24"/>
                <w:szCs w:val="24"/>
                <w:highlight w:val="none"/>
              </w:rPr>
              <w:t>扣完为止。</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投标产品技术参数有实质性优于采购文件要求，根据对</w:t>
            </w:r>
            <w:r>
              <w:rPr>
                <w:rFonts w:hint="eastAsia" w:ascii="宋体" w:hAnsi="宋体" w:eastAsia="宋体" w:cs="宋体"/>
                <w:color w:val="auto"/>
                <w:sz w:val="24"/>
                <w:szCs w:val="24"/>
                <w:highlight w:val="none"/>
                <w:lang w:eastAsia="zh-CN"/>
              </w:rPr>
              <w:t>用户</w:t>
            </w:r>
            <w:r>
              <w:rPr>
                <w:rFonts w:hint="eastAsia" w:ascii="宋体" w:hAnsi="宋体" w:eastAsia="宋体" w:cs="宋体"/>
                <w:color w:val="auto"/>
                <w:sz w:val="24"/>
                <w:szCs w:val="24"/>
                <w:highlight w:val="none"/>
              </w:rPr>
              <w:t>使用的重要性，每1条加1分，最多加</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投标产品功能有实质性优于采购文件要求，根据对</w:t>
            </w:r>
            <w:r>
              <w:rPr>
                <w:rFonts w:hint="eastAsia" w:ascii="宋体" w:hAnsi="宋体" w:eastAsia="宋体" w:cs="宋体"/>
                <w:color w:val="auto"/>
                <w:sz w:val="24"/>
                <w:szCs w:val="24"/>
                <w:highlight w:val="none"/>
                <w:lang w:eastAsia="zh-CN"/>
              </w:rPr>
              <w:t>用户</w:t>
            </w:r>
            <w:r>
              <w:rPr>
                <w:rFonts w:hint="eastAsia" w:ascii="宋体" w:hAnsi="宋体" w:eastAsia="宋体" w:cs="宋体"/>
                <w:color w:val="auto"/>
                <w:sz w:val="24"/>
                <w:szCs w:val="24"/>
                <w:highlight w:val="none"/>
              </w:rPr>
              <w:t>使用的重要性，每1条加1分，最多加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具有售后服务团队、服务响应时间、故障解决方案等，有详细的售后服务方案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包括具体的人员配置，响应时间短，故障解决方案符合实际</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售后服务方案内容较具体但内容未详细描述，响应时间较长得0-2.9分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：评委以</w:t>
            </w:r>
            <w:r>
              <w:rPr>
                <w:rFonts w:hint="eastAsia" w:ascii="宋体" w:hAnsi="宋体" w:eastAsia="宋体" w:cs="宋体"/>
                <w:color w:val="auto"/>
                <w:sz w:val="24"/>
                <w:szCs w:val="24"/>
                <w:highlight w:val="none"/>
                <w:lang w:eastAsia="zh-CN"/>
              </w:rPr>
              <w:t>投标货物</w:t>
            </w:r>
            <w:r>
              <w:rPr>
                <w:rFonts w:hint="eastAsia" w:ascii="宋体" w:hAnsi="宋体" w:eastAsia="宋体" w:cs="宋体"/>
                <w:color w:val="auto"/>
                <w:sz w:val="24"/>
                <w:szCs w:val="24"/>
                <w:highlight w:val="none"/>
              </w:rPr>
              <w:t>2017年1月1日起签订</w:t>
            </w:r>
            <w:r>
              <w:rPr>
                <w:rFonts w:hint="eastAsia" w:ascii="宋体" w:hAnsi="宋体" w:eastAsia="宋体" w:cs="宋体"/>
                <w:color w:val="auto"/>
                <w:sz w:val="24"/>
                <w:szCs w:val="24"/>
                <w:highlight w:val="none"/>
                <w:lang w:val="en-US" w:eastAsia="zh-CN"/>
              </w:rPr>
              <w:t>的同类项目业绩</w:t>
            </w:r>
            <w:r>
              <w:rPr>
                <w:rFonts w:hint="eastAsia" w:ascii="宋体" w:hAnsi="宋体" w:eastAsia="宋体" w:cs="宋体"/>
                <w:color w:val="auto"/>
                <w:sz w:val="24"/>
                <w:szCs w:val="24"/>
                <w:highlight w:val="none"/>
                <w:lang w:eastAsia="zh-CN"/>
              </w:rPr>
              <w:t>评分，每提供一个合同复印件得</w:t>
            </w:r>
            <w:r>
              <w:rPr>
                <w:rFonts w:hint="eastAsia" w:ascii="宋体" w:hAnsi="宋体" w:eastAsia="宋体" w:cs="宋体"/>
                <w:color w:val="auto"/>
                <w:sz w:val="24"/>
                <w:szCs w:val="24"/>
                <w:highlight w:val="none"/>
                <w:lang w:val="en-US" w:eastAsia="zh-CN"/>
              </w:rPr>
              <w:t>1分，最高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环境标志产品、节能产品评审：投标产品主体列入节能产品目录清单得1分、投标产品主体列入环境标志产品目录清单得1分</w:t>
            </w:r>
            <w:r>
              <w:rPr>
                <w:rFonts w:hint="eastAsia" w:ascii="宋体" w:hAnsi="宋体" w:eastAsia="宋体" w:cs="宋体"/>
                <w:color w:val="auto"/>
                <w:sz w:val="24"/>
                <w:szCs w:val="24"/>
                <w:highlight w:val="none"/>
                <w:lang w:val="en-US"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在满足招标文件要求的保修期基础上，延长质保1年加</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分，最多得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优惠条件：评委对投标文件中是否有超出采购文件的优惠条件进行评价，没有实质性优惠条件得0分；有优惠条件的</w:t>
            </w:r>
            <w:r>
              <w:rPr>
                <w:rFonts w:hint="eastAsia" w:ascii="宋体" w:hAnsi="宋体" w:eastAsia="宋体" w:cs="宋体"/>
                <w:color w:val="auto"/>
                <w:sz w:val="24"/>
                <w:szCs w:val="24"/>
                <w:highlight w:val="none"/>
                <w:lang w:eastAsia="zh-CN"/>
              </w:rPr>
              <w:t>，每一条加</w:t>
            </w:r>
            <w:r>
              <w:rPr>
                <w:rFonts w:hint="eastAsia" w:ascii="宋体" w:hAnsi="宋体" w:eastAsia="宋体" w:cs="宋体"/>
                <w:color w:val="auto"/>
                <w:sz w:val="24"/>
                <w:szCs w:val="24"/>
                <w:highlight w:val="none"/>
                <w:lang w:val="en-US" w:eastAsia="zh-CN"/>
              </w:rPr>
              <w:t>1分，最多2分。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一、招标项目一览表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本次招标共</w:t>
      </w:r>
      <w:r>
        <w:rPr>
          <w:rFonts w:hint="eastAsia" w:ascii="宋体" w:hAnsi="宋体" w:eastAsia="宋体" w:cs="宋体"/>
          <w:b w:val="0"/>
          <w:bCs w:val="0"/>
          <w:color w:val="auto"/>
          <w:sz w:val="24"/>
          <w:szCs w:val="32"/>
          <w:highlight w:val="none"/>
          <w:u w:val="single"/>
          <w:lang w:eastAsia="zh-CN"/>
        </w:rPr>
        <w:t xml:space="preserve"> </w:t>
      </w:r>
      <w:r>
        <w:rPr>
          <w:rFonts w:hint="eastAsia" w:ascii="宋体" w:hAnsi="宋体" w:eastAsia="宋体" w:cs="宋体"/>
          <w:b w:val="0"/>
          <w:bCs w:val="0"/>
          <w:color w:val="auto"/>
          <w:sz w:val="24"/>
          <w:szCs w:val="32"/>
          <w:highlight w:val="none"/>
          <w:u w:val="single"/>
          <w:lang w:val="en-US" w:eastAsia="zh-CN"/>
        </w:rPr>
        <w:t xml:space="preserve">1 </w:t>
      </w:r>
      <w:r>
        <w:rPr>
          <w:rFonts w:hint="eastAsia" w:ascii="宋体" w:hAnsi="宋体" w:eastAsia="宋体" w:cs="宋体"/>
          <w:b w:val="0"/>
          <w:bCs w:val="0"/>
          <w:color w:val="auto"/>
          <w:sz w:val="24"/>
          <w:szCs w:val="32"/>
          <w:highlight w:val="none"/>
          <w:lang w:eastAsia="zh-CN"/>
        </w:rPr>
        <w:t>个标段，具体内容如下表：</w:t>
      </w:r>
    </w:p>
    <w:tbl>
      <w:tblPr>
        <w:tblStyle w:val="27"/>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bCs/>
                <w:color w:val="auto"/>
                <w:sz w:val="24"/>
                <w:highlight w:val="none"/>
              </w:rPr>
              <w:t>交货期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eastAsia" w:ascii="宋体" w:eastAsia="宋体"/>
                <w:color w:val="auto"/>
                <w:sz w:val="24"/>
                <w:szCs w:val="24"/>
                <w:highlight w:val="none"/>
                <w:lang w:eastAsia="zh-CN"/>
              </w:rPr>
            </w:pPr>
            <w:r>
              <w:rPr>
                <w:rFonts w:hint="eastAsia" w:ascii="宋体" w:hAnsi="宋体"/>
                <w:color w:val="auto"/>
                <w:kern w:val="0"/>
                <w:sz w:val="24"/>
                <w:szCs w:val="24"/>
                <w:highlight w:val="none"/>
                <w:lang w:eastAsia="zh-CN"/>
              </w:rPr>
              <w:t>台州市立医院迁建工程大孔径螺旋CT采购项目</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1套</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600万元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合同签订后两个月内送货到市立医院指定地点</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tbl>
    <w:p>
      <w:pPr>
        <w:numPr>
          <w:ilvl w:val="0"/>
          <w:numId w:val="3"/>
        </w:num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技术需求</w:t>
      </w:r>
    </w:p>
    <w:p>
      <w:pPr>
        <w:jc w:val="left"/>
        <w:rPr>
          <w:rFonts w:hint="eastAsia" w:ascii="宋体" w:hAnsi="宋体" w:eastAsia="宋体" w:cs="宋体"/>
          <w:b/>
          <w:sz w:val="24"/>
          <w:szCs w:val="24"/>
        </w:rPr>
      </w:pPr>
      <w:r>
        <w:rPr>
          <w:rFonts w:hint="eastAsia" w:ascii="宋体" w:hAnsi="宋体" w:eastAsia="宋体" w:cs="宋体"/>
          <w:b/>
          <w:sz w:val="24"/>
          <w:szCs w:val="24"/>
        </w:rPr>
        <w:t>设备技术规格要求及相应配置</w:t>
      </w:r>
    </w:p>
    <w:p>
      <w:pPr>
        <w:jc w:val="left"/>
        <w:rPr>
          <w:rFonts w:hint="eastAsia" w:ascii="宋体" w:hAnsi="宋体" w:eastAsia="宋体" w:cs="宋体"/>
          <w:b/>
          <w:sz w:val="24"/>
          <w:szCs w:val="24"/>
        </w:rPr>
      </w:pP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190"/>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0"/>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设备概况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具备设备合法销售的有关文件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0"/>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主要技术规格要求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r>
              <w:rPr>
                <w:rFonts w:hint="eastAsia" w:ascii="宋体" w:hAnsi="宋体" w:eastAsia="宋体" w:cs="宋体"/>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机架孔径≥85cm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驱动方式：钢带驱动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数据传输方式：射频信号传递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探测器排数≥32排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数据采集系统通道数≥32层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探测器每层物理通道个数≥920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床面水平移动范围≥200cm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最大无金属可扫描范围≥1750mm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床面最大水平移动速度≥200mm/秒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床面垂直升降范围≥42cm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最大垂直移床速度≥28.3mm/秒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床面最大承重≥307KG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最大承重下的检查床步进位移精度≤±0.25mm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配置放疗专用模拟定位碳纤维平板床，符合TG66要求。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X线系统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高压发生率功率≥75KW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r>
              <w:rPr>
                <w:rFonts w:hint="eastAsia" w:ascii="宋体" w:hAnsi="宋体" w:eastAsia="宋体" w:cs="宋体"/>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新型低热容量高散热率球管，热容量≥7MHU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球管阳极最大散热率≥1700kHU/分钟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球管小焦点：≤0.8×0.8mm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球管大焦点：≤1.0×1.2mm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最大球管电流：≥625mA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最大球管电压≥140KV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最小球管电压≤70KV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70–140 kV, 可分别设置70KV, 80KV,90KV,100KV,110KV,120KV,130KV和140KV,  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计算机：提供公司最新版本计算机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计算机内存≥32GB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原始数据硬盘容量≥720GB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图像存储量：≥600,000幅（512X512不压缩）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一体化图像光盘存储系统CD-RW（DICOM兼容）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液晶超薄平面显示器24寸： 分辨率≥1,920 x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同步并行处理功能：扫描、重建、显示、存储、打印等操作可同步进行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可以独立完成MPR,MIP,三维容积重建，虚拟内窥镜等三维后处理功能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自动病人呼吸屏气辅助控制系统，双向语音传输，并且用户录制病人呼吸指令不少于30条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并行重建功能：并行处理多种模式的图像的重建与重组，可以在一个扫描方案中预置和完成不同算法的重建任务，种类不少于8种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快扫描速度：≤0.5sec/360°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成像速度：≥64层图像/360°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r>
              <w:rPr>
                <w:rFonts w:hint="eastAsia" w:ascii="宋体" w:hAnsi="宋体" w:eastAsia="宋体" w:cs="宋体"/>
                <w:bCs/>
                <w:sz w:val="24"/>
                <w:szCs w:val="24"/>
                <w:lang w:eastAsia="zh-CN"/>
              </w:rPr>
              <w:t>★</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最薄扫描层厚：≤0.6mm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图像重建速度：≥23幅/秒（512X512矩阵）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最大显示野EFOV≥85cm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最小显示视野：≤5cm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图像重建矩阵：≥512X512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图像显示矩阵：≥1024X1024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 xml:space="preserve">单次螺旋连续扫描时间：≥300秒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单次螺旋扫描最大范围：≥175cm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提供快速扫描协议集成方案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肺部等组织结构的范围自动识别，将剂量降到最低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sz w:val="24"/>
                <w:szCs w:val="24"/>
              </w:rPr>
              <w:t>提供双能量扫描功能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空间分辨率(X,Y轴)：≥15LP/cm(2%MTF)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各向同性分辨率，在所有扫描模式和速度下，扫描野内任意位置，小于0.4毫米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lang w:val="es-ES"/>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低密度分辨率：≤5mm@0.3%≤11.7mGy, 20cm体模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2"/>
                <w:numId w:val="4"/>
              </w:numPr>
              <w:jc w:val="left"/>
              <w:rPr>
                <w:rFonts w:hint="eastAsia" w:ascii="宋体" w:hAnsi="宋体" w:eastAsia="宋体" w:cs="宋体"/>
                <w:bCs/>
                <w:sz w:val="24"/>
                <w:szCs w:val="24"/>
                <w:lang w:val="es-ES"/>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CT值范围：－8192到 57343（16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numPr>
                <w:ilvl w:val="1"/>
                <w:numId w:val="4"/>
              </w:numPr>
              <w:jc w:val="left"/>
              <w:rPr>
                <w:rFonts w:hint="eastAsia" w:ascii="宋体" w:hAnsi="宋体" w:eastAsia="宋体" w:cs="宋体"/>
                <w:bCs/>
                <w:sz w:val="24"/>
                <w:szCs w:val="24"/>
              </w:rPr>
            </w:pP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2.7.1</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MPR，曲面重建MPR (Curved 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2.7.2</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三维软件，三维显示模块，三维CT数字影像重建，CT滚动显示。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2.7.3</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最大及最小密度投影(MIP, MinP)，MIP模式的CT血管造影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2.7.4</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三维容积测量评估功能：可用于出血量的评估；小结节容积，密度与内部结构的评估。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2.7.5</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三维容积漫游软件和组织器官的彩色容积重建与显示(VRT)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2.7.6</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容积透明重建功能，用于肺和支气管，结肠，骨骼系统的显示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sz w:val="24"/>
                <w:szCs w:val="24"/>
              </w:rPr>
            </w:pPr>
            <w:r>
              <w:rPr>
                <w:rFonts w:hint="eastAsia" w:ascii="宋体" w:hAnsi="宋体" w:eastAsia="宋体" w:cs="宋体"/>
                <w:bCs/>
                <w:sz w:val="24"/>
                <w:szCs w:val="24"/>
              </w:rPr>
              <w:t>2.7.7</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造影剂自动跟踪软件，在血管内造影剂浓度达到设定值后自动触发个体化增强扫描。到达设定值后启动扫描时间小于2秒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2.7.8</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儿童低剂量成像软件和扫描序列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2.7.9</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微辐射影像重建算法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2.7.10</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sz w:val="24"/>
                <w:szCs w:val="24"/>
              </w:rPr>
              <w:t>配置专门的去金属伪影软件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2.8</w:t>
            </w:r>
          </w:p>
        </w:tc>
        <w:tc>
          <w:tcPr>
            <w:tcW w:w="7931" w:type="dxa"/>
            <w:gridSpan w:val="2"/>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呼吸门控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2.8.1</w:t>
            </w:r>
          </w:p>
        </w:tc>
        <w:tc>
          <w:tcPr>
            <w:tcW w:w="7931" w:type="dxa"/>
            <w:gridSpan w:val="2"/>
            <w:noWrap w:val="0"/>
            <w:vAlign w:val="top"/>
          </w:tcPr>
          <w:p>
            <w:pPr>
              <w:jc w:val="left"/>
              <w:rPr>
                <w:rFonts w:hint="eastAsia" w:ascii="宋体" w:hAnsi="宋体" w:eastAsia="宋体" w:cs="宋体"/>
                <w:sz w:val="24"/>
                <w:szCs w:val="24"/>
              </w:rPr>
            </w:pPr>
            <w:r>
              <w:rPr>
                <w:rFonts w:hint="eastAsia" w:ascii="宋体" w:hAnsi="宋体" w:eastAsia="宋体" w:cs="宋体"/>
                <w:color w:val="000000"/>
                <w:sz w:val="24"/>
                <w:szCs w:val="24"/>
              </w:rPr>
              <w:t>提供呼吸门控接口，可根据医院的加速器需求选择接口形式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2.8.2</w:t>
            </w:r>
          </w:p>
        </w:tc>
        <w:tc>
          <w:tcPr>
            <w:tcW w:w="7931" w:type="dxa"/>
            <w:gridSpan w:val="2"/>
            <w:noWrap w:val="0"/>
            <w:vAlign w:val="top"/>
          </w:tcPr>
          <w:p>
            <w:pPr>
              <w:jc w:val="left"/>
              <w:rPr>
                <w:rFonts w:hint="eastAsia" w:ascii="宋体" w:hAnsi="宋体" w:eastAsia="宋体" w:cs="宋体"/>
                <w:sz w:val="24"/>
                <w:szCs w:val="24"/>
              </w:rPr>
            </w:pPr>
            <w:r>
              <w:rPr>
                <w:rFonts w:hint="eastAsia" w:ascii="宋体" w:hAnsi="宋体" w:eastAsia="宋体" w:cs="宋体"/>
                <w:color w:val="000000"/>
                <w:sz w:val="24"/>
                <w:szCs w:val="24"/>
              </w:rPr>
              <w:t>提供呼吸门控专用扫描系统软件，该系统可以配合相应硬件进行时相+幅值采集从而获得呼吸图谱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2.9</w:t>
            </w:r>
          </w:p>
        </w:tc>
        <w:tc>
          <w:tcPr>
            <w:tcW w:w="7931" w:type="dxa"/>
            <w:gridSpan w:val="2"/>
            <w:noWrap w:val="0"/>
            <w:vAlign w:val="top"/>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介入套件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2.9.1</w:t>
            </w:r>
          </w:p>
        </w:tc>
        <w:tc>
          <w:tcPr>
            <w:tcW w:w="7931" w:type="dxa"/>
            <w:gridSpan w:val="2"/>
            <w:noWrap w:val="0"/>
            <w:vAlign w:val="top"/>
          </w:tcPr>
          <w:p>
            <w:pPr>
              <w:jc w:val="left"/>
              <w:rPr>
                <w:rFonts w:hint="eastAsia" w:ascii="宋体" w:hAnsi="宋体" w:eastAsia="宋体" w:cs="宋体"/>
                <w:color w:val="000000"/>
                <w:sz w:val="24"/>
                <w:szCs w:val="24"/>
              </w:rPr>
            </w:pPr>
            <w:r>
              <w:rPr>
                <w:rFonts w:hint="eastAsia" w:ascii="宋体" w:hAnsi="宋体" w:eastAsia="宋体" w:cs="宋体"/>
                <w:bCs/>
                <w:sz w:val="24"/>
                <w:szCs w:val="24"/>
              </w:rPr>
              <w:t>提供X射线脚闸，可实现床旁脚闸控制曝光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2.9.2</w:t>
            </w:r>
          </w:p>
        </w:tc>
        <w:tc>
          <w:tcPr>
            <w:tcW w:w="7931" w:type="dxa"/>
            <w:gridSpan w:val="2"/>
            <w:noWrap w:val="0"/>
            <w:vAlign w:val="top"/>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提供悬吊式显示器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2.10</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2.10.1</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Dicom 3.0 接口，要求能实现DICOM图像的导入和导出及其它所有DICOM服务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2.10.2</w:t>
            </w:r>
          </w:p>
        </w:tc>
        <w:tc>
          <w:tcPr>
            <w:tcW w:w="7931" w:type="dxa"/>
            <w:gridSpan w:val="2"/>
            <w:noWrap w:val="0"/>
            <w:vAlign w:val="top"/>
          </w:tcPr>
          <w:p>
            <w:pPr>
              <w:jc w:val="left"/>
              <w:rPr>
                <w:rFonts w:hint="eastAsia" w:ascii="宋体" w:hAnsi="宋体" w:eastAsia="宋体" w:cs="宋体"/>
                <w:bCs/>
                <w:sz w:val="24"/>
                <w:szCs w:val="24"/>
              </w:rPr>
            </w:pPr>
            <w:r>
              <w:rPr>
                <w:rFonts w:hint="eastAsia" w:ascii="宋体" w:hAnsi="宋体" w:eastAsia="宋体" w:cs="宋体"/>
                <w:bCs/>
                <w:sz w:val="24"/>
                <w:szCs w:val="24"/>
              </w:rPr>
              <w:t>三维激光灯接口，能读取激光灯的坐标数据，自动确定参考坐标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2.11</w:t>
            </w:r>
          </w:p>
        </w:tc>
        <w:tc>
          <w:tcPr>
            <w:tcW w:w="7931" w:type="dxa"/>
            <w:gridSpan w:val="2"/>
            <w:noWrap w:val="0"/>
            <w:vAlign w:val="top"/>
          </w:tcPr>
          <w:p>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提供单筒高压注射器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top"/>
          </w:tcPr>
          <w:p>
            <w:pPr>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2.12</w:t>
            </w:r>
          </w:p>
        </w:tc>
        <w:tc>
          <w:tcPr>
            <w:tcW w:w="7931" w:type="dxa"/>
            <w:gridSpan w:val="2"/>
            <w:noWrap w:val="0"/>
            <w:vAlign w:val="top"/>
          </w:tcPr>
          <w:p>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提供大孔径CT配套激光定位灯（5轴）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top"/>
          </w:tcPr>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1</w:t>
            </w:r>
          </w:p>
        </w:tc>
        <w:tc>
          <w:tcPr>
            <w:tcW w:w="7931" w:type="dxa"/>
            <w:gridSpan w:val="2"/>
            <w:noWrap/>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1.1</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系统方法</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通过投射三个维度所需的激光坐标快速完成放疗患者的精确定位和标定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1.2</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故障自动保险功能</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可移动激光灯在到达指定位置后激光模块才能被开启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1.3</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激光灯校准方式</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内六角调节校准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1.4</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系统结构</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立柱型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w:t>
            </w:r>
          </w:p>
        </w:tc>
        <w:tc>
          <w:tcPr>
            <w:tcW w:w="7931" w:type="dxa"/>
            <w:gridSpan w:val="2"/>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激光灯体要求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2.1</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颜色及波长</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绿色，532nm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2.2</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激光类型</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激光二极管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2.3</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激光等级</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2.4</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发射窗</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需配置带有防反射涂层的高抛光超平玻璃，无失真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2.5</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线宽</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（4米内可聚焦调节）≤0.5mm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2.6</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线长</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4米远处≥4m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2.7</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输出功率</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2.8</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激光灯投射范围</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2.9</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激光轨道移动范围</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2.10</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激光灯移动速度</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0.3-200mm/s可选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2.11</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定位精度</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2.12</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移动精度</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2.13</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投射定位精度</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4米处±0.5mm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2.14</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发射窗口</w:t>
            </w:r>
          </w:p>
        </w:tc>
        <w:tc>
          <w:tcPr>
            <w:tcW w:w="5741" w:type="dxa"/>
            <w:noWrap/>
            <w:vAlign w:val="top"/>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装备高度抛光，带有防反射涂层的坚固玻璃窗，不会因为材质过软产生散射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2.15</w:t>
            </w:r>
          </w:p>
        </w:tc>
        <w:tc>
          <w:tcPr>
            <w:tcW w:w="2190" w:type="dxa"/>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可移动激光线</w:t>
            </w:r>
          </w:p>
        </w:tc>
        <w:tc>
          <w:tcPr>
            <w:tcW w:w="5741" w:type="dxa"/>
            <w:noWrap/>
            <w:vAlign w:val="top"/>
          </w:tcPr>
          <w:p>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矢状面</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顶部激光轨投射一条可移动激光线</w:t>
            </w:r>
          </w:p>
          <w:p>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横断面：顶部激光轨投射两条可移动激光线</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冠状面</w:t>
            </w:r>
            <w:r>
              <w:rPr>
                <w:rFonts w:hint="eastAsia" w:ascii="宋体" w:hAnsi="宋体" w:eastAsia="宋体" w:cs="宋体"/>
                <w:sz w:val="24"/>
                <w:szCs w:val="24"/>
                <w:lang w:eastAsia="zh-CN"/>
              </w:rPr>
              <w:t>：两侧的立柱/挂壁激光轨投射两条可移动激光线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sz w:val="24"/>
                <w:szCs w:val="24"/>
              </w:rPr>
            </w:pPr>
            <w:r>
              <w:rPr>
                <w:rFonts w:hint="eastAsia" w:ascii="宋体" w:hAnsi="宋体" w:cs="宋体"/>
                <w:sz w:val="24"/>
                <w:szCs w:val="24"/>
                <w:lang w:val="en-US" w:eastAsia="zh-CN"/>
              </w:rPr>
              <w:t>2.12.</w:t>
            </w:r>
            <w:r>
              <w:rPr>
                <w:rFonts w:hint="eastAsia" w:ascii="宋体" w:hAnsi="宋体" w:eastAsia="宋体" w:cs="宋体"/>
                <w:sz w:val="24"/>
                <w:szCs w:val="24"/>
              </w:rPr>
              <w:t>3</w:t>
            </w:r>
          </w:p>
        </w:tc>
        <w:tc>
          <w:tcPr>
            <w:tcW w:w="7931" w:type="dxa"/>
            <w:gridSpan w:val="2"/>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激光控制系统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2.12.</w:t>
            </w:r>
            <w:r>
              <w:rPr>
                <w:rFonts w:hint="eastAsia" w:ascii="宋体" w:hAnsi="宋体" w:eastAsia="宋体" w:cs="宋体"/>
                <w:sz w:val="24"/>
                <w:szCs w:val="24"/>
              </w:rPr>
              <w:t>3.1</w:t>
            </w:r>
          </w:p>
        </w:tc>
        <w:tc>
          <w:tcPr>
            <w:tcW w:w="2190" w:type="dxa"/>
            <w:noWrap/>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控制电脑</w:t>
            </w:r>
          </w:p>
        </w:tc>
        <w:tc>
          <w:tcPr>
            <w:tcW w:w="5741" w:type="dxa"/>
            <w:noWrap/>
            <w:vAlign w:val="top"/>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触摸屏平板电脑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2.12.</w:t>
            </w:r>
            <w:r>
              <w:rPr>
                <w:rFonts w:hint="eastAsia" w:ascii="宋体" w:hAnsi="宋体" w:eastAsia="宋体" w:cs="宋体"/>
                <w:sz w:val="24"/>
                <w:szCs w:val="24"/>
              </w:rPr>
              <w:t>3.2</w:t>
            </w:r>
          </w:p>
        </w:tc>
        <w:tc>
          <w:tcPr>
            <w:tcW w:w="2190" w:type="dxa"/>
            <w:noWrap/>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操作导航</w:t>
            </w:r>
          </w:p>
        </w:tc>
        <w:tc>
          <w:tcPr>
            <w:tcW w:w="5741" w:type="dxa"/>
            <w:noWrap/>
            <w:vAlign w:val="top"/>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cs="宋体"/>
                <w:sz w:val="24"/>
                <w:szCs w:val="24"/>
                <w:lang w:val="en-US" w:eastAsia="zh-CN"/>
              </w:rPr>
              <w:t>2.12.</w:t>
            </w:r>
            <w:r>
              <w:rPr>
                <w:rFonts w:hint="eastAsia" w:ascii="宋体" w:hAnsi="宋体" w:eastAsia="宋体" w:cs="宋体"/>
                <w:sz w:val="24"/>
                <w:szCs w:val="24"/>
              </w:rPr>
              <w:t>3.3</w:t>
            </w:r>
          </w:p>
        </w:tc>
        <w:tc>
          <w:tcPr>
            <w:tcW w:w="2190" w:type="dxa"/>
            <w:noWrap/>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通讯控制</w:t>
            </w:r>
          </w:p>
        </w:tc>
        <w:tc>
          <w:tcPr>
            <w:tcW w:w="5741" w:type="dxa"/>
            <w:noWrap/>
            <w:vAlign w:val="top"/>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绝对线性编码器及双向通讯微处理器，可实时反馈实际位置与预置位置误差，保证定位精确度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2.12.</w:t>
            </w:r>
            <w:r>
              <w:rPr>
                <w:rFonts w:hint="eastAsia" w:ascii="宋体" w:hAnsi="宋体" w:eastAsia="宋体" w:cs="宋体"/>
                <w:sz w:val="24"/>
                <w:szCs w:val="24"/>
              </w:rPr>
              <w:t>3.4</w:t>
            </w:r>
          </w:p>
        </w:tc>
        <w:tc>
          <w:tcPr>
            <w:tcW w:w="2190" w:type="dxa"/>
            <w:noWrap/>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TPS数据传输</w:t>
            </w:r>
          </w:p>
        </w:tc>
        <w:tc>
          <w:tcPr>
            <w:tcW w:w="5741" w:type="dxa"/>
            <w:noWrap/>
            <w:vAlign w:val="top"/>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以太网电缆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ign w:val="center"/>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2.12.</w:t>
            </w:r>
            <w:r>
              <w:rPr>
                <w:rFonts w:hint="eastAsia" w:ascii="宋体" w:hAnsi="宋体" w:eastAsia="宋体" w:cs="宋体"/>
                <w:sz w:val="24"/>
                <w:szCs w:val="24"/>
              </w:rPr>
              <w:t>3.5</w:t>
            </w:r>
          </w:p>
        </w:tc>
        <w:tc>
          <w:tcPr>
            <w:tcW w:w="2190" w:type="dxa"/>
            <w:noWrap/>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系统控制方式</w:t>
            </w:r>
          </w:p>
        </w:tc>
        <w:tc>
          <w:tcPr>
            <w:tcW w:w="5741" w:type="dxa"/>
            <w:noWrap/>
            <w:vAlign w:val="top"/>
          </w:tcPr>
          <w:p>
            <w:pPr>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w:t>
            </w:r>
          </w:p>
        </w:tc>
        <w:tc>
          <w:tcPr>
            <w:tcW w:w="7931" w:type="dxa"/>
            <w:gridSpan w:val="2"/>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4.1</w:t>
            </w:r>
          </w:p>
        </w:tc>
        <w:tc>
          <w:tcPr>
            <w:tcW w:w="2190"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顶部激光灯</w:t>
            </w:r>
          </w:p>
        </w:tc>
        <w:tc>
          <w:tcPr>
            <w:tcW w:w="5741" w:type="dxa"/>
            <w:noWrap w:val="0"/>
            <w:vAlign w:val="top"/>
          </w:tcPr>
          <w:p>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4.2</w:t>
            </w:r>
          </w:p>
        </w:tc>
        <w:tc>
          <w:tcPr>
            <w:tcW w:w="2190" w:type="dxa"/>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立柱激光灯</w:t>
            </w:r>
          </w:p>
        </w:tc>
        <w:tc>
          <w:tcPr>
            <w:tcW w:w="5741" w:type="dxa"/>
            <w:noWrap w:val="0"/>
            <w:vAlign w:val="top"/>
          </w:tcPr>
          <w:p>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4.3</w:t>
            </w:r>
          </w:p>
        </w:tc>
        <w:tc>
          <w:tcPr>
            <w:tcW w:w="219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专用</w:t>
            </w:r>
            <w:r>
              <w:rPr>
                <w:rFonts w:hint="eastAsia" w:ascii="宋体" w:hAnsi="宋体" w:eastAsia="宋体" w:cs="宋体"/>
                <w:color w:val="auto"/>
                <w:sz w:val="24"/>
                <w:szCs w:val="24"/>
                <w:lang w:eastAsia="zh-CN"/>
              </w:rPr>
              <w:t>软件</w:t>
            </w:r>
          </w:p>
        </w:tc>
        <w:tc>
          <w:tcPr>
            <w:tcW w:w="5741" w:type="dxa"/>
            <w:noWrap w:val="0"/>
            <w:vAlign w:val="top"/>
          </w:tcPr>
          <w:p>
            <w:pPr>
              <w:spacing w:line="240" w:lineRule="auto"/>
              <w:jc w:val="left"/>
              <w:rPr>
                <w:rFonts w:hint="eastAsia" w:ascii="宋体" w:hAnsi="宋体" w:eastAsia="宋体" w:cs="宋体"/>
                <w:spacing w:val="20"/>
                <w:kern w:val="2"/>
                <w:sz w:val="24"/>
                <w:szCs w:val="24"/>
                <w:lang w:val="en-US" w:eastAsia="zh-CN" w:bidi="ar-SA"/>
              </w:rPr>
            </w:pPr>
            <w:r>
              <w:rPr>
                <w:rFonts w:hint="eastAsia" w:ascii="宋体" w:hAnsi="宋体" w:eastAsia="宋体" w:cs="宋体"/>
                <w:spacing w:val="20"/>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4.4</w:t>
            </w:r>
          </w:p>
        </w:tc>
        <w:tc>
          <w:tcPr>
            <w:tcW w:w="219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平板电脑</w:t>
            </w:r>
          </w:p>
        </w:tc>
        <w:tc>
          <w:tcPr>
            <w:tcW w:w="5741" w:type="dxa"/>
            <w:noWrap w:val="0"/>
            <w:vAlign w:val="top"/>
          </w:tcPr>
          <w:p>
            <w:pPr>
              <w:spacing w:line="240" w:lineRule="auto"/>
              <w:jc w:val="left"/>
              <w:rPr>
                <w:rFonts w:hint="eastAsia" w:ascii="宋体" w:hAnsi="宋体" w:eastAsia="宋体" w:cs="宋体"/>
                <w:spacing w:val="20"/>
                <w:kern w:val="2"/>
                <w:sz w:val="24"/>
                <w:szCs w:val="24"/>
                <w:lang w:val="en-US" w:eastAsia="zh-CN" w:bidi="ar-SA"/>
              </w:rPr>
            </w:pPr>
            <w:r>
              <w:rPr>
                <w:rFonts w:hint="eastAsia" w:ascii="宋体" w:hAnsi="宋体" w:eastAsia="宋体" w:cs="宋体"/>
                <w:spacing w:val="20"/>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4.5</w:t>
            </w:r>
          </w:p>
        </w:tc>
        <w:tc>
          <w:tcPr>
            <w:tcW w:w="219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电源线</w:t>
            </w:r>
          </w:p>
        </w:tc>
        <w:tc>
          <w:tcPr>
            <w:tcW w:w="5741" w:type="dxa"/>
            <w:noWrap w:val="0"/>
            <w:vAlign w:val="top"/>
          </w:tcPr>
          <w:p>
            <w:pPr>
              <w:spacing w:line="240" w:lineRule="auto"/>
              <w:jc w:val="left"/>
              <w:rPr>
                <w:rFonts w:hint="eastAsia" w:ascii="宋体" w:hAnsi="宋体" w:eastAsia="宋体" w:cs="宋体"/>
                <w:spacing w:val="20"/>
                <w:kern w:val="2"/>
                <w:sz w:val="24"/>
                <w:szCs w:val="24"/>
                <w:lang w:val="en-US" w:eastAsia="zh-CN" w:bidi="ar-SA"/>
              </w:rPr>
            </w:pPr>
            <w:r>
              <w:rPr>
                <w:rFonts w:hint="eastAsia" w:ascii="宋体" w:hAnsi="宋体" w:eastAsia="宋体" w:cs="宋体"/>
                <w:spacing w:val="20"/>
                <w:sz w:val="24"/>
                <w:szCs w:val="24"/>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4.6</w:t>
            </w:r>
          </w:p>
        </w:tc>
        <w:tc>
          <w:tcPr>
            <w:tcW w:w="219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校准模体</w:t>
            </w:r>
          </w:p>
        </w:tc>
        <w:tc>
          <w:tcPr>
            <w:tcW w:w="5741" w:type="dxa"/>
            <w:noWrap w:val="0"/>
            <w:vAlign w:val="top"/>
          </w:tcPr>
          <w:p>
            <w:pPr>
              <w:spacing w:line="240" w:lineRule="auto"/>
              <w:jc w:val="left"/>
              <w:rPr>
                <w:rFonts w:hint="eastAsia" w:ascii="宋体" w:hAnsi="宋体" w:eastAsia="宋体" w:cs="宋体"/>
                <w:spacing w:val="20"/>
                <w:kern w:val="2"/>
                <w:sz w:val="24"/>
                <w:szCs w:val="24"/>
                <w:lang w:val="en-US" w:eastAsia="zh-CN" w:bidi="ar-SA"/>
              </w:rPr>
            </w:pPr>
            <w:r>
              <w:rPr>
                <w:rFonts w:hint="eastAsia" w:ascii="宋体" w:hAnsi="宋体" w:eastAsia="宋体" w:cs="宋体"/>
                <w:spacing w:val="2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4.7</w:t>
            </w:r>
          </w:p>
        </w:tc>
        <w:tc>
          <w:tcPr>
            <w:tcW w:w="219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蓝牙网关</w:t>
            </w:r>
          </w:p>
        </w:tc>
        <w:tc>
          <w:tcPr>
            <w:tcW w:w="5741" w:type="dxa"/>
            <w:noWrap w:val="0"/>
            <w:vAlign w:val="top"/>
          </w:tcPr>
          <w:p>
            <w:pPr>
              <w:spacing w:line="240" w:lineRule="auto"/>
              <w:jc w:val="left"/>
              <w:rPr>
                <w:rFonts w:hint="eastAsia" w:ascii="宋体" w:hAnsi="宋体" w:eastAsia="宋体" w:cs="宋体"/>
                <w:spacing w:val="20"/>
                <w:kern w:val="2"/>
                <w:sz w:val="24"/>
                <w:szCs w:val="24"/>
                <w:lang w:val="en-US" w:eastAsia="zh-CN" w:bidi="ar-SA"/>
              </w:rPr>
            </w:pPr>
            <w:r>
              <w:rPr>
                <w:rFonts w:hint="eastAsia" w:ascii="宋体" w:hAnsi="宋体" w:eastAsia="宋体" w:cs="宋体"/>
                <w:spacing w:val="2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noWrap w:val="0"/>
            <w:vAlign w:val="center"/>
          </w:tcPr>
          <w:p>
            <w:pPr>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2.12.</w:t>
            </w:r>
            <w:r>
              <w:rPr>
                <w:rFonts w:hint="eastAsia" w:ascii="宋体" w:hAnsi="宋体" w:eastAsia="宋体" w:cs="宋体"/>
                <w:sz w:val="24"/>
                <w:szCs w:val="24"/>
                <w:lang w:val="en-US" w:eastAsia="zh-CN"/>
              </w:rPr>
              <w:t>4.8</w:t>
            </w:r>
          </w:p>
        </w:tc>
        <w:tc>
          <w:tcPr>
            <w:tcW w:w="219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原厂说明书</w:t>
            </w:r>
          </w:p>
        </w:tc>
        <w:tc>
          <w:tcPr>
            <w:tcW w:w="5741" w:type="dxa"/>
            <w:noWrap w:val="0"/>
            <w:vAlign w:val="top"/>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1本</w:t>
            </w:r>
          </w:p>
        </w:tc>
      </w:tr>
    </w:tbl>
    <w:p>
      <w:pPr>
        <w:numPr>
          <w:ilvl w:val="0"/>
          <w:numId w:val="0"/>
        </w:numPr>
        <w:shd w:val="clear" w:color="auto" w:fill="auto"/>
        <w:bidi w:val="0"/>
        <w:spacing w:line="36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三、商务条款</w:t>
      </w:r>
    </w:p>
    <w:p>
      <w:pPr>
        <w:numPr>
          <w:ilvl w:val="0"/>
          <w:numId w:val="0"/>
        </w:num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1、售后服务：</w:t>
      </w:r>
    </w:p>
    <w:p>
      <w:pPr>
        <w:numPr>
          <w:ilvl w:val="0"/>
          <w:numId w:val="0"/>
        </w:num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1.1.在设备使用期内，中标方应确保设备的正常使用，在接到用户维修要求后应立即做出回应，通过电话联系无法解决的，须24小时赶赴现场处理，在24小时内对设备无法修复的，须提供性能相当的产品供用户使用。</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1.2.每台设备都应提供完整的中英文技术资料，包括操作手册2套、维修手册1套等，同时应提供设备操作维护规程。</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1.3.设备验收合格后免费保修</w:t>
      </w:r>
      <w:r>
        <w:rPr>
          <w:rFonts w:hint="eastAsia" w:ascii="宋体" w:hAnsi="宋体"/>
          <w:b/>
          <w:bCs/>
          <w:color w:val="auto"/>
          <w:sz w:val="24"/>
          <w:szCs w:val="24"/>
          <w:highlight w:val="none"/>
          <w:lang w:val="en-US" w:eastAsia="zh-CN"/>
        </w:rPr>
        <w:t>≥1年</w:t>
      </w:r>
      <w:r>
        <w:rPr>
          <w:rFonts w:hint="eastAsia" w:ascii="宋体" w:hAnsi="宋体"/>
          <w:b w:val="0"/>
          <w:bCs w:val="0"/>
          <w:color w:val="auto"/>
          <w:sz w:val="24"/>
          <w:szCs w:val="24"/>
          <w:highlight w:val="none"/>
          <w:lang w:val="en-US" w:eastAsia="zh-CN"/>
        </w:rPr>
        <w:t>：保证零配件供应8年以上，质保期后不收任何维修费、差旅费等，终身维护，软件终身免费升级。</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2、培训：</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2.1.中标方提供免费培训，直至用户熟练操作。包括：培训讲师和培训资料。</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2.2.提供集中培训：培训时间半天，培训人数10人。</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2.3.制定操作维护规程</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3、交货、安装及验收：</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3.1.交货时间：合同签订后两个月内送货到市立医院指定地点。</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3.2.安装地点：医院指定地点。</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3.3.安装完成时间：接到院方通知后7天内安装完毕。</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3.4.安装、验收前所产生的一切费用（包括卸货、搬运费等）由供方负责提供。</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3.5.安装、验收标准：应与产品原始样本技术数据及标书技术文件一致；还应符合我国有关技术规范和技术标准。</w:t>
      </w:r>
    </w:p>
    <w:p>
      <w:pPr>
        <w:bidi w:val="0"/>
        <w:spacing w:line="360" w:lineRule="auto"/>
        <w:ind w:firstLine="480" w:firstLineChars="200"/>
        <w:jc w:val="left"/>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4、付款方式：合同签订后医院向中标单位支付合同金额40%预付款，货到医院并验收合格</w:t>
      </w:r>
      <w:r>
        <w:rPr>
          <w:rFonts w:hint="eastAsia" w:ascii="宋体" w:hAnsi="宋体" w:cs="Times New Roman"/>
          <w:b w:val="0"/>
          <w:bCs w:val="0"/>
          <w:color w:val="auto"/>
          <w:sz w:val="24"/>
          <w:szCs w:val="24"/>
          <w:highlight w:val="none"/>
          <w:lang w:val="en-US" w:eastAsia="zh-CN"/>
        </w:rPr>
        <w:t>后满足合同约定支付条件7个工作日内</w:t>
      </w:r>
      <w:r>
        <w:rPr>
          <w:rFonts w:hint="eastAsia" w:ascii="宋体" w:hAnsi="宋体" w:eastAsia="宋体" w:cs="Times New Roman"/>
          <w:b w:val="0"/>
          <w:bCs w:val="0"/>
          <w:color w:val="auto"/>
          <w:sz w:val="24"/>
          <w:szCs w:val="24"/>
          <w:highlight w:val="none"/>
          <w:lang w:val="en-US" w:eastAsia="zh-CN"/>
        </w:rPr>
        <w:t>付合同金额60%。（开票时需完整填写开票信息）</w:t>
      </w:r>
    </w:p>
    <w:p>
      <w:pPr>
        <w:bidi w:val="0"/>
        <w:spacing w:line="360" w:lineRule="auto"/>
        <w:ind w:firstLine="420" w:firstLineChars="200"/>
        <w:jc w:val="left"/>
        <w:rPr>
          <w:rFonts w:hint="eastAsia"/>
          <w:color w:val="auto"/>
          <w:highlight w:val="none"/>
          <w:lang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bidi w:val="0"/>
        <w:spacing w:line="360" w:lineRule="auto"/>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医疗设备购销合同</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合同编号：                               签约地  ：台州市椒江区</w:t>
      </w:r>
    </w:p>
    <w:p>
      <w:p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甲方（买方）：</w:t>
      </w:r>
      <w:r>
        <w:rPr>
          <w:rFonts w:hint="eastAsia" w:ascii="宋体" w:hAnsi="宋体" w:eastAsia="宋体" w:cs="宋体"/>
          <w:b/>
          <w:bCs/>
          <w:color w:val="auto"/>
          <w:sz w:val="24"/>
          <w:szCs w:val="32"/>
          <w:highlight w:val="none"/>
          <w:u w:val="single"/>
          <w:lang w:val="en-US" w:eastAsia="zh-CN"/>
        </w:rPr>
        <w:t>台州市立医院</w:t>
      </w:r>
      <w:r>
        <w:rPr>
          <w:rFonts w:hint="eastAsia" w:ascii="宋体" w:hAnsi="宋体" w:eastAsia="宋体" w:cs="宋体"/>
          <w:b/>
          <w:bCs/>
          <w:color w:val="auto"/>
          <w:sz w:val="24"/>
          <w:szCs w:val="32"/>
          <w:highlight w:val="none"/>
          <w:lang w:val="en-US" w:eastAsia="zh-CN"/>
        </w:rPr>
        <w:t xml:space="preserve">               乙方（卖方）：</w:t>
      </w:r>
      <w:r>
        <w:rPr>
          <w:rFonts w:hint="eastAsia" w:ascii="宋体" w:hAnsi="宋体" w:eastAsia="宋体" w:cs="宋体"/>
          <w:b/>
          <w:bCs/>
          <w:color w:val="auto"/>
          <w:sz w:val="24"/>
          <w:szCs w:val="32"/>
          <w:highlight w:val="none"/>
          <w:u w:val="single"/>
          <w:lang w:val="en-US" w:eastAsia="zh-CN"/>
        </w:rPr>
        <w:t xml:space="preserve">                </w:t>
      </w:r>
    </w:p>
    <w:p>
      <w:pPr>
        <w:bidi w:val="0"/>
        <w:spacing w:line="360" w:lineRule="auto"/>
        <w:ind w:firstLine="241" w:firstLineChars="100"/>
        <w:rPr>
          <w:rFonts w:hint="eastAsia" w:ascii="宋体" w:hAnsi="宋体" w:eastAsia="宋体" w:cs="宋体"/>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甲乙双方根据《中华人民共和国民法典》，在平等互利、协商一致的基础上，甲方同意向乙方购买同时乙方同意授予甲方以下设备（以下设备器械均简称设备）：</w:t>
      </w:r>
    </w:p>
    <w:tbl>
      <w:tblPr>
        <w:tblStyle w:val="2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635"/>
        <w:gridCol w:w="1080"/>
        <w:gridCol w:w="900"/>
        <w:gridCol w:w="750"/>
        <w:gridCol w:w="1970"/>
        <w:gridCol w:w="87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设备名称</w:t>
            </w: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规格型号</w:t>
            </w: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品牌</w:t>
            </w: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产地</w:t>
            </w: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数量</w:t>
            </w: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医疗器械注册证</w:t>
            </w: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单价（元）</w:t>
            </w: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0" w:type="dxa"/>
            <w:gridSpan w:val="8"/>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合计成交金额（RMB）：           元（大写：               ）</w:t>
            </w:r>
          </w:p>
        </w:tc>
      </w:tr>
    </w:tbl>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2、设备的交付期</w:t>
      </w:r>
      <w:r>
        <w:rPr>
          <w:rFonts w:hint="eastAsia" w:ascii="宋体" w:hAnsi="宋体" w:eastAsia="宋体" w:cs="宋体"/>
          <w:b w:val="0"/>
          <w:bCs w:val="0"/>
          <w:color w:val="auto"/>
          <w:sz w:val="24"/>
          <w:szCs w:val="32"/>
          <w:highlight w:val="none"/>
          <w:lang w:val="en-US" w:eastAsia="zh-CN"/>
        </w:rPr>
        <w:t>：乙方在合同生效的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b w:val="0"/>
          <w:bCs w:val="0"/>
          <w:color w:val="auto"/>
          <w:sz w:val="24"/>
          <w:szCs w:val="32"/>
          <w:highlight w:val="none"/>
          <w:lang w:val="en-US" w:eastAsia="zh-CN"/>
        </w:rPr>
        <w:t>天内向甲方交付上述设备，逾期将按照第7条规定执行。</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3、设备运输、安装和验收</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3.1本项目为台州市立医院迁建工程配套设备，乙方确保设备安全无损地运抵甲方指定现场,并承担设备的运费、保险费等费用，装卸费由</w:t>
      </w:r>
      <w:r>
        <w:rPr>
          <w:rFonts w:hint="eastAsia" w:ascii="宋体" w:hAnsi="宋体" w:eastAsia="宋体" w:cs="宋体"/>
          <w:color w:val="auto"/>
          <w:sz w:val="24"/>
          <w:szCs w:val="32"/>
          <w:highlight w:val="none"/>
          <w:u w:val="single"/>
          <w:lang w:val="en-US" w:eastAsia="zh-CN"/>
        </w:rPr>
        <w:t xml:space="preserve"> 乙方 </w:t>
      </w:r>
      <w:r>
        <w:rPr>
          <w:rFonts w:hint="eastAsia" w:ascii="宋体" w:hAnsi="宋体" w:eastAsia="宋体" w:cs="宋体"/>
          <w:color w:val="auto"/>
          <w:sz w:val="24"/>
          <w:szCs w:val="32"/>
          <w:highlight w:val="none"/>
          <w:lang w:val="en-US" w:eastAsia="zh-CN"/>
        </w:rPr>
        <w:t xml:space="preserve">承担，落地交货。 </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3.2甲乙双方对设备进行开箱清点检查验收，如果发现数量不足或有质量、技术等问题，乙方应在</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天内，按照甲方的要求，采取补足、更换或退货等处理措施，并承担由此发生的一切损失和费用及赔偿。</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3.3设备到货后，乙方应在接到甲方通知后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天内安装调试完成。</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3.4甲、乙双方在符合国家相关技术标准的基础上，根据合同的配置清单、技术标准进行验收，验收合格后，双方在甲方《验收合格单》上签字确认。</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4、付款方式    </w:t>
      </w:r>
    </w:p>
    <w:p>
      <w:pPr>
        <w:bidi w:val="0"/>
        <w:spacing w:line="360" w:lineRule="auto"/>
        <w:ind w:firstLine="480" w:firstLineChars="200"/>
        <w:jc w:val="left"/>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合同签订后医院向中标单位支付合同金额40%预付款，货到医院并验收合格</w:t>
      </w:r>
      <w:r>
        <w:rPr>
          <w:rFonts w:hint="eastAsia" w:ascii="宋体" w:hAnsi="宋体" w:cs="Times New Roman"/>
          <w:b w:val="0"/>
          <w:bCs w:val="0"/>
          <w:color w:val="auto"/>
          <w:sz w:val="24"/>
          <w:szCs w:val="24"/>
          <w:highlight w:val="none"/>
          <w:lang w:val="en-US" w:eastAsia="zh-CN"/>
        </w:rPr>
        <w:t>后满足合同约定支付条件7个工作日内</w:t>
      </w:r>
      <w:r>
        <w:rPr>
          <w:rFonts w:hint="eastAsia" w:ascii="宋体" w:hAnsi="宋体" w:eastAsia="宋体" w:cs="Times New Roman"/>
          <w:b w:val="0"/>
          <w:bCs w:val="0"/>
          <w:color w:val="auto"/>
          <w:sz w:val="24"/>
          <w:szCs w:val="24"/>
          <w:highlight w:val="none"/>
          <w:lang w:val="en-US" w:eastAsia="zh-CN"/>
        </w:rPr>
        <w:t>付合同金额60%。（开票时需完整填写开票信息）</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5、伴随服务</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5.1乙方应提供设备的技术文件，包括相应的图纸、操作手册、维护手册、质量保证文件、服务指南等，这些文件应随同设备一起发运至甲方。</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5.2乙方还应免费提供下列服务：</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（1）设备的现场安装和调试</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（2）提供设备安装和维修所需的专用工具和辅助材料</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（3）乙方应派专业技术人员在项目现场对甲方使用人员进行培训或指导，在使用一段时间后可根据甲方的要求另行安排培训计划。</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6、质量保证及售后服务</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6.1乙方应保证所供设备是在交付前1年内生产的全新的、未使用过的，并符合国家有关标准、制造厂标准及合同技术标准要求。乙方承诺提供的产品是准许在中国市场销售的合法产品。如果设备的质量或规格与合同不符，或证实设备是有缺陷的，包括潜在的缺陷或使用不符合要求的材料等，乙方应在接到甲方通知后7天内进行退货并按7.1.1条款执行，或根据7.1.2、7.1.3负责采用符合合同规定的规格、质量和性能要求的新零件、部件或设备来更换有缺陷的部分或修补缺陷部分，其费用由乙方负担并赔偿相应的损失。同时，乙方应按本合同规定，相应延长修补或更换件的质量保证期。</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6.2乙方应提供整机保修</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月，保修期的期限应从设备验收合格之日起计算，保修期内免人工费，免费更换零配件。乙方在保修期内应确保开机率为95%以上，年度定期预防性维护保养次数，不少于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次，在支付设备余款时公司需提交相应报告，如达不到此要求，即相应延长保修期。</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6.3报修响应时间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小时，到场时间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小时（不可抗力因素除外）。</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6.4保修期满后，乙方负责设备的终身维修，人工费为单次故障不高于</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元，并以投标文件或承诺书</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折的优惠价供应维修零配件。</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6.5 保修期满后，如甲方购买保修服务合同，则年度整机保修合同价最高为</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元或不高于设备总价的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6.6 消耗品的供应价格可作为合同附件或由双方另设协议约定。</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7、索赔条款</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 如经医疗器械监督管理部门检验确认货物不符合本合同约定，甲方有权选择下列方式之一要求乙方进行补救：</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7.1.1同意甲方退货，将全额货款偿还甲方，并负担因退货而发生的一切直接损失和费用，同时按合同货款总价的10%向甲方赔偿。</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7.1.2按照货物的疵劣程度、损坏的范围和甲方所遭受的损失，将货物贬值处理。</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7.1.3调换有瑕疵的货物，更换为全新并符合本合同规定的规格，质量和性能，乙方负责因此产生的一切费用和甲方的一切直接损失。</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7.2如果乙方没有按照合同规定的时间交货和提供服务，甲方应从货款中扣除误期赔偿费，但不影响合同项下的其他补救办法。延期交货和延期服务的赔偿费均按每周迟交仪器的合同价的百分之零点五（0.5%）计收，直至交货或提供服务为止。但误期赔偿费的最高限额不超过合同价的百分之十（10%）。一周按7天计算，不足7天按一周计算。一旦达到误期赔偿的最高限额，甲方有权终止合同。</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7.3乙方应保证甲方和使用单位在使用该设备或其任何一部分时免受第三方提出侵犯其专利权、商标权或工业产权的起诉。</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8、争端的解决</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双方如在履行合同中发生纠纷，首先应友好协商，协商不成，双方均应向合同签订地法院起诉。</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9、合同生效</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9.1本合同在甲、乙双方签字盖章后生效。</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9.2本合同一式四份，以中文书就，甲方执叁份、乙方执壹份，具有相同的法律效应。招、投文件及招标谈判现场承诺书作为合同的有效组成部分，与合同具有同样的法律效力，如有冲突，以本合同为准。</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10、合同附件 合同附件是合同的不可分割的组成部分，与合同具有同等法律效力，附件包含但不限于以下内容：</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10.1 配置清单     □ 设备的配置清单       </w:t>
      </w:r>
    </w:p>
    <w:p>
      <w:pPr>
        <w:bidi w:val="0"/>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10.2 耗材清单     □ 耗材采购清单           □ 维修配件价格清单</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10.3 技术标准     □ 投标文件的技术响应     □ 设备技术说明</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11、特别约定</w:t>
      </w:r>
    </w:p>
    <w:p>
      <w:pP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p>
      <w:pP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tbl>
      <w:tblPr>
        <w:tblStyle w:val="27"/>
        <w:tblW w:w="9028" w:type="dxa"/>
        <w:jc w:val="center"/>
        <w:tblLayout w:type="fixed"/>
        <w:tblCellMar>
          <w:top w:w="0" w:type="dxa"/>
          <w:left w:w="108" w:type="dxa"/>
          <w:bottom w:w="0" w:type="dxa"/>
          <w:right w:w="108" w:type="dxa"/>
        </w:tblCellMar>
      </w:tblPr>
      <w:tblGrid>
        <w:gridCol w:w="4514"/>
        <w:gridCol w:w="4514"/>
      </w:tblGrid>
      <w:tr>
        <w:trPr>
          <w:cantSplit/>
          <w:trHeight w:val="0" w:hRule="atLeast"/>
          <w:jc w:val="center"/>
        </w:trPr>
        <w:tc>
          <w:tcPr>
            <w:tcW w:w="451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甲方：台州市立医院</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r>
              <w:rPr>
                <w:rFonts w:hint="eastAsia" w:ascii="宋体" w:hAnsi="宋体" w:eastAsia="宋体" w:cs="宋体"/>
                <w:b/>
                <w:color w:val="auto"/>
                <w:sz w:val="24"/>
                <w:szCs w:val="24"/>
                <w:highlight w:val="none"/>
                <w:lang w:val="en-US" w:eastAsia="zh-CN"/>
              </w:rPr>
              <w:t>12331002472630676D</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开户行：工商银行椒江支行</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账号：1207011109049121110</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联系电话：0576</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88598031</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地址：台州市椒江区中山东路381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号</w:t>
            </w:r>
          </w:p>
          <w:p>
            <w:pPr>
              <w:spacing w:line="36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甲方法定代表人或授权委托人</w:t>
            </w:r>
          </w:p>
          <w:p>
            <w:pP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pacing w:line="48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c>
          <w:tcPr>
            <w:tcW w:w="4514" w:type="dxa"/>
            <w:tcBorders>
              <w:top w:val="single" w:color="auto" w:sz="4" w:space="0"/>
              <w:left w:val="single" w:color="auto" w:sz="4" w:space="0"/>
              <w:bottom w:val="single" w:color="auto" w:sz="4" w:space="0"/>
              <w:right w:val="single" w:color="auto" w:sz="4" w:space="0"/>
            </w:tcBorders>
          </w:tcPr>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pPr>
              <w:spacing w:line="360" w:lineRule="auto"/>
              <w:ind w:left="1" w:firstLine="36" w:firstLineChars="15"/>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地址：</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乙方法定代表人或授权委托人</w:t>
            </w:r>
          </w:p>
          <w:p>
            <w:pP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pacing w:line="480" w:lineRule="auto"/>
              <w:ind w:left="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r>
    </w:tbl>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台州市立医院迁建工程大孔径螺旋CT采购项目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ZJWS2022-JJ313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台州市立医院迁建工程大孔径螺旋CT采购项目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ZJWS2022-JJ313</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台州市立医院迁建工程大孔径螺旋CT采购项目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台州市立医院迁建工程大孔径螺旋CT采购项目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ZJWS2022-JJ313</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台州市立医院迁建工程大孔径螺旋CT采购项目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ZJWS2022-JJ313</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  技术方案描述部分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2、项目需求的理解与分析；</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3、项目组织实施方案（附件</w:t>
      </w:r>
      <w:r>
        <w:rPr>
          <w:rFonts w:hint="eastAsia" w:ascii="宋体" w:hAnsi="宋体" w:cs="宋体"/>
          <w:color w:val="auto"/>
          <w:sz w:val="24"/>
          <w:szCs w:val="32"/>
          <w:highlight w:val="none"/>
          <w:lang w:val="en-US" w:eastAsia="zh-CN"/>
        </w:rPr>
        <w:t>11</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12</w:t>
      </w:r>
      <w:r>
        <w:rPr>
          <w:rFonts w:hint="eastAsia" w:ascii="宋体" w:hAnsi="宋体" w:eastAsia="宋体" w:cs="宋体"/>
          <w:color w:val="auto"/>
          <w:sz w:val="24"/>
          <w:szCs w:val="32"/>
          <w:highlight w:val="none"/>
          <w:lang w:val="en-US" w:eastAsia="zh-CN"/>
        </w:rPr>
        <w:t xml:space="preserve">）； </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4、安装、调试及验收方案；</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  投标产品描述部分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1、投标产品描述及相关资料（附件</w:t>
      </w:r>
      <w:r>
        <w:rPr>
          <w:rFonts w:hint="eastAsia" w:ascii="宋体" w:hAnsi="宋体" w:cs="宋体"/>
          <w:color w:val="auto"/>
          <w:sz w:val="24"/>
          <w:szCs w:val="32"/>
          <w:highlight w:val="none"/>
          <w:lang w:val="en-US" w:eastAsia="zh-CN"/>
        </w:rPr>
        <w:t>13</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2、投标人需要说明的其他内容；（包括可能影响投标人技术性能评分项的各类证明材料）</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  商务响应部分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1、证书一览表（附件1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2、近三年来类似项目的成功案例（附件1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3、售后服务描述及承诺（附件1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代理证明（或制造商出具的授权书）；</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供应商为医疗器械生产企业的：第二类、第三类医疗器械生产企业提供《医疗器械生产许可证》、第一类医疗器械生产企业提供第一类医疗器械生产备案凭证；</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供应商为医疗器械经营企业的：第三类医疗器械经营企业提供《医疗器械经营许可证》、第二类医疗器械经营企业提供第二类医疗器械经营备案凭证；（适用于按医疗器械管理的货物）；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食品药品监督管理部门核发的完整有效的医疗器械注册或备案证明；（适用于按医疗器械管理的设备）；</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、投标人需要说明的其他内容。（包括可能影响投标人企业实力及信誉评分项以及售后服务评分项的各类证明材料）</w:t>
      </w:r>
    </w:p>
    <w:p>
      <w:pPr>
        <w:shd w:val="clear" w:color="auto" w:fill="auto"/>
        <w:bidi w:val="0"/>
        <w:spacing w:line="360" w:lineRule="auto"/>
        <w:jc w:val="both"/>
        <w:rPr>
          <w:rFonts w:hint="eastAsia" w:ascii="宋体" w:hAnsi="宋体" w:eastAsia="宋体" w:cs="宋体"/>
          <w:b w:val="0"/>
          <w:bCs w:val="0"/>
          <w:color w:val="auto"/>
          <w:sz w:val="24"/>
          <w:szCs w:val="32"/>
          <w:highlight w:val="none"/>
          <w:lang w:eastAsia="zh-CN"/>
        </w:rPr>
      </w:pPr>
    </w:p>
    <w:p>
      <w:pPr>
        <w:shd w:val="clear" w:color="auto" w:fill="auto"/>
        <w:bidi w:val="0"/>
        <w:spacing w:line="360" w:lineRule="auto"/>
        <w:jc w:val="both"/>
        <w:rPr>
          <w:rFonts w:hint="eastAsia" w:ascii="宋体" w:hAnsi="宋体" w:eastAsia="宋体" w:cs="宋体"/>
          <w:b w:val="0"/>
          <w:bCs w:val="0"/>
          <w:color w:val="auto"/>
          <w:sz w:val="24"/>
          <w:szCs w:val="32"/>
          <w:highlight w:val="none"/>
          <w:lang w:eastAsia="zh-CN"/>
        </w:rPr>
      </w:pPr>
    </w:p>
    <w:p>
      <w:pPr>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75" w:hRule="atLeast"/>
        </w:trPr>
        <w:tc>
          <w:tcPr>
            <w:tcW w:w="88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2"/>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2"/>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2"/>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2"/>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2"/>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10"/>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10"/>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6"/>
              <w:spacing w:line="360" w:lineRule="auto"/>
              <w:jc w:val="center"/>
              <w:rPr>
                <w:rFonts w:ascii="宋体" w:cs="Arial"/>
                <w:color w:val="auto"/>
                <w:szCs w:val="21"/>
                <w:highlight w:val="none"/>
              </w:rPr>
            </w:pPr>
          </w:p>
        </w:tc>
        <w:tc>
          <w:tcPr>
            <w:tcW w:w="2258" w:type="dxa"/>
            <w:tcBorders>
              <w:bottom w:val="double" w:color="auto" w:sz="4" w:space="0"/>
            </w:tcBorders>
          </w:tcPr>
          <w:p>
            <w:pPr>
              <w:pStyle w:val="56"/>
              <w:spacing w:line="360" w:lineRule="auto"/>
              <w:jc w:val="center"/>
              <w:rPr>
                <w:rFonts w:ascii="宋体" w:cs="Arial"/>
                <w:color w:val="auto"/>
                <w:szCs w:val="21"/>
                <w:highlight w:val="none"/>
              </w:rPr>
            </w:pPr>
          </w:p>
        </w:tc>
        <w:tc>
          <w:tcPr>
            <w:tcW w:w="2260" w:type="dxa"/>
            <w:tcBorders>
              <w:bottom w:val="double" w:color="auto" w:sz="4" w:space="0"/>
            </w:tcBorders>
          </w:tcPr>
          <w:p>
            <w:pPr>
              <w:pStyle w:val="56"/>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6"/>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10"/>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7"/>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7"/>
              <w:widowControl/>
              <w:spacing w:line="360" w:lineRule="auto"/>
              <w:jc w:val="left"/>
              <w:rPr>
                <w:rFonts w:ascii="宋体" w:cs="Arial"/>
                <w:bCs/>
                <w:color w:val="auto"/>
                <w:sz w:val="24"/>
                <w:highlight w:val="none"/>
              </w:rPr>
            </w:pPr>
          </w:p>
        </w:tc>
        <w:tc>
          <w:tcPr>
            <w:tcW w:w="2355" w:type="dxa"/>
            <w:vMerge w:val="continue"/>
            <w:vAlign w:val="center"/>
          </w:tcPr>
          <w:p>
            <w:pPr>
              <w:pStyle w:val="57"/>
              <w:widowControl/>
              <w:spacing w:line="360" w:lineRule="auto"/>
              <w:jc w:val="left"/>
              <w:rPr>
                <w:rFonts w:ascii="宋体" w:cs="Arial"/>
                <w:bCs/>
                <w:color w:val="auto"/>
                <w:sz w:val="24"/>
                <w:highlight w:val="none"/>
              </w:rPr>
            </w:pP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7"/>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c>
          <w:tcPr>
            <w:tcW w:w="1373"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7"/>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7"/>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c>
          <w:tcPr>
            <w:tcW w:w="1373"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7"/>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7"/>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1"/>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hAnsi="宋体"/>
          <w:b/>
          <w:color w:val="auto"/>
          <w:sz w:val="32"/>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hint="eastAsia" w:ascii="宋体" w:eastAsia="宋体"/>
                <w:color w:val="auto"/>
                <w:sz w:val="24"/>
                <w:highlight w:val="none"/>
                <w:lang w:eastAsia="zh-CN"/>
              </w:rPr>
            </w:pPr>
            <w:r>
              <w:rPr>
                <w:rFonts w:hint="eastAsia" w:ascii="宋体" w:hAnsi="宋体"/>
                <w:color w:val="auto"/>
                <w:sz w:val="24"/>
                <w:highlight w:val="none"/>
              </w:rPr>
              <w:t>投标总报价</w:t>
            </w:r>
            <w:r>
              <w:rPr>
                <w:rFonts w:hint="eastAsia" w:ascii="宋体" w:hAnsi="宋体"/>
                <w:color w:val="auto"/>
                <w:sz w:val="24"/>
                <w:highlight w:val="none"/>
                <w:lang w:eastAsia="zh-CN"/>
              </w:rPr>
              <w:t>（</w:t>
            </w:r>
            <w:r>
              <w:rPr>
                <w:rFonts w:hint="eastAsia" w:ascii="宋体" w:hAnsi="宋体"/>
                <w:color w:val="auto"/>
                <w:sz w:val="24"/>
                <w:highlight w:val="none"/>
              </w:rPr>
              <w:t>元</w:t>
            </w:r>
            <w:r>
              <w:rPr>
                <w:rFonts w:hint="eastAsia" w:ascii="宋体" w:hAnsi="宋体"/>
                <w:color w:val="auto"/>
                <w:sz w:val="24"/>
                <w:highlight w:val="none"/>
                <w:lang w:eastAsia="zh-CN"/>
              </w:rPr>
              <w:t>）</w:t>
            </w: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highlight w:val="none"/>
              </w:rPr>
            </w:pP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bl>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p>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1.投标总报价包括货款、标准附件、备品备件、专用工具、包装、运输、装卸、保险、税金、货到就位以及安装、调试、培训、保修、合同包含的所有风险责任等各项费用及不可预见费等所需的全部费用。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2.报价一经涂改，应在涂改处加盖单位公章，或者由法定代表人或</w:t>
      </w:r>
      <w:r>
        <w:rPr>
          <w:rFonts w:hint="eastAsia" w:ascii="宋体" w:hAnsi="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签字或盖章，否则其投标作无效标处理。</w:t>
      </w: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pP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pP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pPr>
        <w:bidi w:val="0"/>
        <w:spacing w:line="360" w:lineRule="auto"/>
        <w:jc w:val="left"/>
        <w:rPr>
          <w:rFonts w:hint="eastAsia" w:ascii="宋体" w:hAnsi="宋体" w:eastAsia="宋体" w:cs="宋体"/>
          <w:b/>
          <w:bCs/>
          <w:color w:val="auto"/>
          <w:sz w:val="24"/>
          <w:szCs w:val="32"/>
          <w:highlight w:val="none"/>
          <w:lang w:val="en-US" w:eastAsia="zh-CN"/>
        </w:rPr>
      </w:pPr>
    </w:p>
    <w:p>
      <w:pP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投标报价明细表所填内容按招标文件采购设备清单要求为准。如有漏报的，视同已包含在投标总价内或已作优惠处理。有重大缺项的将作无效标处理。</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4.本表中的型号规格必须明确，招标文件中明确要求定制的除外。</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10"/>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3"/>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cs="宋体"/>
          <w:b/>
          <w:bCs/>
          <w:color w:val="auto"/>
          <w:sz w:val="28"/>
          <w:szCs w:val="36"/>
          <w:highlight w:val="none"/>
          <w:lang w:val="en-GB" w:eastAsia="zh-CN"/>
        </w:rPr>
      </w:pPr>
      <w:r>
        <w:rPr>
          <w:rFonts w:hint="eastAsia" w:ascii="宋体" w:hAnsi="宋体" w:cs="宋体"/>
          <w:b/>
          <w:bCs/>
          <w:color w:val="auto"/>
          <w:sz w:val="28"/>
          <w:szCs w:val="36"/>
          <w:highlight w:val="none"/>
          <w:lang w:val="en-GB" w:eastAsia="zh-CN"/>
        </w:rPr>
        <w:t>附件</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GB" w:eastAsia="zh-CN"/>
        </w:rPr>
        <w:t>政府采购活动确认声明书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lang w:val="zh-CN"/>
        </w:rPr>
      </w:pPr>
      <w:r>
        <w:rPr>
          <w:rFonts w:hint="eastAsia" w:ascii="宋体" w:hAnsi="宋体" w:cs="宋体"/>
          <w:color w:val="auto"/>
          <w:sz w:val="24"/>
          <w:highlight w:val="none"/>
          <w:u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台州市立医院迁建工程大孔径螺旋CT采购项目</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rPr>
        <w:t>项目</w:t>
      </w:r>
      <w:r>
        <w:rPr>
          <w:rFonts w:hint="eastAsia" w:ascii="宋体" w:hAnsi="宋体" w:cs="宋体"/>
          <w:color w:val="auto"/>
          <w:sz w:val="24"/>
          <w:highlight w:val="none"/>
          <w:u w:val="none"/>
          <w:lang w:val="zh-CN"/>
        </w:rPr>
        <w:t>编号：</w:t>
      </w:r>
      <w:r>
        <w:rPr>
          <w:rFonts w:hint="eastAsia" w:ascii="宋体" w:hAnsi="宋体" w:cs="宋体"/>
          <w:b/>
          <w:bCs/>
          <w:color w:val="auto"/>
          <w:sz w:val="24"/>
          <w:highlight w:val="none"/>
          <w:u w:val="single"/>
          <w:lang w:val="zh-CN"/>
        </w:rPr>
        <w:t>ZJWS2022-JJ313</w:t>
      </w:r>
      <w:r>
        <w:rPr>
          <w:rFonts w:hint="eastAsia" w:ascii="宋体" w:hAnsi="宋体" w:cs="宋体"/>
          <w:color w:val="auto"/>
          <w:sz w:val="24"/>
          <w:highlight w:val="none"/>
          <w:u w:val="none"/>
          <w:lang w:val="zh-CN"/>
        </w:rPr>
        <w:t>）政府采购活动，经与本单位法人代表（负责人）联系确认，现就有关公平竞争事项郑重声明如下：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一、本单位与采购人之间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A.投资关系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B.行政隶属关系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C.业务指导关系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D.其他可能影响采购公正的利害关系</w:t>
      </w:r>
      <w:r>
        <w:rPr>
          <w:rFonts w:hint="eastAsia" w:ascii="宋体" w:hAnsi="宋体" w:cs="宋体"/>
          <w:color w:val="auto"/>
          <w:sz w:val="24"/>
          <w:highlight w:val="none"/>
          <w:u w:val="none"/>
          <w:lang w:eastAsia="zh-CN"/>
        </w:rPr>
        <w:t>（如有，请如实说明）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二、现已清楚知道参加本项目采购活动的其他所有供应商名称，本单位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□与其他所有供应商之间均不存在利害关系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（供应商名称）</w:t>
      </w:r>
      <w:r>
        <w:rPr>
          <w:rFonts w:hint="eastAsia" w:ascii="宋体" w:hAnsi="宋体" w:cs="宋体"/>
          <w:color w:val="auto"/>
          <w:sz w:val="24"/>
          <w:highlight w:val="none"/>
          <w:u w:val="none"/>
        </w:rPr>
        <w:t>之间存在下列利害关系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I.其他利害关系情况</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四、我发现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供应商之间存在或可能存在上述第二条第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项利害关系。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供应商代表签名：</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2022年  月  日</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color w:val="auto"/>
          <w:highlight w:val="none"/>
          <w:lang w:val="en-US" w:eastAsia="zh-CN"/>
        </w:rPr>
      </w:pPr>
      <w:r>
        <w:rPr>
          <w:rFonts w:hint="eastAsia" w:ascii="宋体" w:hAnsi="宋体" w:eastAsia="宋体" w:cs="宋体"/>
          <w:b/>
          <w:bCs/>
          <w:color w:val="auto"/>
          <w:sz w:val="24"/>
          <w:highlight w:val="none"/>
          <w:u w:val="none"/>
          <w:lang w:eastAsia="zh-CN"/>
        </w:rPr>
        <w:t>说明：</w:t>
      </w:r>
      <w:r>
        <w:rPr>
          <w:rFonts w:hint="eastAsia" w:ascii="宋体" w:hAnsi="宋体" w:cs="宋体"/>
          <w:b/>
          <w:bCs/>
          <w:color w:val="auto"/>
          <w:sz w:val="24"/>
          <w:highlight w:val="none"/>
          <w:u w:val="none"/>
          <w:lang w:eastAsia="zh-CN"/>
        </w:rPr>
        <w:t>资格及</w:t>
      </w:r>
      <w:r>
        <w:rPr>
          <w:rFonts w:hint="eastAsia" w:ascii="宋体" w:hAnsi="宋体" w:eastAsia="宋体" w:cs="宋体"/>
          <w:b/>
          <w:bCs/>
          <w:color w:val="auto"/>
          <w:sz w:val="24"/>
          <w:highlight w:val="none"/>
          <w:u w:val="none"/>
          <w:lang w:eastAsia="zh-CN"/>
        </w:rPr>
        <w:t>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cs="宋体"/>
          <w:b/>
          <w:bCs/>
          <w:color w:val="auto"/>
          <w:sz w:val="24"/>
          <w:highlight w:val="none"/>
          <w:u w:val="none"/>
          <w:lang w:val="en-US" w:eastAsia="zh-CN"/>
        </w:rPr>
        <w:t>zjwstz@163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000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snapToGrid w:val="0"/>
      </w:pPr>
      <w:r>
        <w:rPr>
          <w:rStyle w:val="33"/>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9"/>
      <w:lvlText w:val="%1."/>
      <w:lvlJc w:val="left"/>
      <w:pPr>
        <w:tabs>
          <w:tab w:val="left" w:pos="360"/>
        </w:tabs>
        <w:ind w:left="360" w:hanging="360"/>
      </w:pPr>
      <w:rPr>
        <w:rFonts w:cs="Times New Roman"/>
      </w:r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18760962"/>
    <w:multiLevelType w:val="multilevel"/>
    <w:tmpl w:val="18760962"/>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DEAE8CA"/>
    <w:multiLevelType w:val="singleLevel"/>
    <w:tmpl w:val="2DEAE8CA"/>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0000000"/>
    <w:rsid w:val="003577A2"/>
    <w:rsid w:val="004E3CFB"/>
    <w:rsid w:val="04474999"/>
    <w:rsid w:val="048B6871"/>
    <w:rsid w:val="062520FD"/>
    <w:rsid w:val="068341D1"/>
    <w:rsid w:val="07294B24"/>
    <w:rsid w:val="072E0AA7"/>
    <w:rsid w:val="07F05FA5"/>
    <w:rsid w:val="0871704B"/>
    <w:rsid w:val="0AB779C9"/>
    <w:rsid w:val="0D1F358E"/>
    <w:rsid w:val="111C5E11"/>
    <w:rsid w:val="11AE0174"/>
    <w:rsid w:val="1242253F"/>
    <w:rsid w:val="128E2F57"/>
    <w:rsid w:val="139C2968"/>
    <w:rsid w:val="154D2A40"/>
    <w:rsid w:val="163216B4"/>
    <w:rsid w:val="197C1428"/>
    <w:rsid w:val="1BBE1FA1"/>
    <w:rsid w:val="1CA65F85"/>
    <w:rsid w:val="1E547424"/>
    <w:rsid w:val="1EE317E5"/>
    <w:rsid w:val="21D41512"/>
    <w:rsid w:val="22521696"/>
    <w:rsid w:val="239924D6"/>
    <w:rsid w:val="26127470"/>
    <w:rsid w:val="26F35BD2"/>
    <w:rsid w:val="289F799C"/>
    <w:rsid w:val="2A635FFA"/>
    <w:rsid w:val="2A910184"/>
    <w:rsid w:val="2D023A36"/>
    <w:rsid w:val="2F605776"/>
    <w:rsid w:val="2FE055CE"/>
    <w:rsid w:val="325E0C4F"/>
    <w:rsid w:val="326C0660"/>
    <w:rsid w:val="33CA38C0"/>
    <w:rsid w:val="33CC1878"/>
    <w:rsid w:val="342D5ABF"/>
    <w:rsid w:val="371E6447"/>
    <w:rsid w:val="38B8629F"/>
    <w:rsid w:val="3A647BB7"/>
    <w:rsid w:val="3B236660"/>
    <w:rsid w:val="3C3025F0"/>
    <w:rsid w:val="3EAB0654"/>
    <w:rsid w:val="3FAE00B2"/>
    <w:rsid w:val="41F664CB"/>
    <w:rsid w:val="421770C4"/>
    <w:rsid w:val="42DF2326"/>
    <w:rsid w:val="43CA37B3"/>
    <w:rsid w:val="43F53B0A"/>
    <w:rsid w:val="453E3DF3"/>
    <w:rsid w:val="461F29EE"/>
    <w:rsid w:val="46E914A6"/>
    <w:rsid w:val="477E6905"/>
    <w:rsid w:val="47EC7995"/>
    <w:rsid w:val="47FA701B"/>
    <w:rsid w:val="4B4874CE"/>
    <w:rsid w:val="4C3B0AB1"/>
    <w:rsid w:val="4C46229F"/>
    <w:rsid w:val="4E544D65"/>
    <w:rsid w:val="4E9E1E1C"/>
    <w:rsid w:val="51FB6D73"/>
    <w:rsid w:val="52A03881"/>
    <w:rsid w:val="53B71E9B"/>
    <w:rsid w:val="5626778E"/>
    <w:rsid w:val="57E532E8"/>
    <w:rsid w:val="5873544C"/>
    <w:rsid w:val="624B1238"/>
    <w:rsid w:val="66123D44"/>
    <w:rsid w:val="66CB789A"/>
    <w:rsid w:val="673E5311"/>
    <w:rsid w:val="67B20BAC"/>
    <w:rsid w:val="67DD0FCE"/>
    <w:rsid w:val="68101D6F"/>
    <w:rsid w:val="68A90D7E"/>
    <w:rsid w:val="68D24118"/>
    <w:rsid w:val="69A04061"/>
    <w:rsid w:val="6D7A1017"/>
    <w:rsid w:val="6F180782"/>
    <w:rsid w:val="6F1C58E8"/>
    <w:rsid w:val="70C27F4D"/>
    <w:rsid w:val="72834520"/>
    <w:rsid w:val="72E24389"/>
    <w:rsid w:val="732300DD"/>
    <w:rsid w:val="737731E4"/>
    <w:rsid w:val="74B62036"/>
    <w:rsid w:val="764566BC"/>
    <w:rsid w:val="76B94408"/>
    <w:rsid w:val="777E5D17"/>
    <w:rsid w:val="78866B18"/>
    <w:rsid w:val="7E8915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0">
    <w:name w:val="Default Paragraph Font"/>
    <w:qFormat/>
    <w:uiPriority w:val="99"/>
  </w:style>
  <w:style w:type="table" w:default="1" w:styleId="27">
    <w:name w:val="Normal Table"/>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rPr>
  </w:style>
  <w:style w:type="paragraph" w:styleId="3">
    <w:name w:val="Body Text First Indent"/>
    <w:basedOn w:val="2"/>
    <w:next w:val="4"/>
    <w:qFormat/>
    <w:uiPriority w:val="99"/>
    <w:pPr>
      <w:ind w:firstLine="420"/>
    </w:pPr>
    <w:rPr>
      <w:rFonts w:ascii="Times New Roman"/>
      <w:sz w:val="21"/>
    </w:rPr>
  </w:style>
  <w:style w:type="paragraph" w:styleId="4">
    <w:name w:val="toc 6"/>
    <w:basedOn w:val="1"/>
    <w:next w:val="1"/>
    <w:qFormat/>
    <w:uiPriority w:val="39"/>
    <w:pPr>
      <w:widowControl/>
      <w:ind w:left="1000"/>
      <w:jc w:val="left"/>
    </w:pPr>
    <w:rPr>
      <w:kern w:val="0"/>
      <w:sz w:val="18"/>
      <w:szCs w:val="20"/>
    </w:rPr>
  </w:style>
  <w:style w:type="paragraph" w:styleId="9">
    <w:name w:val="List Number"/>
    <w:basedOn w:val="1"/>
    <w:qFormat/>
    <w:uiPriority w:val="99"/>
    <w:pPr>
      <w:numPr>
        <w:ilvl w:val="0"/>
        <w:numId w:val="2"/>
      </w:numPr>
    </w:pPr>
  </w:style>
  <w:style w:type="paragraph" w:styleId="10">
    <w:name w:val="Normal Indent"/>
    <w:basedOn w:val="1"/>
    <w:next w:val="1"/>
    <w:qFormat/>
    <w:uiPriority w:val="99"/>
    <w:pPr>
      <w:ind w:firstLine="420"/>
    </w:pPr>
    <w:rPr>
      <w:szCs w:val="20"/>
    </w:rPr>
  </w:style>
  <w:style w:type="paragraph" w:styleId="11">
    <w:name w:val="annotation text"/>
    <w:basedOn w:val="1"/>
    <w:link w:val="40"/>
    <w:qFormat/>
    <w:uiPriority w:val="99"/>
    <w:pPr>
      <w:jc w:val="left"/>
    </w:pPr>
  </w:style>
  <w:style w:type="paragraph" w:styleId="12">
    <w:name w:val="Body Text Indent"/>
    <w:basedOn w:val="1"/>
    <w:next w:val="1"/>
    <w:link w:val="41"/>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sz w:val="28"/>
    </w:rPr>
  </w:style>
  <w:style w:type="paragraph" w:styleId="14">
    <w:name w:val="Plain Text"/>
    <w:basedOn w:val="1"/>
    <w:link w:val="42"/>
    <w:qFormat/>
    <w:uiPriority w:val="99"/>
    <w:rPr>
      <w:rFonts w:ascii="宋体" w:hAnsi="Courier New"/>
    </w:rPr>
  </w:style>
  <w:style w:type="paragraph" w:styleId="15">
    <w:name w:val="Date"/>
    <w:basedOn w:val="1"/>
    <w:next w:val="1"/>
    <w:link w:val="43"/>
    <w:qFormat/>
    <w:uiPriority w:val="99"/>
    <w:pPr>
      <w:ind w:left="2500" w:leftChars="2500"/>
    </w:pPr>
    <w:rPr>
      <w:rFonts w:ascii="Calibri" w:hAnsi="Calibri" w:eastAsia="楷体_GB2312"/>
      <w:sz w:val="32"/>
      <w:szCs w:val="22"/>
    </w:r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jc w:val="left"/>
    </w:pPr>
    <w:rPr>
      <w:sz w:val="18"/>
    </w:rPr>
  </w:style>
  <w:style w:type="paragraph" w:styleId="18">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11"/>
    <w:next w:val="11"/>
    <w:link w:val="47"/>
    <w:qFormat/>
    <w:uiPriority w:val="99"/>
    <w:rPr>
      <w:b/>
      <w:bCs/>
    </w:rPr>
  </w:style>
  <w:style w:type="paragraph" w:styleId="26">
    <w:name w:val="Body Text First Indent 2"/>
    <w:basedOn w:val="12"/>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Elegant"/>
    <w:basedOn w:val="27"/>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1">
    <w:name w:val="Hyperlink"/>
    <w:basedOn w:val="30"/>
    <w:qFormat/>
    <w:uiPriority w:val="0"/>
    <w:rPr>
      <w:color w:val="0000FF"/>
      <w:u w:val="single"/>
    </w:rPr>
  </w:style>
  <w:style w:type="character" w:styleId="32">
    <w:name w:val="annotation reference"/>
    <w:basedOn w:val="30"/>
    <w:qFormat/>
    <w:uiPriority w:val="99"/>
    <w:rPr>
      <w:rFonts w:cs="Times New Roman"/>
      <w:sz w:val="21"/>
      <w:szCs w:val="21"/>
    </w:rPr>
  </w:style>
  <w:style w:type="character" w:styleId="33">
    <w:name w:val="footnote reference"/>
    <w:basedOn w:val="30"/>
    <w:qFormat/>
    <w:uiPriority w:val="99"/>
    <w:rPr>
      <w:vertAlign w:val="superscript"/>
    </w:rPr>
  </w:style>
  <w:style w:type="paragraph" w:customStyle="1" w:styleId="34">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5">
    <w:name w:val="正文（首行缩进2字符）"/>
    <w:basedOn w:val="1"/>
    <w:qFormat/>
    <w:uiPriority w:val="0"/>
    <w:pPr>
      <w:spacing w:line="360" w:lineRule="auto"/>
      <w:ind w:firstLine="420" w:firstLineChars="200"/>
    </w:pPr>
    <w:rPr>
      <w:szCs w:val="21"/>
    </w:rPr>
  </w:style>
  <w:style w:type="character" w:customStyle="1" w:styleId="36">
    <w:name w:val="Heading 1 Char_af4e8250-5fdf-4865-afd7-b948e78c8013"/>
    <w:basedOn w:val="30"/>
    <w:link w:val="5"/>
    <w:qFormat/>
    <w:uiPriority w:val="99"/>
    <w:rPr>
      <w:rFonts w:ascii="Times New Roman" w:hAnsi="Times New Roman" w:cs="Times New Roman"/>
      <w:b/>
      <w:bCs/>
      <w:kern w:val="44"/>
      <w:sz w:val="44"/>
      <w:szCs w:val="44"/>
    </w:rPr>
  </w:style>
  <w:style w:type="character" w:customStyle="1" w:styleId="37">
    <w:name w:val="Heading 2 Char_f3ec44a8-881c-4643-a1d3-1e13cfc3f784"/>
    <w:basedOn w:val="30"/>
    <w:link w:val="6"/>
    <w:qFormat/>
    <w:uiPriority w:val="99"/>
    <w:rPr>
      <w:rFonts w:ascii="Cambria" w:hAnsi="Cambria" w:eastAsia="宋体" w:cs="Times New Roman"/>
      <w:b/>
      <w:bCs/>
      <w:sz w:val="32"/>
      <w:szCs w:val="32"/>
    </w:rPr>
  </w:style>
  <w:style w:type="character" w:customStyle="1" w:styleId="38">
    <w:name w:val="Heading 3 Char_8c8c4f36-3cba-4d86-8b6d-e4d2107bffad"/>
    <w:basedOn w:val="30"/>
    <w:link w:val="7"/>
    <w:qFormat/>
    <w:uiPriority w:val="99"/>
    <w:rPr>
      <w:rFonts w:cs="Times New Roman"/>
      <w:b/>
      <w:bCs/>
      <w:sz w:val="32"/>
      <w:szCs w:val="32"/>
    </w:rPr>
  </w:style>
  <w:style w:type="character" w:customStyle="1" w:styleId="39">
    <w:name w:val="Body Text Char"/>
    <w:basedOn w:val="30"/>
    <w:link w:val="2"/>
    <w:qFormat/>
    <w:uiPriority w:val="99"/>
    <w:rPr>
      <w:rFonts w:cs="Times New Roman"/>
      <w:sz w:val="24"/>
      <w:szCs w:val="24"/>
    </w:rPr>
  </w:style>
  <w:style w:type="character" w:customStyle="1" w:styleId="40">
    <w:name w:val="Comment Text Char"/>
    <w:basedOn w:val="30"/>
    <w:link w:val="11"/>
    <w:qFormat/>
    <w:uiPriority w:val="99"/>
    <w:rPr>
      <w:rFonts w:ascii="Times New Roman" w:hAnsi="Times New Roman" w:eastAsia="宋体" w:cs="Times New Roman"/>
      <w:kern w:val="2"/>
      <w:sz w:val="24"/>
      <w:szCs w:val="24"/>
    </w:rPr>
  </w:style>
  <w:style w:type="character" w:customStyle="1" w:styleId="41">
    <w:name w:val="Body Text Indent Char"/>
    <w:basedOn w:val="30"/>
    <w:link w:val="12"/>
    <w:qFormat/>
    <w:uiPriority w:val="99"/>
    <w:rPr>
      <w:rFonts w:cs="Times New Roman"/>
      <w:kern w:val="2"/>
      <w:sz w:val="24"/>
      <w:szCs w:val="24"/>
    </w:rPr>
  </w:style>
  <w:style w:type="character" w:customStyle="1" w:styleId="42">
    <w:name w:val="Plain Text Char"/>
    <w:basedOn w:val="30"/>
    <w:link w:val="14"/>
    <w:qFormat/>
    <w:uiPriority w:val="99"/>
    <w:rPr>
      <w:rFonts w:ascii="宋体" w:hAnsi="Courier New" w:cs="Courier New"/>
      <w:sz w:val="21"/>
      <w:szCs w:val="21"/>
    </w:rPr>
  </w:style>
  <w:style w:type="character" w:customStyle="1" w:styleId="43">
    <w:name w:val="Date Char"/>
    <w:basedOn w:val="30"/>
    <w:link w:val="15"/>
    <w:qFormat/>
    <w:uiPriority w:val="99"/>
    <w:rPr>
      <w:rFonts w:cs="Times New Roman"/>
      <w:sz w:val="24"/>
      <w:szCs w:val="24"/>
    </w:rPr>
  </w:style>
  <w:style w:type="character" w:customStyle="1" w:styleId="44">
    <w:name w:val="Balloon Text Char"/>
    <w:basedOn w:val="30"/>
    <w:link w:val="16"/>
    <w:qFormat/>
    <w:uiPriority w:val="99"/>
    <w:rPr>
      <w:rFonts w:ascii="Times New Roman" w:hAnsi="Times New Roman" w:eastAsia="宋体" w:cs="Times New Roman"/>
      <w:kern w:val="2"/>
      <w:sz w:val="18"/>
      <w:szCs w:val="18"/>
    </w:rPr>
  </w:style>
  <w:style w:type="character" w:customStyle="1" w:styleId="45">
    <w:name w:val="Footer Char_8b2ed393-53a8-43fa-ad62-0bd854f66fbc"/>
    <w:basedOn w:val="30"/>
    <w:link w:val="17"/>
    <w:qFormat/>
    <w:uiPriority w:val="99"/>
    <w:rPr>
      <w:rFonts w:cs="Times New Roman"/>
      <w:sz w:val="18"/>
      <w:szCs w:val="18"/>
    </w:rPr>
  </w:style>
  <w:style w:type="character" w:customStyle="1" w:styleId="46">
    <w:name w:val="Header Char_4ea26e12-b3fe-4c5e-8107-0c1cf5994eed"/>
    <w:basedOn w:val="30"/>
    <w:link w:val="18"/>
    <w:qFormat/>
    <w:uiPriority w:val="99"/>
    <w:rPr>
      <w:rFonts w:cs="Times New Roman"/>
      <w:sz w:val="18"/>
      <w:szCs w:val="18"/>
    </w:rPr>
  </w:style>
  <w:style w:type="character" w:customStyle="1" w:styleId="47">
    <w:name w:val="Comment Subject Char"/>
    <w:basedOn w:val="40"/>
    <w:link w:val="25"/>
    <w:qFormat/>
    <w:uiPriority w:val="99"/>
    <w:rPr>
      <w:b/>
      <w:bCs/>
    </w:rPr>
  </w:style>
  <w:style w:type="paragraph" w:customStyle="1" w:styleId="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列出段落1"/>
    <w:basedOn w:val="1"/>
    <w:qFormat/>
    <w:uiPriority w:val="99"/>
    <w:pPr>
      <w:ind w:firstLine="420" w:firstLineChars="200"/>
    </w:pPr>
    <w:rPr>
      <w:rFonts w:ascii="Calibri" w:hAnsi="Calibri"/>
      <w:kern w:val="0"/>
      <w:szCs w:val="20"/>
    </w:rPr>
  </w:style>
  <w:style w:type="paragraph" w:customStyle="1" w:styleId="51">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4"/>
    <w:qFormat/>
    <w:uiPriority w:val="99"/>
    <w:rPr>
      <w:rFonts w:ascii="Times New Roman" w:hAnsi="Times New Roman" w:eastAsia="宋体" w:cs="Times New Roman"/>
      <w:kern w:val="0"/>
      <w:sz w:val="21"/>
      <w:szCs w:val="22"/>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qFormat/>
    <w:uiPriority w:val="99"/>
    <w:pPr>
      <w:widowControl/>
      <w:jc w:val="left"/>
    </w:pPr>
    <w:rPr>
      <w:rFonts w:ascii="宋体" w:hAnsi="Courier New"/>
      <w:szCs w:val="21"/>
    </w:rPr>
  </w:style>
  <w:style w:type="paragraph" w:customStyle="1" w:styleId="59">
    <w:name w:val="纯文本_0_1"/>
    <w:basedOn w:val="1"/>
    <w:qFormat/>
    <w:uiPriority w:val="99"/>
    <w:pPr>
      <w:widowControl/>
      <w:jc w:val="left"/>
    </w:pPr>
    <w:rPr>
      <w:rFonts w:ascii="宋体" w:hAnsi="Courier New"/>
      <w:szCs w:val="21"/>
    </w:rPr>
  </w:style>
  <w:style w:type="paragraph" w:customStyle="1" w:styleId="6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5">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6">
    <w:name w:val="font11"/>
    <w:qFormat/>
    <w:uiPriority w:val="0"/>
    <w:rPr>
      <w:rFonts w:hint="default" w:ascii="Times New Roman" w:hAnsi="Times New Roman" w:cs="Times New Roman"/>
      <w:color w:val="000000"/>
      <w:sz w:val="24"/>
      <w:szCs w:val="24"/>
      <w:u w:val="none"/>
    </w:rPr>
  </w:style>
  <w:style w:type="character" w:customStyle="1" w:styleId="67">
    <w:name w:val="font01"/>
    <w:qFormat/>
    <w:uiPriority w:val="0"/>
    <w:rPr>
      <w:rFonts w:hint="eastAsia" w:ascii="宋体" w:hAnsi="宋体" w:eastAsia="宋体" w:cs="宋体"/>
      <w:color w:val="000000"/>
      <w:sz w:val="24"/>
      <w:szCs w:val="24"/>
      <w:u w:val="none"/>
    </w:rPr>
  </w:style>
  <w:style w:type="character" w:customStyle="1" w:styleId="68">
    <w:name w:val="font31"/>
    <w:qFormat/>
    <w:uiPriority w:val="0"/>
    <w:rPr>
      <w:rFonts w:hint="eastAsia" w:ascii="宋体" w:hAnsi="宋体" w:eastAsia="宋体" w:cs="宋体"/>
      <w:color w:val="000000"/>
      <w:sz w:val="24"/>
      <w:szCs w:val="24"/>
      <w:u w:val="none"/>
    </w:rPr>
  </w:style>
  <w:style w:type="paragraph" w:customStyle="1" w:styleId="69">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0">
    <w:name w:val="p18"/>
    <w:basedOn w:val="1"/>
    <w:qFormat/>
    <w:uiPriority w:val="99"/>
    <w:pPr>
      <w:widowControl/>
      <w:spacing w:line="748" w:lineRule="atLeast"/>
      <w:ind w:left="-527" w:firstLine="527"/>
    </w:pPr>
    <w:rPr>
      <w:rFonts w:ascii="宋体" w:hAnsi="宋体" w:cs="宋体"/>
      <w:kern w:val="0"/>
      <w:sz w:val="24"/>
    </w:rPr>
  </w:style>
  <w:style w:type="paragraph" w:customStyle="1" w:styleId="71">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2">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3">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4">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5">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6">
    <w:name w:val="BodyText1I2"/>
    <w:basedOn w:val="77"/>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7">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0">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2">
    <w:name w:val="NormalCharacter"/>
    <w:qFormat/>
    <w:uiPriority w:val="0"/>
    <w:rPr>
      <w:kern w:val="2"/>
      <w:sz w:val="21"/>
      <w:szCs w:val="24"/>
      <w:lang w:val="en-US" w:eastAsia="zh-CN" w:bidi="ar-SA"/>
    </w:rPr>
  </w:style>
  <w:style w:type="character" w:customStyle="1" w:styleId="83">
    <w:name w:val="font61"/>
    <w:basedOn w:val="30"/>
    <w:qFormat/>
    <w:uiPriority w:val="0"/>
    <w:rPr>
      <w:rFonts w:hint="default" w:ascii="Calibri" w:hAnsi="Calibri" w:cs="Calibri"/>
      <w:color w:val="00000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64</Pages>
  <Words>29292</Words>
  <Characters>31669</Characters>
  <Paragraphs>4331</Paragraphs>
  <TotalTime>18</TotalTime>
  <ScaleCrop>false</ScaleCrop>
  <LinksUpToDate>false</LinksUpToDate>
  <CharactersWithSpaces>33811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WPS123123</cp:lastModifiedBy>
  <dcterms:modified xsi:type="dcterms:W3CDTF">2022-11-16T04:19:14Z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AC9DDC14412F4627910298CFDFAF8272</vt:lpwstr>
  </property>
</Properties>
</file>