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9D108">
      <w:pPr>
        <w:spacing w:line="360" w:lineRule="auto"/>
        <w:jc w:val="center"/>
        <w:textAlignment w:val="bottom"/>
        <w:rPr>
          <w:rFonts w:ascii="宋体" w:hAnsi="宋体" w:cs="宋体"/>
          <w:b/>
          <w:color w:val="auto"/>
          <w:kern w:val="0"/>
          <w:sz w:val="52"/>
          <w:szCs w:val="52"/>
          <w:highlight w:val="none"/>
        </w:rPr>
      </w:pPr>
      <w:r>
        <w:rPr>
          <w:rFonts w:ascii="宋体" w:hAnsi="宋体" w:cs="宋体"/>
          <w:b/>
          <w:color w:val="auto"/>
          <w:kern w:val="0"/>
          <w:sz w:val="52"/>
          <w:szCs w:val="52"/>
          <w:highlight w:val="none"/>
        </w:rPr>
        <w:t xml:space="preserve"> </w:t>
      </w:r>
    </w:p>
    <w:p w14:paraId="4A6CDD51">
      <w:pPr>
        <w:pStyle w:val="2"/>
        <w:rPr>
          <w:rFonts w:ascii="宋体" w:hAnsi="宋体" w:cs="宋体"/>
          <w:color w:val="auto"/>
          <w:highlight w:val="none"/>
        </w:rPr>
      </w:pPr>
    </w:p>
    <w:p w14:paraId="4300AAB0">
      <w:pPr>
        <w:jc w:val="center"/>
        <w:rPr>
          <w:rFonts w:ascii="宋体" w:hAnsi="宋体" w:cs="宋体"/>
          <w:color w:val="auto"/>
          <w:sz w:val="36"/>
          <w:szCs w:val="36"/>
          <w:highlight w:val="none"/>
        </w:rPr>
      </w:pPr>
      <w:r>
        <w:rPr>
          <w:rFonts w:ascii="宋体" w:hAnsi="宋体" w:cs="宋体"/>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lum contrast="11999"/>
                    </a:blip>
                    <a:stretch>
                      <a:fillRect/>
                    </a:stretch>
                  </pic:blipFill>
                  <pic:spPr>
                    <a:xfrm>
                      <a:off x="0" y="0"/>
                      <a:ext cx="2971800" cy="2091690"/>
                    </a:xfrm>
                    <a:prstGeom prst="rect">
                      <a:avLst/>
                    </a:prstGeom>
                    <a:noFill/>
                    <a:ln>
                      <a:noFill/>
                    </a:ln>
                  </pic:spPr>
                </pic:pic>
              </a:graphicData>
            </a:graphic>
          </wp:anchor>
        </w:drawing>
      </w:r>
    </w:p>
    <w:p w14:paraId="25A5B9F4">
      <w:pPr>
        <w:jc w:val="center"/>
        <w:rPr>
          <w:rFonts w:ascii="宋体" w:hAnsi="宋体" w:cs="宋体"/>
          <w:color w:val="auto"/>
          <w:sz w:val="52"/>
          <w:szCs w:val="52"/>
          <w:highlight w:val="none"/>
        </w:rPr>
      </w:pPr>
    </w:p>
    <w:p w14:paraId="3AA24B30">
      <w:pPr>
        <w:jc w:val="center"/>
        <w:rPr>
          <w:rFonts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3E4D120B">
      <w:pPr>
        <w:jc w:val="center"/>
        <w:rPr>
          <w:rFonts w:ascii="宋体" w:hAnsi="宋体" w:cs="宋体"/>
          <w:color w:val="auto"/>
          <w:sz w:val="36"/>
          <w:szCs w:val="36"/>
          <w:highlight w:val="none"/>
        </w:rPr>
      </w:pPr>
    </w:p>
    <w:p w14:paraId="5EA2163A">
      <w:pPr>
        <w:jc w:val="center"/>
        <w:rPr>
          <w:rFonts w:ascii="宋体" w:hAnsi="宋体" w:cs="宋体"/>
          <w:b/>
          <w:color w:val="auto"/>
          <w:sz w:val="72"/>
          <w:szCs w:val="72"/>
          <w:highlight w:val="none"/>
        </w:rPr>
      </w:pPr>
    </w:p>
    <w:p w14:paraId="7DC1EE93">
      <w:pPr>
        <w:spacing w:line="360" w:lineRule="auto"/>
        <w:jc w:val="center"/>
        <w:textAlignment w:val="bottom"/>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政府采购电子竞争性磋商文件</w:t>
      </w:r>
    </w:p>
    <w:p w14:paraId="6F0D3D66">
      <w:pPr>
        <w:spacing w:line="360" w:lineRule="auto"/>
        <w:jc w:val="center"/>
        <w:textAlignment w:val="bottom"/>
        <w:rPr>
          <w:rFonts w:ascii="宋体" w:hAnsi="宋体" w:cs="宋体"/>
          <w:color w:val="auto"/>
          <w:sz w:val="28"/>
          <w:szCs w:val="28"/>
          <w:highlight w:val="none"/>
        </w:rPr>
      </w:pPr>
    </w:p>
    <w:p w14:paraId="3ABADF38">
      <w:pPr>
        <w:spacing w:line="360" w:lineRule="auto"/>
        <w:jc w:val="center"/>
        <w:textAlignment w:val="bottom"/>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val="en-US" w:eastAsia="zh-CN"/>
        </w:rPr>
        <w:t>ZJWS2025-JJ226</w:t>
      </w:r>
    </w:p>
    <w:p w14:paraId="201B7AC4">
      <w:pPr>
        <w:tabs>
          <w:tab w:val="left" w:pos="1860"/>
        </w:tabs>
        <w:spacing w:line="360" w:lineRule="auto"/>
        <w:textAlignment w:val="bottom"/>
        <w:rPr>
          <w:rFonts w:ascii="宋体" w:hAnsi="宋体" w:cs="宋体"/>
          <w:color w:val="auto"/>
          <w:kern w:val="0"/>
          <w:sz w:val="28"/>
          <w:highlight w:val="none"/>
        </w:rPr>
      </w:pPr>
    </w:p>
    <w:p w14:paraId="4DC2B381">
      <w:pPr>
        <w:pStyle w:val="2"/>
        <w:rPr>
          <w:rFonts w:ascii="宋体" w:hAnsi="宋体" w:cs="宋体"/>
          <w:color w:val="auto"/>
          <w:highlight w:val="none"/>
        </w:rPr>
      </w:pPr>
    </w:p>
    <w:p w14:paraId="6D06A0F0">
      <w:pPr>
        <w:spacing w:line="360" w:lineRule="auto"/>
        <w:jc w:val="center"/>
        <w:textAlignment w:val="bottom"/>
        <w:rPr>
          <w:rFonts w:ascii="宋体" w:hAnsi="宋体" w:cs="宋体"/>
          <w:color w:val="auto"/>
          <w:kern w:val="0"/>
          <w:sz w:val="28"/>
          <w:highlight w:val="none"/>
        </w:rPr>
      </w:pPr>
    </w:p>
    <w:p w14:paraId="72973B53">
      <w:pPr>
        <w:autoSpaceDE w:val="0"/>
        <w:autoSpaceDN w:val="0"/>
        <w:adjustRightInd w:val="0"/>
        <w:spacing w:line="360" w:lineRule="auto"/>
        <w:ind w:firstLine="1400" w:firstLineChars="5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系统平台升级改造项目</w:t>
      </w:r>
    </w:p>
    <w:p w14:paraId="47F4EB2E">
      <w:pPr>
        <w:autoSpaceDE w:val="0"/>
        <w:autoSpaceDN w:val="0"/>
        <w:adjustRightInd w:val="0"/>
        <w:spacing w:line="360" w:lineRule="auto"/>
        <w:ind w:firstLine="1400" w:firstLineChars="500"/>
        <w:rPr>
          <w:rFonts w:ascii="宋体" w:hAnsi="宋体" w:cs="宋体"/>
          <w:color w:val="auto"/>
          <w:kern w:val="0"/>
          <w:sz w:val="28"/>
          <w:highlight w:val="none"/>
        </w:rPr>
      </w:pPr>
      <w:r>
        <w:rPr>
          <w:rFonts w:hint="eastAsia" w:ascii="宋体" w:hAnsi="宋体" w:cs="宋体"/>
          <w:color w:val="auto"/>
          <w:kern w:val="0"/>
          <w:sz w:val="28"/>
          <w:highlight w:val="none"/>
        </w:rPr>
        <w:t>采购单位：中共台州市委政法委员会</w:t>
      </w:r>
    </w:p>
    <w:p w14:paraId="5E43CAF0">
      <w:pPr>
        <w:autoSpaceDE w:val="0"/>
        <w:autoSpaceDN w:val="0"/>
        <w:adjustRightInd w:val="0"/>
        <w:spacing w:line="360" w:lineRule="auto"/>
        <w:jc w:val="center"/>
        <w:rPr>
          <w:rFonts w:ascii="宋体" w:hAnsi="宋体" w:cs="宋体"/>
          <w:color w:val="auto"/>
          <w:kern w:val="0"/>
          <w:sz w:val="28"/>
          <w:highlight w:val="none"/>
        </w:rPr>
      </w:pPr>
    </w:p>
    <w:p w14:paraId="51F0C8A9">
      <w:pPr>
        <w:pStyle w:val="2"/>
        <w:jc w:val="center"/>
        <w:rPr>
          <w:rFonts w:ascii="宋体" w:hAnsi="宋体" w:cs="宋体"/>
          <w:color w:val="auto"/>
          <w:kern w:val="0"/>
          <w:sz w:val="28"/>
          <w:highlight w:val="none"/>
        </w:rPr>
      </w:pPr>
    </w:p>
    <w:p w14:paraId="6565B3A7">
      <w:pPr>
        <w:pStyle w:val="15"/>
        <w:jc w:val="center"/>
        <w:rPr>
          <w:rFonts w:ascii="宋体" w:hAnsi="宋体" w:cs="宋体"/>
          <w:color w:val="auto"/>
          <w:highlight w:val="none"/>
        </w:rPr>
      </w:pPr>
    </w:p>
    <w:p w14:paraId="36662C6C">
      <w:pP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采购代理机构：</w:t>
      </w:r>
      <w:r>
        <w:rPr>
          <w:rFonts w:hint="eastAsia" w:ascii="宋体" w:hAnsi="宋体" w:cs="宋体"/>
          <w:color w:val="auto"/>
          <w:kern w:val="0"/>
          <w:sz w:val="28"/>
          <w:highlight w:val="none"/>
          <w:lang w:eastAsia="zh-CN"/>
        </w:rPr>
        <w:t>浙江五石中正工程咨询有限公司</w:t>
      </w:r>
    </w:p>
    <w:p w14:paraId="067C5CF4">
      <w:pPr>
        <w:autoSpaceDE w:val="0"/>
        <w:autoSpaceDN w:val="0"/>
        <w:adjustRightInd w:val="0"/>
        <w:spacing w:line="360" w:lineRule="auto"/>
        <w:jc w:val="center"/>
        <w:rPr>
          <w:rFonts w:ascii="宋体" w:hAnsi="宋体" w:cs="宋体"/>
          <w:color w:val="auto"/>
          <w:sz w:val="24"/>
          <w:szCs w:val="32"/>
          <w:highlight w:val="none"/>
        </w:rPr>
      </w:pPr>
      <w:r>
        <w:rPr>
          <w:rFonts w:hint="eastAsia" w:ascii="宋体" w:hAnsi="宋体" w:cs="宋体"/>
          <w:color w:val="auto"/>
          <w:kern w:val="0"/>
          <w:sz w:val="28"/>
          <w:highlight w:val="none"/>
        </w:rPr>
        <w:t>202</w:t>
      </w:r>
      <w:r>
        <w:rPr>
          <w:rFonts w:hint="eastAsia" w:ascii="宋体" w:hAnsi="宋体" w:cs="宋体"/>
          <w:color w:val="auto"/>
          <w:kern w:val="0"/>
          <w:sz w:val="28"/>
          <w:highlight w:val="none"/>
          <w:lang w:val="en-US" w:eastAsia="zh-CN"/>
        </w:rPr>
        <w:t>5</w:t>
      </w:r>
      <w:r>
        <w:rPr>
          <w:rFonts w:hint="eastAsia" w:ascii="宋体" w:hAnsi="宋体" w:cs="宋体"/>
          <w:color w:val="auto"/>
          <w:kern w:val="0"/>
          <w:sz w:val="28"/>
          <w:highlight w:val="none"/>
        </w:rPr>
        <w:t>年</w:t>
      </w:r>
      <w:r>
        <w:rPr>
          <w:rFonts w:hint="eastAsia" w:ascii="宋体" w:hAnsi="宋体" w:cs="宋体"/>
          <w:color w:val="auto"/>
          <w:kern w:val="0"/>
          <w:sz w:val="28"/>
          <w:highlight w:val="none"/>
          <w:lang w:val="en-US" w:eastAsia="zh-CN"/>
        </w:rPr>
        <w:t>7</w:t>
      </w:r>
      <w:r>
        <w:rPr>
          <w:rFonts w:hint="eastAsia" w:ascii="宋体" w:hAnsi="宋体" w:cs="宋体"/>
          <w:color w:val="auto"/>
          <w:kern w:val="0"/>
          <w:sz w:val="28"/>
          <w:highlight w:val="none"/>
        </w:rPr>
        <w:t>月</w:t>
      </w:r>
    </w:p>
    <w:p w14:paraId="0021D8D8">
      <w:pPr>
        <w:jc w:val="center"/>
        <w:rPr>
          <w:rFonts w:ascii="宋体" w:hAnsi="宋体" w:cs="宋体"/>
          <w:b/>
          <w:bCs/>
          <w:color w:val="auto"/>
          <w:sz w:val="36"/>
          <w:szCs w:val="36"/>
          <w:highlight w:val="none"/>
        </w:rPr>
        <w:sectPr>
          <w:headerReference r:id="rId4" w:type="default"/>
          <w:footerReference r:id="rId5" w:type="even"/>
          <w:pgSz w:w="11906" w:h="16838"/>
          <w:pgMar w:top="1440" w:right="1803" w:bottom="1440" w:left="1803" w:header="851" w:footer="992" w:gutter="0"/>
          <w:cols w:space="0" w:num="1"/>
          <w:docGrid w:type="lines" w:linePitch="317" w:charSpace="0"/>
        </w:sectPr>
      </w:pPr>
    </w:p>
    <w:p w14:paraId="6BB53AD5">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315FD3E3">
      <w:pPr>
        <w:spacing w:line="360" w:lineRule="auto"/>
        <w:rPr>
          <w:rFonts w:ascii="宋体" w:hAnsi="宋体" w:cs="宋体"/>
          <w:color w:val="auto"/>
          <w:sz w:val="28"/>
          <w:szCs w:val="28"/>
          <w:highlight w:val="none"/>
        </w:rPr>
      </w:pPr>
    </w:p>
    <w:p w14:paraId="305D4B79">
      <w:pP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一、竞争性磋商公告</w:t>
      </w:r>
    </w:p>
    <w:p w14:paraId="49598906">
      <w:pP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二、供应商须知</w:t>
      </w:r>
    </w:p>
    <w:p w14:paraId="6C02F866">
      <w:pP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三、项目需求</w:t>
      </w:r>
    </w:p>
    <w:p w14:paraId="73609CAF">
      <w:pP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四、评审办法及评审标准  </w:t>
      </w:r>
    </w:p>
    <w:p w14:paraId="32AC626C">
      <w:pP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五、政府采购合同主要条款指引       </w:t>
      </w:r>
    </w:p>
    <w:p w14:paraId="56D4A7B5">
      <w:pP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六、响应文件格式附件</w:t>
      </w:r>
    </w:p>
    <w:p w14:paraId="47566D6E">
      <w:pPr>
        <w:spacing w:line="360" w:lineRule="auto"/>
        <w:rPr>
          <w:rFonts w:ascii="宋体" w:hAnsi="宋体" w:cs="宋体"/>
          <w:color w:val="auto"/>
          <w:sz w:val="24"/>
          <w:szCs w:val="32"/>
          <w:highlight w:val="none"/>
        </w:rPr>
      </w:pPr>
    </w:p>
    <w:p w14:paraId="3BEF746E">
      <w:pPr>
        <w:spacing w:line="360" w:lineRule="auto"/>
        <w:rPr>
          <w:rFonts w:ascii="宋体" w:hAnsi="宋体" w:cs="宋体"/>
          <w:color w:val="auto"/>
          <w:sz w:val="24"/>
          <w:szCs w:val="32"/>
          <w:highlight w:val="none"/>
        </w:rPr>
      </w:pPr>
    </w:p>
    <w:p w14:paraId="10EFE6FC">
      <w:pPr>
        <w:spacing w:line="360" w:lineRule="auto"/>
        <w:rPr>
          <w:rFonts w:ascii="宋体" w:hAnsi="宋体" w:cs="宋体"/>
          <w:color w:val="auto"/>
          <w:sz w:val="24"/>
          <w:szCs w:val="32"/>
          <w:highlight w:val="none"/>
        </w:rPr>
      </w:pPr>
    </w:p>
    <w:p w14:paraId="5D6D8957">
      <w:pPr>
        <w:spacing w:line="360" w:lineRule="auto"/>
        <w:rPr>
          <w:rFonts w:ascii="宋体" w:hAnsi="宋体" w:cs="宋体"/>
          <w:color w:val="auto"/>
          <w:sz w:val="24"/>
          <w:szCs w:val="32"/>
          <w:highlight w:val="none"/>
        </w:rPr>
      </w:pPr>
    </w:p>
    <w:p w14:paraId="458804E0">
      <w:pPr>
        <w:spacing w:line="360" w:lineRule="auto"/>
        <w:rPr>
          <w:rFonts w:ascii="宋体" w:hAnsi="宋体" w:cs="宋体"/>
          <w:color w:val="auto"/>
          <w:sz w:val="24"/>
          <w:szCs w:val="32"/>
          <w:highlight w:val="none"/>
        </w:rPr>
      </w:pPr>
    </w:p>
    <w:p w14:paraId="68722555">
      <w:pPr>
        <w:spacing w:line="360" w:lineRule="auto"/>
        <w:rPr>
          <w:rFonts w:ascii="宋体" w:hAnsi="宋体" w:cs="宋体"/>
          <w:color w:val="auto"/>
          <w:sz w:val="24"/>
          <w:szCs w:val="32"/>
          <w:highlight w:val="none"/>
        </w:rPr>
      </w:pPr>
    </w:p>
    <w:p w14:paraId="04C3B466">
      <w:pPr>
        <w:spacing w:line="360" w:lineRule="auto"/>
        <w:rPr>
          <w:rFonts w:ascii="宋体" w:hAnsi="宋体" w:cs="宋体"/>
          <w:color w:val="auto"/>
          <w:sz w:val="24"/>
          <w:szCs w:val="32"/>
          <w:highlight w:val="none"/>
        </w:rPr>
      </w:pPr>
    </w:p>
    <w:p w14:paraId="50759834">
      <w:pPr>
        <w:spacing w:line="360" w:lineRule="auto"/>
        <w:rPr>
          <w:rFonts w:ascii="宋体" w:hAnsi="宋体" w:cs="宋体"/>
          <w:color w:val="auto"/>
          <w:sz w:val="24"/>
          <w:szCs w:val="32"/>
          <w:highlight w:val="none"/>
        </w:rPr>
      </w:pPr>
    </w:p>
    <w:p w14:paraId="3FE21C5C">
      <w:pPr>
        <w:spacing w:line="360" w:lineRule="auto"/>
        <w:rPr>
          <w:rFonts w:ascii="宋体" w:hAnsi="宋体" w:cs="宋体"/>
          <w:color w:val="auto"/>
          <w:sz w:val="24"/>
          <w:szCs w:val="32"/>
          <w:highlight w:val="none"/>
        </w:rPr>
      </w:pPr>
    </w:p>
    <w:p w14:paraId="68197422">
      <w:pPr>
        <w:spacing w:line="360" w:lineRule="auto"/>
        <w:rPr>
          <w:rFonts w:ascii="宋体" w:hAnsi="宋体" w:cs="宋体"/>
          <w:color w:val="auto"/>
          <w:sz w:val="24"/>
          <w:szCs w:val="32"/>
          <w:highlight w:val="none"/>
        </w:rPr>
      </w:pPr>
    </w:p>
    <w:p w14:paraId="4C28E8A3">
      <w:pPr>
        <w:spacing w:line="360" w:lineRule="auto"/>
        <w:rPr>
          <w:rFonts w:ascii="宋体" w:hAnsi="宋体" w:cs="宋体"/>
          <w:color w:val="auto"/>
          <w:sz w:val="24"/>
          <w:szCs w:val="32"/>
          <w:highlight w:val="none"/>
        </w:rPr>
      </w:pPr>
    </w:p>
    <w:p w14:paraId="78366CCF">
      <w:pPr>
        <w:spacing w:line="360" w:lineRule="auto"/>
        <w:rPr>
          <w:rFonts w:ascii="宋体" w:hAnsi="宋体" w:cs="宋体"/>
          <w:color w:val="auto"/>
          <w:sz w:val="24"/>
          <w:szCs w:val="32"/>
          <w:highlight w:val="none"/>
        </w:rPr>
      </w:pPr>
    </w:p>
    <w:p w14:paraId="6953492E">
      <w:pPr>
        <w:spacing w:line="360" w:lineRule="auto"/>
        <w:rPr>
          <w:rFonts w:ascii="宋体" w:hAnsi="宋体" w:cs="宋体"/>
          <w:color w:val="auto"/>
          <w:sz w:val="24"/>
          <w:szCs w:val="32"/>
          <w:highlight w:val="none"/>
        </w:rPr>
      </w:pPr>
    </w:p>
    <w:p w14:paraId="7DD9A721">
      <w:pPr>
        <w:spacing w:line="360" w:lineRule="auto"/>
        <w:rPr>
          <w:rFonts w:ascii="宋体" w:hAnsi="宋体" w:cs="宋体"/>
          <w:color w:val="auto"/>
          <w:sz w:val="24"/>
          <w:szCs w:val="32"/>
          <w:highlight w:val="none"/>
        </w:rPr>
      </w:pPr>
    </w:p>
    <w:p w14:paraId="42B57507">
      <w:pPr>
        <w:spacing w:line="360" w:lineRule="auto"/>
        <w:rPr>
          <w:rFonts w:ascii="宋体" w:hAnsi="宋体" w:cs="宋体"/>
          <w:color w:val="auto"/>
          <w:sz w:val="24"/>
          <w:szCs w:val="32"/>
          <w:highlight w:val="none"/>
        </w:rPr>
      </w:pPr>
    </w:p>
    <w:p w14:paraId="71517FFF">
      <w:pPr>
        <w:spacing w:line="360" w:lineRule="auto"/>
        <w:rPr>
          <w:rFonts w:ascii="宋体" w:hAnsi="宋体" w:cs="宋体"/>
          <w:color w:val="auto"/>
          <w:sz w:val="24"/>
          <w:szCs w:val="32"/>
          <w:highlight w:val="none"/>
        </w:rPr>
      </w:pPr>
    </w:p>
    <w:p w14:paraId="486FEB59">
      <w:pPr>
        <w:spacing w:line="360" w:lineRule="auto"/>
        <w:rPr>
          <w:rFonts w:ascii="宋体" w:hAnsi="宋体" w:cs="宋体"/>
          <w:color w:val="auto"/>
          <w:sz w:val="24"/>
          <w:szCs w:val="32"/>
          <w:highlight w:val="none"/>
        </w:rPr>
      </w:pPr>
    </w:p>
    <w:p w14:paraId="6F227B94">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br w:type="column"/>
      </w:r>
      <w:r>
        <w:rPr>
          <w:rFonts w:hint="eastAsia" w:ascii="宋体" w:hAnsi="宋体" w:cs="宋体"/>
          <w:b/>
          <w:bCs/>
          <w:color w:val="auto"/>
          <w:sz w:val="36"/>
          <w:szCs w:val="44"/>
          <w:highlight w:val="none"/>
        </w:rPr>
        <w:t>第一部分 竞争性磋商公告</w:t>
      </w:r>
    </w:p>
    <w:p w14:paraId="1FDE5CA7">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根据《</w:t>
      </w:r>
      <w:r>
        <w:rPr>
          <w:rFonts w:hint="eastAsia" w:ascii="宋体" w:hAnsi="宋体" w:cs="宋体"/>
          <w:b/>
          <w:bCs/>
          <w:color w:val="auto"/>
          <w:sz w:val="24"/>
          <w:szCs w:val="32"/>
          <w:highlight w:val="none"/>
          <w:lang w:eastAsia="zh-CN"/>
        </w:rPr>
        <w:t>政府采购竞争性磋商采购方式管理暂行办法</w:t>
      </w:r>
      <w:r>
        <w:rPr>
          <w:rFonts w:hint="eastAsia" w:ascii="宋体" w:hAnsi="宋体" w:cs="宋体"/>
          <w:b/>
          <w:bCs/>
          <w:color w:val="auto"/>
          <w:sz w:val="24"/>
          <w:szCs w:val="32"/>
          <w:highlight w:val="none"/>
        </w:rPr>
        <w:t>》及</w:t>
      </w:r>
      <w:r>
        <w:rPr>
          <w:rFonts w:hint="eastAsia" w:ascii="宋体" w:hAnsi="宋体" w:cs="宋体"/>
          <w:b/>
          <w:bCs/>
          <w:color w:val="auto"/>
          <w:sz w:val="24"/>
          <w:szCs w:val="32"/>
          <w:highlight w:val="none"/>
          <w:lang w:eastAsia="zh-CN"/>
        </w:rPr>
        <w:t>台州市政府向社会力量购买服务指导性目录(202</w:t>
      </w:r>
      <w:r>
        <w:rPr>
          <w:rFonts w:hint="eastAsia" w:ascii="宋体" w:hAnsi="宋体" w:cs="宋体"/>
          <w:b/>
          <w:bCs/>
          <w:color w:val="auto"/>
          <w:sz w:val="24"/>
          <w:szCs w:val="32"/>
          <w:highlight w:val="none"/>
          <w:lang w:val="en-US" w:eastAsia="zh-CN"/>
        </w:rPr>
        <w:t>5</w:t>
      </w:r>
      <w:r>
        <w:rPr>
          <w:rFonts w:hint="eastAsia" w:ascii="宋体" w:hAnsi="宋体" w:cs="宋体"/>
          <w:b/>
          <w:bCs/>
          <w:color w:val="auto"/>
          <w:sz w:val="24"/>
          <w:szCs w:val="32"/>
          <w:highlight w:val="none"/>
          <w:lang w:eastAsia="zh-CN"/>
        </w:rPr>
        <w:t>年度)</w:t>
      </w:r>
      <w:r>
        <w:rPr>
          <w:rFonts w:hint="eastAsia" w:ascii="宋体" w:hAnsi="宋体" w:cs="宋体"/>
          <w:b/>
          <w:bCs/>
          <w:color w:val="auto"/>
          <w:sz w:val="24"/>
          <w:szCs w:val="32"/>
          <w:highlight w:val="none"/>
        </w:rPr>
        <w:t>第</w:t>
      </w:r>
      <w:r>
        <w:rPr>
          <w:rFonts w:hint="eastAsia" w:ascii="宋体" w:hAnsi="宋体" w:cs="宋体"/>
          <w:b/>
          <w:bCs/>
          <w:color w:val="auto"/>
          <w:sz w:val="24"/>
          <w:szCs w:val="32"/>
          <w:highlight w:val="none"/>
          <w:lang w:val="en-US" w:eastAsia="zh-CN"/>
        </w:rPr>
        <w:tab/>
      </w:r>
      <w:r>
        <w:rPr>
          <w:rFonts w:hint="eastAsia" w:ascii="宋体" w:hAnsi="宋体" w:cs="宋体"/>
          <w:b/>
          <w:bCs/>
          <w:color w:val="auto"/>
          <w:sz w:val="24"/>
          <w:szCs w:val="32"/>
          <w:highlight w:val="none"/>
          <w:lang w:val="en-US" w:eastAsia="zh-CN"/>
        </w:rPr>
        <w:t>B10</w:t>
      </w:r>
      <w:r>
        <w:rPr>
          <w:rFonts w:hint="eastAsia" w:ascii="宋体" w:hAnsi="宋体" w:cs="宋体"/>
          <w:b/>
          <w:bCs/>
          <w:color w:val="auto"/>
          <w:sz w:val="24"/>
          <w:szCs w:val="32"/>
          <w:highlight w:val="none"/>
        </w:rPr>
        <w:t>条</w:t>
      </w:r>
      <w:r>
        <w:rPr>
          <w:rFonts w:hint="eastAsia" w:ascii="宋体" w:hAnsi="宋体" w:cs="宋体"/>
          <w:color w:val="auto"/>
          <w:sz w:val="24"/>
          <w:szCs w:val="32"/>
          <w:highlight w:val="none"/>
        </w:rPr>
        <w:t>，本项目为购买</w:t>
      </w:r>
      <w:r>
        <w:rPr>
          <w:rFonts w:hint="eastAsia" w:ascii="宋体" w:hAnsi="宋体" w:cs="宋体"/>
          <w:color w:val="auto"/>
          <w:sz w:val="24"/>
          <w:szCs w:val="32"/>
          <w:highlight w:val="none"/>
          <w:lang w:val="en-US" w:eastAsia="zh-CN"/>
        </w:rPr>
        <w:t>信息化</w:t>
      </w:r>
      <w:r>
        <w:rPr>
          <w:rFonts w:hint="eastAsia" w:ascii="宋体" w:hAnsi="宋体" w:cs="宋体"/>
          <w:color w:val="auto"/>
          <w:sz w:val="24"/>
          <w:szCs w:val="32"/>
          <w:highlight w:val="none"/>
        </w:rPr>
        <w:t>服务项目，采用竞争性磋商方式开展采购。</w:t>
      </w:r>
      <w:r>
        <w:rPr>
          <w:rFonts w:hint="eastAsia" w:ascii="宋体" w:hAnsi="宋体" w:cs="宋体"/>
          <w:b/>
          <w:bCs/>
          <w:color w:val="auto"/>
          <w:sz w:val="24"/>
          <w:szCs w:val="32"/>
          <w:highlight w:val="none"/>
          <w:lang w:eastAsia="zh-CN"/>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中共台州市委政法委员会</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系统平台升级改造项目</w:t>
      </w:r>
      <w:r>
        <w:rPr>
          <w:rFonts w:hint="eastAsia" w:ascii="宋体" w:hAnsi="宋体" w:cs="宋体"/>
          <w:color w:val="auto"/>
          <w:sz w:val="24"/>
          <w:szCs w:val="32"/>
          <w:highlight w:val="none"/>
        </w:rPr>
        <w:t>进行竞争性磋商采购，欢迎合格供应商前来磋商。</w:t>
      </w:r>
    </w:p>
    <w:p w14:paraId="426BF4D5">
      <w:pPr>
        <w:spacing w:line="360" w:lineRule="auto"/>
        <w:ind w:firstLine="482" w:firstLineChars="200"/>
        <w:rPr>
          <w:rFonts w:hint="default" w:ascii="宋体" w:hAnsi="宋体" w:eastAsia="宋体" w:cs="宋体"/>
          <w:color w:val="auto"/>
          <w:sz w:val="24"/>
          <w:szCs w:val="32"/>
          <w:highlight w:val="none"/>
          <w:lang w:val="en-US" w:eastAsia="zh-CN"/>
        </w:rPr>
      </w:pPr>
      <w:r>
        <w:rPr>
          <w:rFonts w:hint="eastAsia" w:ascii="宋体" w:hAnsi="宋体" w:cs="宋体"/>
          <w:b/>
          <w:bCs/>
          <w:color w:val="auto"/>
          <w:sz w:val="24"/>
          <w:szCs w:val="32"/>
          <w:highlight w:val="none"/>
        </w:rPr>
        <w:t>一、项目编号：</w:t>
      </w:r>
      <w:r>
        <w:rPr>
          <w:rFonts w:hint="eastAsia" w:ascii="宋体" w:hAnsi="宋体" w:cs="宋体"/>
          <w:b/>
          <w:bCs/>
          <w:color w:val="auto"/>
          <w:sz w:val="24"/>
          <w:szCs w:val="32"/>
          <w:highlight w:val="none"/>
          <w:lang w:val="en-US" w:eastAsia="zh-CN"/>
        </w:rPr>
        <w:t>ZJWS2025-JJ226</w:t>
      </w:r>
    </w:p>
    <w:p w14:paraId="34572F29">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二、磋商内容：</w:t>
      </w:r>
    </w:p>
    <w:tbl>
      <w:tblPr>
        <w:tblStyle w:val="29"/>
        <w:tblW w:w="86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60"/>
        <w:gridCol w:w="3461"/>
        <w:gridCol w:w="805"/>
        <w:gridCol w:w="913"/>
        <w:gridCol w:w="1773"/>
        <w:gridCol w:w="1051"/>
      </w:tblGrid>
      <w:tr w14:paraId="6E75B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2" w:hRule="atLeast"/>
          <w:tblHeader/>
          <w:jc w:val="center"/>
        </w:trPr>
        <w:tc>
          <w:tcPr>
            <w:tcW w:w="660" w:type="dxa"/>
            <w:tcMar>
              <w:top w:w="75" w:type="dxa"/>
              <w:left w:w="75" w:type="dxa"/>
              <w:bottom w:w="75" w:type="dxa"/>
              <w:right w:w="75" w:type="dxa"/>
            </w:tcMar>
            <w:vAlign w:val="center"/>
          </w:tcPr>
          <w:p w14:paraId="47444A5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标项</w:t>
            </w:r>
          </w:p>
        </w:tc>
        <w:tc>
          <w:tcPr>
            <w:tcW w:w="3461" w:type="dxa"/>
            <w:tcMar>
              <w:top w:w="75" w:type="dxa"/>
              <w:left w:w="75" w:type="dxa"/>
              <w:bottom w:w="75" w:type="dxa"/>
              <w:right w:w="75" w:type="dxa"/>
            </w:tcMar>
            <w:vAlign w:val="center"/>
          </w:tcPr>
          <w:p w14:paraId="408DA5F9">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内容</w:t>
            </w:r>
          </w:p>
        </w:tc>
        <w:tc>
          <w:tcPr>
            <w:tcW w:w="805" w:type="dxa"/>
            <w:tcMar>
              <w:top w:w="75" w:type="dxa"/>
              <w:left w:w="75" w:type="dxa"/>
              <w:bottom w:w="75" w:type="dxa"/>
              <w:right w:w="75" w:type="dxa"/>
            </w:tcMar>
            <w:vAlign w:val="center"/>
          </w:tcPr>
          <w:p w14:paraId="064B5FD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913" w:type="dxa"/>
            <w:tcMar>
              <w:top w:w="75" w:type="dxa"/>
              <w:left w:w="75" w:type="dxa"/>
              <w:bottom w:w="75" w:type="dxa"/>
              <w:right w:w="75" w:type="dxa"/>
            </w:tcMar>
            <w:vAlign w:val="center"/>
          </w:tcPr>
          <w:p w14:paraId="0C42D62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773" w:type="dxa"/>
            <w:tcMar>
              <w:top w:w="75" w:type="dxa"/>
              <w:left w:w="75" w:type="dxa"/>
              <w:bottom w:w="75" w:type="dxa"/>
              <w:right w:w="75" w:type="dxa"/>
            </w:tcMar>
            <w:vAlign w:val="center"/>
          </w:tcPr>
          <w:p w14:paraId="708C555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预算/最高限价</w:t>
            </w:r>
          </w:p>
        </w:tc>
        <w:tc>
          <w:tcPr>
            <w:tcW w:w="1051" w:type="dxa"/>
            <w:tcMar>
              <w:top w:w="75" w:type="dxa"/>
              <w:left w:w="75" w:type="dxa"/>
              <w:bottom w:w="75" w:type="dxa"/>
              <w:right w:w="75" w:type="dxa"/>
            </w:tcMar>
            <w:vAlign w:val="center"/>
          </w:tcPr>
          <w:p w14:paraId="54B40C68">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304F8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7" w:hRule="atLeast"/>
          <w:jc w:val="center"/>
        </w:trPr>
        <w:tc>
          <w:tcPr>
            <w:tcW w:w="660" w:type="dxa"/>
            <w:tcMar>
              <w:top w:w="75" w:type="dxa"/>
              <w:left w:w="75" w:type="dxa"/>
              <w:bottom w:w="75" w:type="dxa"/>
              <w:right w:w="75" w:type="dxa"/>
            </w:tcMar>
            <w:vAlign w:val="center"/>
          </w:tcPr>
          <w:p w14:paraId="6A6FA14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61" w:type="dxa"/>
            <w:tcMar>
              <w:top w:w="75" w:type="dxa"/>
              <w:left w:w="75" w:type="dxa"/>
              <w:bottom w:w="75" w:type="dxa"/>
              <w:right w:w="75" w:type="dxa"/>
            </w:tcMar>
            <w:vAlign w:val="center"/>
          </w:tcPr>
          <w:p w14:paraId="2A1E2D2D">
            <w:pPr>
              <w:keepNext w:val="0"/>
              <w:keepLines w:val="0"/>
              <w:pageBreakBefore w:val="0"/>
              <w:widowControl w:val="0"/>
              <w:tabs>
                <w:tab w:val="left" w:pos="8280"/>
              </w:tabs>
              <w:kinsoku/>
              <w:wordWrap/>
              <w:overflowPunct/>
              <w:topLinePunct w:val="0"/>
              <w:autoSpaceDE w:val="0"/>
              <w:autoSpaceDN w:val="0"/>
              <w:bidi w:val="0"/>
              <w:adjustRightInd w:val="0"/>
              <w:snapToGrid w:val="0"/>
              <w:ind w:right="23"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“民转刑”防控应用场景综合集成项目</w:t>
            </w:r>
            <w:r>
              <w:rPr>
                <w:rFonts w:hint="eastAsia" w:ascii="宋体" w:hAnsi="宋体" w:eastAsia="宋体" w:cs="宋体"/>
                <w:color w:val="auto"/>
                <w:sz w:val="24"/>
                <w:szCs w:val="24"/>
                <w:highlight w:val="none"/>
                <w:lang w:eastAsia="zh-CN"/>
              </w:rPr>
              <w:t>升级改造</w:t>
            </w:r>
          </w:p>
        </w:tc>
        <w:tc>
          <w:tcPr>
            <w:tcW w:w="805" w:type="dxa"/>
            <w:tcMar>
              <w:top w:w="75" w:type="dxa"/>
              <w:left w:w="75" w:type="dxa"/>
              <w:bottom w:w="75" w:type="dxa"/>
              <w:right w:w="75" w:type="dxa"/>
            </w:tcMar>
            <w:vAlign w:val="center"/>
          </w:tcPr>
          <w:p w14:paraId="174BD1BC">
            <w:pPr>
              <w:keepNext w:val="0"/>
              <w:keepLines w:val="0"/>
              <w:pageBreakBefore w:val="0"/>
              <w:widowControl w:val="0"/>
              <w:tabs>
                <w:tab w:val="left" w:pos="8280"/>
              </w:tabs>
              <w:kinsoku/>
              <w:wordWrap/>
              <w:overflowPunct/>
              <w:topLinePunct w:val="0"/>
              <w:autoSpaceDE w:val="0"/>
              <w:autoSpaceDN w:val="0"/>
              <w:bidi w:val="0"/>
              <w:adjustRightInd w:val="0"/>
              <w:snapToGrid w:val="0"/>
              <w:ind w:right="23"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13" w:type="dxa"/>
            <w:tcMar>
              <w:top w:w="75" w:type="dxa"/>
              <w:left w:w="75" w:type="dxa"/>
              <w:bottom w:w="75" w:type="dxa"/>
              <w:right w:w="75" w:type="dxa"/>
            </w:tcMar>
            <w:vAlign w:val="center"/>
          </w:tcPr>
          <w:p w14:paraId="314C7330">
            <w:pPr>
              <w:keepNext w:val="0"/>
              <w:keepLines w:val="0"/>
              <w:pageBreakBefore w:val="0"/>
              <w:widowControl w:val="0"/>
              <w:tabs>
                <w:tab w:val="left" w:pos="8280"/>
              </w:tabs>
              <w:kinsoku/>
              <w:wordWrap/>
              <w:overflowPunct/>
              <w:topLinePunct w:val="0"/>
              <w:autoSpaceDE w:val="0"/>
              <w:autoSpaceDN w:val="0"/>
              <w:bidi w:val="0"/>
              <w:adjustRightInd w:val="0"/>
              <w:snapToGrid w:val="0"/>
              <w:ind w:right="23"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773" w:type="dxa"/>
            <w:tcMar>
              <w:top w:w="75" w:type="dxa"/>
              <w:left w:w="75" w:type="dxa"/>
              <w:bottom w:w="75" w:type="dxa"/>
              <w:right w:w="75" w:type="dxa"/>
            </w:tcMar>
            <w:vAlign w:val="center"/>
          </w:tcPr>
          <w:p w14:paraId="74BAF787">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460000.00元</w:t>
            </w:r>
          </w:p>
        </w:tc>
        <w:tc>
          <w:tcPr>
            <w:tcW w:w="1051" w:type="dxa"/>
            <w:vMerge w:val="restart"/>
            <w:vAlign w:val="center"/>
          </w:tcPr>
          <w:p w14:paraId="5F7DD658">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详见招标需求</w:t>
            </w:r>
          </w:p>
        </w:tc>
      </w:tr>
      <w:tr w14:paraId="2A002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6" w:hRule="atLeast"/>
          <w:jc w:val="center"/>
        </w:trPr>
        <w:tc>
          <w:tcPr>
            <w:tcW w:w="660" w:type="dxa"/>
            <w:tcMar>
              <w:top w:w="75" w:type="dxa"/>
              <w:left w:w="75" w:type="dxa"/>
              <w:bottom w:w="75" w:type="dxa"/>
              <w:right w:w="75" w:type="dxa"/>
            </w:tcMar>
            <w:vAlign w:val="center"/>
          </w:tcPr>
          <w:p w14:paraId="28A0041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461" w:type="dxa"/>
            <w:tcMar>
              <w:top w:w="75" w:type="dxa"/>
              <w:left w:w="75" w:type="dxa"/>
              <w:bottom w:w="75" w:type="dxa"/>
              <w:right w:w="75" w:type="dxa"/>
            </w:tcMar>
            <w:vAlign w:val="center"/>
          </w:tcPr>
          <w:p w14:paraId="4B49472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台州市统一地址管理与服务平台升级改造项目</w:t>
            </w:r>
          </w:p>
        </w:tc>
        <w:tc>
          <w:tcPr>
            <w:tcW w:w="805" w:type="dxa"/>
            <w:tcMar>
              <w:top w:w="75" w:type="dxa"/>
              <w:left w:w="75" w:type="dxa"/>
              <w:bottom w:w="75" w:type="dxa"/>
              <w:right w:w="75" w:type="dxa"/>
            </w:tcMar>
            <w:vAlign w:val="center"/>
          </w:tcPr>
          <w:p w14:paraId="08427C2E">
            <w:pPr>
              <w:keepNext w:val="0"/>
              <w:keepLines w:val="0"/>
              <w:pageBreakBefore w:val="0"/>
              <w:widowControl w:val="0"/>
              <w:tabs>
                <w:tab w:val="left" w:pos="8280"/>
              </w:tabs>
              <w:kinsoku/>
              <w:wordWrap/>
              <w:overflowPunct/>
              <w:topLinePunct w:val="0"/>
              <w:autoSpaceDE w:val="0"/>
              <w:autoSpaceDN w:val="0"/>
              <w:bidi w:val="0"/>
              <w:adjustRightInd w:val="0"/>
              <w:snapToGrid w:val="0"/>
              <w:ind w:right="23"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13" w:type="dxa"/>
            <w:tcMar>
              <w:top w:w="75" w:type="dxa"/>
              <w:left w:w="75" w:type="dxa"/>
              <w:bottom w:w="75" w:type="dxa"/>
              <w:right w:w="75" w:type="dxa"/>
            </w:tcMar>
            <w:vAlign w:val="center"/>
          </w:tcPr>
          <w:p w14:paraId="5A1FE130">
            <w:pPr>
              <w:keepNext w:val="0"/>
              <w:keepLines w:val="0"/>
              <w:pageBreakBefore w:val="0"/>
              <w:widowControl w:val="0"/>
              <w:tabs>
                <w:tab w:val="left" w:pos="8280"/>
              </w:tabs>
              <w:kinsoku/>
              <w:wordWrap/>
              <w:overflowPunct/>
              <w:topLinePunct w:val="0"/>
              <w:autoSpaceDE w:val="0"/>
              <w:autoSpaceDN w:val="0"/>
              <w:bidi w:val="0"/>
              <w:adjustRightInd w:val="0"/>
              <w:snapToGrid w:val="0"/>
              <w:ind w:right="23"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773" w:type="dxa"/>
            <w:tcMar>
              <w:top w:w="75" w:type="dxa"/>
              <w:left w:w="75" w:type="dxa"/>
              <w:bottom w:w="75" w:type="dxa"/>
              <w:right w:w="75" w:type="dxa"/>
            </w:tcMar>
            <w:vAlign w:val="center"/>
          </w:tcPr>
          <w:p w14:paraId="546598E4">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530000</w:t>
            </w:r>
            <w:r>
              <w:rPr>
                <w:rFonts w:hint="eastAsia" w:ascii="宋体" w:hAnsi="宋体" w:eastAsia="宋体" w:cs="宋体"/>
                <w:color w:val="auto"/>
                <w:kern w:val="0"/>
                <w:sz w:val="24"/>
                <w:szCs w:val="24"/>
                <w:highlight w:val="none"/>
                <w:lang w:val="en-US" w:eastAsia="zh-CN"/>
              </w:rPr>
              <w:t>.00元</w:t>
            </w:r>
          </w:p>
        </w:tc>
        <w:tc>
          <w:tcPr>
            <w:tcW w:w="1051" w:type="dxa"/>
            <w:vMerge w:val="continue"/>
            <w:vAlign w:val="center"/>
          </w:tcPr>
          <w:p w14:paraId="54FA85D6">
            <w:pPr>
              <w:jc w:val="center"/>
              <w:rPr>
                <w:rFonts w:hint="eastAsia" w:ascii="宋体" w:hAnsi="宋体" w:eastAsia="宋体" w:cs="宋体"/>
                <w:color w:val="auto"/>
                <w:sz w:val="24"/>
                <w:szCs w:val="24"/>
                <w:highlight w:val="none"/>
              </w:rPr>
            </w:pPr>
          </w:p>
        </w:tc>
      </w:tr>
    </w:tbl>
    <w:p w14:paraId="51904838">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三、合格磋商供应商的资格条件：</w:t>
      </w:r>
    </w:p>
    <w:p w14:paraId="1C7F9B3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1、满足《</w:t>
      </w:r>
      <w:r>
        <w:rPr>
          <w:rFonts w:hint="eastAsia" w:ascii="宋体" w:hAnsi="宋体" w:cs="宋体"/>
          <w:color w:val="auto"/>
          <w:sz w:val="24"/>
          <w:szCs w:val="32"/>
          <w:highlight w:val="none"/>
          <w:lang w:val="en-US" w:eastAsia="zh-CN"/>
        </w:rPr>
        <w:t>中华人民共和国政府采购法</w:t>
      </w:r>
      <w:r>
        <w:rPr>
          <w:rFonts w:hint="eastAsia" w:ascii="宋体" w:hAnsi="宋体" w:cs="宋体"/>
          <w:color w:val="auto"/>
          <w:sz w:val="24"/>
          <w:szCs w:val="32"/>
          <w:highlight w:val="none"/>
        </w:rPr>
        <w:t>》第二十二条规定；未被“信用中国”（www.creditchina.gov.cn)、中国政府采购网（www.ccgp.gov.cn）列入失信被执行人、重大税收违法失信主体、政府采购严重违法失信行为记录名单；</w:t>
      </w:r>
    </w:p>
    <w:p w14:paraId="69294E7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2、本项目不接受联合体投标。</w:t>
      </w:r>
    </w:p>
    <w:p w14:paraId="028C6104">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四、磋商文件获取的时间、方式：</w:t>
      </w:r>
    </w:p>
    <w:p w14:paraId="5B89216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1、本项目磋商文件于“政府采购云平台”在线获取，不提供磋商文件纸质版。供应商获取磋商文件前应先完成“政府采购云平台”的账号注册。</w:t>
      </w:r>
    </w:p>
    <w:p w14:paraId="4A7C2B6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2、获取时间：自本公告发布之日起至响应文件递交截止时间止（以供应商完成获取磋商文件申请后下载磋商文件的时间为准）。</w:t>
      </w:r>
    </w:p>
    <w:p w14:paraId="4818025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w:t>
      </w:r>
    </w:p>
    <w:p w14:paraId="0B008034">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39F33CE4">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（2）供应商网上报名操作指南：“浙江政府采购网-办事指南-省采中心-网上报名”（http：//zfcg.czt.zj.gov.cn/bs_other/2018-03-30/12002.html）。</w:t>
      </w:r>
    </w:p>
    <w:p w14:paraId="591861B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449330E6">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特别提示：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78A53F29">
      <w:pPr>
        <w:spacing w:line="360" w:lineRule="auto"/>
        <w:ind w:firstLine="480" w:firstLineChars="200"/>
        <w:rPr>
          <w:color w:val="auto"/>
          <w:highlight w:val="none"/>
        </w:rPr>
      </w:pPr>
      <w:r>
        <w:rPr>
          <w:rFonts w:hint="eastAsia" w:ascii="宋体" w:hAnsi="宋体" w:cs="宋体"/>
          <w:color w:val="auto"/>
          <w:sz w:val="24"/>
          <w:szCs w:val="32"/>
          <w:highlight w:val="none"/>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DD29098">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4066BED7">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供应商应按照本项目采购文件和政采云平台的要求编制、加密并递交响应文件。供应商在使用系统进行投标的过程中遇到涉及平台使用的任何问题，可致电政采云平台技术支持热线咨询，联系方式：400-881-7190。</w:t>
      </w:r>
    </w:p>
    <w:p w14:paraId="0158EAA4">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2.供应商通过政采云平台电子投标工具制作响应文件，电子投标工具请供应商自行前往浙江政府采购网下载并安装（下载网址：http：//www.zjzfcg.gov.cn/bidClientTemplate/2019-05-27/12946.html）。</w:t>
      </w:r>
    </w:p>
    <w:p w14:paraId="538364A2">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3.供应商应在开标前完成CA数字证书办理。（办理流程详见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rPr>
        <w:t>http：//www.zjzfcg.gov.cn/bidClientTemplate/2019-05-27/12945.html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，完成CA数字证书办理预计一周左右，请各供应商自行把握时间）</w:t>
      </w:r>
    </w:p>
    <w:p w14:paraId="6992236E">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供应商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截止时间后传输、递交的响应文件，将被拒收。</w:t>
      </w:r>
      <w:r>
        <w:rPr>
          <w:rFonts w:hint="eastAsia" w:ascii="宋体" w:hAnsi="宋体" w:cs="宋体"/>
          <w:color w:val="auto"/>
          <w:kern w:val="0"/>
          <w:sz w:val="24"/>
          <w:highlight w:val="none"/>
          <w:u w:val="single"/>
          <w:lang w:val="en-GB"/>
        </w:rPr>
        <w:t>在开标后规定的投标有效期内，供应商不能撤销响应文件。</w:t>
      </w:r>
    </w:p>
    <w:p w14:paraId="7AEF9378">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5.响应文件的组成、份数、密封、效力</w:t>
      </w:r>
    </w:p>
    <w:p w14:paraId="09B83B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本项目实行电子投标，供应商应准备电子响应文件、还可以提交以介质（U盘）存储的数据电文形式、纸质备份响应文件：</w:t>
      </w:r>
    </w:p>
    <w:p w14:paraId="215B1C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5.1电子响应文件，按政采云平台项目采购--电子招投标操作指南及本采购文件要求编制。</w:t>
      </w:r>
    </w:p>
    <w:p w14:paraId="052322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bookmarkStart w:id="0" w:name="_Hlk34638143"/>
      <w:r>
        <w:rPr>
          <w:rFonts w:hint="eastAsia" w:ascii="宋体" w:hAnsi="宋体" w:cs="宋体"/>
          <w:color w:val="auto"/>
          <w:sz w:val="24"/>
          <w:highlight w:val="none"/>
        </w:rPr>
        <w:t>纸质</w:t>
      </w:r>
      <w:bookmarkEnd w:id="0"/>
      <w:r>
        <w:rPr>
          <w:rFonts w:hint="eastAsia" w:ascii="宋体" w:hAnsi="宋体" w:cs="宋体"/>
          <w:color w:val="auto"/>
          <w:sz w:val="24"/>
          <w:highlight w:val="none"/>
        </w:rPr>
        <w:t>备份响应文件以纸质文件的形式编制，</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w:t>
      </w:r>
    </w:p>
    <w:p w14:paraId="46B2F06F">
      <w:pPr>
        <w:spacing w:line="360" w:lineRule="auto"/>
        <w:ind w:firstLine="480" w:firstLineChars="200"/>
        <w:rPr>
          <w:rFonts w:ascii="宋体" w:hAnsi="宋体" w:cs="宋体"/>
          <w:color w:val="auto"/>
          <w:sz w:val="24"/>
          <w:highlight w:val="none"/>
          <w:u w:val="single"/>
        </w:rPr>
      </w:pPr>
      <w:bookmarkStart w:id="1"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磋商供应商在“政府采购云平台”完成“电子加密响应文件”的上传递交后，还可以在投标截止时间前递交以介质（U盘）存储的数据电文形式和纸质形式的“备份响应文件”，“备份响应文件”应当密封包装并在包装上标注投标项目名称、供应商名称并加盖公章。以介质（U盘）存储的数据电文形式和纸质形式的“备份响应文件”需分别密封，可采用以下两种方式其中一种送达（逾期送达或未密封将被拒收）：</w:t>
      </w:r>
    </w:p>
    <w:p w14:paraId="1EC736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0AE6AA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②采用邮寄方式，邮寄公司统一采用顺丰（包裹外包装上请注明单位、项目名称、联系电话等信息，以便代理机构作接收登记工作），邮寄接收截止时间为投标截止时间（邮寄地址：</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（浙江省台州市椒江区东环大道576号二楼，联系人：金老师，电话：0576-88781913））。</w:t>
      </w:r>
    </w:p>
    <w:p w14:paraId="69C94AC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5.4通过“政府采购云平台”上传递交的“电子加密响应文件”无法按时解密，磋商供应商递交了备份响应文件的，以备份响应文件为依据，否则视为响应文件撤回。通过“政府采购云平台”上传递交的“电子加密响应文件”已按时解密的，“备份响应文件”自动失效。磋商供应商仅递交备份响应文件的，投标无效。</w:t>
      </w:r>
    </w:p>
    <w:bookmarkEnd w:id="1"/>
    <w:p w14:paraId="3F3115D6">
      <w:pPr>
        <w:spacing w:line="360" w:lineRule="auto"/>
        <w:ind w:firstLine="480" w:firstLineChars="200"/>
        <w:rPr>
          <w:rFonts w:ascii="宋体" w:hAnsi="宋体" w:cs="宋体"/>
          <w:color w:val="auto"/>
          <w:sz w:val="24"/>
          <w:highlight w:val="none"/>
          <w:u w:val="single"/>
        </w:rPr>
      </w:pPr>
      <w:bookmarkStart w:id="2" w:name="_Hlk34638256"/>
      <w:r>
        <w:rPr>
          <w:rFonts w:hint="eastAsia" w:ascii="宋体" w:hAnsi="宋体" w:cs="宋体"/>
          <w:color w:val="auto"/>
          <w:sz w:val="24"/>
          <w:highlight w:val="none"/>
          <w:u w:val="single"/>
        </w:rPr>
        <w:t>5.5响应文件启用顺序和效力：响应文件的启用，按先后顺位分别为</w:t>
      </w:r>
      <w:bookmarkStart w:id="3" w:name="_Hlk34637932"/>
      <w:r>
        <w:rPr>
          <w:rFonts w:hint="eastAsia" w:ascii="宋体" w:hAnsi="宋体" w:cs="宋体"/>
          <w:color w:val="auto"/>
          <w:sz w:val="24"/>
          <w:highlight w:val="none"/>
          <w:u w:val="single"/>
        </w:rPr>
        <w:t>电子</w:t>
      </w:r>
      <w:bookmarkEnd w:id="3"/>
      <w:r>
        <w:rPr>
          <w:rFonts w:hint="eastAsia" w:ascii="宋体" w:hAnsi="宋体" w:cs="宋体"/>
          <w:color w:val="auto"/>
          <w:sz w:val="24"/>
          <w:highlight w:val="none"/>
          <w:u w:val="single"/>
        </w:rPr>
        <w:t>响应文件、以介质（U盘）存储的数据电文形式的备份响应文件和纸质备份响应文件。</w:t>
      </w:r>
      <w:bookmarkStart w:id="4" w:name="_Hlk34637983"/>
      <w:r>
        <w:rPr>
          <w:rFonts w:hint="eastAsia" w:ascii="宋体" w:hAnsi="宋体" w:cs="宋体"/>
          <w:color w:val="auto"/>
          <w:sz w:val="24"/>
          <w:highlight w:val="none"/>
          <w:u w:val="single"/>
        </w:rPr>
        <w:t>全部供应商的</w:t>
      </w:r>
      <w:bookmarkStart w:id="5" w:name="_Hlk34638083"/>
      <w:r>
        <w:rPr>
          <w:rFonts w:hint="eastAsia" w:ascii="宋体" w:hAnsi="宋体" w:cs="宋体"/>
          <w:color w:val="auto"/>
          <w:sz w:val="24"/>
          <w:highlight w:val="none"/>
          <w:u w:val="single"/>
        </w:rPr>
        <w:t>电子响应文件均已按时解密的，</w:t>
      </w:r>
      <w:bookmarkEnd w:id="5"/>
      <w:r>
        <w:rPr>
          <w:rFonts w:hint="eastAsia" w:ascii="宋体" w:hAnsi="宋体" w:cs="宋体"/>
          <w:color w:val="auto"/>
          <w:sz w:val="24"/>
          <w:highlight w:val="none"/>
          <w:u w:val="single"/>
        </w:rPr>
        <w:t>备份响应文件自动失效，全部供应商的电子响应文件均无法按时解密的，</w:t>
      </w:r>
      <w:bookmarkStart w:id="6" w:name="_Hlk34638161"/>
      <w:r>
        <w:rPr>
          <w:rFonts w:hint="eastAsia" w:ascii="宋体" w:hAnsi="宋体" w:cs="宋体"/>
          <w:color w:val="auto"/>
          <w:sz w:val="24"/>
          <w:highlight w:val="none"/>
          <w:u w:val="single"/>
        </w:rPr>
        <w:t>启用纸质备份响应文件进行线下开评标。</w:t>
      </w:r>
      <w:bookmarkEnd w:id="6"/>
      <w:r>
        <w:rPr>
          <w:rFonts w:hint="eastAsia" w:ascii="宋体" w:hAnsi="宋体" w:cs="宋体"/>
          <w:color w:val="auto"/>
          <w:sz w:val="24"/>
          <w:highlight w:val="none"/>
          <w:u w:val="single"/>
        </w:rPr>
        <w:t>如果某位供应商的电子响应文件无法按时解密的，其响应文件为无效标，不启用纸质备份响应文件。</w:t>
      </w:r>
      <w:bookmarkEnd w:id="2"/>
      <w:bookmarkEnd w:id="4"/>
    </w:p>
    <w:p w14:paraId="21F5922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5.6▲未传输递交电子响应文件的，投标无效。</w:t>
      </w:r>
    </w:p>
    <w:p w14:paraId="2F835D7B">
      <w:pPr>
        <w:spacing w:line="360" w:lineRule="auto"/>
        <w:ind w:firstLine="482" w:firstLineChars="200"/>
        <w:rPr>
          <w:rFonts w:hint="default" w:ascii="宋体" w:hAnsi="宋体" w:eastAsia="宋体" w:cs="宋体"/>
          <w:color w:val="auto"/>
          <w:sz w:val="24"/>
          <w:szCs w:val="32"/>
          <w:highlight w:val="none"/>
          <w:lang w:val="en-US" w:eastAsia="zh-CN"/>
        </w:rPr>
      </w:pPr>
      <w:r>
        <w:rPr>
          <w:rFonts w:hint="eastAsia" w:ascii="宋体" w:hAnsi="宋体" w:cs="宋体"/>
          <w:b/>
          <w:bCs/>
          <w:color w:val="auto"/>
          <w:sz w:val="24"/>
          <w:szCs w:val="32"/>
          <w:highlight w:val="none"/>
        </w:rPr>
        <w:t>六、磋商响应文件递交截止时间及磋商开始时间：北京时间</w:t>
      </w:r>
      <w:r>
        <w:rPr>
          <w:rFonts w:hint="eastAsia" w:ascii="宋体" w:hAnsi="宋体" w:cs="宋体"/>
          <w:color w:val="auto"/>
          <w:sz w:val="24"/>
          <w:szCs w:val="32"/>
          <w:highlight w:val="none"/>
          <w:lang w:eastAsia="zh-CN"/>
        </w:rPr>
        <w:t>2025年07月31日 9:00</w:t>
      </w:r>
    </w:p>
    <w:p w14:paraId="216096CC">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七、磋商响应文件提交：</w:t>
      </w:r>
      <w:r>
        <w:rPr>
          <w:rFonts w:hint="eastAsia" w:ascii="宋体" w:hAnsi="宋体" w:eastAsia="宋体" w:cs="宋体"/>
          <w:color w:val="auto"/>
          <w:sz w:val="24"/>
          <w:szCs w:val="32"/>
          <w:highlight w:val="none"/>
          <w:lang w:val="en-US" w:eastAsia="zh-CN"/>
        </w:rPr>
        <w:t>通过“政府采购云平台（www.zcygov.cn）”实行在线投标响应</w:t>
      </w:r>
      <w:r>
        <w:rPr>
          <w:rFonts w:hint="eastAsia" w:ascii="宋体" w:hAnsi="宋体" w:cs="宋体"/>
          <w:color w:val="auto"/>
          <w:sz w:val="24"/>
          <w:szCs w:val="32"/>
          <w:highlight w:val="none"/>
          <w:lang w:val="en-US" w:eastAsia="zh-CN"/>
        </w:rPr>
        <w:t>。</w:t>
      </w:r>
    </w:p>
    <w:p w14:paraId="6EDD75F7">
      <w:pPr>
        <w:spacing w:line="360" w:lineRule="auto"/>
        <w:ind w:firstLine="482" w:firstLineChars="200"/>
        <w:outlineLvl w:val="0"/>
        <w:rPr>
          <w:rFonts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14:paraId="16A9B4B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针对同一环节（包括采购过程与采购结果）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9B0E5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68AD3ED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1183B943">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www.zjzfcg.gov.cn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3FB8AFEE">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3）信用信息查询记录和证据留存具体方式：采购代理机构经办人将查询网页打印与其他项目相关文件一并保存；</w:t>
      </w:r>
    </w:p>
    <w:p w14:paraId="3F68C8A3">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4）信用信息的使用规则：供应商存在不良信用记录的，其投标将被作为无效投标被拒绝。</w:t>
      </w:r>
    </w:p>
    <w:p w14:paraId="3C32670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3.不良信用记录指：被列入失信被执行人、重大税收违法失信主体、政府采购严重违法失信行为记录名单或浙江政府采购网曝光台中尚在行政处罚期内的。</w:t>
      </w:r>
    </w:p>
    <w:p w14:paraId="37954DBB">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4.开标时间后30分钟内，供应商须登录“政采云”平台，用“项目采购-开标评标”功能解密响应文件，供应商未按时解密或解密失败的，其上传的电子响应文件自动失效。电脑及CA解密设备自备。</w:t>
      </w:r>
    </w:p>
    <w:p w14:paraId="4DEFAAF5">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01FDA7DE">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w:t>
      </w:r>
    </w:p>
    <w:p w14:paraId="7B2B233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项目负责人：徐</w:t>
      </w:r>
      <w:r>
        <w:rPr>
          <w:rFonts w:hint="eastAsia" w:ascii="宋体" w:hAnsi="宋体" w:cs="宋体"/>
          <w:color w:val="auto"/>
          <w:sz w:val="24"/>
          <w:szCs w:val="32"/>
          <w:highlight w:val="none"/>
          <w:lang w:val="en-US" w:eastAsia="zh-CN"/>
        </w:rPr>
        <w:t>名峰</w:t>
      </w:r>
      <w:r>
        <w:rPr>
          <w:rFonts w:hint="eastAsia" w:ascii="宋体" w:hAnsi="宋体" w:cs="宋体"/>
          <w:color w:val="auto"/>
          <w:sz w:val="24"/>
          <w:szCs w:val="32"/>
          <w:highlight w:val="none"/>
        </w:rPr>
        <w:t>；联系电话：0576-88781913；</w:t>
      </w:r>
    </w:p>
    <w:p w14:paraId="5A85C3A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质疑接收人：徐少媚；联系电话：0576-88785265；</w:t>
      </w:r>
    </w:p>
    <w:p w14:paraId="5A089F6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报名联系人：高女士；联系电话：0571-85334203；</w:t>
      </w:r>
      <w:bookmarkStart w:id="17" w:name="_GoBack"/>
      <w:bookmarkEnd w:id="17"/>
    </w:p>
    <w:p w14:paraId="67666343">
      <w:pP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rPr>
        <w:t>地点：杭州市拱墅区白石路318号中国（杭州）人力资源服务产业园北楼512室；</w:t>
      </w:r>
    </w:p>
    <w:p w14:paraId="2E0C5522">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2、采购人：</w:t>
      </w:r>
      <w:r>
        <w:rPr>
          <w:rFonts w:hint="eastAsia" w:ascii="宋体" w:hAnsi="宋体" w:cs="宋体"/>
          <w:color w:val="auto"/>
          <w:sz w:val="24"/>
          <w:szCs w:val="32"/>
          <w:highlight w:val="none"/>
        </w:rPr>
        <w:t>中共台州市委政法委员会；</w:t>
      </w:r>
    </w:p>
    <w:p w14:paraId="79167C1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联系人：陈先生；联系电话：0576-88510532。</w:t>
      </w:r>
    </w:p>
    <w:p w14:paraId="2F2FF9A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质疑接收人：徐女士；联系电话：0576-88510532。</w:t>
      </w:r>
    </w:p>
    <w:p w14:paraId="56C59A8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地址：浙江省台州市市政府大楼十五楼。</w:t>
      </w:r>
    </w:p>
    <w:p w14:paraId="02DB67F7">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1B76DF9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联系人：陈工、李工；监督投诉电话：0576-88206705、0576-88206731；</w:t>
      </w:r>
    </w:p>
    <w:p w14:paraId="24F749F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地址：台州市椒江区纬一路66号天元大厦。</w:t>
      </w:r>
    </w:p>
    <w:p w14:paraId="077D5EFC">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30"/>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1548"/>
        <w:gridCol w:w="1217"/>
        <w:gridCol w:w="2815"/>
      </w:tblGrid>
      <w:tr w14:paraId="436F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864A9EA">
            <w:pPr>
              <w:jc w:val="center"/>
              <w:rPr>
                <w:rFonts w:ascii="宋体" w:hAnsi="宋体" w:cs="宋体"/>
                <w:color w:val="auto"/>
                <w:sz w:val="24"/>
                <w:highlight w:val="none"/>
              </w:rPr>
            </w:pPr>
            <w:r>
              <w:rPr>
                <w:rFonts w:hint="eastAsia" w:ascii="宋体" w:hAnsi="宋体" w:cs="宋体"/>
                <w:color w:val="auto"/>
                <w:sz w:val="24"/>
                <w:highlight w:val="none"/>
              </w:rPr>
              <w:t>银行</w:t>
            </w:r>
          </w:p>
        </w:tc>
        <w:tc>
          <w:tcPr>
            <w:tcW w:w="1548" w:type="dxa"/>
            <w:vAlign w:val="center"/>
          </w:tcPr>
          <w:p w14:paraId="3F0B02B0">
            <w:pPr>
              <w:jc w:val="center"/>
              <w:rPr>
                <w:rFonts w:ascii="宋体" w:hAnsi="宋体" w:cs="宋体"/>
                <w:color w:val="auto"/>
                <w:sz w:val="24"/>
                <w:highlight w:val="none"/>
              </w:rPr>
            </w:pPr>
            <w:r>
              <w:rPr>
                <w:rFonts w:hint="eastAsia" w:ascii="宋体" w:hAnsi="宋体" w:cs="宋体"/>
                <w:color w:val="auto"/>
                <w:sz w:val="24"/>
                <w:highlight w:val="none"/>
              </w:rPr>
              <w:t>贷款年利率</w:t>
            </w:r>
          </w:p>
        </w:tc>
        <w:tc>
          <w:tcPr>
            <w:tcW w:w="1217" w:type="dxa"/>
            <w:vAlign w:val="center"/>
          </w:tcPr>
          <w:p w14:paraId="0B2E74FF">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2815" w:type="dxa"/>
            <w:vAlign w:val="center"/>
          </w:tcPr>
          <w:p w14:paraId="2C8441D9">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244F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356B5405">
            <w:pPr>
              <w:jc w:val="center"/>
              <w:rPr>
                <w:rFonts w:ascii="宋体" w:hAnsi="宋体" w:cs="宋体"/>
                <w:color w:val="auto"/>
                <w:sz w:val="24"/>
                <w:highlight w:val="none"/>
              </w:rPr>
            </w:pPr>
            <w:r>
              <w:rPr>
                <w:rFonts w:hint="eastAsia" w:ascii="宋体" w:hAnsi="宋体" w:cs="宋体"/>
                <w:color w:val="auto"/>
                <w:sz w:val="24"/>
                <w:highlight w:val="none"/>
              </w:rPr>
              <w:t>中国工商银行</w:t>
            </w:r>
          </w:p>
        </w:tc>
        <w:tc>
          <w:tcPr>
            <w:tcW w:w="1548" w:type="dxa"/>
            <w:vAlign w:val="center"/>
          </w:tcPr>
          <w:p w14:paraId="07895394">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217" w:type="dxa"/>
            <w:vAlign w:val="center"/>
          </w:tcPr>
          <w:p w14:paraId="0C08960B">
            <w:pPr>
              <w:jc w:val="center"/>
              <w:rPr>
                <w:rFonts w:ascii="宋体" w:hAnsi="宋体" w:cs="宋体"/>
                <w:color w:val="auto"/>
                <w:sz w:val="24"/>
                <w:highlight w:val="none"/>
              </w:rPr>
            </w:pPr>
            <w:r>
              <w:rPr>
                <w:rFonts w:hint="eastAsia" w:ascii="宋体" w:hAnsi="宋体" w:cs="宋体"/>
                <w:color w:val="auto"/>
                <w:sz w:val="24"/>
                <w:highlight w:val="none"/>
              </w:rPr>
              <w:t>王霖</w:t>
            </w:r>
          </w:p>
        </w:tc>
        <w:tc>
          <w:tcPr>
            <w:tcW w:w="2815" w:type="dxa"/>
            <w:vAlign w:val="center"/>
          </w:tcPr>
          <w:p w14:paraId="0A294152">
            <w:pPr>
              <w:rPr>
                <w:rFonts w:ascii="宋体" w:hAnsi="宋体" w:cs="宋体"/>
                <w:color w:val="auto"/>
                <w:sz w:val="24"/>
                <w:highlight w:val="none"/>
              </w:rPr>
            </w:pPr>
            <w:r>
              <w:rPr>
                <w:rFonts w:hint="eastAsia" w:ascii="宋体" w:hAnsi="宋体" w:cs="宋体"/>
                <w:color w:val="auto"/>
                <w:sz w:val="24"/>
                <w:highlight w:val="none"/>
              </w:rPr>
              <w:t>88588246/13857654562</w:t>
            </w:r>
          </w:p>
        </w:tc>
      </w:tr>
      <w:tr w14:paraId="7DDF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BA287D6">
            <w:pPr>
              <w:jc w:val="center"/>
              <w:rPr>
                <w:rFonts w:ascii="宋体" w:hAnsi="宋体" w:cs="宋体"/>
                <w:color w:val="auto"/>
                <w:sz w:val="24"/>
                <w:highlight w:val="none"/>
              </w:rPr>
            </w:pPr>
            <w:r>
              <w:rPr>
                <w:rFonts w:hint="eastAsia" w:ascii="宋体" w:hAnsi="宋体" w:cs="宋体"/>
                <w:color w:val="auto"/>
                <w:sz w:val="24"/>
                <w:highlight w:val="none"/>
              </w:rPr>
              <w:t>中国农业银行</w:t>
            </w:r>
          </w:p>
        </w:tc>
        <w:tc>
          <w:tcPr>
            <w:tcW w:w="1548" w:type="dxa"/>
            <w:vAlign w:val="center"/>
          </w:tcPr>
          <w:p w14:paraId="34139235">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217" w:type="dxa"/>
            <w:vAlign w:val="center"/>
          </w:tcPr>
          <w:p w14:paraId="2648711A">
            <w:pPr>
              <w:jc w:val="center"/>
              <w:rPr>
                <w:rFonts w:ascii="宋体" w:hAnsi="宋体" w:cs="宋体"/>
                <w:color w:val="auto"/>
                <w:sz w:val="24"/>
                <w:highlight w:val="none"/>
              </w:rPr>
            </w:pPr>
            <w:r>
              <w:rPr>
                <w:rFonts w:hint="eastAsia" w:ascii="宋体" w:hAnsi="宋体" w:cs="宋体"/>
                <w:color w:val="auto"/>
                <w:sz w:val="24"/>
                <w:highlight w:val="none"/>
              </w:rPr>
              <w:t>龚盛</w:t>
            </w:r>
          </w:p>
        </w:tc>
        <w:tc>
          <w:tcPr>
            <w:tcW w:w="2815" w:type="dxa"/>
            <w:vAlign w:val="center"/>
          </w:tcPr>
          <w:p w14:paraId="0B2E1547">
            <w:pPr>
              <w:rPr>
                <w:rFonts w:ascii="宋体" w:hAnsi="宋体" w:cs="宋体"/>
                <w:color w:val="auto"/>
                <w:sz w:val="24"/>
                <w:highlight w:val="none"/>
              </w:rPr>
            </w:pPr>
            <w:r>
              <w:rPr>
                <w:rFonts w:hint="eastAsia" w:ascii="宋体" w:hAnsi="宋体" w:cs="宋体"/>
                <w:color w:val="auto"/>
                <w:sz w:val="24"/>
                <w:highlight w:val="none"/>
              </w:rPr>
              <w:t>15858682216</w:t>
            </w:r>
          </w:p>
        </w:tc>
      </w:tr>
      <w:tr w14:paraId="6535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A4DFD48">
            <w:pPr>
              <w:jc w:val="center"/>
              <w:rPr>
                <w:rFonts w:ascii="宋体" w:hAnsi="宋体" w:cs="宋体"/>
                <w:color w:val="auto"/>
                <w:sz w:val="24"/>
                <w:highlight w:val="none"/>
              </w:rPr>
            </w:pPr>
            <w:r>
              <w:rPr>
                <w:rFonts w:hint="eastAsia" w:ascii="宋体" w:hAnsi="宋体" w:cs="宋体"/>
                <w:color w:val="auto"/>
                <w:sz w:val="24"/>
                <w:highlight w:val="none"/>
              </w:rPr>
              <w:t>中国建设银行</w:t>
            </w:r>
          </w:p>
        </w:tc>
        <w:tc>
          <w:tcPr>
            <w:tcW w:w="1548" w:type="dxa"/>
            <w:vAlign w:val="center"/>
          </w:tcPr>
          <w:p w14:paraId="2A1CB219">
            <w:pPr>
              <w:jc w:val="center"/>
              <w:rPr>
                <w:rFonts w:ascii="宋体" w:hAnsi="宋体" w:cs="宋体"/>
                <w:color w:val="auto"/>
                <w:sz w:val="24"/>
                <w:highlight w:val="none"/>
              </w:rPr>
            </w:pPr>
            <w:r>
              <w:rPr>
                <w:rFonts w:hint="eastAsia" w:ascii="宋体" w:hAnsi="宋体" w:cs="宋体"/>
                <w:color w:val="auto"/>
                <w:sz w:val="24"/>
                <w:highlight w:val="none"/>
              </w:rPr>
              <w:t>3.8%起</w:t>
            </w:r>
          </w:p>
        </w:tc>
        <w:tc>
          <w:tcPr>
            <w:tcW w:w="1217" w:type="dxa"/>
            <w:vAlign w:val="center"/>
          </w:tcPr>
          <w:p w14:paraId="2F090FCF">
            <w:pPr>
              <w:jc w:val="center"/>
              <w:rPr>
                <w:rFonts w:ascii="宋体" w:hAnsi="宋体" w:cs="宋体"/>
                <w:color w:val="auto"/>
                <w:sz w:val="24"/>
                <w:highlight w:val="none"/>
              </w:rPr>
            </w:pPr>
            <w:r>
              <w:rPr>
                <w:rFonts w:hint="eastAsia" w:ascii="宋体" w:hAnsi="宋体" w:cs="宋体"/>
                <w:color w:val="auto"/>
                <w:sz w:val="24"/>
                <w:highlight w:val="none"/>
              </w:rPr>
              <w:t>梅晶晶</w:t>
            </w:r>
          </w:p>
        </w:tc>
        <w:tc>
          <w:tcPr>
            <w:tcW w:w="2815" w:type="dxa"/>
            <w:vAlign w:val="center"/>
          </w:tcPr>
          <w:p w14:paraId="11C9418F">
            <w:pPr>
              <w:rPr>
                <w:rFonts w:ascii="宋体" w:hAnsi="宋体" w:cs="宋体"/>
                <w:color w:val="auto"/>
                <w:sz w:val="24"/>
                <w:highlight w:val="none"/>
              </w:rPr>
            </w:pPr>
            <w:r>
              <w:rPr>
                <w:rFonts w:hint="eastAsia" w:ascii="宋体" w:hAnsi="宋体" w:cs="宋体"/>
                <w:color w:val="auto"/>
                <w:sz w:val="24"/>
                <w:highlight w:val="none"/>
              </w:rPr>
              <w:t>88525339/13736585303</w:t>
            </w:r>
          </w:p>
        </w:tc>
      </w:tr>
      <w:tr w14:paraId="24ED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224E1FD">
            <w:pPr>
              <w:jc w:val="center"/>
              <w:rPr>
                <w:rFonts w:ascii="宋体" w:hAnsi="宋体" w:cs="宋体"/>
                <w:color w:val="auto"/>
                <w:sz w:val="24"/>
                <w:highlight w:val="none"/>
              </w:rPr>
            </w:pPr>
            <w:r>
              <w:rPr>
                <w:rFonts w:hint="eastAsia" w:ascii="宋体" w:hAnsi="宋体" w:cs="宋体"/>
                <w:color w:val="auto"/>
                <w:sz w:val="24"/>
                <w:highlight w:val="none"/>
              </w:rPr>
              <w:t>中国银行</w:t>
            </w:r>
          </w:p>
        </w:tc>
        <w:tc>
          <w:tcPr>
            <w:tcW w:w="1548" w:type="dxa"/>
            <w:vAlign w:val="center"/>
          </w:tcPr>
          <w:p w14:paraId="717B683C">
            <w:pP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217" w:type="dxa"/>
            <w:vAlign w:val="center"/>
          </w:tcPr>
          <w:p w14:paraId="71148341">
            <w:pPr>
              <w:jc w:val="center"/>
              <w:rPr>
                <w:rFonts w:ascii="宋体" w:hAnsi="宋体" w:cs="宋体"/>
                <w:color w:val="auto"/>
                <w:sz w:val="24"/>
                <w:highlight w:val="none"/>
              </w:rPr>
            </w:pPr>
            <w:r>
              <w:rPr>
                <w:rFonts w:hint="eastAsia" w:ascii="宋体" w:hAnsi="宋体" w:cs="宋体"/>
                <w:color w:val="auto"/>
                <w:sz w:val="24"/>
                <w:highlight w:val="none"/>
              </w:rPr>
              <w:t>任茜</w:t>
            </w:r>
          </w:p>
        </w:tc>
        <w:tc>
          <w:tcPr>
            <w:tcW w:w="2815" w:type="dxa"/>
            <w:vAlign w:val="center"/>
          </w:tcPr>
          <w:p w14:paraId="20E859A6">
            <w:pPr>
              <w:rPr>
                <w:rFonts w:ascii="宋体" w:hAnsi="宋体" w:cs="宋体"/>
                <w:color w:val="auto"/>
                <w:sz w:val="24"/>
                <w:highlight w:val="none"/>
              </w:rPr>
            </w:pPr>
            <w:r>
              <w:rPr>
                <w:rFonts w:hint="eastAsia" w:ascii="宋体" w:hAnsi="宋体" w:cs="宋体"/>
                <w:color w:val="auto"/>
                <w:sz w:val="24"/>
                <w:highlight w:val="none"/>
              </w:rPr>
              <w:t>13857695378</w:t>
            </w:r>
          </w:p>
        </w:tc>
      </w:tr>
      <w:tr w14:paraId="5C37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413CA08">
            <w:pPr>
              <w:jc w:val="center"/>
              <w:rPr>
                <w:rFonts w:ascii="宋体" w:hAnsi="宋体" w:cs="宋体"/>
                <w:color w:val="auto"/>
                <w:sz w:val="24"/>
                <w:highlight w:val="none"/>
              </w:rPr>
            </w:pPr>
            <w:r>
              <w:rPr>
                <w:rFonts w:hint="eastAsia" w:ascii="宋体" w:hAnsi="宋体" w:cs="宋体"/>
                <w:color w:val="auto"/>
                <w:sz w:val="24"/>
                <w:highlight w:val="none"/>
              </w:rPr>
              <w:t>浦发银行台州分行</w:t>
            </w:r>
          </w:p>
        </w:tc>
        <w:tc>
          <w:tcPr>
            <w:tcW w:w="1548" w:type="dxa"/>
            <w:vAlign w:val="center"/>
          </w:tcPr>
          <w:p w14:paraId="10F0F1D2">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217" w:type="dxa"/>
            <w:vAlign w:val="center"/>
          </w:tcPr>
          <w:p w14:paraId="4EB1C911">
            <w:pPr>
              <w:jc w:val="center"/>
              <w:rPr>
                <w:rFonts w:ascii="宋体" w:hAnsi="宋体" w:cs="宋体"/>
                <w:color w:val="auto"/>
                <w:sz w:val="24"/>
                <w:highlight w:val="none"/>
              </w:rPr>
            </w:pPr>
            <w:r>
              <w:rPr>
                <w:rFonts w:hint="eastAsia" w:ascii="宋体" w:hAnsi="宋体" w:cs="宋体"/>
                <w:color w:val="auto"/>
                <w:sz w:val="24"/>
                <w:highlight w:val="none"/>
              </w:rPr>
              <w:t>王渊</w:t>
            </w:r>
          </w:p>
        </w:tc>
        <w:tc>
          <w:tcPr>
            <w:tcW w:w="2815" w:type="dxa"/>
            <w:vAlign w:val="center"/>
          </w:tcPr>
          <w:p w14:paraId="32877892">
            <w:pPr>
              <w:rPr>
                <w:rFonts w:ascii="宋体" w:hAnsi="宋体" w:cs="宋体"/>
                <w:color w:val="auto"/>
                <w:sz w:val="24"/>
                <w:highlight w:val="none"/>
              </w:rPr>
            </w:pPr>
            <w:r>
              <w:rPr>
                <w:rFonts w:hint="eastAsia" w:ascii="宋体" w:hAnsi="宋体" w:cs="宋体"/>
                <w:color w:val="auto"/>
                <w:sz w:val="24"/>
                <w:highlight w:val="none"/>
              </w:rPr>
              <w:t>13616676319</w:t>
            </w:r>
          </w:p>
        </w:tc>
      </w:tr>
      <w:tr w14:paraId="57AC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017732C">
            <w:pPr>
              <w:jc w:val="center"/>
              <w:rPr>
                <w:rFonts w:ascii="宋体" w:hAnsi="宋体" w:cs="宋体"/>
                <w:color w:val="auto"/>
                <w:sz w:val="24"/>
                <w:highlight w:val="none"/>
              </w:rPr>
            </w:pPr>
            <w:r>
              <w:rPr>
                <w:rFonts w:hint="eastAsia" w:ascii="宋体" w:hAnsi="宋体" w:cs="宋体"/>
                <w:color w:val="auto"/>
                <w:sz w:val="24"/>
                <w:highlight w:val="none"/>
              </w:rPr>
              <w:t>浦发银行椒江分行</w:t>
            </w:r>
          </w:p>
        </w:tc>
        <w:tc>
          <w:tcPr>
            <w:tcW w:w="1548" w:type="dxa"/>
            <w:vAlign w:val="center"/>
          </w:tcPr>
          <w:p w14:paraId="77123D76">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217" w:type="dxa"/>
            <w:vAlign w:val="center"/>
          </w:tcPr>
          <w:p w14:paraId="55347EFA">
            <w:pPr>
              <w:jc w:val="center"/>
              <w:rPr>
                <w:rFonts w:ascii="宋体" w:hAnsi="宋体" w:cs="宋体"/>
                <w:color w:val="auto"/>
                <w:sz w:val="24"/>
                <w:highlight w:val="none"/>
              </w:rPr>
            </w:pPr>
            <w:r>
              <w:rPr>
                <w:rFonts w:hint="eastAsia" w:ascii="宋体" w:hAnsi="宋体" w:cs="宋体"/>
                <w:color w:val="auto"/>
                <w:sz w:val="24"/>
                <w:highlight w:val="none"/>
              </w:rPr>
              <w:t>孙瑞华</w:t>
            </w:r>
          </w:p>
        </w:tc>
        <w:tc>
          <w:tcPr>
            <w:tcW w:w="2815" w:type="dxa"/>
            <w:vAlign w:val="center"/>
          </w:tcPr>
          <w:p w14:paraId="7DE8FF77">
            <w:pPr>
              <w:rPr>
                <w:rFonts w:ascii="宋体" w:hAnsi="宋体" w:cs="宋体"/>
                <w:color w:val="auto"/>
                <w:sz w:val="24"/>
                <w:highlight w:val="none"/>
              </w:rPr>
            </w:pPr>
            <w:r>
              <w:rPr>
                <w:rFonts w:hint="eastAsia" w:ascii="宋体" w:hAnsi="宋体" w:cs="宋体"/>
                <w:color w:val="auto"/>
                <w:sz w:val="24"/>
                <w:highlight w:val="none"/>
              </w:rPr>
              <w:t>13857688081</w:t>
            </w:r>
          </w:p>
        </w:tc>
      </w:tr>
      <w:tr w14:paraId="2862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5A43FC3">
            <w:pPr>
              <w:jc w:val="center"/>
              <w:rPr>
                <w:rFonts w:ascii="宋体" w:hAnsi="宋体" w:cs="宋体"/>
                <w:color w:val="auto"/>
                <w:sz w:val="24"/>
                <w:highlight w:val="none"/>
              </w:rPr>
            </w:pPr>
            <w:r>
              <w:rPr>
                <w:rFonts w:hint="eastAsia" w:ascii="宋体" w:hAnsi="宋体" w:cs="宋体"/>
                <w:color w:val="auto"/>
                <w:sz w:val="24"/>
                <w:highlight w:val="none"/>
              </w:rPr>
              <w:t>交通银行台州分行</w:t>
            </w:r>
          </w:p>
        </w:tc>
        <w:tc>
          <w:tcPr>
            <w:tcW w:w="1548" w:type="dxa"/>
            <w:vAlign w:val="center"/>
          </w:tcPr>
          <w:p w14:paraId="3D6F49A2">
            <w:pPr>
              <w:jc w:val="center"/>
              <w:rPr>
                <w:rFonts w:ascii="宋体" w:hAnsi="宋体" w:cs="宋体"/>
                <w:color w:val="auto"/>
                <w:sz w:val="24"/>
                <w:highlight w:val="none"/>
              </w:rPr>
            </w:pPr>
            <w:r>
              <w:rPr>
                <w:rFonts w:hint="eastAsia" w:ascii="宋体" w:hAnsi="宋体" w:cs="宋体"/>
                <w:color w:val="auto"/>
                <w:sz w:val="24"/>
                <w:highlight w:val="none"/>
              </w:rPr>
              <w:t>3.75%起</w:t>
            </w:r>
          </w:p>
        </w:tc>
        <w:tc>
          <w:tcPr>
            <w:tcW w:w="1217" w:type="dxa"/>
            <w:vAlign w:val="center"/>
          </w:tcPr>
          <w:p w14:paraId="4BBC20A1">
            <w:pPr>
              <w:jc w:val="center"/>
              <w:rPr>
                <w:rFonts w:ascii="宋体" w:hAnsi="宋体" w:cs="宋体"/>
                <w:color w:val="auto"/>
                <w:sz w:val="24"/>
                <w:highlight w:val="none"/>
              </w:rPr>
            </w:pPr>
            <w:r>
              <w:rPr>
                <w:rFonts w:hint="eastAsia" w:ascii="宋体" w:hAnsi="宋体" w:cs="宋体"/>
                <w:color w:val="auto"/>
                <w:sz w:val="24"/>
                <w:highlight w:val="none"/>
              </w:rPr>
              <w:t>周翔宇</w:t>
            </w:r>
          </w:p>
        </w:tc>
        <w:tc>
          <w:tcPr>
            <w:tcW w:w="2815" w:type="dxa"/>
            <w:vAlign w:val="center"/>
          </w:tcPr>
          <w:p w14:paraId="5B700A8D">
            <w:pPr>
              <w:rPr>
                <w:rFonts w:ascii="宋体" w:hAnsi="宋体" w:cs="宋体"/>
                <w:color w:val="auto"/>
                <w:sz w:val="24"/>
                <w:highlight w:val="none"/>
              </w:rPr>
            </w:pPr>
            <w:r>
              <w:rPr>
                <w:rFonts w:hint="eastAsia" w:ascii="宋体" w:hAnsi="宋体" w:cs="宋体"/>
                <w:color w:val="auto"/>
                <w:sz w:val="24"/>
                <w:highlight w:val="none"/>
              </w:rPr>
              <w:t>13867697018</w:t>
            </w:r>
          </w:p>
        </w:tc>
      </w:tr>
      <w:tr w14:paraId="027D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36D65D7">
            <w:pPr>
              <w:jc w:val="center"/>
              <w:rPr>
                <w:rFonts w:ascii="宋体" w:hAnsi="宋体" w:cs="宋体"/>
                <w:color w:val="auto"/>
                <w:sz w:val="24"/>
                <w:highlight w:val="none"/>
              </w:rPr>
            </w:pPr>
            <w:r>
              <w:rPr>
                <w:rFonts w:hint="eastAsia" w:ascii="宋体" w:hAnsi="宋体" w:cs="宋体"/>
                <w:color w:val="auto"/>
                <w:sz w:val="24"/>
                <w:highlight w:val="none"/>
              </w:rPr>
              <w:t>招商银行台州分行</w:t>
            </w:r>
          </w:p>
        </w:tc>
        <w:tc>
          <w:tcPr>
            <w:tcW w:w="1548" w:type="dxa"/>
            <w:vAlign w:val="center"/>
          </w:tcPr>
          <w:p w14:paraId="71B5C5E8">
            <w:pPr>
              <w:jc w:val="center"/>
              <w:rPr>
                <w:rFonts w:ascii="宋体" w:hAnsi="宋体" w:cs="宋体"/>
                <w:color w:val="auto"/>
                <w:sz w:val="24"/>
                <w:highlight w:val="none"/>
              </w:rPr>
            </w:pPr>
            <w:r>
              <w:rPr>
                <w:rFonts w:hint="eastAsia" w:ascii="宋体" w:hAnsi="宋体" w:cs="宋体"/>
                <w:color w:val="auto"/>
                <w:sz w:val="24"/>
                <w:highlight w:val="none"/>
              </w:rPr>
              <w:t>4.32%起</w:t>
            </w:r>
          </w:p>
        </w:tc>
        <w:tc>
          <w:tcPr>
            <w:tcW w:w="1217" w:type="dxa"/>
            <w:vAlign w:val="center"/>
          </w:tcPr>
          <w:p w14:paraId="02D3E9AA">
            <w:pPr>
              <w:jc w:val="center"/>
              <w:rPr>
                <w:rFonts w:ascii="宋体" w:hAnsi="宋体" w:cs="宋体"/>
                <w:color w:val="auto"/>
                <w:sz w:val="24"/>
                <w:highlight w:val="none"/>
              </w:rPr>
            </w:pPr>
            <w:r>
              <w:rPr>
                <w:rFonts w:hint="eastAsia" w:ascii="宋体" w:hAnsi="宋体" w:cs="宋体"/>
                <w:color w:val="auto"/>
                <w:sz w:val="24"/>
                <w:highlight w:val="none"/>
              </w:rPr>
              <w:t>王海玲</w:t>
            </w:r>
          </w:p>
        </w:tc>
        <w:tc>
          <w:tcPr>
            <w:tcW w:w="2815" w:type="dxa"/>
            <w:vAlign w:val="center"/>
          </w:tcPr>
          <w:p w14:paraId="408075F1">
            <w:pPr>
              <w:rPr>
                <w:rFonts w:ascii="宋体" w:hAnsi="宋体" w:cs="宋体"/>
                <w:color w:val="auto"/>
                <w:sz w:val="24"/>
                <w:highlight w:val="none"/>
              </w:rPr>
            </w:pPr>
            <w:r>
              <w:rPr>
                <w:rFonts w:hint="eastAsia" w:ascii="宋体" w:hAnsi="宋体" w:cs="宋体"/>
                <w:color w:val="auto"/>
                <w:sz w:val="24"/>
                <w:highlight w:val="none"/>
              </w:rPr>
              <w:t>13566413827</w:t>
            </w:r>
          </w:p>
        </w:tc>
      </w:tr>
      <w:tr w14:paraId="206A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425D2151">
            <w:pPr>
              <w:jc w:val="center"/>
              <w:rPr>
                <w:rFonts w:ascii="宋体" w:hAnsi="宋体" w:cs="宋体"/>
                <w:color w:val="auto"/>
                <w:sz w:val="24"/>
                <w:highlight w:val="none"/>
              </w:rPr>
            </w:pPr>
            <w:r>
              <w:rPr>
                <w:rFonts w:hint="eastAsia" w:ascii="宋体" w:hAnsi="宋体" w:cs="宋体"/>
                <w:color w:val="auto"/>
                <w:sz w:val="24"/>
                <w:highlight w:val="none"/>
              </w:rPr>
              <w:t>浙商银行台州分行</w:t>
            </w:r>
          </w:p>
        </w:tc>
        <w:tc>
          <w:tcPr>
            <w:tcW w:w="1548" w:type="dxa"/>
            <w:vAlign w:val="center"/>
          </w:tcPr>
          <w:p w14:paraId="2C4D1B37">
            <w:pPr>
              <w:jc w:val="center"/>
              <w:rPr>
                <w:rFonts w:ascii="宋体" w:hAnsi="宋体" w:cs="宋体"/>
                <w:color w:val="auto"/>
                <w:sz w:val="24"/>
                <w:highlight w:val="none"/>
              </w:rPr>
            </w:pPr>
            <w:r>
              <w:rPr>
                <w:rFonts w:hint="eastAsia" w:ascii="宋体" w:hAnsi="宋体" w:cs="宋体"/>
                <w:color w:val="auto"/>
                <w:sz w:val="24"/>
                <w:highlight w:val="none"/>
              </w:rPr>
              <w:t>5.01%起</w:t>
            </w:r>
          </w:p>
        </w:tc>
        <w:tc>
          <w:tcPr>
            <w:tcW w:w="1217" w:type="dxa"/>
            <w:vAlign w:val="center"/>
          </w:tcPr>
          <w:p w14:paraId="03B2873F">
            <w:pPr>
              <w:jc w:val="center"/>
              <w:rPr>
                <w:rFonts w:ascii="宋体" w:hAnsi="宋体" w:cs="宋体"/>
                <w:color w:val="auto"/>
                <w:sz w:val="24"/>
                <w:highlight w:val="none"/>
              </w:rPr>
            </w:pPr>
            <w:r>
              <w:rPr>
                <w:rFonts w:hint="eastAsia" w:ascii="宋体" w:hAnsi="宋体" w:cs="宋体"/>
                <w:color w:val="auto"/>
                <w:sz w:val="24"/>
                <w:highlight w:val="none"/>
              </w:rPr>
              <w:t>章涉漪</w:t>
            </w:r>
          </w:p>
        </w:tc>
        <w:tc>
          <w:tcPr>
            <w:tcW w:w="2815" w:type="dxa"/>
            <w:vAlign w:val="center"/>
          </w:tcPr>
          <w:p w14:paraId="423E015F">
            <w:pPr>
              <w:rPr>
                <w:rFonts w:ascii="宋体" w:hAnsi="宋体" w:cs="宋体"/>
                <w:color w:val="auto"/>
                <w:sz w:val="24"/>
                <w:highlight w:val="none"/>
              </w:rPr>
            </w:pPr>
            <w:r>
              <w:rPr>
                <w:rFonts w:hint="eastAsia" w:ascii="宋体" w:hAnsi="宋体" w:cs="宋体"/>
                <w:color w:val="auto"/>
                <w:sz w:val="24"/>
                <w:highlight w:val="none"/>
              </w:rPr>
              <w:t>81880185/13606681262</w:t>
            </w:r>
          </w:p>
        </w:tc>
      </w:tr>
      <w:tr w14:paraId="1312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A20D76D">
            <w:pPr>
              <w:jc w:val="center"/>
              <w:rPr>
                <w:rFonts w:ascii="宋体" w:hAnsi="宋体" w:cs="宋体"/>
                <w:color w:val="auto"/>
                <w:sz w:val="24"/>
                <w:highlight w:val="none"/>
              </w:rPr>
            </w:pPr>
            <w:r>
              <w:rPr>
                <w:rFonts w:hint="eastAsia" w:ascii="宋体" w:hAnsi="宋体" w:cs="宋体"/>
                <w:color w:val="auto"/>
                <w:sz w:val="24"/>
                <w:highlight w:val="none"/>
              </w:rPr>
              <w:t>中信银行台州分行</w:t>
            </w:r>
          </w:p>
        </w:tc>
        <w:tc>
          <w:tcPr>
            <w:tcW w:w="1548" w:type="dxa"/>
            <w:vAlign w:val="center"/>
          </w:tcPr>
          <w:p w14:paraId="338FE737">
            <w:pPr>
              <w:jc w:val="center"/>
              <w:rPr>
                <w:rFonts w:ascii="宋体" w:hAnsi="宋体" w:cs="宋体"/>
                <w:color w:val="auto"/>
                <w:sz w:val="24"/>
                <w:highlight w:val="none"/>
              </w:rPr>
            </w:pPr>
            <w:r>
              <w:rPr>
                <w:rFonts w:hint="eastAsia" w:ascii="宋体" w:hAnsi="宋体" w:cs="宋体"/>
                <w:color w:val="auto"/>
                <w:sz w:val="24"/>
                <w:highlight w:val="none"/>
              </w:rPr>
              <w:t>4.15%起</w:t>
            </w:r>
          </w:p>
        </w:tc>
        <w:tc>
          <w:tcPr>
            <w:tcW w:w="1217" w:type="dxa"/>
            <w:vAlign w:val="center"/>
          </w:tcPr>
          <w:p w14:paraId="0C9B1805">
            <w:pPr>
              <w:jc w:val="center"/>
              <w:rPr>
                <w:rFonts w:ascii="宋体" w:hAnsi="宋体" w:cs="宋体"/>
                <w:color w:val="auto"/>
                <w:sz w:val="24"/>
                <w:highlight w:val="none"/>
              </w:rPr>
            </w:pPr>
            <w:r>
              <w:rPr>
                <w:rFonts w:hint="eastAsia" w:ascii="宋体" w:hAnsi="宋体" w:cs="宋体"/>
                <w:color w:val="auto"/>
                <w:sz w:val="24"/>
                <w:highlight w:val="none"/>
              </w:rPr>
              <w:t>陈金园</w:t>
            </w:r>
          </w:p>
        </w:tc>
        <w:tc>
          <w:tcPr>
            <w:tcW w:w="2815" w:type="dxa"/>
            <w:vAlign w:val="center"/>
          </w:tcPr>
          <w:p w14:paraId="4CF323C7">
            <w:pPr>
              <w:rPr>
                <w:rFonts w:ascii="宋体" w:hAnsi="宋体" w:cs="宋体"/>
                <w:color w:val="auto"/>
                <w:sz w:val="24"/>
                <w:highlight w:val="none"/>
              </w:rPr>
            </w:pPr>
            <w:r>
              <w:rPr>
                <w:rFonts w:hint="eastAsia" w:ascii="宋体" w:hAnsi="宋体" w:cs="宋体"/>
                <w:color w:val="auto"/>
                <w:sz w:val="24"/>
                <w:highlight w:val="none"/>
              </w:rPr>
              <w:t>13586052161</w:t>
            </w:r>
          </w:p>
        </w:tc>
      </w:tr>
      <w:tr w14:paraId="6577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EC50E90">
            <w:pPr>
              <w:jc w:val="center"/>
              <w:rPr>
                <w:rFonts w:ascii="宋体" w:hAnsi="宋体" w:cs="宋体"/>
                <w:color w:val="auto"/>
                <w:sz w:val="24"/>
                <w:highlight w:val="none"/>
              </w:rPr>
            </w:pPr>
            <w:r>
              <w:rPr>
                <w:rFonts w:hint="eastAsia" w:ascii="宋体" w:hAnsi="宋体" w:cs="宋体"/>
                <w:color w:val="auto"/>
                <w:sz w:val="24"/>
                <w:highlight w:val="none"/>
              </w:rPr>
              <w:t>华夏银行台州分行</w:t>
            </w:r>
          </w:p>
        </w:tc>
        <w:tc>
          <w:tcPr>
            <w:tcW w:w="1548" w:type="dxa"/>
            <w:vAlign w:val="center"/>
          </w:tcPr>
          <w:p w14:paraId="61517949">
            <w:pPr>
              <w:jc w:val="center"/>
              <w:rPr>
                <w:rFonts w:ascii="宋体" w:hAnsi="宋体" w:cs="宋体"/>
                <w:color w:val="auto"/>
                <w:sz w:val="24"/>
                <w:highlight w:val="none"/>
              </w:rPr>
            </w:pPr>
            <w:r>
              <w:rPr>
                <w:rFonts w:hint="eastAsia" w:ascii="宋体" w:hAnsi="宋体" w:cs="宋体"/>
                <w:color w:val="auto"/>
                <w:sz w:val="24"/>
                <w:highlight w:val="none"/>
              </w:rPr>
              <w:t>4.5%起</w:t>
            </w:r>
          </w:p>
        </w:tc>
        <w:tc>
          <w:tcPr>
            <w:tcW w:w="1217" w:type="dxa"/>
            <w:vAlign w:val="center"/>
          </w:tcPr>
          <w:p w14:paraId="1D405597">
            <w:pPr>
              <w:jc w:val="center"/>
              <w:rPr>
                <w:rFonts w:ascii="宋体" w:hAnsi="宋体" w:cs="宋体"/>
                <w:color w:val="auto"/>
                <w:sz w:val="24"/>
                <w:highlight w:val="none"/>
              </w:rPr>
            </w:pPr>
            <w:r>
              <w:rPr>
                <w:rFonts w:hint="eastAsia" w:ascii="宋体" w:hAnsi="宋体" w:cs="宋体"/>
                <w:color w:val="auto"/>
                <w:sz w:val="24"/>
                <w:highlight w:val="none"/>
              </w:rPr>
              <w:t>邱明达</w:t>
            </w:r>
          </w:p>
        </w:tc>
        <w:tc>
          <w:tcPr>
            <w:tcW w:w="2815" w:type="dxa"/>
            <w:vAlign w:val="center"/>
          </w:tcPr>
          <w:p w14:paraId="55DE3B63">
            <w:pPr>
              <w:rPr>
                <w:rFonts w:ascii="宋体" w:hAnsi="宋体" w:cs="宋体"/>
                <w:color w:val="auto"/>
                <w:sz w:val="24"/>
                <w:highlight w:val="none"/>
              </w:rPr>
            </w:pPr>
            <w:r>
              <w:rPr>
                <w:rFonts w:hint="eastAsia" w:ascii="宋体" w:hAnsi="宋体" w:cs="宋体"/>
                <w:color w:val="auto"/>
                <w:sz w:val="24"/>
                <w:highlight w:val="none"/>
              </w:rPr>
              <w:t>81871518/13736252233</w:t>
            </w:r>
          </w:p>
        </w:tc>
      </w:tr>
      <w:tr w14:paraId="311E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F3B041C">
            <w:pPr>
              <w:jc w:val="center"/>
              <w:rPr>
                <w:rFonts w:ascii="宋体" w:hAnsi="宋体" w:cs="宋体"/>
                <w:color w:val="auto"/>
                <w:sz w:val="24"/>
                <w:highlight w:val="none"/>
              </w:rPr>
            </w:pPr>
            <w:r>
              <w:rPr>
                <w:rFonts w:hint="eastAsia" w:ascii="宋体" w:hAnsi="宋体" w:cs="宋体"/>
                <w:color w:val="auto"/>
                <w:sz w:val="24"/>
                <w:highlight w:val="none"/>
              </w:rPr>
              <w:t>泰隆银行开发区支行</w:t>
            </w:r>
          </w:p>
        </w:tc>
        <w:tc>
          <w:tcPr>
            <w:tcW w:w="1548" w:type="dxa"/>
            <w:vAlign w:val="center"/>
          </w:tcPr>
          <w:p w14:paraId="55CC7411">
            <w:pPr>
              <w:jc w:val="center"/>
              <w:rPr>
                <w:rFonts w:ascii="宋体" w:hAnsi="宋体" w:cs="宋体"/>
                <w:color w:val="auto"/>
                <w:sz w:val="24"/>
                <w:highlight w:val="none"/>
              </w:rPr>
            </w:pPr>
            <w:r>
              <w:rPr>
                <w:rFonts w:hint="eastAsia" w:ascii="宋体" w:hAnsi="宋体" w:cs="宋体"/>
                <w:color w:val="auto"/>
                <w:sz w:val="24"/>
                <w:highlight w:val="none"/>
              </w:rPr>
              <w:t>5.6%起</w:t>
            </w:r>
          </w:p>
        </w:tc>
        <w:tc>
          <w:tcPr>
            <w:tcW w:w="1217" w:type="dxa"/>
            <w:vAlign w:val="center"/>
          </w:tcPr>
          <w:p w14:paraId="2CA06AC8">
            <w:pPr>
              <w:jc w:val="center"/>
              <w:rPr>
                <w:rFonts w:ascii="宋体" w:hAnsi="宋体" w:cs="宋体"/>
                <w:color w:val="auto"/>
                <w:sz w:val="24"/>
                <w:highlight w:val="none"/>
              </w:rPr>
            </w:pPr>
            <w:r>
              <w:rPr>
                <w:rFonts w:hint="eastAsia" w:ascii="宋体" w:hAnsi="宋体" w:cs="宋体"/>
                <w:color w:val="auto"/>
                <w:sz w:val="24"/>
                <w:highlight w:val="none"/>
              </w:rPr>
              <w:t>梁宛莉</w:t>
            </w:r>
          </w:p>
        </w:tc>
        <w:tc>
          <w:tcPr>
            <w:tcW w:w="2815" w:type="dxa"/>
            <w:vAlign w:val="center"/>
          </w:tcPr>
          <w:p w14:paraId="76AAA1BD">
            <w:pPr>
              <w:rPr>
                <w:rFonts w:ascii="宋体" w:hAnsi="宋体" w:cs="宋体"/>
                <w:color w:val="auto"/>
                <w:sz w:val="24"/>
                <w:highlight w:val="none"/>
              </w:rPr>
            </w:pPr>
            <w:r>
              <w:rPr>
                <w:rFonts w:hint="eastAsia" w:ascii="宋体" w:hAnsi="宋体" w:cs="宋体"/>
                <w:color w:val="auto"/>
                <w:sz w:val="24"/>
                <w:highlight w:val="none"/>
              </w:rPr>
              <w:t>13306869100</w:t>
            </w:r>
          </w:p>
        </w:tc>
      </w:tr>
      <w:tr w14:paraId="7F4C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C3560CB">
            <w:pPr>
              <w:jc w:val="center"/>
              <w:rPr>
                <w:rFonts w:ascii="宋体" w:hAnsi="宋体" w:cs="宋体"/>
                <w:color w:val="auto"/>
                <w:sz w:val="24"/>
                <w:highlight w:val="none"/>
              </w:rPr>
            </w:pPr>
            <w:r>
              <w:rPr>
                <w:rFonts w:hint="eastAsia" w:ascii="宋体" w:hAnsi="宋体" w:cs="宋体"/>
                <w:color w:val="auto"/>
                <w:sz w:val="24"/>
                <w:highlight w:val="none"/>
              </w:rPr>
              <w:t>民泰银行椒江支行</w:t>
            </w:r>
          </w:p>
        </w:tc>
        <w:tc>
          <w:tcPr>
            <w:tcW w:w="1548" w:type="dxa"/>
            <w:vAlign w:val="center"/>
          </w:tcPr>
          <w:p w14:paraId="7D7B6FC1">
            <w:pPr>
              <w:jc w:val="center"/>
              <w:rPr>
                <w:rFonts w:ascii="宋体" w:hAnsi="宋体" w:cs="宋体"/>
                <w:color w:val="auto"/>
                <w:sz w:val="24"/>
                <w:highlight w:val="none"/>
              </w:rPr>
            </w:pPr>
            <w:r>
              <w:rPr>
                <w:rFonts w:hint="eastAsia" w:ascii="宋体" w:hAnsi="宋体" w:cs="宋体"/>
                <w:color w:val="auto"/>
                <w:sz w:val="24"/>
                <w:highlight w:val="none"/>
              </w:rPr>
              <w:t>5.8%起</w:t>
            </w:r>
          </w:p>
        </w:tc>
        <w:tc>
          <w:tcPr>
            <w:tcW w:w="1217" w:type="dxa"/>
            <w:vAlign w:val="center"/>
          </w:tcPr>
          <w:p w14:paraId="1A9D06B6">
            <w:pPr>
              <w:jc w:val="center"/>
              <w:rPr>
                <w:rFonts w:ascii="宋体" w:hAnsi="宋体" w:cs="宋体"/>
                <w:color w:val="auto"/>
                <w:sz w:val="24"/>
                <w:highlight w:val="none"/>
              </w:rPr>
            </w:pPr>
            <w:r>
              <w:rPr>
                <w:rFonts w:hint="eastAsia" w:ascii="宋体" w:hAnsi="宋体" w:cs="宋体"/>
                <w:color w:val="auto"/>
                <w:sz w:val="24"/>
                <w:highlight w:val="none"/>
              </w:rPr>
              <w:t>陈慧珠</w:t>
            </w:r>
          </w:p>
        </w:tc>
        <w:tc>
          <w:tcPr>
            <w:tcW w:w="2815" w:type="dxa"/>
            <w:vAlign w:val="center"/>
          </w:tcPr>
          <w:p w14:paraId="3CFE5D87">
            <w:pPr>
              <w:rPr>
                <w:rFonts w:ascii="宋体" w:hAnsi="宋体" w:cs="宋体"/>
                <w:color w:val="auto"/>
                <w:sz w:val="24"/>
                <w:highlight w:val="none"/>
              </w:rPr>
            </w:pPr>
            <w:r>
              <w:rPr>
                <w:rFonts w:hint="eastAsia" w:ascii="宋体" w:hAnsi="宋体" w:cs="宋体"/>
                <w:color w:val="auto"/>
                <w:sz w:val="24"/>
                <w:highlight w:val="none"/>
              </w:rPr>
              <w:t>13857699669</w:t>
            </w:r>
          </w:p>
        </w:tc>
      </w:tr>
      <w:tr w14:paraId="63D6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10F0C596">
            <w:pPr>
              <w:jc w:val="center"/>
              <w:rPr>
                <w:rFonts w:ascii="宋体" w:hAnsi="宋体" w:cs="宋体"/>
                <w:color w:val="auto"/>
                <w:sz w:val="24"/>
                <w:highlight w:val="none"/>
              </w:rPr>
            </w:pPr>
            <w:r>
              <w:rPr>
                <w:rFonts w:hint="eastAsia" w:ascii="宋体" w:hAnsi="宋体" w:cs="宋体"/>
                <w:color w:val="auto"/>
                <w:sz w:val="24"/>
                <w:highlight w:val="none"/>
              </w:rPr>
              <w:t>绍兴银行台州分行</w:t>
            </w:r>
          </w:p>
        </w:tc>
        <w:tc>
          <w:tcPr>
            <w:tcW w:w="1548" w:type="dxa"/>
            <w:vAlign w:val="center"/>
          </w:tcPr>
          <w:p w14:paraId="53A71FC8">
            <w:pPr>
              <w:jc w:val="center"/>
              <w:rPr>
                <w:rFonts w:ascii="宋体" w:hAnsi="宋体" w:cs="宋体"/>
                <w:color w:val="auto"/>
                <w:sz w:val="24"/>
                <w:highlight w:val="none"/>
              </w:rPr>
            </w:pPr>
            <w:r>
              <w:rPr>
                <w:rFonts w:hint="eastAsia" w:ascii="宋体" w:hAnsi="宋体" w:cs="宋体"/>
                <w:color w:val="auto"/>
                <w:sz w:val="24"/>
                <w:highlight w:val="none"/>
              </w:rPr>
              <w:t>5.1%起</w:t>
            </w:r>
          </w:p>
        </w:tc>
        <w:tc>
          <w:tcPr>
            <w:tcW w:w="1217" w:type="dxa"/>
            <w:vAlign w:val="center"/>
          </w:tcPr>
          <w:p w14:paraId="000C930A">
            <w:pPr>
              <w:jc w:val="center"/>
              <w:rPr>
                <w:rFonts w:ascii="宋体" w:hAnsi="宋体" w:cs="宋体"/>
                <w:color w:val="auto"/>
                <w:sz w:val="24"/>
                <w:highlight w:val="none"/>
              </w:rPr>
            </w:pPr>
            <w:r>
              <w:rPr>
                <w:rFonts w:hint="eastAsia" w:ascii="宋体" w:hAnsi="宋体" w:cs="宋体"/>
                <w:color w:val="auto"/>
                <w:sz w:val="24"/>
                <w:highlight w:val="none"/>
              </w:rPr>
              <w:t>郭庭斌</w:t>
            </w:r>
          </w:p>
        </w:tc>
        <w:tc>
          <w:tcPr>
            <w:tcW w:w="2815" w:type="dxa"/>
            <w:vAlign w:val="center"/>
          </w:tcPr>
          <w:p w14:paraId="345B06FC">
            <w:pPr>
              <w:rPr>
                <w:rFonts w:ascii="宋体" w:hAnsi="宋体" w:cs="宋体"/>
                <w:color w:val="auto"/>
                <w:sz w:val="24"/>
                <w:highlight w:val="none"/>
              </w:rPr>
            </w:pPr>
            <w:r>
              <w:rPr>
                <w:rFonts w:hint="eastAsia" w:ascii="宋体" w:hAnsi="宋体" w:cs="宋体"/>
                <w:color w:val="auto"/>
                <w:sz w:val="24"/>
                <w:highlight w:val="none"/>
              </w:rPr>
              <w:t>15958633119</w:t>
            </w:r>
          </w:p>
        </w:tc>
      </w:tr>
      <w:tr w14:paraId="4028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26E0872B">
            <w:pPr>
              <w:jc w:val="center"/>
              <w:rPr>
                <w:rFonts w:ascii="宋体" w:hAnsi="宋体" w:cs="宋体"/>
                <w:color w:val="auto"/>
                <w:sz w:val="24"/>
                <w:highlight w:val="none"/>
              </w:rPr>
            </w:pPr>
            <w:r>
              <w:rPr>
                <w:rFonts w:hint="eastAsia" w:ascii="宋体" w:hAnsi="宋体" w:cs="宋体"/>
                <w:color w:val="auto"/>
                <w:sz w:val="24"/>
                <w:highlight w:val="none"/>
              </w:rPr>
              <w:t>温州银行台州分行</w:t>
            </w:r>
          </w:p>
        </w:tc>
        <w:tc>
          <w:tcPr>
            <w:tcW w:w="1548" w:type="dxa"/>
            <w:vAlign w:val="center"/>
          </w:tcPr>
          <w:p w14:paraId="74706443">
            <w:pPr>
              <w:jc w:val="center"/>
              <w:rPr>
                <w:rFonts w:ascii="宋体" w:hAnsi="宋体" w:cs="宋体"/>
                <w:color w:val="auto"/>
                <w:sz w:val="24"/>
                <w:highlight w:val="none"/>
              </w:rPr>
            </w:pPr>
            <w:r>
              <w:rPr>
                <w:rFonts w:hint="eastAsia" w:ascii="宋体" w:hAnsi="宋体" w:cs="宋体"/>
                <w:color w:val="auto"/>
                <w:sz w:val="24"/>
                <w:highlight w:val="none"/>
              </w:rPr>
              <w:t>4.55%起</w:t>
            </w:r>
          </w:p>
        </w:tc>
        <w:tc>
          <w:tcPr>
            <w:tcW w:w="1217" w:type="dxa"/>
            <w:vAlign w:val="center"/>
          </w:tcPr>
          <w:p w14:paraId="03A7A3E9">
            <w:pPr>
              <w:jc w:val="center"/>
              <w:rPr>
                <w:rFonts w:ascii="宋体" w:hAnsi="宋体" w:cs="宋体"/>
                <w:color w:val="auto"/>
                <w:sz w:val="24"/>
                <w:highlight w:val="none"/>
              </w:rPr>
            </w:pPr>
            <w:r>
              <w:rPr>
                <w:rFonts w:hint="eastAsia" w:ascii="宋体" w:hAnsi="宋体" w:cs="宋体"/>
                <w:color w:val="auto"/>
                <w:sz w:val="24"/>
                <w:highlight w:val="none"/>
              </w:rPr>
              <w:t>王晓波</w:t>
            </w:r>
          </w:p>
        </w:tc>
        <w:tc>
          <w:tcPr>
            <w:tcW w:w="2815" w:type="dxa"/>
            <w:vAlign w:val="center"/>
          </w:tcPr>
          <w:p w14:paraId="30CE8D17">
            <w:pPr>
              <w:rPr>
                <w:rFonts w:ascii="宋体" w:hAnsi="宋体" w:cs="宋体"/>
                <w:color w:val="auto"/>
                <w:sz w:val="24"/>
                <w:highlight w:val="none"/>
              </w:rPr>
            </w:pPr>
            <w:r>
              <w:rPr>
                <w:rFonts w:hint="eastAsia" w:ascii="宋体" w:hAnsi="宋体" w:cs="宋体"/>
                <w:color w:val="auto"/>
                <w:sz w:val="24"/>
                <w:highlight w:val="none"/>
              </w:rPr>
              <w:t>15824005475</w:t>
            </w:r>
          </w:p>
        </w:tc>
      </w:tr>
      <w:tr w14:paraId="2A72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79D71766">
            <w:pPr>
              <w:jc w:val="center"/>
              <w:rPr>
                <w:rFonts w:ascii="宋体" w:hAnsi="宋体" w:cs="宋体"/>
                <w:color w:val="auto"/>
                <w:sz w:val="24"/>
                <w:highlight w:val="none"/>
              </w:rPr>
            </w:pPr>
            <w:r>
              <w:rPr>
                <w:rFonts w:hint="eastAsia" w:ascii="宋体" w:hAnsi="宋体" w:cs="宋体"/>
                <w:color w:val="auto"/>
                <w:sz w:val="24"/>
                <w:highlight w:val="none"/>
              </w:rPr>
              <w:t>平安银行台州分行</w:t>
            </w:r>
          </w:p>
        </w:tc>
        <w:tc>
          <w:tcPr>
            <w:tcW w:w="1548" w:type="dxa"/>
            <w:vAlign w:val="center"/>
          </w:tcPr>
          <w:p w14:paraId="58D02AD6">
            <w:pPr>
              <w:jc w:val="center"/>
              <w:rPr>
                <w:rFonts w:ascii="宋体" w:hAnsi="宋体" w:cs="宋体"/>
                <w:color w:val="auto"/>
                <w:sz w:val="24"/>
                <w:highlight w:val="none"/>
              </w:rPr>
            </w:pPr>
            <w:r>
              <w:rPr>
                <w:rFonts w:hint="eastAsia" w:ascii="宋体" w:hAnsi="宋体" w:cs="宋体"/>
                <w:color w:val="auto"/>
                <w:sz w:val="24"/>
                <w:highlight w:val="none"/>
              </w:rPr>
              <w:t>6.53%起</w:t>
            </w:r>
          </w:p>
        </w:tc>
        <w:tc>
          <w:tcPr>
            <w:tcW w:w="1217" w:type="dxa"/>
            <w:vAlign w:val="center"/>
          </w:tcPr>
          <w:p w14:paraId="23604024">
            <w:pPr>
              <w:jc w:val="center"/>
              <w:rPr>
                <w:rFonts w:ascii="宋体" w:hAnsi="宋体" w:cs="宋体"/>
                <w:color w:val="auto"/>
                <w:sz w:val="24"/>
                <w:highlight w:val="none"/>
              </w:rPr>
            </w:pPr>
            <w:r>
              <w:rPr>
                <w:rFonts w:hint="eastAsia" w:ascii="宋体" w:hAnsi="宋体" w:cs="宋体"/>
                <w:color w:val="auto"/>
                <w:sz w:val="24"/>
                <w:highlight w:val="none"/>
              </w:rPr>
              <w:t>李俊丽</w:t>
            </w:r>
          </w:p>
        </w:tc>
        <w:tc>
          <w:tcPr>
            <w:tcW w:w="2815" w:type="dxa"/>
            <w:vAlign w:val="center"/>
          </w:tcPr>
          <w:p w14:paraId="064728C9">
            <w:pPr>
              <w:rPr>
                <w:rFonts w:ascii="宋体" w:hAnsi="宋体" w:cs="宋体"/>
                <w:color w:val="auto"/>
                <w:sz w:val="24"/>
                <w:highlight w:val="none"/>
              </w:rPr>
            </w:pPr>
            <w:r>
              <w:rPr>
                <w:rFonts w:hint="eastAsia" w:ascii="宋体" w:hAnsi="宋体" w:cs="宋体"/>
                <w:color w:val="auto"/>
                <w:sz w:val="24"/>
                <w:highlight w:val="none"/>
              </w:rPr>
              <w:t>15906861025</w:t>
            </w:r>
          </w:p>
        </w:tc>
      </w:tr>
      <w:tr w14:paraId="4F3D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97F2977">
            <w:pPr>
              <w:jc w:val="center"/>
              <w:rPr>
                <w:rFonts w:ascii="宋体" w:hAnsi="宋体" w:cs="宋体"/>
                <w:color w:val="auto"/>
                <w:sz w:val="24"/>
                <w:highlight w:val="none"/>
              </w:rPr>
            </w:pPr>
            <w:r>
              <w:rPr>
                <w:rFonts w:hint="eastAsia" w:ascii="宋体" w:hAnsi="宋体" w:cs="宋体"/>
                <w:color w:val="auto"/>
                <w:sz w:val="24"/>
                <w:highlight w:val="none"/>
              </w:rPr>
              <w:t>宁波银行台州分行</w:t>
            </w:r>
          </w:p>
        </w:tc>
        <w:tc>
          <w:tcPr>
            <w:tcW w:w="1548" w:type="dxa"/>
            <w:vAlign w:val="center"/>
          </w:tcPr>
          <w:p w14:paraId="477C850D">
            <w:pPr>
              <w:jc w:val="center"/>
              <w:rPr>
                <w:rFonts w:ascii="宋体" w:hAnsi="宋体" w:cs="宋体"/>
                <w:color w:val="auto"/>
                <w:sz w:val="24"/>
                <w:highlight w:val="none"/>
              </w:rPr>
            </w:pPr>
            <w:r>
              <w:rPr>
                <w:rFonts w:hint="eastAsia" w:ascii="宋体" w:hAnsi="宋体" w:cs="宋体"/>
                <w:color w:val="auto"/>
                <w:sz w:val="24"/>
                <w:highlight w:val="none"/>
              </w:rPr>
              <w:t>4.35%起</w:t>
            </w:r>
          </w:p>
        </w:tc>
        <w:tc>
          <w:tcPr>
            <w:tcW w:w="1217" w:type="dxa"/>
            <w:vAlign w:val="center"/>
          </w:tcPr>
          <w:p w14:paraId="253E3C00">
            <w:pPr>
              <w:jc w:val="center"/>
              <w:rPr>
                <w:rFonts w:ascii="宋体" w:hAnsi="宋体" w:cs="宋体"/>
                <w:color w:val="auto"/>
                <w:sz w:val="24"/>
                <w:highlight w:val="none"/>
              </w:rPr>
            </w:pPr>
            <w:r>
              <w:rPr>
                <w:rFonts w:hint="eastAsia" w:ascii="宋体" w:hAnsi="宋体" w:cs="宋体"/>
                <w:color w:val="auto"/>
                <w:sz w:val="24"/>
                <w:highlight w:val="none"/>
              </w:rPr>
              <w:t>戴莉丽</w:t>
            </w:r>
          </w:p>
        </w:tc>
        <w:tc>
          <w:tcPr>
            <w:tcW w:w="2815" w:type="dxa"/>
            <w:vAlign w:val="center"/>
          </w:tcPr>
          <w:p w14:paraId="5586FED5">
            <w:pPr>
              <w:rPr>
                <w:rFonts w:ascii="宋体" w:hAnsi="宋体" w:cs="宋体"/>
                <w:color w:val="auto"/>
                <w:sz w:val="24"/>
                <w:highlight w:val="none"/>
              </w:rPr>
            </w:pPr>
            <w:r>
              <w:rPr>
                <w:rFonts w:hint="eastAsia" w:ascii="宋体" w:hAnsi="宋体" w:cs="宋体"/>
                <w:color w:val="auto"/>
                <w:sz w:val="24"/>
                <w:highlight w:val="none"/>
              </w:rPr>
              <w:t>13566627207</w:t>
            </w:r>
          </w:p>
        </w:tc>
      </w:tr>
      <w:tr w14:paraId="6BAF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5816E1E5">
            <w:pPr>
              <w:jc w:val="center"/>
              <w:rPr>
                <w:rFonts w:ascii="宋体" w:hAnsi="宋体" w:cs="宋体"/>
                <w:color w:val="auto"/>
                <w:sz w:val="24"/>
                <w:highlight w:val="none"/>
              </w:rPr>
            </w:pPr>
            <w:r>
              <w:rPr>
                <w:rFonts w:hint="eastAsia" w:ascii="宋体" w:hAnsi="宋体" w:cs="宋体"/>
                <w:color w:val="auto"/>
                <w:sz w:val="24"/>
                <w:highlight w:val="none"/>
              </w:rPr>
              <w:t>金华银行台州分行</w:t>
            </w:r>
          </w:p>
        </w:tc>
        <w:tc>
          <w:tcPr>
            <w:tcW w:w="1548" w:type="dxa"/>
            <w:vAlign w:val="center"/>
          </w:tcPr>
          <w:p w14:paraId="7FE6B12C">
            <w:pPr>
              <w:jc w:val="center"/>
              <w:rPr>
                <w:rFonts w:ascii="宋体" w:hAnsi="宋体" w:cs="宋体"/>
                <w:color w:val="auto"/>
                <w:sz w:val="24"/>
                <w:highlight w:val="none"/>
              </w:rPr>
            </w:pPr>
            <w:r>
              <w:rPr>
                <w:rFonts w:hint="eastAsia" w:ascii="宋体" w:hAnsi="宋体" w:cs="宋体"/>
                <w:color w:val="auto"/>
                <w:sz w:val="24"/>
                <w:highlight w:val="none"/>
              </w:rPr>
              <w:t>4.05%起</w:t>
            </w:r>
          </w:p>
        </w:tc>
        <w:tc>
          <w:tcPr>
            <w:tcW w:w="1217" w:type="dxa"/>
            <w:vAlign w:val="center"/>
          </w:tcPr>
          <w:p w14:paraId="461FEEBC">
            <w:pPr>
              <w:jc w:val="center"/>
              <w:rPr>
                <w:rFonts w:ascii="宋体" w:hAnsi="宋体" w:cs="宋体"/>
                <w:color w:val="auto"/>
                <w:sz w:val="24"/>
                <w:highlight w:val="none"/>
              </w:rPr>
            </w:pPr>
            <w:r>
              <w:rPr>
                <w:rFonts w:hint="eastAsia" w:ascii="宋体" w:hAnsi="宋体" w:cs="宋体"/>
                <w:color w:val="auto"/>
                <w:sz w:val="24"/>
                <w:highlight w:val="none"/>
              </w:rPr>
              <w:t>金雪婷</w:t>
            </w:r>
          </w:p>
        </w:tc>
        <w:tc>
          <w:tcPr>
            <w:tcW w:w="2815" w:type="dxa"/>
            <w:vAlign w:val="center"/>
          </w:tcPr>
          <w:p w14:paraId="448A888B">
            <w:pPr>
              <w:rPr>
                <w:rFonts w:ascii="宋体" w:hAnsi="宋体" w:cs="宋体"/>
                <w:color w:val="auto"/>
                <w:sz w:val="24"/>
                <w:highlight w:val="none"/>
              </w:rPr>
            </w:pPr>
            <w:r>
              <w:rPr>
                <w:rFonts w:hint="eastAsia" w:ascii="宋体" w:hAnsi="宋体" w:cs="宋体"/>
                <w:color w:val="auto"/>
                <w:sz w:val="24"/>
                <w:highlight w:val="none"/>
              </w:rPr>
              <w:t>81886670/15968661569</w:t>
            </w:r>
          </w:p>
        </w:tc>
      </w:tr>
      <w:tr w14:paraId="4B74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6357DAA7">
            <w:pPr>
              <w:jc w:val="center"/>
              <w:rPr>
                <w:rFonts w:ascii="宋体" w:hAnsi="宋体" w:cs="宋体"/>
                <w:color w:val="auto"/>
                <w:sz w:val="24"/>
                <w:highlight w:val="none"/>
              </w:rPr>
            </w:pPr>
            <w:r>
              <w:rPr>
                <w:rFonts w:hint="eastAsia" w:ascii="宋体" w:hAnsi="宋体" w:cs="宋体"/>
                <w:color w:val="auto"/>
                <w:sz w:val="24"/>
                <w:highlight w:val="none"/>
              </w:rPr>
              <w:t>台州银行</w:t>
            </w:r>
          </w:p>
        </w:tc>
        <w:tc>
          <w:tcPr>
            <w:tcW w:w="1548" w:type="dxa"/>
            <w:vAlign w:val="center"/>
          </w:tcPr>
          <w:p w14:paraId="3672D00D">
            <w:pPr>
              <w:jc w:val="center"/>
              <w:rPr>
                <w:rFonts w:ascii="宋体" w:hAnsi="宋体" w:cs="宋体"/>
                <w:color w:val="auto"/>
                <w:sz w:val="24"/>
                <w:highlight w:val="none"/>
              </w:rPr>
            </w:pPr>
            <w:r>
              <w:rPr>
                <w:rFonts w:hint="eastAsia" w:ascii="宋体" w:hAnsi="宋体" w:cs="宋体"/>
                <w:color w:val="auto"/>
                <w:sz w:val="24"/>
                <w:highlight w:val="none"/>
              </w:rPr>
              <w:t>5.6%起</w:t>
            </w:r>
          </w:p>
        </w:tc>
        <w:tc>
          <w:tcPr>
            <w:tcW w:w="1217" w:type="dxa"/>
            <w:vAlign w:val="center"/>
          </w:tcPr>
          <w:p w14:paraId="0817F2B0">
            <w:pPr>
              <w:jc w:val="center"/>
              <w:rPr>
                <w:rFonts w:ascii="宋体" w:hAnsi="宋体" w:cs="宋体"/>
                <w:color w:val="auto"/>
                <w:sz w:val="24"/>
                <w:highlight w:val="none"/>
              </w:rPr>
            </w:pPr>
            <w:r>
              <w:rPr>
                <w:rFonts w:hint="eastAsia" w:ascii="宋体" w:hAnsi="宋体" w:cs="宋体"/>
                <w:color w:val="auto"/>
                <w:sz w:val="24"/>
                <w:highlight w:val="none"/>
              </w:rPr>
              <w:t>洪婷</w:t>
            </w:r>
          </w:p>
        </w:tc>
        <w:tc>
          <w:tcPr>
            <w:tcW w:w="2815" w:type="dxa"/>
            <w:vAlign w:val="center"/>
          </w:tcPr>
          <w:p w14:paraId="47F2CA36">
            <w:pPr>
              <w:rPr>
                <w:rFonts w:ascii="宋体" w:hAnsi="宋体" w:cs="宋体"/>
                <w:color w:val="auto"/>
                <w:sz w:val="24"/>
                <w:highlight w:val="none"/>
              </w:rPr>
            </w:pPr>
            <w:r>
              <w:rPr>
                <w:rFonts w:hint="eastAsia" w:ascii="宋体" w:hAnsi="宋体" w:cs="宋体"/>
                <w:color w:val="auto"/>
                <w:sz w:val="24"/>
                <w:highlight w:val="none"/>
              </w:rPr>
              <w:t>15858624999</w:t>
            </w:r>
          </w:p>
        </w:tc>
      </w:tr>
      <w:tr w14:paraId="0CF1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Align w:val="center"/>
          </w:tcPr>
          <w:p w14:paraId="0EF22603">
            <w:pPr>
              <w:jc w:val="center"/>
              <w:rPr>
                <w:rFonts w:ascii="宋体" w:hAnsi="宋体" w:cs="宋体"/>
                <w:color w:val="auto"/>
                <w:sz w:val="24"/>
                <w:highlight w:val="none"/>
              </w:rPr>
            </w:pPr>
            <w:r>
              <w:rPr>
                <w:rFonts w:hint="eastAsia" w:ascii="宋体" w:hAnsi="宋体" w:cs="宋体"/>
                <w:color w:val="auto"/>
                <w:sz w:val="24"/>
                <w:highlight w:val="none"/>
              </w:rPr>
              <w:t>邮储银行台州分行</w:t>
            </w:r>
          </w:p>
        </w:tc>
        <w:tc>
          <w:tcPr>
            <w:tcW w:w="1548" w:type="dxa"/>
            <w:vAlign w:val="center"/>
          </w:tcPr>
          <w:p w14:paraId="5BD6A0E1">
            <w:pPr>
              <w:jc w:val="center"/>
              <w:rPr>
                <w:rFonts w:ascii="宋体" w:hAnsi="宋体" w:cs="宋体"/>
                <w:color w:val="auto"/>
                <w:sz w:val="24"/>
                <w:highlight w:val="none"/>
              </w:rPr>
            </w:pPr>
            <w:r>
              <w:rPr>
                <w:rFonts w:hint="eastAsia" w:ascii="宋体" w:hAnsi="宋体" w:cs="宋体"/>
                <w:color w:val="auto"/>
                <w:sz w:val="24"/>
                <w:highlight w:val="none"/>
              </w:rPr>
              <w:t>3.85%起</w:t>
            </w:r>
          </w:p>
        </w:tc>
        <w:tc>
          <w:tcPr>
            <w:tcW w:w="1217" w:type="dxa"/>
            <w:vAlign w:val="center"/>
          </w:tcPr>
          <w:p w14:paraId="07C3ED67">
            <w:pPr>
              <w:jc w:val="center"/>
              <w:rPr>
                <w:rFonts w:ascii="宋体" w:hAnsi="宋体" w:cs="宋体"/>
                <w:color w:val="auto"/>
                <w:sz w:val="24"/>
                <w:highlight w:val="none"/>
              </w:rPr>
            </w:pPr>
            <w:r>
              <w:rPr>
                <w:rFonts w:hint="eastAsia" w:ascii="宋体" w:hAnsi="宋体" w:cs="宋体"/>
                <w:color w:val="auto"/>
                <w:sz w:val="24"/>
                <w:highlight w:val="none"/>
              </w:rPr>
              <w:t>董庆</w:t>
            </w:r>
          </w:p>
        </w:tc>
        <w:tc>
          <w:tcPr>
            <w:tcW w:w="2815" w:type="dxa"/>
            <w:vAlign w:val="center"/>
          </w:tcPr>
          <w:p w14:paraId="3337D0E0">
            <w:pPr>
              <w:rPr>
                <w:rFonts w:ascii="宋体" w:hAnsi="宋体" w:cs="宋体"/>
                <w:color w:val="auto"/>
                <w:sz w:val="24"/>
                <w:highlight w:val="none"/>
              </w:rPr>
            </w:pPr>
            <w:r>
              <w:rPr>
                <w:rFonts w:hint="eastAsia" w:ascii="宋体" w:hAnsi="宋体" w:cs="宋体"/>
                <w:color w:val="auto"/>
                <w:sz w:val="24"/>
                <w:highlight w:val="none"/>
              </w:rPr>
              <w:t>81888982/18957683735</w:t>
            </w:r>
          </w:p>
        </w:tc>
      </w:tr>
    </w:tbl>
    <w:p w14:paraId="0A084532">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合同履约保函联系方式</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48"/>
        <w:gridCol w:w="2130"/>
        <w:gridCol w:w="1275"/>
        <w:gridCol w:w="1590"/>
      </w:tblGrid>
      <w:tr w14:paraId="6AACF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3348" w:type="dxa"/>
            <w:vAlign w:val="center"/>
          </w:tcPr>
          <w:p w14:paraId="69CF1FD2">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30" w:type="dxa"/>
            <w:vAlign w:val="center"/>
          </w:tcPr>
          <w:p w14:paraId="35237F1C">
            <w:pP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75" w:type="dxa"/>
            <w:vAlign w:val="center"/>
          </w:tcPr>
          <w:p w14:paraId="24405454">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90" w:type="dxa"/>
            <w:vAlign w:val="center"/>
          </w:tcPr>
          <w:p w14:paraId="4FFBC6FC">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4643D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4DB5F549">
            <w:pP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30" w:type="dxa"/>
            <w:vAlign w:val="center"/>
          </w:tcPr>
          <w:p w14:paraId="5873BFA0">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75" w:type="dxa"/>
            <w:vAlign w:val="center"/>
          </w:tcPr>
          <w:p w14:paraId="404D1CFB">
            <w:pP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90" w:type="dxa"/>
            <w:vAlign w:val="center"/>
          </w:tcPr>
          <w:p w14:paraId="417223FD">
            <w:pP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4750A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51446FCB">
            <w:pPr>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130" w:type="dxa"/>
            <w:vAlign w:val="center"/>
          </w:tcPr>
          <w:p w14:paraId="6807AF8D">
            <w:pPr>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1275" w:type="dxa"/>
            <w:vAlign w:val="center"/>
          </w:tcPr>
          <w:p w14:paraId="34192EDB">
            <w:pPr>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590" w:type="dxa"/>
            <w:vAlign w:val="center"/>
          </w:tcPr>
          <w:p w14:paraId="6F95E9AE">
            <w:pPr>
              <w:jc w:val="center"/>
              <w:rPr>
                <w:rFonts w:ascii="宋体" w:hAnsi="宋体" w:cs="宋体"/>
                <w:color w:val="auto"/>
                <w:sz w:val="24"/>
                <w:highlight w:val="none"/>
              </w:rPr>
            </w:pPr>
            <w:r>
              <w:rPr>
                <w:rFonts w:hint="eastAsia" w:ascii="宋体" w:hAnsi="宋体" w:cs="宋体"/>
                <w:color w:val="auto"/>
                <w:sz w:val="24"/>
                <w:highlight w:val="none"/>
              </w:rPr>
              <w:t>13750668184</w:t>
            </w:r>
          </w:p>
        </w:tc>
      </w:tr>
      <w:tr w14:paraId="6CB73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63BC60B6">
            <w:pPr>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130" w:type="dxa"/>
            <w:vAlign w:val="center"/>
          </w:tcPr>
          <w:p w14:paraId="59B74CC6">
            <w:pPr>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1275" w:type="dxa"/>
            <w:vAlign w:val="center"/>
          </w:tcPr>
          <w:p w14:paraId="14BB8DF2">
            <w:pPr>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590" w:type="dxa"/>
            <w:vAlign w:val="center"/>
          </w:tcPr>
          <w:p w14:paraId="356CE2E1">
            <w:pPr>
              <w:jc w:val="center"/>
              <w:rPr>
                <w:rFonts w:ascii="宋体" w:hAnsi="宋体" w:cs="宋体"/>
                <w:color w:val="auto"/>
                <w:sz w:val="24"/>
                <w:highlight w:val="none"/>
              </w:rPr>
            </w:pPr>
            <w:r>
              <w:rPr>
                <w:rFonts w:hint="eastAsia" w:ascii="宋体" w:hAnsi="宋体" w:cs="宋体"/>
                <w:color w:val="auto"/>
                <w:sz w:val="24"/>
                <w:highlight w:val="none"/>
              </w:rPr>
              <w:t>88869818 13586123199</w:t>
            </w:r>
          </w:p>
        </w:tc>
      </w:tr>
      <w:tr w14:paraId="6179D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3C08B1A7">
            <w:pPr>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130" w:type="dxa"/>
            <w:vAlign w:val="center"/>
          </w:tcPr>
          <w:p w14:paraId="5EEB1AFC">
            <w:pPr>
              <w:jc w:val="center"/>
              <w:rPr>
                <w:rFonts w:ascii="宋体" w:hAnsi="宋体" w:cs="宋体"/>
                <w:color w:val="auto"/>
                <w:sz w:val="24"/>
                <w:highlight w:val="none"/>
              </w:rPr>
            </w:pPr>
            <w:r>
              <w:rPr>
                <w:rFonts w:hint="eastAsia" w:ascii="宋体" w:hAnsi="宋体" w:cs="宋体"/>
                <w:color w:val="auto"/>
                <w:sz w:val="24"/>
                <w:highlight w:val="none"/>
              </w:rPr>
              <w:t>年费率1.5%，最低保费1000元</w:t>
            </w:r>
          </w:p>
        </w:tc>
        <w:tc>
          <w:tcPr>
            <w:tcW w:w="1275" w:type="dxa"/>
            <w:vAlign w:val="center"/>
          </w:tcPr>
          <w:p w14:paraId="5B3E1693">
            <w:pPr>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590" w:type="dxa"/>
            <w:vAlign w:val="center"/>
          </w:tcPr>
          <w:p w14:paraId="7E716F23">
            <w:pPr>
              <w:jc w:val="center"/>
              <w:rPr>
                <w:rFonts w:ascii="宋体" w:hAnsi="宋体" w:cs="宋体"/>
                <w:color w:val="auto"/>
                <w:sz w:val="24"/>
                <w:highlight w:val="none"/>
              </w:rPr>
            </w:pPr>
            <w:r>
              <w:rPr>
                <w:rFonts w:hint="eastAsia" w:ascii="宋体" w:hAnsi="宋体" w:cs="宋体"/>
                <w:color w:val="auto"/>
                <w:sz w:val="24"/>
                <w:highlight w:val="none"/>
              </w:rPr>
              <w:t>88552788      13968603112</w:t>
            </w:r>
          </w:p>
        </w:tc>
      </w:tr>
      <w:tr w14:paraId="7A9D4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117D6D7B">
            <w:pP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30" w:type="dxa"/>
            <w:vAlign w:val="center"/>
          </w:tcPr>
          <w:p w14:paraId="52182C69">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75" w:type="dxa"/>
            <w:vAlign w:val="center"/>
          </w:tcPr>
          <w:p w14:paraId="4A80CFAF">
            <w:pP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90" w:type="dxa"/>
            <w:vAlign w:val="center"/>
          </w:tcPr>
          <w:p w14:paraId="7405889B">
            <w:pP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7D436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163808CD">
            <w:pPr>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130" w:type="dxa"/>
            <w:vAlign w:val="center"/>
          </w:tcPr>
          <w:p w14:paraId="2B43ABF6">
            <w:pPr>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1275" w:type="dxa"/>
            <w:vAlign w:val="center"/>
          </w:tcPr>
          <w:p w14:paraId="167DD8D9">
            <w:pPr>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590" w:type="dxa"/>
            <w:vAlign w:val="center"/>
          </w:tcPr>
          <w:p w14:paraId="32574CCE">
            <w:pPr>
              <w:jc w:val="center"/>
              <w:rPr>
                <w:rFonts w:ascii="宋体" w:hAnsi="宋体" w:cs="宋体"/>
                <w:color w:val="auto"/>
                <w:sz w:val="24"/>
                <w:highlight w:val="none"/>
              </w:rPr>
            </w:pPr>
            <w:r>
              <w:rPr>
                <w:rFonts w:hint="eastAsia" w:ascii="宋体" w:hAnsi="宋体" w:cs="宋体"/>
                <w:color w:val="auto"/>
                <w:sz w:val="24"/>
                <w:highlight w:val="none"/>
              </w:rPr>
              <w:t>13858600221</w:t>
            </w:r>
          </w:p>
        </w:tc>
      </w:tr>
      <w:tr w14:paraId="0CE0B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56D18A09">
            <w:pPr>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130" w:type="dxa"/>
            <w:vAlign w:val="center"/>
          </w:tcPr>
          <w:p w14:paraId="75A6BCE7">
            <w:pPr>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1275" w:type="dxa"/>
            <w:vAlign w:val="center"/>
          </w:tcPr>
          <w:p w14:paraId="0CC8A9EE">
            <w:pPr>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590" w:type="dxa"/>
            <w:vAlign w:val="center"/>
          </w:tcPr>
          <w:p w14:paraId="0B36BFF1">
            <w:pPr>
              <w:jc w:val="center"/>
              <w:rPr>
                <w:rFonts w:ascii="宋体" w:hAnsi="宋体" w:cs="宋体"/>
                <w:color w:val="auto"/>
                <w:sz w:val="24"/>
                <w:highlight w:val="none"/>
              </w:rPr>
            </w:pPr>
            <w:r>
              <w:rPr>
                <w:rFonts w:hint="eastAsia" w:ascii="宋体" w:hAnsi="宋体" w:cs="宋体"/>
                <w:color w:val="auto"/>
                <w:sz w:val="24"/>
                <w:highlight w:val="none"/>
              </w:rPr>
              <w:t>13515769179</w:t>
            </w:r>
          </w:p>
        </w:tc>
      </w:tr>
      <w:tr w14:paraId="7ABA7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3D98464F">
            <w:pPr>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130" w:type="dxa"/>
            <w:vAlign w:val="center"/>
          </w:tcPr>
          <w:p w14:paraId="1331ECBD">
            <w:pPr>
              <w:jc w:val="center"/>
              <w:rPr>
                <w:rFonts w:ascii="宋体" w:hAnsi="宋体" w:cs="宋体"/>
                <w:color w:val="auto"/>
                <w:sz w:val="24"/>
                <w:highlight w:val="none"/>
              </w:rPr>
            </w:pPr>
            <w:r>
              <w:rPr>
                <w:rFonts w:hint="eastAsia" w:ascii="宋体" w:hAnsi="宋体" w:cs="宋体"/>
                <w:color w:val="auto"/>
                <w:sz w:val="24"/>
                <w:highlight w:val="none"/>
              </w:rPr>
              <w:t>年费率0.3%，最低保费1000</w:t>
            </w:r>
          </w:p>
        </w:tc>
        <w:tc>
          <w:tcPr>
            <w:tcW w:w="1275" w:type="dxa"/>
            <w:vAlign w:val="center"/>
          </w:tcPr>
          <w:p w14:paraId="02870CEA">
            <w:pPr>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590" w:type="dxa"/>
            <w:vAlign w:val="center"/>
          </w:tcPr>
          <w:p w14:paraId="564C2A01">
            <w:pPr>
              <w:jc w:val="center"/>
              <w:rPr>
                <w:rFonts w:ascii="宋体" w:hAnsi="宋体" w:cs="宋体"/>
                <w:color w:val="auto"/>
                <w:sz w:val="24"/>
                <w:highlight w:val="none"/>
              </w:rPr>
            </w:pPr>
            <w:r>
              <w:rPr>
                <w:rFonts w:hint="eastAsia" w:ascii="宋体" w:hAnsi="宋体" w:cs="宋体"/>
                <w:color w:val="auto"/>
                <w:sz w:val="24"/>
                <w:highlight w:val="none"/>
              </w:rPr>
              <w:t>13676675331</w:t>
            </w:r>
          </w:p>
        </w:tc>
      </w:tr>
    </w:tbl>
    <w:p w14:paraId="2B4DE1D0">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预付款保函联系方式</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93"/>
        <w:gridCol w:w="2115"/>
        <w:gridCol w:w="1275"/>
        <w:gridCol w:w="1590"/>
      </w:tblGrid>
      <w:tr w14:paraId="5E10D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3493" w:type="dxa"/>
            <w:vAlign w:val="center"/>
          </w:tcPr>
          <w:p w14:paraId="229CDE74">
            <w:pPr>
              <w:jc w:val="center"/>
              <w:rPr>
                <w:rFonts w:ascii="宋体" w:hAnsi="宋体" w:cs="宋体"/>
                <w:color w:val="auto"/>
                <w:sz w:val="24"/>
                <w:highlight w:val="none"/>
              </w:rPr>
            </w:pPr>
            <w:r>
              <w:rPr>
                <w:rFonts w:hint="eastAsia" w:ascii="宋体" w:hAnsi="宋体" w:cs="宋体"/>
                <w:color w:val="auto"/>
                <w:sz w:val="24"/>
                <w:highlight w:val="none"/>
              </w:rPr>
              <w:t>保险公司名称</w:t>
            </w:r>
          </w:p>
        </w:tc>
        <w:tc>
          <w:tcPr>
            <w:tcW w:w="2115" w:type="dxa"/>
            <w:vAlign w:val="center"/>
          </w:tcPr>
          <w:p w14:paraId="3A10C993">
            <w:pPr>
              <w:jc w:val="center"/>
              <w:rPr>
                <w:rFonts w:ascii="宋体" w:hAnsi="宋体" w:cs="宋体"/>
                <w:color w:val="auto"/>
                <w:sz w:val="24"/>
                <w:highlight w:val="none"/>
              </w:rPr>
            </w:pPr>
            <w:r>
              <w:rPr>
                <w:rFonts w:hint="eastAsia" w:ascii="宋体" w:hAnsi="宋体" w:cs="宋体"/>
                <w:color w:val="auto"/>
                <w:sz w:val="24"/>
                <w:highlight w:val="none"/>
              </w:rPr>
              <w:t>保费率</w:t>
            </w:r>
          </w:p>
        </w:tc>
        <w:tc>
          <w:tcPr>
            <w:tcW w:w="1275" w:type="dxa"/>
            <w:vAlign w:val="center"/>
          </w:tcPr>
          <w:p w14:paraId="3AC453AF">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590" w:type="dxa"/>
            <w:vAlign w:val="center"/>
          </w:tcPr>
          <w:p w14:paraId="5C55600E">
            <w:pPr>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75444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14:paraId="7AFAF210">
            <w:pPr>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115" w:type="dxa"/>
            <w:vAlign w:val="center"/>
          </w:tcPr>
          <w:p w14:paraId="163E8465">
            <w:pPr>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1275" w:type="dxa"/>
            <w:vAlign w:val="center"/>
          </w:tcPr>
          <w:p w14:paraId="4AD83DF6">
            <w:pPr>
              <w:jc w:val="center"/>
              <w:rPr>
                <w:rFonts w:ascii="宋体" w:hAnsi="宋体" w:cs="宋体"/>
                <w:color w:val="auto"/>
                <w:sz w:val="24"/>
                <w:highlight w:val="none"/>
              </w:rPr>
            </w:pPr>
            <w:r>
              <w:rPr>
                <w:rFonts w:hint="eastAsia" w:ascii="宋体" w:hAnsi="宋体" w:cs="宋体"/>
                <w:color w:val="auto"/>
                <w:sz w:val="24"/>
                <w:highlight w:val="none"/>
              </w:rPr>
              <w:t>徐凌</w:t>
            </w:r>
          </w:p>
        </w:tc>
        <w:tc>
          <w:tcPr>
            <w:tcW w:w="1590" w:type="dxa"/>
            <w:vAlign w:val="center"/>
          </w:tcPr>
          <w:p w14:paraId="713931E3">
            <w:pPr>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69815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14:paraId="50890C7D">
            <w:pPr>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2115" w:type="dxa"/>
            <w:vAlign w:val="center"/>
          </w:tcPr>
          <w:p w14:paraId="461CB03D">
            <w:pPr>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275" w:type="dxa"/>
            <w:vAlign w:val="center"/>
          </w:tcPr>
          <w:p w14:paraId="50DDE385">
            <w:pPr>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590" w:type="dxa"/>
            <w:vAlign w:val="center"/>
          </w:tcPr>
          <w:p w14:paraId="20E20967">
            <w:pPr>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1EFCB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14:paraId="18B4339F">
            <w:pPr>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115" w:type="dxa"/>
            <w:vAlign w:val="center"/>
          </w:tcPr>
          <w:p w14:paraId="57A9F099">
            <w:pPr>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1275" w:type="dxa"/>
            <w:vAlign w:val="center"/>
          </w:tcPr>
          <w:p w14:paraId="7EEE9059">
            <w:pPr>
              <w:jc w:val="center"/>
              <w:rPr>
                <w:rFonts w:ascii="宋体" w:hAnsi="宋体" w:cs="宋体"/>
                <w:color w:val="auto"/>
                <w:sz w:val="24"/>
                <w:highlight w:val="none"/>
              </w:rPr>
            </w:pPr>
            <w:r>
              <w:rPr>
                <w:rFonts w:hint="eastAsia" w:ascii="宋体" w:hAnsi="宋体" w:cs="宋体"/>
                <w:color w:val="auto"/>
                <w:sz w:val="24"/>
                <w:highlight w:val="none"/>
              </w:rPr>
              <w:t>罗赛</w:t>
            </w:r>
          </w:p>
        </w:tc>
        <w:tc>
          <w:tcPr>
            <w:tcW w:w="1590" w:type="dxa"/>
            <w:vAlign w:val="center"/>
          </w:tcPr>
          <w:p w14:paraId="3426D252">
            <w:pPr>
              <w:jc w:val="center"/>
              <w:rPr>
                <w:rFonts w:ascii="宋体" w:hAnsi="宋体" w:cs="宋体"/>
                <w:color w:val="auto"/>
                <w:sz w:val="24"/>
                <w:highlight w:val="none"/>
              </w:rPr>
            </w:pPr>
            <w:r>
              <w:rPr>
                <w:rFonts w:hint="eastAsia" w:ascii="宋体" w:hAnsi="宋体" w:cs="宋体"/>
                <w:color w:val="auto"/>
                <w:sz w:val="24"/>
                <w:highlight w:val="none"/>
              </w:rPr>
              <w:t>13736605643</w:t>
            </w:r>
          </w:p>
        </w:tc>
      </w:tr>
    </w:tbl>
    <w:p w14:paraId="0DEBCB65">
      <w:pPr>
        <w:pStyle w:val="8"/>
        <w:rPr>
          <w:color w:val="auto"/>
          <w:highlight w:val="none"/>
        </w:rPr>
      </w:pPr>
    </w:p>
    <w:p w14:paraId="58A5CE3A">
      <w:pPr>
        <w:spacing w:line="360" w:lineRule="auto"/>
        <w:jc w:val="right"/>
        <w:rPr>
          <w:rFonts w:ascii="宋体" w:hAnsi="宋体" w:cs="宋体"/>
          <w:color w:val="auto"/>
          <w:sz w:val="24"/>
          <w:szCs w:val="32"/>
          <w:highlight w:val="none"/>
        </w:rPr>
      </w:pPr>
    </w:p>
    <w:p w14:paraId="3E8B538B">
      <w:pPr>
        <w:spacing w:line="360" w:lineRule="auto"/>
        <w:jc w:val="righ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浙江五石中正工程咨询有限公司</w:t>
      </w:r>
    </w:p>
    <w:p w14:paraId="7E2AA530">
      <w:pPr>
        <w:spacing w:line="360" w:lineRule="auto"/>
        <w:ind w:firstLine="6000" w:firstLineChars="2500"/>
        <w:rPr>
          <w:rFonts w:ascii="宋体" w:hAnsi="宋体" w:cs="宋体"/>
          <w:color w:val="auto"/>
          <w:sz w:val="24"/>
          <w:szCs w:val="32"/>
          <w:highlight w:val="none"/>
        </w:rPr>
      </w:pPr>
      <w:r>
        <w:rPr>
          <w:rFonts w:hint="eastAsia" w:ascii="宋体" w:hAnsi="宋体" w:cs="宋体"/>
          <w:color w:val="auto"/>
          <w:sz w:val="24"/>
          <w:szCs w:val="32"/>
          <w:highlight w:val="none"/>
        </w:rPr>
        <w:t>202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月</w:t>
      </w:r>
    </w:p>
    <w:p w14:paraId="737C1234">
      <w:pPr>
        <w:spacing w:line="360" w:lineRule="auto"/>
        <w:rPr>
          <w:rFonts w:ascii="宋体" w:hAnsi="宋体" w:cs="宋体"/>
          <w:color w:val="auto"/>
          <w:sz w:val="24"/>
          <w:szCs w:val="32"/>
          <w:highlight w:val="none"/>
        </w:rPr>
      </w:pPr>
    </w:p>
    <w:p w14:paraId="49DFD108">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br w:type="page"/>
      </w:r>
      <w:r>
        <w:rPr>
          <w:rFonts w:hint="eastAsia" w:ascii="宋体" w:hAnsi="宋体" w:cs="宋体"/>
          <w:b/>
          <w:bCs/>
          <w:color w:val="auto"/>
          <w:sz w:val="36"/>
          <w:szCs w:val="44"/>
          <w:highlight w:val="none"/>
        </w:rPr>
        <w:t>第二部分 供应商须知</w:t>
      </w:r>
    </w:p>
    <w:p w14:paraId="79005B33">
      <w:pPr>
        <w:spacing w:line="360" w:lineRule="auto"/>
        <w:ind w:firstLine="482" w:firstLineChars="200"/>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9"/>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30"/>
        <w:gridCol w:w="7212"/>
      </w:tblGrid>
      <w:tr w14:paraId="7872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40" w:type="dxa"/>
            <w:vAlign w:val="center"/>
          </w:tcPr>
          <w:p w14:paraId="523204CB">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30" w:type="dxa"/>
            <w:vAlign w:val="center"/>
          </w:tcPr>
          <w:p w14:paraId="4F3BC697">
            <w:pPr>
              <w:jc w:val="center"/>
              <w:rPr>
                <w:rFonts w:ascii="宋体" w:hAnsi="宋体" w:cs="宋体"/>
                <w:color w:val="auto"/>
                <w:sz w:val="24"/>
                <w:highlight w:val="none"/>
              </w:rPr>
            </w:pPr>
            <w:r>
              <w:rPr>
                <w:rFonts w:hint="eastAsia" w:ascii="宋体" w:hAnsi="宋体" w:cs="宋体"/>
                <w:color w:val="auto"/>
                <w:sz w:val="24"/>
                <w:highlight w:val="none"/>
              </w:rPr>
              <w:t>项    目</w:t>
            </w:r>
          </w:p>
        </w:tc>
        <w:tc>
          <w:tcPr>
            <w:tcW w:w="7212" w:type="dxa"/>
            <w:vAlign w:val="center"/>
          </w:tcPr>
          <w:p w14:paraId="3E92930E">
            <w:pPr>
              <w:jc w:val="center"/>
              <w:rPr>
                <w:rFonts w:ascii="宋体" w:hAnsi="宋体" w:cs="宋体"/>
                <w:color w:val="auto"/>
                <w:sz w:val="24"/>
                <w:highlight w:val="none"/>
              </w:rPr>
            </w:pPr>
            <w:r>
              <w:rPr>
                <w:rFonts w:hint="eastAsia" w:ascii="宋体" w:hAnsi="宋体" w:cs="宋体"/>
                <w:color w:val="auto"/>
                <w:sz w:val="24"/>
                <w:highlight w:val="none"/>
              </w:rPr>
              <w:t>内                 容</w:t>
            </w:r>
          </w:p>
        </w:tc>
      </w:tr>
      <w:tr w14:paraId="2089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14:paraId="6CBF92BA">
            <w:pPr>
              <w:jc w:val="center"/>
              <w:rPr>
                <w:rFonts w:ascii="宋体" w:hAnsi="宋体" w:cs="宋体"/>
                <w:color w:val="auto"/>
                <w:sz w:val="24"/>
                <w:highlight w:val="none"/>
              </w:rPr>
            </w:pPr>
            <w:r>
              <w:rPr>
                <w:rFonts w:hint="eastAsia" w:ascii="宋体" w:hAnsi="宋体" w:cs="宋体"/>
                <w:color w:val="auto"/>
                <w:sz w:val="24"/>
                <w:highlight w:val="none"/>
              </w:rPr>
              <w:t>1</w:t>
            </w:r>
          </w:p>
        </w:tc>
        <w:tc>
          <w:tcPr>
            <w:tcW w:w="1530" w:type="dxa"/>
            <w:vAlign w:val="center"/>
          </w:tcPr>
          <w:p w14:paraId="1D9A8997">
            <w:pPr>
              <w:jc w:val="center"/>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7212" w:type="dxa"/>
            <w:vAlign w:val="center"/>
          </w:tcPr>
          <w:p w14:paraId="09B4C773">
            <w:pPr>
              <w:rPr>
                <w:rFonts w:ascii="宋体" w:hAnsi="宋体" w:cs="宋体"/>
                <w:color w:val="auto"/>
                <w:sz w:val="24"/>
                <w:highlight w:val="none"/>
              </w:rPr>
            </w:pPr>
            <w:r>
              <w:rPr>
                <w:rFonts w:hint="eastAsia" w:ascii="宋体" w:hAnsi="宋体" w:cs="宋体"/>
                <w:color w:val="auto"/>
                <w:sz w:val="24"/>
                <w:highlight w:val="none"/>
              </w:rPr>
              <w:t>符合竞争性磋商公告资格要求的供应商。</w:t>
            </w:r>
          </w:p>
        </w:tc>
      </w:tr>
      <w:tr w14:paraId="4078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14:paraId="3ECCEF77">
            <w:pPr>
              <w:jc w:val="center"/>
              <w:rPr>
                <w:rFonts w:ascii="宋体" w:hAnsi="宋体" w:cs="宋体"/>
                <w:color w:val="auto"/>
                <w:sz w:val="24"/>
                <w:highlight w:val="none"/>
              </w:rPr>
            </w:pPr>
            <w:r>
              <w:rPr>
                <w:rFonts w:hint="eastAsia" w:ascii="宋体" w:hAnsi="宋体" w:cs="宋体"/>
                <w:color w:val="auto"/>
                <w:sz w:val="24"/>
                <w:highlight w:val="none"/>
              </w:rPr>
              <w:t>2</w:t>
            </w:r>
          </w:p>
        </w:tc>
        <w:tc>
          <w:tcPr>
            <w:tcW w:w="1530" w:type="dxa"/>
            <w:vAlign w:val="center"/>
          </w:tcPr>
          <w:p w14:paraId="7493A31B">
            <w:pPr>
              <w:jc w:val="center"/>
              <w:rPr>
                <w:rFonts w:ascii="宋体" w:hAnsi="宋体" w:cs="宋体"/>
                <w:color w:val="auto"/>
                <w:sz w:val="24"/>
                <w:highlight w:val="none"/>
              </w:rPr>
            </w:pPr>
            <w:r>
              <w:rPr>
                <w:rFonts w:hint="eastAsia" w:ascii="宋体" w:hAnsi="宋体" w:cs="宋体"/>
                <w:color w:val="auto"/>
                <w:sz w:val="24"/>
                <w:highlight w:val="none"/>
              </w:rPr>
              <w:t>现场踏勘</w:t>
            </w:r>
          </w:p>
        </w:tc>
        <w:tc>
          <w:tcPr>
            <w:tcW w:w="7212" w:type="dxa"/>
            <w:vAlign w:val="center"/>
          </w:tcPr>
          <w:p w14:paraId="1C241099">
            <w:pPr>
              <w:rPr>
                <w:rFonts w:ascii="宋体" w:hAnsi="宋体" w:cs="宋体"/>
                <w:color w:val="auto"/>
                <w:sz w:val="24"/>
                <w:highlight w:val="none"/>
              </w:rPr>
            </w:pPr>
            <w:r>
              <w:rPr>
                <w:rFonts w:hint="eastAsia" w:ascii="宋体" w:hAnsi="宋体" w:cs="宋体"/>
                <w:color w:val="auto"/>
                <w:sz w:val="24"/>
                <w:highlight w:val="none"/>
              </w:rPr>
              <w:t>各磋商供应商自行前往勘察现场和周围环境，所产生的费用由磋商供应商自理。</w:t>
            </w:r>
          </w:p>
        </w:tc>
      </w:tr>
      <w:tr w14:paraId="0474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14:paraId="18B5FD00">
            <w:pPr>
              <w:jc w:val="center"/>
              <w:rPr>
                <w:rFonts w:ascii="宋体" w:hAnsi="宋体" w:cs="宋体"/>
                <w:color w:val="auto"/>
                <w:sz w:val="24"/>
                <w:highlight w:val="none"/>
              </w:rPr>
            </w:pPr>
            <w:r>
              <w:rPr>
                <w:rFonts w:hint="eastAsia" w:ascii="宋体" w:hAnsi="宋体" w:cs="宋体"/>
                <w:color w:val="auto"/>
                <w:sz w:val="24"/>
                <w:highlight w:val="none"/>
              </w:rPr>
              <w:t>3</w:t>
            </w:r>
          </w:p>
        </w:tc>
        <w:tc>
          <w:tcPr>
            <w:tcW w:w="1530" w:type="dxa"/>
            <w:vAlign w:val="center"/>
          </w:tcPr>
          <w:p w14:paraId="3858D088">
            <w:pPr>
              <w:jc w:val="center"/>
              <w:rPr>
                <w:rFonts w:ascii="宋体" w:hAnsi="宋体" w:cs="宋体"/>
                <w:color w:val="auto"/>
                <w:kern w:val="0"/>
                <w:sz w:val="24"/>
                <w:highlight w:val="none"/>
              </w:rPr>
            </w:pPr>
            <w:r>
              <w:rPr>
                <w:rFonts w:hint="eastAsia" w:ascii="宋体" w:hAnsi="宋体" w:cs="宋体"/>
                <w:color w:val="auto"/>
                <w:sz w:val="24"/>
                <w:highlight w:val="none"/>
              </w:rPr>
              <w:t>磋商响应文件有效期</w:t>
            </w:r>
          </w:p>
        </w:tc>
        <w:tc>
          <w:tcPr>
            <w:tcW w:w="7212" w:type="dxa"/>
            <w:vAlign w:val="center"/>
          </w:tcPr>
          <w:p w14:paraId="717B86D8">
            <w:pPr>
              <w:rPr>
                <w:rFonts w:ascii="宋体" w:hAnsi="宋体" w:cs="宋体"/>
                <w:color w:val="auto"/>
                <w:sz w:val="24"/>
                <w:highlight w:val="none"/>
              </w:rPr>
            </w:pPr>
            <w:r>
              <w:rPr>
                <w:rFonts w:hint="eastAsia" w:ascii="宋体" w:hAnsi="宋体" w:cs="宋体"/>
                <w:color w:val="auto"/>
                <w:sz w:val="24"/>
                <w:highlight w:val="none"/>
              </w:rPr>
              <w:t>磋商响应有效期为磋商后90天，磋商响应有效期从提交磋商响应文件的截止之日起算。</w:t>
            </w:r>
          </w:p>
        </w:tc>
      </w:tr>
      <w:tr w14:paraId="3D22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695C46FB">
            <w:pPr>
              <w:jc w:val="center"/>
              <w:rPr>
                <w:rFonts w:ascii="宋体" w:hAnsi="宋体" w:cs="宋体"/>
                <w:color w:val="auto"/>
                <w:sz w:val="24"/>
                <w:highlight w:val="none"/>
              </w:rPr>
            </w:pPr>
            <w:r>
              <w:rPr>
                <w:rFonts w:hint="eastAsia" w:ascii="宋体" w:hAnsi="宋体" w:cs="宋体"/>
                <w:color w:val="auto"/>
                <w:sz w:val="24"/>
                <w:highlight w:val="none"/>
              </w:rPr>
              <w:t>4</w:t>
            </w:r>
          </w:p>
        </w:tc>
        <w:tc>
          <w:tcPr>
            <w:tcW w:w="1530" w:type="dxa"/>
            <w:vAlign w:val="center"/>
          </w:tcPr>
          <w:p w14:paraId="196F460C">
            <w:pPr>
              <w:jc w:val="center"/>
              <w:rPr>
                <w:rFonts w:ascii="宋体" w:hAnsi="宋体" w:cs="宋体"/>
                <w:color w:val="auto"/>
                <w:sz w:val="24"/>
                <w:highlight w:val="none"/>
              </w:rPr>
            </w:pPr>
            <w:r>
              <w:rPr>
                <w:rFonts w:hint="eastAsia" w:ascii="宋体" w:hAnsi="宋体" w:cs="宋体"/>
                <w:color w:val="auto"/>
                <w:sz w:val="24"/>
                <w:highlight w:val="none"/>
              </w:rPr>
              <w:t>磋商响应文件递交</w:t>
            </w:r>
          </w:p>
        </w:tc>
        <w:tc>
          <w:tcPr>
            <w:tcW w:w="7212" w:type="dxa"/>
            <w:vAlign w:val="center"/>
          </w:tcPr>
          <w:p w14:paraId="76A0F46F">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本项目实行电子投标，供应商应准备电子响应文件</w:t>
            </w:r>
            <w:r>
              <w:rPr>
                <w:rFonts w:hint="eastAsia" w:ascii="宋体" w:hAnsi="宋体" w:cs="宋体"/>
                <w:color w:val="auto"/>
                <w:sz w:val="24"/>
                <w:highlight w:val="none"/>
                <w:lang w:eastAsia="zh-CN"/>
              </w:rPr>
              <w:t>。</w:t>
            </w:r>
            <w:r>
              <w:rPr>
                <w:rFonts w:hint="eastAsia" w:ascii="宋体" w:hAnsi="宋体" w:cs="宋体"/>
                <w:color w:val="auto"/>
                <w:sz w:val="24"/>
                <w:highlight w:val="none"/>
              </w:rPr>
              <w:t>还可以提交以介质存储的数据电文形式的备份响应文件、纸质备份响应文件</w:t>
            </w:r>
            <w:r>
              <w:rPr>
                <w:rFonts w:hint="eastAsia" w:ascii="宋体" w:hAnsi="宋体" w:cs="宋体"/>
                <w:color w:val="auto"/>
                <w:sz w:val="24"/>
                <w:highlight w:val="none"/>
                <w:lang w:eastAsia="zh-CN"/>
              </w:rPr>
              <w:t>。</w:t>
            </w:r>
          </w:p>
          <w:p w14:paraId="71332CB2">
            <w:pPr>
              <w:rPr>
                <w:rFonts w:ascii="宋体" w:hAnsi="宋体" w:cs="宋体"/>
                <w:color w:val="auto"/>
                <w:sz w:val="24"/>
                <w:highlight w:val="none"/>
              </w:rPr>
            </w:pPr>
            <w:r>
              <w:rPr>
                <w:rFonts w:hint="eastAsia" w:ascii="宋体" w:hAnsi="宋体" w:cs="宋体"/>
                <w:color w:val="auto"/>
                <w:sz w:val="24"/>
                <w:highlight w:val="none"/>
              </w:rPr>
              <w:t>1.电子响应文件，按政采云平台项目采购--电子招投标操作指南及本采购文件要求编制、递交。</w:t>
            </w:r>
          </w:p>
          <w:p w14:paraId="23C9F3DE">
            <w:pPr>
              <w:rPr>
                <w:rFonts w:ascii="宋体" w:hAnsi="宋体" w:cs="宋体"/>
                <w:color w:val="auto"/>
                <w:sz w:val="24"/>
                <w:highlight w:val="none"/>
              </w:rPr>
            </w:pPr>
            <w:r>
              <w:rPr>
                <w:rFonts w:hint="eastAsia" w:ascii="宋体" w:hAnsi="宋体" w:cs="宋体"/>
                <w:color w:val="auto"/>
                <w:sz w:val="24"/>
                <w:highlight w:val="none"/>
              </w:rPr>
              <w:t>2.以介质存储的数据电文形式的备份响应文件，按政采云平台项目采购-电子招投标操作指南中上传的电子响应文件格式，以U盘形式提供。数量为1份。</w:t>
            </w:r>
          </w:p>
          <w:p w14:paraId="587E8C0D">
            <w:pPr>
              <w:rPr>
                <w:rFonts w:ascii="宋体" w:hAnsi="宋体" w:cs="宋体"/>
                <w:color w:val="auto"/>
                <w:sz w:val="24"/>
                <w:highlight w:val="none"/>
              </w:rPr>
            </w:pPr>
            <w:r>
              <w:rPr>
                <w:rFonts w:hint="eastAsia" w:ascii="宋体" w:hAnsi="宋体" w:cs="宋体"/>
                <w:color w:val="auto"/>
                <w:sz w:val="24"/>
                <w:highlight w:val="none"/>
              </w:rPr>
              <w:t>3.纸质备份响应文件以纸质文件的形式编制，数量均为2份（正本一份，副本一份）。</w:t>
            </w:r>
          </w:p>
          <w:p w14:paraId="13479B7D">
            <w:pPr>
              <w:rPr>
                <w:rFonts w:ascii="宋体" w:hAnsi="宋体" w:cs="宋体"/>
                <w:color w:val="auto"/>
                <w:sz w:val="24"/>
                <w:highlight w:val="none"/>
              </w:rPr>
            </w:pPr>
            <w:r>
              <w:rPr>
                <w:rFonts w:hint="eastAsia" w:ascii="宋体" w:hAnsi="宋体" w:cs="宋体"/>
                <w:color w:val="auto"/>
                <w:sz w:val="24"/>
                <w:highlight w:val="none"/>
              </w:rPr>
              <w:t>4.响应文件启用顺序和效力：响应文件的启用，按先后顺位分别为电子响应文件、以U盘存储的数据电文形式的备份响应文件、纸质备份响应文件。顺位在先的响应文件已按时解密的，备份响应文件自动失效。在下一顺位的响应文件启用时，前一顺位的响应文件自动失效。</w:t>
            </w:r>
          </w:p>
          <w:p w14:paraId="55682769">
            <w:pPr>
              <w:rPr>
                <w:rFonts w:ascii="宋体" w:hAnsi="宋体" w:cs="宋体"/>
                <w:color w:val="auto"/>
                <w:sz w:val="24"/>
                <w:highlight w:val="none"/>
              </w:rPr>
            </w:pPr>
            <w:r>
              <w:rPr>
                <w:rFonts w:hint="eastAsia" w:ascii="宋体" w:hAnsi="宋体" w:cs="宋体"/>
                <w:color w:val="auto"/>
                <w:sz w:val="24"/>
                <w:highlight w:val="none"/>
              </w:rPr>
              <w:t>5.▲未传输递交电子响应文件的，投标无效。仅提交备份文件的，投标无效。</w:t>
            </w:r>
          </w:p>
        </w:tc>
      </w:tr>
      <w:tr w14:paraId="0E69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40" w:type="dxa"/>
            <w:vAlign w:val="center"/>
          </w:tcPr>
          <w:p w14:paraId="00AB65B5">
            <w:pPr>
              <w:jc w:val="center"/>
              <w:rPr>
                <w:rFonts w:ascii="宋体" w:hAnsi="宋体" w:cs="宋体"/>
                <w:color w:val="auto"/>
                <w:sz w:val="24"/>
                <w:highlight w:val="none"/>
              </w:rPr>
            </w:pPr>
            <w:r>
              <w:rPr>
                <w:rFonts w:hint="eastAsia" w:ascii="宋体" w:hAnsi="宋体" w:cs="宋体"/>
                <w:color w:val="auto"/>
                <w:sz w:val="24"/>
                <w:highlight w:val="none"/>
              </w:rPr>
              <w:t>5</w:t>
            </w:r>
          </w:p>
        </w:tc>
        <w:tc>
          <w:tcPr>
            <w:tcW w:w="1530" w:type="dxa"/>
            <w:vAlign w:val="center"/>
          </w:tcPr>
          <w:p w14:paraId="6EDF6BEB">
            <w:pPr>
              <w:jc w:val="center"/>
              <w:rPr>
                <w:rFonts w:ascii="宋体" w:hAnsi="宋体" w:cs="宋体"/>
                <w:color w:val="auto"/>
                <w:sz w:val="24"/>
                <w:highlight w:val="none"/>
              </w:rPr>
            </w:pPr>
            <w:r>
              <w:rPr>
                <w:rFonts w:hint="eastAsia" w:ascii="宋体" w:hAnsi="宋体" w:cs="宋体"/>
                <w:color w:val="auto"/>
                <w:sz w:val="24"/>
                <w:highlight w:val="none"/>
              </w:rPr>
              <w:t>磋商时间及地点</w:t>
            </w:r>
          </w:p>
        </w:tc>
        <w:tc>
          <w:tcPr>
            <w:tcW w:w="7212" w:type="dxa"/>
            <w:vAlign w:val="center"/>
          </w:tcPr>
          <w:p w14:paraId="1EC9C32E">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rPr>
              <w:t>日上午09:</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w:t>
            </w:r>
          </w:p>
          <w:p w14:paraId="357923EA">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政采云平台。</w:t>
            </w:r>
          </w:p>
        </w:tc>
      </w:tr>
      <w:tr w14:paraId="5F2D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0" w:type="dxa"/>
            <w:vAlign w:val="center"/>
          </w:tcPr>
          <w:p w14:paraId="3DFCFF64">
            <w:pPr>
              <w:jc w:val="center"/>
              <w:rPr>
                <w:rFonts w:ascii="宋体" w:hAnsi="宋体" w:cs="宋体"/>
                <w:color w:val="auto"/>
                <w:sz w:val="24"/>
                <w:highlight w:val="none"/>
              </w:rPr>
            </w:pPr>
            <w:r>
              <w:rPr>
                <w:rFonts w:hint="eastAsia" w:ascii="宋体" w:hAnsi="宋体" w:cs="宋体"/>
                <w:color w:val="auto"/>
                <w:sz w:val="24"/>
                <w:highlight w:val="none"/>
              </w:rPr>
              <w:t>6</w:t>
            </w:r>
          </w:p>
        </w:tc>
        <w:tc>
          <w:tcPr>
            <w:tcW w:w="1530" w:type="dxa"/>
            <w:vAlign w:val="center"/>
          </w:tcPr>
          <w:p w14:paraId="7323D0CC">
            <w:pPr>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7212" w:type="dxa"/>
            <w:vAlign w:val="center"/>
          </w:tcPr>
          <w:p w14:paraId="673AD6AA">
            <w:pPr>
              <w:rPr>
                <w:rFonts w:ascii="宋体" w:hAnsi="宋体" w:cs="宋体"/>
                <w:color w:val="auto"/>
                <w:sz w:val="24"/>
                <w:highlight w:val="none"/>
              </w:rPr>
            </w:pPr>
            <w:r>
              <w:rPr>
                <w:rFonts w:hint="eastAsia" w:ascii="宋体" w:hAnsi="宋体" w:cs="宋体"/>
                <w:color w:val="auto"/>
                <w:sz w:val="24"/>
                <w:highlight w:val="none"/>
              </w:rPr>
              <w:t>无。</w:t>
            </w:r>
          </w:p>
        </w:tc>
      </w:tr>
      <w:tr w14:paraId="18FF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0" w:type="dxa"/>
            <w:vAlign w:val="center"/>
          </w:tcPr>
          <w:p w14:paraId="3775A0B0">
            <w:pPr>
              <w:jc w:val="center"/>
              <w:rPr>
                <w:rFonts w:ascii="宋体" w:hAnsi="宋体" w:cs="宋体"/>
                <w:color w:val="auto"/>
                <w:sz w:val="24"/>
                <w:highlight w:val="none"/>
              </w:rPr>
            </w:pPr>
            <w:r>
              <w:rPr>
                <w:rFonts w:hint="eastAsia" w:ascii="宋体" w:hAnsi="宋体" w:cs="宋体"/>
                <w:color w:val="auto"/>
                <w:sz w:val="24"/>
                <w:highlight w:val="none"/>
              </w:rPr>
              <w:t>7</w:t>
            </w:r>
          </w:p>
        </w:tc>
        <w:tc>
          <w:tcPr>
            <w:tcW w:w="1530" w:type="dxa"/>
            <w:vAlign w:val="center"/>
          </w:tcPr>
          <w:p w14:paraId="3067270E">
            <w:pPr>
              <w:ind w:left="1"/>
              <w:jc w:val="center"/>
              <w:textAlignment w:val="bottom"/>
              <w:rPr>
                <w:rFonts w:ascii="宋体" w:hAnsi="宋体" w:cs="宋体"/>
                <w:color w:val="auto"/>
                <w:sz w:val="24"/>
                <w:highlight w:val="none"/>
              </w:rPr>
            </w:pPr>
            <w:r>
              <w:rPr>
                <w:rFonts w:hint="eastAsia" w:ascii="宋体" w:hAnsi="宋体" w:cs="宋体"/>
                <w:color w:val="auto"/>
                <w:sz w:val="24"/>
                <w:highlight w:val="none"/>
              </w:rPr>
              <w:t>样品及演示</w:t>
            </w:r>
          </w:p>
        </w:tc>
        <w:tc>
          <w:tcPr>
            <w:tcW w:w="7212" w:type="dxa"/>
            <w:vAlign w:val="center"/>
          </w:tcPr>
          <w:p w14:paraId="382CD966">
            <w:pPr>
              <w:ind w:left="1"/>
              <w:textAlignment w:val="bottom"/>
              <w:rPr>
                <w:rFonts w:ascii="宋体" w:hAnsi="宋体" w:cs="宋体"/>
                <w:color w:val="auto"/>
                <w:sz w:val="24"/>
                <w:highlight w:val="none"/>
              </w:rPr>
            </w:pPr>
            <w:r>
              <w:rPr>
                <w:rFonts w:hint="eastAsia" w:ascii="宋体" w:hAnsi="宋体" w:cs="宋体"/>
                <w:color w:val="auto"/>
                <w:sz w:val="24"/>
                <w:highlight w:val="none"/>
              </w:rPr>
              <w:t>无样品、</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演示。</w:t>
            </w:r>
          </w:p>
        </w:tc>
      </w:tr>
      <w:tr w14:paraId="69C5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0" w:type="dxa"/>
            <w:vAlign w:val="center"/>
          </w:tcPr>
          <w:p w14:paraId="009CE49E">
            <w:pPr>
              <w:jc w:val="center"/>
              <w:rPr>
                <w:rFonts w:ascii="宋体" w:hAnsi="宋体" w:cs="宋体"/>
                <w:color w:val="auto"/>
                <w:sz w:val="24"/>
                <w:highlight w:val="none"/>
              </w:rPr>
            </w:pPr>
            <w:r>
              <w:rPr>
                <w:rFonts w:hint="eastAsia" w:ascii="宋体" w:hAnsi="宋体" w:cs="宋体"/>
                <w:color w:val="auto"/>
                <w:sz w:val="24"/>
                <w:highlight w:val="none"/>
              </w:rPr>
              <w:t>8</w:t>
            </w:r>
          </w:p>
        </w:tc>
        <w:tc>
          <w:tcPr>
            <w:tcW w:w="1530" w:type="dxa"/>
            <w:vAlign w:val="center"/>
          </w:tcPr>
          <w:p w14:paraId="4491337B">
            <w:pPr>
              <w:ind w:left="1"/>
              <w:jc w:val="center"/>
              <w:textAlignment w:val="bottom"/>
              <w:rPr>
                <w:rFonts w:ascii="宋体" w:hAnsi="宋体" w:cs="宋体"/>
                <w:color w:val="auto"/>
                <w:sz w:val="24"/>
                <w:highlight w:val="none"/>
              </w:rPr>
            </w:pPr>
            <w:r>
              <w:rPr>
                <w:rFonts w:hint="eastAsia" w:ascii="宋体" w:hAnsi="宋体" w:cs="宋体"/>
                <w:color w:val="auto"/>
                <w:sz w:val="24"/>
                <w:highlight w:val="none"/>
              </w:rPr>
              <w:t>节能环保</w:t>
            </w:r>
          </w:p>
        </w:tc>
        <w:tc>
          <w:tcPr>
            <w:tcW w:w="7212" w:type="dxa"/>
            <w:vAlign w:val="center"/>
          </w:tcPr>
          <w:p w14:paraId="3D20C428">
            <w:pPr>
              <w:ind w:left="1"/>
              <w:textAlignment w:val="bottom"/>
              <w:rPr>
                <w:rFonts w:ascii="宋体" w:hAnsi="宋体" w:cs="宋体"/>
                <w:color w:val="auto"/>
                <w:sz w:val="24"/>
                <w:highlight w:val="none"/>
              </w:rPr>
            </w:pPr>
            <w:r>
              <w:rPr>
                <w:rFonts w:hint="eastAsia" w:ascii="宋体" w:hAnsi="宋体" w:cs="宋体"/>
                <w:color w:val="auto"/>
                <w:sz w:val="24"/>
                <w:highlight w:val="none"/>
              </w:rPr>
              <w:t>符合国家相关规定。</w:t>
            </w:r>
          </w:p>
        </w:tc>
      </w:tr>
      <w:tr w14:paraId="26FF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0" w:type="dxa"/>
            <w:vAlign w:val="center"/>
          </w:tcPr>
          <w:p w14:paraId="02E86A0E">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530" w:type="dxa"/>
            <w:vAlign w:val="center"/>
          </w:tcPr>
          <w:p w14:paraId="774B42E6">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中小企业划分标准所属行业</w:t>
            </w:r>
          </w:p>
        </w:tc>
        <w:tc>
          <w:tcPr>
            <w:tcW w:w="7212" w:type="dxa"/>
            <w:vAlign w:val="center"/>
          </w:tcPr>
          <w:p w14:paraId="5177DB47">
            <w:pPr>
              <w:rPr>
                <w:rFonts w:hint="default" w:ascii="宋体" w:hAnsi="宋体" w:cs="宋体"/>
                <w:color w:val="auto"/>
                <w:sz w:val="24"/>
                <w:highlight w:val="none"/>
                <w:lang w:val="en-US"/>
              </w:rPr>
            </w:pPr>
            <w:r>
              <w:rPr>
                <w:rFonts w:hint="eastAsia" w:ascii="宋体" w:hAnsi="宋体" w:cs="宋体"/>
                <w:color w:val="auto"/>
                <w:sz w:val="24"/>
                <w:highlight w:val="none"/>
              </w:rPr>
              <w:t>所属行业：</w:t>
            </w:r>
            <w:r>
              <w:rPr>
                <w:rFonts w:hint="eastAsia" w:ascii="宋体" w:hAnsi="宋体" w:cs="宋体"/>
                <w:color w:val="auto"/>
                <w:sz w:val="24"/>
                <w:highlight w:val="none"/>
                <w:lang w:val="en-US" w:eastAsia="zh-CN"/>
              </w:rPr>
              <w:t>软件和信息技术服务业。</w:t>
            </w:r>
          </w:p>
        </w:tc>
      </w:tr>
      <w:tr w14:paraId="233B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0" w:type="dxa"/>
            <w:vAlign w:val="center"/>
          </w:tcPr>
          <w:p w14:paraId="0163BE23">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530" w:type="dxa"/>
            <w:vAlign w:val="center"/>
          </w:tcPr>
          <w:p w14:paraId="1FB22ACD">
            <w:pPr>
              <w:jc w:val="center"/>
              <w:rPr>
                <w:rFonts w:ascii="宋体" w:hAnsi="宋体" w:cs="宋体"/>
                <w:color w:val="auto"/>
                <w:sz w:val="24"/>
                <w:highlight w:val="none"/>
              </w:rPr>
            </w:pPr>
            <w:r>
              <w:rPr>
                <w:rFonts w:hint="eastAsia" w:ascii="宋体" w:hAnsi="宋体" w:cs="宋体"/>
                <w:color w:val="auto"/>
                <w:sz w:val="24"/>
                <w:highlight w:val="none"/>
                <w:lang w:val="zh-CN"/>
              </w:rPr>
              <w:t>实质性条款</w:t>
            </w:r>
          </w:p>
        </w:tc>
        <w:tc>
          <w:tcPr>
            <w:tcW w:w="7212" w:type="dxa"/>
            <w:vAlign w:val="center"/>
          </w:tcPr>
          <w:p w14:paraId="6C36D291">
            <w:pPr>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▲”的条款是实质性条款，磋商响应文件须做出实质性响应，否则终止磋商。</w:t>
            </w:r>
          </w:p>
        </w:tc>
      </w:tr>
      <w:tr w14:paraId="6897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0" w:type="dxa"/>
            <w:vAlign w:val="center"/>
          </w:tcPr>
          <w:p w14:paraId="51FEFF7E">
            <w:pPr>
              <w:jc w:val="center"/>
              <w:rPr>
                <w:rFonts w:hint="eastAsia" w:ascii="宋体" w:hAnsi="宋体" w:eastAsia="宋体" w:cs="宋体"/>
                <w:color w:val="auto"/>
                <w:sz w:val="24"/>
                <w:highlight w:val="none"/>
                <w:lang w:eastAsia="zh-CN"/>
              </w:rPr>
            </w:pPr>
            <w:r>
              <w:rPr>
                <w:rFonts w:hint="default" w:ascii="宋体" w:hAnsi="宋体" w:cs="宋体"/>
                <w:color w:val="auto"/>
                <w:sz w:val="24"/>
                <w:highlight w:val="none"/>
                <w:lang w:val="en-US"/>
              </w:rPr>
              <w:t>1</w:t>
            </w:r>
            <w:r>
              <w:rPr>
                <w:rFonts w:hint="eastAsia" w:ascii="宋体" w:hAnsi="宋体" w:cs="宋体"/>
                <w:color w:val="auto"/>
                <w:sz w:val="24"/>
                <w:highlight w:val="none"/>
                <w:lang w:val="en-US" w:eastAsia="zh-CN"/>
              </w:rPr>
              <w:t>1</w:t>
            </w:r>
          </w:p>
        </w:tc>
        <w:tc>
          <w:tcPr>
            <w:tcW w:w="1530" w:type="dxa"/>
            <w:vAlign w:val="center"/>
          </w:tcPr>
          <w:p w14:paraId="47C0E0F9">
            <w:pPr>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重要参数条款</w:t>
            </w:r>
          </w:p>
        </w:tc>
        <w:tc>
          <w:tcPr>
            <w:tcW w:w="7212" w:type="dxa"/>
            <w:vAlign w:val="center"/>
          </w:tcPr>
          <w:p w14:paraId="3781FDEA">
            <w:pPr>
              <w:rPr>
                <w:rFonts w:hint="default" w:ascii="宋体" w:hAnsi="宋体" w:cs="宋体"/>
                <w:color w:val="auto"/>
                <w:sz w:val="24"/>
                <w:highlight w:val="none"/>
                <w:lang w:val="en-US"/>
              </w:rPr>
            </w:pPr>
            <w:r>
              <w:rPr>
                <w:rFonts w:hint="eastAsia" w:ascii="宋体" w:hAnsi="宋体" w:cs="宋体"/>
                <w:color w:val="auto"/>
                <w:sz w:val="24"/>
                <w:szCs w:val="24"/>
                <w:highlight w:val="none"/>
                <w:lang w:val="en-US" w:eastAsia="zh-CN"/>
              </w:rPr>
              <w:t>带“</w:t>
            </w:r>
            <w:r>
              <w:rPr>
                <w:rFonts w:hint="eastAsia" w:ascii="汉仪叶叶相思体简" w:hAnsi="汉仪叶叶相思体简" w:eastAsia="汉仪叶叶相思体简" w:cs="汉仪叶叶相思体简"/>
                <w:color w:val="auto"/>
                <w:sz w:val="24"/>
                <w:szCs w:val="24"/>
                <w:highlight w:val="none"/>
                <w:lang w:val="en-US" w:eastAsia="zh-CN"/>
              </w:rPr>
              <w:t>★</w:t>
            </w:r>
            <w:r>
              <w:rPr>
                <w:rFonts w:hint="eastAsia" w:ascii="宋体" w:hAnsi="宋体" w:cs="宋体"/>
                <w:color w:val="auto"/>
                <w:sz w:val="24"/>
                <w:szCs w:val="24"/>
                <w:highlight w:val="none"/>
                <w:lang w:val="en-US" w:eastAsia="zh-CN"/>
              </w:rPr>
              <w:t>”的条款是重要参数条款。</w:t>
            </w:r>
          </w:p>
        </w:tc>
      </w:tr>
    </w:tbl>
    <w:p w14:paraId="7E3DD521">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 、总  则</w:t>
      </w:r>
    </w:p>
    <w:p w14:paraId="1732E4AB">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（一）适用范围</w:t>
      </w:r>
    </w:p>
    <w:p w14:paraId="22FA856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本磋商文件适用于本次项目的磋商、评审、确定成交供应商、验收、合同履约、付款等行为（法律、法规另有规定的，从其规定）。</w:t>
      </w:r>
    </w:p>
    <w:p w14:paraId="1E580B05">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7B6756D4">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1、“采购组织机构”：是指采购人委托组织磋商的采购代理机构。</w:t>
      </w:r>
    </w:p>
    <w:p w14:paraId="7388EB4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301E6CA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3、磋商供应商：是指向采购组织机构提交磋商响应文件的单位或个人。</w:t>
      </w:r>
    </w:p>
    <w:p w14:paraId="6CAA50F4">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4、服务：是指除货物和工程以外的政府采购对象，包括各类专业服务、信息网络开发服务、金融保险服务、运输服务，以及维修与维护服务等。</w:t>
      </w:r>
    </w:p>
    <w:p w14:paraId="7B68081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5、“书面形式”包括信函、传真等。</w:t>
      </w:r>
    </w:p>
    <w:p w14:paraId="70E8AC2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6、“▲”系指实质性要求条款。</w:t>
      </w:r>
    </w:p>
    <w:p w14:paraId="487AC834">
      <w:pPr>
        <w:pStyle w:val="27"/>
        <w:ind w:firstLine="480" w:firstLineChars="200"/>
        <w:rPr>
          <w:color w:val="auto"/>
          <w:highlight w:val="none"/>
        </w:rPr>
      </w:pPr>
      <w:r>
        <w:rPr>
          <w:rFonts w:ascii="宋体" w:hAnsi="宋体" w:cs="宋体"/>
          <w:color w:val="auto"/>
          <w:sz w:val="24"/>
          <w:szCs w:val="32"/>
          <w:highlight w:val="none"/>
        </w:rPr>
        <w:t>7</w:t>
      </w:r>
      <w:r>
        <w:rPr>
          <w:rFonts w:hint="eastAsia" w:ascii="宋体" w:hAnsi="宋体" w:cs="宋体"/>
          <w:color w:val="auto"/>
          <w:sz w:val="24"/>
          <w:szCs w:val="32"/>
          <w:highlight w:val="none"/>
        </w:rPr>
        <w:t>、</w:t>
      </w:r>
      <w:r>
        <w:rPr>
          <w:rFonts w:hint="eastAsia" w:ascii="宋体" w:hAnsi="宋体" w:cs="宋体"/>
          <w:color w:val="auto"/>
          <w:sz w:val="24"/>
          <w:highlight w:val="none"/>
        </w:rPr>
        <w:t>“</w:t>
      </w:r>
      <w:r>
        <w:rPr>
          <w:rFonts w:hint="eastAsia" w:ascii="汉仪叶叶相思体简" w:hAnsi="汉仪叶叶相思体简" w:eastAsia="汉仪叶叶相思体简" w:cs="汉仪叶叶相思体简"/>
          <w:color w:val="auto"/>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系指</w:t>
      </w:r>
      <w:r>
        <w:rPr>
          <w:rFonts w:hint="eastAsia" w:ascii="宋体" w:hAnsi="宋体" w:cs="宋体"/>
          <w:color w:val="auto"/>
          <w:sz w:val="24"/>
          <w:szCs w:val="24"/>
          <w:highlight w:val="none"/>
          <w:lang w:val="en-US" w:eastAsia="zh-CN"/>
        </w:rPr>
        <w:t>重要参数条款。</w:t>
      </w:r>
    </w:p>
    <w:p w14:paraId="21416D1D">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（三）磋商费用</w:t>
      </w:r>
    </w:p>
    <w:p w14:paraId="799CCD9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不论磋商结果如何，供应商均应自行承担所有与磋商有关的全部费用（磋商文件有相关规定除外）。</w:t>
      </w:r>
    </w:p>
    <w:p w14:paraId="561ED0AB">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160E7A9A">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1、供应商磋商所使用的资格、信誉、荣誉与企业认证必须为本法人所拥有。供应商磋商所使用的采购项目实施人员必须为本法人员工。</w:t>
      </w:r>
    </w:p>
    <w:p w14:paraId="3E36D09C">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2、供应商在磋商活动中提供任何虚假材料，其响应无效，并报监管部门查处；成交后发现的，成交人须依照根据《</w:t>
      </w:r>
      <w:r>
        <w:rPr>
          <w:rFonts w:hint="eastAsia" w:ascii="宋体" w:hAnsi="宋体" w:cs="宋体"/>
          <w:color w:val="auto"/>
          <w:sz w:val="24"/>
          <w:szCs w:val="32"/>
          <w:highlight w:val="none"/>
          <w:lang w:eastAsia="zh-CN"/>
        </w:rPr>
        <w:t>政府采购竞争性磋商采购方式管理暂行办法</w:t>
      </w:r>
      <w:r>
        <w:rPr>
          <w:rFonts w:hint="eastAsia" w:ascii="宋体" w:hAnsi="宋体" w:cs="宋体"/>
          <w:color w:val="auto"/>
          <w:sz w:val="24"/>
          <w:szCs w:val="32"/>
          <w:highlight w:val="none"/>
        </w:rPr>
        <w:t>》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BA08BBE">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3、供应商不得相互串通磋商报价，不得妨碍其他供应商的公平竞争，不得损害采购人或其他供应商的合法权益，供应商不得以向采购人、磋商小组成员行贿或者采取其他不正当手段谋取成交。</w:t>
      </w:r>
    </w:p>
    <w:p w14:paraId="39DBF334">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14:paraId="19D22104">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5、磋商响应文件（即响应文件）格式中的表格式样可以根据项目差别做适当调整，但应当保持表格样式基本形态不变。</w:t>
      </w:r>
    </w:p>
    <w:p w14:paraId="566D68C3">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14:paraId="659BC93E">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供应商在参与政府采购活动中所签署的一切文件，包括但不限于签到表、《政府采购活动现场确认声明书》等文件，特别是有关利害关系应如实填写、如实披露，供应商授权参与政府采购的人员视为应当知道与采购人、其他供应商之间的利害关系。如未如实披露，则视为提供虚假材料，由投标人承担不利后果。</w:t>
      </w:r>
    </w:p>
    <w:p w14:paraId="2610CB3C">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二、磋商响应文件</w:t>
      </w:r>
    </w:p>
    <w:p w14:paraId="35D1783E">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（一）磋商响应文件的组成</w:t>
      </w:r>
    </w:p>
    <w:p w14:paraId="6AD3F851">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供应商应仔细阅读磋商采购文件的所有内容，按磋商采购文件的要求，详细编制磋商响应文件。</w:t>
      </w:r>
      <w:r>
        <w:rPr>
          <w:rFonts w:hint="eastAsia" w:ascii="宋体" w:hAnsi="宋体" w:cs="宋体"/>
          <w:color w:val="auto"/>
          <w:sz w:val="24"/>
          <w:szCs w:val="32"/>
          <w:highlight w:val="none"/>
          <w:lang w:val="zh-CN"/>
        </w:rPr>
        <w:t>【特别提示：如有要求提供资料原件的，原件另行包装，并与磋商响应文件一起提交，磋商响应截止时间后所有原件不予接收。资料原件也可以用与原件相符的公证原件替代】</w:t>
      </w:r>
    </w:p>
    <w:p w14:paraId="7D6179F7">
      <w:pP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b/>
          <w:bCs/>
          <w:color w:val="auto"/>
          <w:sz w:val="24"/>
          <w:szCs w:val="32"/>
          <w:highlight w:val="none"/>
        </w:rPr>
        <w:t>1、资格证明内容的组成：</w:t>
      </w:r>
    </w:p>
    <w:p w14:paraId="10D71CA3">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（1）磋商声明书；</w:t>
      </w:r>
    </w:p>
    <w:p w14:paraId="5E1ED23F">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（2）授权委托书（法定代表人（单位负责人）亲自办理磋商响应事宜的，则无需提交）；</w:t>
      </w:r>
    </w:p>
    <w:p w14:paraId="57E7E79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38E01F5D">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5B968D9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30A84862">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（6）具备履行合同所必需的设备和专业技术能力的承诺函；</w:t>
      </w:r>
    </w:p>
    <w:p w14:paraId="4C5C2049">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（7）参加政府采购活动前三年内，在经营活动中没有重大违法记录（承诺函）；</w:t>
      </w:r>
    </w:p>
    <w:p w14:paraId="22FE124E">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（8）需要说明的其他资料；</w:t>
      </w:r>
    </w:p>
    <w:p w14:paraId="7ECE8FD4">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2、商务与技术内容的组成：</w:t>
      </w:r>
    </w:p>
    <w:p w14:paraId="1E10E1D7">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（1）供应商情况介绍。</w:t>
      </w:r>
    </w:p>
    <w:p w14:paraId="181A211A">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（2）磋商响应方案描述：</w:t>
      </w:r>
    </w:p>
    <w:p w14:paraId="7F72084B">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14:paraId="3EDAC527">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B.项目组织实施方案（包括项目工期、确保项目进行的措施或方案、项目实施进度安排、项目实施人员及项目负责人的资质、类似经验及社保证明等）。</w:t>
      </w:r>
    </w:p>
    <w:p w14:paraId="121FE18E">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C.验收方案（包括项目验收标准和验收方法等）和措施。</w:t>
      </w:r>
    </w:p>
    <w:p w14:paraId="577D5030">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D.商务及技术响应表。</w:t>
      </w:r>
    </w:p>
    <w:p w14:paraId="08C59BB4">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（4）类似项目的成功案例；</w:t>
      </w:r>
    </w:p>
    <w:p w14:paraId="4E9DA6EE">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（5）供应商认为需要提供的其他资料（包括可能影响供应商商务与技术内容评分的各类证明材料）。</w:t>
      </w:r>
    </w:p>
    <w:p w14:paraId="763D998F">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（6）售后服务描述及承诺：</w:t>
      </w:r>
    </w:p>
    <w:p w14:paraId="126B4347">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5E4A687A">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2CE07B35">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3、报价内容的组成</w:t>
      </w:r>
    </w:p>
    <w:p w14:paraId="4BCA0C94">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（1）报价文件由开标一览表、报价明细表、中小企业等声明函（不符合中小企业要求的无需提供）以及供应商认为其他需要说明的内容组成。</w:t>
      </w:r>
    </w:p>
    <w:p w14:paraId="14117A72">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）投标总报价包括必备的附件、服务费、人工费、技术支持、招标代理费、税金、完成本项目的其它费用和政策性文件规定及合同包含的所有风险、责任等所有费用，所有费用已包含在投标报价中。</w:t>
      </w:r>
    </w:p>
    <w:p w14:paraId="38939657">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14:paraId="01F9EAE5">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（4）相关报价表需打印或用不退色的墨水填写， 磋商响应报价表不得涂改和增删，如有错漏必须修改，修改处须由同一签署人签字或盖章。由于字迹模糊或表达不清引起的后果由供应商负责。</w:t>
      </w:r>
    </w:p>
    <w:p w14:paraId="0D8D4C15">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（5）报价有关表格应按磋商采购文件中相关附表格式填写。</w:t>
      </w:r>
    </w:p>
    <w:p w14:paraId="1AC2169B">
      <w:pPr>
        <w:spacing w:line="360" w:lineRule="auto"/>
        <w:ind w:firstLine="241" w:firstLineChars="100"/>
        <w:rPr>
          <w:rFonts w:ascii="宋体" w:hAnsi="宋体" w:cs="宋体"/>
          <w:b/>
          <w:bCs/>
          <w:color w:val="auto"/>
          <w:sz w:val="24"/>
          <w:szCs w:val="32"/>
          <w:highlight w:val="none"/>
          <w:lang w:val="zh-CN"/>
        </w:rPr>
      </w:pPr>
      <w:r>
        <w:rPr>
          <w:rFonts w:hint="eastAsia" w:ascii="宋体" w:hAnsi="宋体" w:cs="宋体"/>
          <w:b/>
          <w:bCs/>
          <w:color w:val="auto"/>
          <w:sz w:val="24"/>
          <w:szCs w:val="32"/>
          <w:highlight w:val="none"/>
        </w:rPr>
        <w:t>（二）磋商响应文件的制作、封装及递交要求</w:t>
      </w:r>
    </w:p>
    <w:p w14:paraId="48938523">
      <w:pPr>
        <w:spacing w:line="360" w:lineRule="auto"/>
        <w:ind w:firstLine="482" w:firstLineChars="200"/>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1、磋商响应文件的制作要求</w:t>
      </w:r>
    </w:p>
    <w:p w14:paraId="5F2DA202">
      <w:pPr>
        <w:spacing w:line="360" w:lineRule="auto"/>
        <w:ind w:firstLine="480" w:firstLineChars="200"/>
        <w:jc w:val="left"/>
        <w:rPr>
          <w:rFonts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.1本项目通过“政府采购云平台（www.zcygov.cn）”实行在线投标响应（电子投标）。供应商应通过“政采云电子交易客户端”，并按照本</w:t>
      </w:r>
      <w:r>
        <w:rPr>
          <w:rFonts w:hint="eastAsia" w:ascii="宋体" w:hAnsi="宋体" w:cs="宋体"/>
          <w:color w:val="auto"/>
          <w:sz w:val="24"/>
          <w:szCs w:val="32"/>
          <w:highlight w:val="none"/>
          <w:lang w:val="zh-CN"/>
        </w:rPr>
        <w:t>磋商</w:t>
      </w:r>
      <w:r>
        <w:rPr>
          <w:rFonts w:hint="eastAsia" w:ascii="宋体" w:hAnsi="宋体" w:cs="宋体"/>
          <w:color w:val="auto"/>
          <w:sz w:val="24"/>
          <w:szCs w:val="32"/>
          <w:highlight w:val="none"/>
          <w:lang w:val="en-GB"/>
        </w:rPr>
        <w:t>文件和“政府采购云平台”的要求编制并加密</w:t>
      </w:r>
      <w:r>
        <w:rPr>
          <w:rFonts w:hint="eastAsia" w:ascii="宋体" w:hAnsi="宋体" w:cs="宋体"/>
          <w:color w:val="auto"/>
          <w:sz w:val="24"/>
          <w:szCs w:val="32"/>
          <w:highlight w:val="none"/>
          <w:lang w:val="zh-CN"/>
        </w:rPr>
        <w:t>磋商响应文件</w:t>
      </w:r>
      <w:r>
        <w:rPr>
          <w:rFonts w:hint="eastAsia" w:ascii="宋体" w:hAnsi="宋体" w:cs="宋体"/>
          <w:color w:val="auto"/>
          <w:sz w:val="24"/>
          <w:szCs w:val="32"/>
          <w:highlight w:val="none"/>
          <w:lang w:val="en-GB"/>
        </w:rPr>
        <w:t>。</w:t>
      </w:r>
    </w:p>
    <w:p w14:paraId="49113A01">
      <w:pPr>
        <w:spacing w:line="360" w:lineRule="auto"/>
        <w:ind w:firstLine="480" w:firstLineChars="200"/>
        <w:jc w:val="left"/>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1.2各供应商在编制磋商响应文件时请按照磋商文件第六部分规定的格式进行，</w:t>
      </w:r>
      <w:r>
        <w:rPr>
          <w:rFonts w:hint="eastAsia" w:ascii="宋体" w:hAnsi="宋体" w:cs="宋体"/>
          <w:color w:val="auto"/>
          <w:sz w:val="24"/>
          <w:szCs w:val="32"/>
          <w:highlight w:val="none"/>
          <w:lang w:val="en-GB"/>
        </w:rPr>
        <w:t>并按格式要求在指定位置根据要求进行签章，否则视为未提供，未提供格式的，请各供应商自行拟定格式。</w:t>
      </w:r>
    </w:p>
    <w:p w14:paraId="60146B22">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1.3 供应商应对所提供的全部资料的真实性承担法律责任，磋商响应文件内容中有要求盖章或签字的地方，必须加盖磋商供应商的公章以及法定代表人（单位负责人）或授权委托代理人的盖章或签字，其中所有证书类文件提供的复印件必须全部加盖单位公章且必须在有效期内的。</w:t>
      </w:r>
    </w:p>
    <w:p w14:paraId="1BE5CC30">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1.4磋商响应文件以及磋商供应商与采购组织机构就有关磋商事宜的所有来往函电，均应以中文汉语书写。除签字、盖章、专用名称等特殊情形外，以中文汉语以外的文字表述的磋商响应文件视同未提供。</w:t>
      </w:r>
    </w:p>
    <w:p w14:paraId="13A98B26">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1.5 若磋商供应商不按采购文件的要求提供资格审查材料，其风险由磋商供应商自行承担。</w:t>
      </w:r>
    </w:p>
    <w:p w14:paraId="2D5A7BFF">
      <w:pPr>
        <w:spacing w:line="360" w:lineRule="auto"/>
        <w:ind w:firstLine="482" w:firstLineChars="200"/>
        <w:jc w:val="left"/>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2、提供纸质响应文件要求：见《前附表》</w:t>
      </w:r>
    </w:p>
    <w:p w14:paraId="0DC8A3AA">
      <w:pPr>
        <w:spacing w:line="360" w:lineRule="auto"/>
        <w:ind w:firstLine="482" w:firstLineChars="200"/>
        <w:jc w:val="left"/>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3、响应文件的签章</w:t>
      </w:r>
    </w:p>
    <w:p w14:paraId="353ECEAD">
      <w:pPr>
        <w:spacing w:line="360" w:lineRule="auto"/>
        <w:ind w:firstLine="480" w:firstLineChars="200"/>
        <w:jc w:val="left"/>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磋商响应</w:t>
      </w:r>
      <w:r>
        <w:rPr>
          <w:rFonts w:hint="eastAsia" w:ascii="宋体" w:hAnsi="宋体" w:cs="宋体"/>
          <w:color w:val="auto"/>
          <w:sz w:val="24"/>
          <w:szCs w:val="32"/>
          <w:highlight w:val="none"/>
          <w:lang w:val="en-GB"/>
        </w:rPr>
        <w:t>文件按照</w:t>
      </w:r>
      <w:r>
        <w:rPr>
          <w:rFonts w:hint="eastAsia" w:ascii="宋体" w:hAnsi="宋体" w:cs="宋体"/>
          <w:color w:val="auto"/>
          <w:sz w:val="24"/>
          <w:szCs w:val="32"/>
          <w:highlight w:val="none"/>
          <w:lang w:val="zh-CN"/>
        </w:rPr>
        <w:t>磋商</w:t>
      </w:r>
      <w:r>
        <w:rPr>
          <w:rFonts w:hint="eastAsia" w:ascii="宋体" w:hAnsi="宋体" w:cs="宋体"/>
          <w:color w:val="auto"/>
          <w:sz w:val="24"/>
          <w:szCs w:val="32"/>
          <w:highlight w:val="none"/>
          <w:lang w:val="en-GB"/>
        </w:rPr>
        <w:t>文件第六部分格式要求进行签署、盖章。供应商的响应文件未按照</w:t>
      </w:r>
      <w:r>
        <w:rPr>
          <w:rFonts w:hint="eastAsia" w:ascii="宋体" w:hAnsi="宋体" w:cs="宋体"/>
          <w:color w:val="auto"/>
          <w:sz w:val="24"/>
          <w:szCs w:val="32"/>
          <w:highlight w:val="none"/>
          <w:lang w:val="zh-CN"/>
        </w:rPr>
        <w:t>磋商</w:t>
      </w:r>
      <w:r>
        <w:rPr>
          <w:rFonts w:hint="eastAsia" w:ascii="宋体" w:hAnsi="宋体" w:cs="宋体"/>
          <w:color w:val="auto"/>
          <w:sz w:val="24"/>
          <w:szCs w:val="32"/>
          <w:highlight w:val="none"/>
          <w:lang w:val="en-GB"/>
        </w:rPr>
        <w:t>文件要求签署、盖章的，其投标无效；其中电子响应文件中所须加盖公章部分均采用CA签章，并根据《政府采购项目电子交易管理操作指南-供应商》及本采购文件规定的格式和顺序编制电子响应文件并进行关联定位。</w:t>
      </w:r>
    </w:p>
    <w:p w14:paraId="357B4E96">
      <w:pPr>
        <w:spacing w:line="360" w:lineRule="auto"/>
        <w:ind w:firstLine="482" w:firstLineChars="200"/>
        <w:jc w:val="left"/>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4、备份响应文件的密封与标志</w:t>
      </w:r>
    </w:p>
    <w:p w14:paraId="0AF69607">
      <w:pPr>
        <w:spacing w:line="360" w:lineRule="auto"/>
        <w:ind w:firstLine="480" w:firstLineChars="200"/>
        <w:jc w:val="left"/>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4.1备份响应文件须密封包装。没有密封包装的响应文件，将被拒收。</w:t>
      </w:r>
    </w:p>
    <w:p w14:paraId="5011E127">
      <w:pPr>
        <w:spacing w:line="360" w:lineRule="auto"/>
        <w:ind w:firstLine="480" w:firstLineChars="200"/>
        <w:jc w:val="left"/>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4.2备份响应文件包装封面物应写明项目名称、供应商名称。</w:t>
      </w:r>
    </w:p>
    <w:p w14:paraId="2B7DD25F">
      <w:pPr>
        <w:spacing w:line="360" w:lineRule="auto"/>
        <w:ind w:firstLine="482" w:firstLineChars="200"/>
        <w:jc w:val="left"/>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5、磋商响应文件的上传和递交</w:t>
      </w:r>
    </w:p>
    <w:p w14:paraId="39DF941A">
      <w:pPr>
        <w:spacing w:line="360" w:lineRule="auto"/>
        <w:ind w:firstLine="480" w:firstLineChars="200"/>
        <w:jc w:val="left"/>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5.1“磋商响应文件”的上传、递交：见</w:t>
      </w:r>
      <w:r>
        <w:rPr>
          <w:rFonts w:hint="eastAsia" w:ascii="宋体" w:hAnsi="宋体" w:cs="宋体"/>
          <w:color w:val="auto"/>
          <w:sz w:val="24"/>
          <w:szCs w:val="32"/>
          <w:highlight w:val="none"/>
          <w:lang w:val="zh-CN"/>
        </w:rPr>
        <w:t>竞争性磋商公告及</w:t>
      </w:r>
      <w:r>
        <w:rPr>
          <w:rFonts w:hint="eastAsia" w:ascii="宋体" w:hAnsi="宋体" w:cs="宋体"/>
          <w:color w:val="auto"/>
          <w:sz w:val="24"/>
          <w:szCs w:val="32"/>
          <w:highlight w:val="none"/>
          <w:lang w:val="en-GB"/>
        </w:rPr>
        <w:t>《前附表》。▲未传输递交电子响应文件的，投标无效。</w:t>
      </w:r>
    </w:p>
    <w:p w14:paraId="5E23A62B">
      <w:pPr>
        <w:spacing w:line="360" w:lineRule="auto"/>
        <w:ind w:firstLine="480" w:firstLineChars="200"/>
        <w:jc w:val="left"/>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5.</w:t>
      </w:r>
      <w:r>
        <w:rPr>
          <w:rFonts w:hint="eastAsia" w:ascii="宋体" w:hAnsi="宋体" w:cs="宋体"/>
          <w:color w:val="auto"/>
          <w:sz w:val="24"/>
          <w:szCs w:val="32"/>
          <w:highlight w:val="none"/>
          <w:lang w:val="zh-CN"/>
        </w:rPr>
        <w:t>2</w:t>
      </w:r>
      <w:r>
        <w:rPr>
          <w:rFonts w:hint="eastAsia" w:ascii="宋体" w:hAnsi="宋体" w:cs="宋体"/>
          <w:color w:val="auto"/>
          <w:sz w:val="24"/>
          <w:szCs w:val="32"/>
          <w:highlight w:val="none"/>
          <w:lang w:val="en-GB"/>
        </w:rPr>
        <w:t>供应商还可以在投标截止时间将以介质（U盘）存储的数据电文形式的备份磋商响应文件和纸质备份磋商响应文件分别密封送交到招标公告规定的投标地点。</w:t>
      </w:r>
    </w:p>
    <w:p w14:paraId="453B1A17">
      <w:pPr>
        <w:spacing w:line="360" w:lineRule="auto"/>
        <w:ind w:firstLine="480" w:firstLineChars="200"/>
        <w:jc w:val="left"/>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▲未按规定提供相应的备份磋商响应文件，造成项目开评标活动无法进行下去的，投标无效。采购机构将拒绝接受逾期送达的磋商响应文件。</w:t>
      </w:r>
    </w:p>
    <w:p w14:paraId="41FF6606">
      <w:pPr>
        <w:spacing w:line="360" w:lineRule="auto"/>
        <w:ind w:firstLine="482" w:firstLineChars="200"/>
        <w:jc w:val="left"/>
        <w:rPr>
          <w:rFonts w:ascii="宋体" w:hAnsi="宋体" w:cs="宋体"/>
          <w:b/>
          <w:bCs/>
          <w:color w:val="auto"/>
          <w:sz w:val="24"/>
          <w:szCs w:val="32"/>
          <w:highlight w:val="none"/>
          <w:lang w:val="en-GB"/>
        </w:rPr>
      </w:pPr>
      <w:r>
        <w:rPr>
          <w:rFonts w:hint="eastAsia" w:ascii="宋体" w:hAnsi="宋体" w:cs="宋体"/>
          <w:b/>
          <w:bCs/>
          <w:color w:val="auto"/>
          <w:sz w:val="24"/>
          <w:szCs w:val="32"/>
          <w:highlight w:val="none"/>
          <w:lang w:val="en-GB"/>
        </w:rPr>
        <w:t>6、响应文件的补充、修改、撤回</w:t>
      </w:r>
    </w:p>
    <w:p w14:paraId="1C705428">
      <w:pPr>
        <w:spacing w:line="360" w:lineRule="auto"/>
        <w:ind w:firstLine="480" w:firstLineChars="200"/>
        <w:jc w:val="left"/>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6.1供应商应当在投标截止时间前完成电子响应文件的上传、递交，并可以补充、修改或者撤回响应文件。补充或者修改响应文件的，应当先行撤回原文件，补充、修改后重新上传、递交。投标截止时间前未完成上传、递交的，视为撤回响应文件。投标截止时间后递交的响应文件，“政府采购云平台”将予以拒收。</w:t>
      </w:r>
    </w:p>
    <w:p w14:paraId="6F4AAA78">
      <w:pPr>
        <w:spacing w:line="360" w:lineRule="auto"/>
        <w:ind w:firstLine="480" w:firstLineChars="200"/>
        <w:jc w:val="left"/>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6.</w:t>
      </w:r>
      <w:r>
        <w:rPr>
          <w:rFonts w:hint="eastAsia" w:ascii="宋体" w:hAnsi="宋体" w:cs="宋体"/>
          <w:color w:val="auto"/>
          <w:sz w:val="24"/>
          <w:szCs w:val="32"/>
          <w:highlight w:val="none"/>
          <w:lang w:val="zh-CN"/>
        </w:rPr>
        <w:t>2</w:t>
      </w:r>
      <w:r>
        <w:rPr>
          <w:rFonts w:hint="eastAsia" w:ascii="宋体" w:hAnsi="宋体" w:cs="宋体"/>
          <w:color w:val="auto"/>
          <w:sz w:val="24"/>
          <w:szCs w:val="32"/>
          <w:highlight w:val="none"/>
          <w:lang w:val="en-GB"/>
        </w:rPr>
        <w:t>投标截止时间后，磋商供应商不得撤回、修改响应文件。</w:t>
      </w:r>
    </w:p>
    <w:p w14:paraId="31A77965">
      <w:pPr>
        <w:spacing w:line="360" w:lineRule="auto"/>
        <w:ind w:firstLine="480" w:firstLineChars="200"/>
        <w:jc w:val="left"/>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6.3</w:t>
      </w:r>
      <w:r>
        <w:rPr>
          <w:rFonts w:hint="eastAsia" w:ascii="宋体" w:hAnsi="宋体" w:cs="宋体"/>
          <w:color w:val="auto"/>
          <w:sz w:val="24"/>
          <w:szCs w:val="32"/>
          <w:highlight w:val="none"/>
          <w:lang w:val="en-GB"/>
        </w:rPr>
        <w:t>在开标后规定的投标有效期内，供应商不能撤销响应文件。</w:t>
      </w:r>
    </w:p>
    <w:p w14:paraId="60913941">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（三）磋商响应文件的有效期</w:t>
      </w:r>
    </w:p>
    <w:p w14:paraId="05B340D5">
      <w:pPr>
        <w:spacing w:line="360" w:lineRule="auto"/>
        <w:ind w:firstLine="480" w:firstLineChars="200"/>
        <w:jc w:val="left"/>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自磋商响应截止日起90天磋商响应文件应保持有效。有效期不足的磋商响应文件将被拒绝。</w:t>
      </w:r>
    </w:p>
    <w:p w14:paraId="609DEA40">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2、在特殊情况下，采购人可与磋商供应商协商延长磋商响应文件的有效期，这种要求和答复均以书面形式进行。</w:t>
      </w:r>
    </w:p>
    <w:p w14:paraId="1E83E65C">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3、成交供应商的磋商响应文件自磋商之日起至合同履行完毕均应保持有效。</w:t>
      </w:r>
    </w:p>
    <w:p w14:paraId="6492899C">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三、磋商</w:t>
      </w:r>
    </w:p>
    <w:p w14:paraId="53353163">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（一）磋商程序</w:t>
      </w:r>
    </w:p>
    <w:p w14:paraId="789B2148">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1、采购组织机构将在“磋商公告”规定的时间和地点进行磋商，磋商采购会议由采购组织机构工作人员主持。</w:t>
      </w:r>
    </w:p>
    <w:p w14:paraId="667ADA64">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主持人宣布磋商采购会议开始，介绍磋商现场的人员情况，宣读提交磋商响应文件的供应商名单、磋商纪律、应当回避的情形等注意事项，组织供应商签署不存在影响公平竞争的《政府采购活动现场确认声明书》。</w:t>
      </w:r>
    </w:p>
    <w:p w14:paraId="06C4B526">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3、向各供应商发出电子加密响应文件【开始解密】通知，由供应商按磋商文件规定的时间内自行进行响应文件解密。磋商响应文件的制作和解密应使用同一个数字证书，否则将可能解密失败。</w:t>
      </w:r>
    </w:p>
    <w:p w14:paraId="4C288027">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4、采购组织机构点击【开启标书信息】，开启标书成功后进入开标流程。</w:t>
      </w:r>
    </w:p>
    <w:p w14:paraId="19EE2FF8">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5、本项目原则上采用电子评审方法，若因政采云平台原因无法读取或电子开评标无法正常进行，采购代理机构将开启所有供应商递交的纸质备份响应文件，以完成开、评标，电子响应文件及以介质存储的数据电文形式的备份响应文件自动失效。</w:t>
      </w:r>
    </w:p>
    <w:p w14:paraId="6BD13BE9">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6、磋商小组必须按照客观、公正、审慎的原则，根据磋商文件规定的评审程序、评审方法和评审标准进行独立评审。未实质性响应磋商文件的响应文件按无效响应处理，磋商小组应当告知提交响应文件的供应商。</w:t>
      </w:r>
    </w:p>
    <w:p w14:paraId="2AF3EE87">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7、磋商小组所有成员集中与单一供应商分别进行磋商，并给予所有参加磋商的供应商平等的磋商机会。</w:t>
      </w:r>
    </w:p>
    <w:p w14:paraId="6826EF4E">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8、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当及时以书面形式同时通知所有参加磋商的供应商。供应商应当按照磋商文件的变动情况和磋商小组的要求重新提交响应文件，并由其法定代表人（单位负责人）或授权委托代理人签字或者加盖公章。</w:t>
      </w:r>
    </w:p>
    <w:p w14:paraId="070AD78A">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 xml:space="preserve">9、磋商文件能够详细列明采购标的技术、服务要求的，磋商结束后，磋商小组将要求所有实质性响应的供应商在规定时间内提交最后报价，最后报价是供应商响应文件的有效组成部分。未提交最后报价的投标无效。 </w:t>
      </w:r>
    </w:p>
    <w:p w14:paraId="4BDF166F">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10、经磋商确定最终采购需求和提交最后报价的供应商后，由磋商小组采用综合评分法对提交最后报价的供应商的响应文件和最后报价进行综合评分。</w:t>
      </w:r>
    </w:p>
    <w:p w14:paraId="4E75CDA0">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11、磋商小组根据综合评分情况，按照评审得分由高到低顺序确定预成交供应商，编写评审报告。</w:t>
      </w:r>
    </w:p>
    <w:p w14:paraId="3FA1DAF5">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12、采购组织机构对磋商小组专家成员进行评价；</w:t>
      </w:r>
    </w:p>
    <w:p w14:paraId="3A2832F7">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13、主持人到磋商采购会现场宣布磋商结果（含技术得分、最后报价、报价得分及总得分），磋商采购会议结束。</w:t>
      </w:r>
    </w:p>
    <w:p w14:paraId="6D756087">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特别说明：如遇政采云平台电子化开标或评审程序调整的，按调整后程序执行。</w:t>
      </w:r>
    </w:p>
    <w:p w14:paraId="2D42DD2D">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（二）澄清问题的形式</w:t>
      </w:r>
    </w:p>
    <w:p w14:paraId="18AC51DF">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磋商供应商的澄清、说明或者补正应当采用书面形式，并加盖公章，或者由法定代理人或其授权的代表签字，并不得超出磋商响应文件的范围或者改变磋商响应文件的实质性内容。</w:t>
      </w:r>
    </w:p>
    <w:p w14:paraId="587888F0">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（三）错误修正</w:t>
      </w:r>
    </w:p>
    <w:p w14:paraId="1EA43922">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磋商响应文件报价出现前后不一致的，除磋商采购文件另有规定外，按照下列规定修正：</w:t>
      </w:r>
    </w:p>
    <w:p w14:paraId="4DC469B1">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1、磋商响应文件中首次报价一览表内容与磋商响应文件中相应内容不一致的，以首次报价一览表为准；</w:t>
      </w:r>
    </w:p>
    <w:p w14:paraId="38229812">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2、大写金额和小写金额不一致的，以大写金额为准；</w:t>
      </w:r>
    </w:p>
    <w:p w14:paraId="10BC8FBB">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3、单价金额小数点或者百分比有明显错位的，以首次报价一览表的总价为准，并修改单价；</w:t>
      </w:r>
    </w:p>
    <w:p w14:paraId="1D3B7612">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4、总价金额与按单价汇总金额不一致的，以单价金额计算结果为准。</w:t>
      </w:r>
    </w:p>
    <w:p w14:paraId="2F667E8D">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同时出现两种以上不一致的，按照前款规定的顺序修正。修正应当采用书面形式，并加盖公章，或者由法定代表人（单位负责人）或其授权的代表签字。修正后的报价经磋商供应商确认后产生约束力，磋商供应商不确认的，将终止磋商。</w:t>
      </w:r>
    </w:p>
    <w:p w14:paraId="09AB753F">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（四）磋商供应商存在下列情况之一的，响应无效，终止磋商：</w:t>
      </w:r>
    </w:p>
    <w:p w14:paraId="259CA695">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1、磋商响应文件中的商务与技术内容中的</w:t>
      </w:r>
      <w:r>
        <w:rPr>
          <w:rFonts w:hint="eastAsia" w:ascii="宋体" w:hAnsi="宋体" w:cs="宋体"/>
          <w:color w:val="auto"/>
          <w:sz w:val="24"/>
          <w:szCs w:val="32"/>
          <w:highlight w:val="none"/>
        </w:rPr>
        <w:t>服务</w:t>
      </w:r>
      <w:r>
        <w:rPr>
          <w:rFonts w:hint="eastAsia" w:ascii="宋体" w:hAnsi="宋体" w:cs="宋体"/>
          <w:color w:val="auto"/>
          <w:sz w:val="24"/>
          <w:szCs w:val="32"/>
          <w:highlight w:val="none"/>
          <w:lang w:val="zh-CN"/>
        </w:rPr>
        <w:t>出现重大偏差的；</w:t>
      </w:r>
    </w:p>
    <w:p w14:paraId="3F24713C">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2、不具备磋商采购文件中规定的资格要求的。</w:t>
      </w:r>
    </w:p>
    <w:p w14:paraId="56B030C9">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3、磋商响应文件含有采购人不能接受的附加条件的。</w:t>
      </w:r>
    </w:p>
    <w:p w14:paraId="45B85370">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4、供应商代表人未能出具身份证明或与法定代表人（单位负责人）授权委托代理人身份不符的；</w:t>
      </w:r>
    </w:p>
    <w:p w14:paraId="4BCC4EC4">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5、磋商小组认为供应商的报价明显低于其他通过符合性审查供应商的报价，有可能影响诚信履约的，应当要求其在评审现场合理的时间内提供书面说明，必要时提交相关证明材料；供应商不能证明其报价合理性的，磋商小组应当与其终止磋商。</w:t>
      </w:r>
    </w:p>
    <w:p w14:paraId="34638CAB">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6、报价超过磋商采购文件中规定的预算金额/最高限价。</w:t>
      </w:r>
    </w:p>
    <w:p w14:paraId="56322581">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7</w:t>
      </w:r>
      <w:r>
        <w:rPr>
          <w:rFonts w:hint="eastAsia" w:ascii="宋体" w:hAnsi="宋体" w:cs="宋体"/>
          <w:color w:val="auto"/>
          <w:sz w:val="24"/>
          <w:szCs w:val="32"/>
          <w:highlight w:val="none"/>
          <w:lang w:val="zh-CN"/>
        </w:rPr>
        <w:t>、磋商响应文件提供虚假材料的。</w:t>
      </w:r>
    </w:p>
    <w:p w14:paraId="1A855E6B">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8</w:t>
      </w:r>
      <w:r>
        <w:rPr>
          <w:rFonts w:hint="eastAsia" w:ascii="宋体" w:hAnsi="宋体" w:cs="宋体"/>
          <w:color w:val="auto"/>
          <w:sz w:val="24"/>
          <w:szCs w:val="32"/>
          <w:highlight w:val="none"/>
          <w:lang w:val="zh-CN"/>
        </w:rPr>
        <w:t>、不同供应商的磋商响应文件由同一单位或者个人编制；</w:t>
      </w:r>
    </w:p>
    <w:p w14:paraId="142B5CFD">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rPr>
        <w:t>9</w:t>
      </w:r>
      <w:r>
        <w:rPr>
          <w:rFonts w:hint="eastAsia" w:ascii="宋体" w:hAnsi="宋体" w:cs="宋体"/>
          <w:color w:val="auto"/>
          <w:sz w:val="24"/>
          <w:szCs w:val="32"/>
          <w:highlight w:val="none"/>
          <w:lang w:val="zh-CN"/>
        </w:rPr>
        <w:t>、不同供应商委托同一单位或者个人办理磋商事宜；</w:t>
      </w:r>
    </w:p>
    <w:p w14:paraId="267493CD">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rPr>
        <w:t>0</w:t>
      </w:r>
      <w:r>
        <w:rPr>
          <w:rFonts w:hint="eastAsia" w:ascii="宋体" w:hAnsi="宋体" w:cs="宋体"/>
          <w:color w:val="auto"/>
          <w:sz w:val="24"/>
          <w:szCs w:val="32"/>
          <w:highlight w:val="none"/>
          <w:lang w:val="zh-CN"/>
        </w:rPr>
        <w:t>、不同供应商的磋商响应文件载明的项目管理成员或者联系人员为同一人；</w:t>
      </w:r>
    </w:p>
    <w:p w14:paraId="5D793FDE">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、不同供应商的磋商响应文件异常一致或者报价呈规律性差异；</w:t>
      </w:r>
    </w:p>
    <w:p w14:paraId="79DE203D">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、不同供应商的磋商响应文件相互混装；</w:t>
      </w:r>
    </w:p>
    <w:p w14:paraId="03F59A55">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、不符合法律、法规和磋商采购文件中规定的其他实质性要求的（磋商采购文件中打“▲”内容及被拒绝的条款）。</w:t>
      </w:r>
    </w:p>
    <w:p w14:paraId="5096C16C">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、未传输递交电子响应文件的或者未按规定提供相应的备份响应文件，造成项目开评标活动无法进行下去的。</w:t>
      </w:r>
    </w:p>
    <w:p w14:paraId="34886EB0">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（五）有下列情况之一的，本次磋商终止：</w:t>
      </w:r>
    </w:p>
    <w:p w14:paraId="20DA2199">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1、出现影响采购公正的违法、违规行为的；</w:t>
      </w:r>
    </w:p>
    <w:p w14:paraId="488980A5">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 xml:space="preserve">2、磋商小组发现磋商文件存在歧义、重大缺陷导致评审工作无法进行，或者磋商文件内容违反国家有关强制性规定的； </w:t>
      </w:r>
    </w:p>
    <w:p w14:paraId="5B311155">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3、因重大变故，采购任务取消的；</w:t>
      </w:r>
    </w:p>
    <w:p w14:paraId="4181E51F">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4、法律、法规和磋商文件规定的其他导致评审结果无效的。</w:t>
      </w:r>
    </w:p>
    <w:p w14:paraId="6CA2E772">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（六）磋商原则和方法</w:t>
      </w:r>
    </w:p>
    <w:p w14:paraId="52E4A363">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76B214C0">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2、磋商办法。具体磋商内容及评分标准等详见《评审办法及评审标准》。</w:t>
      </w:r>
    </w:p>
    <w:p w14:paraId="6DAE2140">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（七）评审过程的监控</w:t>
      </w:r>
    </w:p>
    <w:p w14:paraId="783DBB42">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本项目评审过程实行全程录音、录像监控，政府采购监管部门视情进行现场监督，供应商在评审过程中所进行的试图影响评审结果的不公正活动，可能导致其被拒绝磋商。</w:t>
      </w:r>
    </w:p>
    <w:p w14:paraId="6EE0AFB1">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四、磋商结果确定</w:t>
      </w:r>
    </w:p>
    <w:p w14:paraId="2827DE82">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858E4AF">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2、发布成交结果公告。采购组织机构应当在成交供应商确定后2个工作日内，在省级以上财政部门指定的政府采购信息发布媒体及相关网站上公告成交结果，并将磋商文件随同公告。</w:t>
      </w:r>
    </w:p>
    <w:p w14:paraId="4BDC9121">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3、发出成交通知书。采购组织机构在发布成交结果同时，向成交供应商发出成交通知书。</w:t>
      </w:r>
    </w:p>
    <w:p w14:paraId="3D136BC6">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5DAB107">
      <w:pP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5、代理费用：</w:t>
      </w:r>
    </w:p>
    <w:p w14:paraId="69F56D43">
      <w:pP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招标代理费采用差额累进制方式向中标单位收取，收费标准按照下列表格中服务类别下浮30%，不足陆仟元按照陆仟元收取。中标方须在中标通知书发出5日内一次性付清</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户名：浙江五石中正工程咨询有限公司台州分公司；开户银行：浙江泰隆商业银行营业部；账号：99990000201000003135）财务电话：0571-88271625。</w:t>
      </w:r>
    </w:p>
    <w:tbl>
      <w:tblPr>
        <w:tblStyle w:val="29"/>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1510"/>
        <w:gridCol w:w="1510"/>
        <w:gridCol w:w="1510"/>
      </w:tblGrid>
      <w:tr w14:paraId="2B90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noWrap w:val="0"/>
            <w:vAlign w:val="center"/>
          </w:tcPr>
          <w:p w14:paraId="0641476E">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10" w:type="dxa"/>
            <w:noWrap w:val="0"/>
            <w:vAlign w:val="center"/>
          </w:tcPr>
          <w:p w14:paraId="18EB2338">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510" w:type="dxa"/>
            <w:noWrap w:val="0"/>
            <w:vAlign w:val="center"/>
          </w:tcPr>
          <w:p w14:paraId="76F51749">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510" w:type="dxa"/>
            <w:noWrap w:val="0"/>
            <w:vAlign w:val="center"/>
          </w:tcPr>
          <w:p w14:paraId="61BBFB38">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2346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noWrap w:val="0"/>
            <w:vAlign w:val="center"/>
          </w:tcPr>
          <w:p w14:paraId="086E2EE3">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510" w:type="dxa"/>
            <w:noWrap w:val="0"/>
            <w:vAlign w:val="center"/>
          </w:tcPr>
          <w:p w14:paraId="3B781954">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noWrap w:val="0"/>
            <w:vAlign w:val="center"/>
          </w:tcPr>
          <w:p w14:paraId="2CCF168F">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noWrap w:val="0"/>
            <w:vAlign w:val="center"/>
          </w:tcPr>
          <w:p w14:paraId="7C196542">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2E98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noWrap w:val="0"/>
            <w:vAlign w:val="center"/>
          </w:tcPr>
          <w:p w14:paraId="45B4DB9A">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510" w:type="dxa"/>
            <w:noWrap w:val="0"/>
            <w:vAlign w:val="center"/>
          </w:tcPr>
          <w:p w14:paraId="4D7BAE2E">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510" w:type="dxa"/>
            <w:noWrap w:val="0"/>
            <w:vAlign w:val="center"/>
          </w:tcPr>
          <w:p w14:paraId="0BAD10BC">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noWrap w:val="0"/>
            <w:vAlign w:val="center"/>
          </w:tcPr>
          <w:p w14:paraId="70FB1D8B">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5292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09" w:type="dxa"/>
            <w:noWrap w:val="0"/>
            <w:vAlign w:val="center"/>
          </w:tcPr>
          <w:p w14:paraId="66369925">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510" w:type="dxa"/>
            <w:noWrap w:val="0"/>
            <w:vAlign w:val="center"/>
          </w:tcPr>
          <w:p w14:paraId="336A16F6">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noWrap w:val="0"/>
            <w:vAlign w:val="center"/>
          </w:tcPr>
          <w:p w14:paraId="7AAF6D80">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510" w:type="dxa"/>
            <w:noWrap w:val="0"/>
            <w:vAlign w:val="center"/>
          </w:tcPr>
          <w:p w14:paraId="1B80B4C1">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287C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noWrap w:val="0"/>
            <w:vAlign w:val="center"/>
          </w:tcPr>
          <w:p w14:paraId="12F2C25A">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510" w:type="dxa"/>
            <w:noWrap w:val="0"/>
            <w:vAlign w:val="center"/>
          </w:tcPr>
          <w:p w14:paraId="68202E3B">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510" w:type="dxa"/>
            <w:noWrap w:val="0"/>
            <w:vAlign w:val="center"/>
          </w:tcPr>
          <w:p w14:paraId="08F292FE">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noWrap w:val="0"/>
            <w:vAlign w:val="center"/>
          </w:tcPr>
          <w:p w14:paraId="62AE7148">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2237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noWrap w:val="0"/>
            <w:vAlign w:val="center"/>
          </w:tcPr>
          <w:p w14:paraId="791A8F27">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510" w:type="dxa"/>
            <w:noWrap w:val="0"/>
            <w:vAlign w:val="center"/>
          </w:tcPr>
          <w:p w14:paraId="38E1A3B5">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noWrap w:val="0"/>
            <w:vAlign w:val="center"/>
          </w:tcPr>
          <w:p w14:paraId="04B9040F">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1510" w:type="dxa"/>
            <w:noWrap w:val="0"/>
            <w:vAlign w:val="center"/>
          </w:tcPr>
          <w:p w14:paraId="4CB5B334">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1734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noWrap w:val="0"/>
            <w:vAlign w:val="center"/>
          </w:tcPr>
          <w:p w14:paraId="0E761EDA">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510" w:type="dxa"/>
            <w:noWrap w:val="0"/>
            <w:vAlign w:val="center"/>
          </w:tcPr>
          <w:p w14:paraId="7606A30C">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noWrap w:val="0"/>
            <w:vAlign w:val="center"/>
          </w:tcPr>
          <w:p w14:paraId="6E201D46">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noWrap w:val="0"/>
            <w:vAlign w:val="center"/>
          </w:tcPr>
          <w:p w14:paraId="3B9FA778">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14:paraId="5043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09" w:type="dxa"/>
            <w:noWrap w:val="0"/>
            <w:vAlign w:val="center"/>
          </w:tcPr>
          <w:p w14:paraId="0516DE23">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510" w:type="dxa"/>
            <w:noWrap w:val="0"/>
            <w:vAlign w:val="center"/>
          </w:tcPr>
          <w:p w14:paraId="175D30E3">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noWrap w:val="0"/>
            <w:vAlign w:val="center"/>
          </w:tcPr>
          <w:p w14:paraId="3CA072DC">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noWrap w:val="0"/>
            <w:vAlign w:val="center"/>
          </w:tcPr>
          <w:p w14:paraId="6EC3E0F5">
            <w:pPr>
              <w:shd w:val="clear" w:color="auto" w:fill="auto"/>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14:paraId="01FFA069">
      <w:pPr>
        <w:pStyle w:val="2"/>
        <w:rPr>
          <w:rFonts w:hint="eastAsia"/>
          <w:color w:val="auto"/>
          <w:highlight w:val="none"/>
        </w:rPr>
      </w:pPr>
    </w:p>
    <w:p w14:paraId="498398D4">
      <w:pP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2.出现下列情形之一时，代理方自行承担全部成本及风险，委托方不承担任何费用：</w:t>
      </w:r>
    </w:p>
    <w:p w14:paraId="6F87F9DA">
      <w:pP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(1)招标流标；</w:t>
      </w:r>
    </w:p>
    <w:p w14:paraId="294CA89F">
      <w:pP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(2)代理方完成服务但无投标方中标。</w:t>
      </w:r>
    </w:p>
    <w:p w14:paraId="07B9A331">
      <w:pP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(3)其他导致招标失败的情形。</w:t>
      </w:r>
    </w:p>
    <w:p w14:paraId="18ED948F">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3.招标代理过程中产生的所有成本费用（包括但不限于专家评审费、场地费等），均由代理方合法合规承担，与委托方无关。</w:t>
      </w:r>
    </w:p>
    <w:p w14:paraId="2E11B9A6">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五、合同签订及公告</w:t>
      </w:r>
    </w:p>
    <w:p w14:paraId="62091AF1">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7F92A839">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1、采购人应当自成交通知书发出之日起</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0</w:t>
      </w:r>
      <w:r>
        <w:rPr>
          <w:rFonts w:hint="eastAsia" w:ascii="宋体" w:hAnsi="宋体" w:cs="宋体"/>
          <w:color w:val="auto"/>
          <w:sz w:val="24"/>
          <w:szCs w:val="32"/>
          <w:highlight w:val="none"/>
        </w:rPr>
        <w:t>天</w:t>
      </w:r>
      <w:r>
        <w:rPr>
          <w:rFonts w:hint="eastAsia" w:ascii="宋体" w:hAnsi="宋体" w:cs="宋体"/>
          <w:color w:val="auto"/>
          <w:sz w:val="24"/>
          <w:szCs w:val="32"/>
          <w:highlight w:val="none"/>
          <w:lang w:val="zh-CN"/>
        </w:rPr>
        <w:t>内，按照磋商采购文件确定的合同文本以及采购标的、采购金额、采购数量和服务要求等事项签订政府采购合同。</w:t>
      </w:r>
    </w:p>
    <w:p w14:paraId="2184864D">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2、采购人不得向成交供应商提出超出磋商文件以外的任何要求作为签订合同的条件，不得与成交供应商订立背离磋商文件确定的合同文本以及采购标的、采购金额、采购数量和服务要求等实质性内容的协议。</w:t>
      </w:r>
    </w:p>
    <w:p w14:paraId="2D65F419">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3、成交供应商无故拖延、拒签合同的，将取消成交资格。</w:t>
      </w:r>
    </w:p>
    <w:p w14:paraId="0D3B081A">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做出处理。</w:t>
      </w:r>
    </w:p>
    <w:p w14:paraId="6ADC4232">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5、询问或者质疑事项可能影响成交结果的，采购人应当暂停签订合同，已经签订合同的，应当中止履行合同（成交结果的质疑期为成交结果公告期限届满之日起七个工作日）。</w:t>
      </w:r>
    </w:p>
    <w:p w14:paraId="5FA4FE2A">
      <w:pPr>
        <w:spacing w:line="360" w:lineRule="auto"/>
        <w:ind w:firstLine="241" w:firstLineChars="1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74C5FFF4">
      <w:pPr>
        <w:spacing w:line="360" w:lineRule="auto"/>
        <w:ind w:firstLine="480" w:firstLineChars="200"/>
        <w:jc w:val="left"/>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1、采购人应当自政府采购合同签订之日起2个工作日内，在省级以上财政部门指定的政府采购信息发布媒体及相关网站上公告。</w:t>
      </w:r>
    </w:p>
    <w:p w14:paraId="44AA94F7">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lang w:val="zh-CN"/>
        </w:rPr>
        <w:t>2、采购人应当自政府采购合同签订之日起7个工作日内，将政府采购合同副本报同级人民政府财政部门备案以及采购组织机构存档。</w:t>
      </w:r>
    </w:p>
    <w:p w14:paraId="0B770C1E">
      <w:pPr>
        <w:rPr>
          <w:rFonts w:ascii="宋体" w:hAnsi="宋体" w:cs="宋体"/>
          <w:b/>
          <w:bCs/>
          <w:color w:val="auto"/>
          <w:sz w:val="36"/>
          <w:szCs w:val="44"/>
          <w:highlight w:val="none"/>
        </w:rPr>
      </w:pPr>
      <w:r>
        <w:rPr>
          <w:rFonts w:hint="eastAsia" w:ascii="宋体" w:hAnsi="宋体" w:cs="宋体"/>
          <w:b/>
          <w:bCs/>
          <w:color w:val="auto"/>
          <w:sz w:val="36"/>
          <w:szCs w:val="44"/>
          <w:highlight w:val="none"/>
        </w:rPr>
        <w:br w:type="page"/>
      </w:r>
    </w:p>
    <w:p w14:paraId="765F20D5">
      <w:pP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第三部分 项目需求</w:t>
      </w:r>
    </w:p>
    <w:p w14:paraId="05A6291F">
      <w:pPr>
        <w:spacing w:line="360" w:lineRule="auto"/>
        <w:jc w:val="left"/>
        <w:outlineLvl w:val="0"/>
        <w:rPr>
          <w:rFonts w:ascii="宋体" w:hAnsi="宋体" w:cs="宋体"/>
          <w:b/>
          <w:bCs/>
          <w:color w:val="auto"/>
          <w:sz w:val="24"/>
          <w:szCs w:val="32"/>
          <w:highlight w:val="none"/>
        </w:rPr>
      </w:pPr>
      <w:bookmarkStart w:id="7" w:name="_Toc2338182"/>
      <w:bookmarkStart w:id="8" w:name="_Toc39061906"/>
      <w:bookmarkStart w:id="9" w:name="_Toc2338163"/>
      <w:bookmarkStart w:id="10" w:name="_Toc178834693"/>
      <w:bookmarkStart w:id="11" w:name="_Toc264623588"/>
      <w:bookmarkStart w:id="12" w:name="_Toc171824109"/>
      <w:bookmarkStart w:id="13" w:name="_Toc178865419"/>
      <w:bookmarkStart w:id="14" w:name="_Toc264623590"/>
      <w:bookmarkStart w:id="15" w:name="_Toc178865417"/>
      <w:bookmarkStart w:id="16" w:name="_Toc165450799"/>
      <w:r>
        <w:rPr>
          <w:rFonts w:hint="eastAsia" w:ascii="宋体" w:hAnsi="宋体" w:cs="宋体"/>
          <w:b/>
          <w:bCs/>
          <w:color w:val="auto"/>
          <w:sz w:val="24"/>
          <w:highlight w:val="none"/>
        </w:rPr>
        <w:t>一</w:t>
      </w:r>
      <w:bookmarkEnd w:id="7"/>
      <w:bookmarkEnd w:id="8"/>
      <w:bookmarkEnd w:id="9"/>
      <w:r>
        <w:rPr>
          <w:rFonts w:hint="eastAsia" w:ascii="宋体" w:hAnsi="宋体" w:cs="宋体"/>
          <w:b/>
          <w:bCs/>
          <w:color w:val="auto"/>
          <w:sz w:val="24"/>
          <w:highlight w:val="none"/>
        </w:rPr>
        <w:t>、</w:t>
      </w:r>
      <w:r>
        <w:rPr>
          <w:rFonts w:hint="eastAsia" w:ascii="宋体" w:hAnsi="宋体" w:cs="宋体"/>
          <w:b/>
          <w:bCs/>
          <w:color w:val="auto"/>
          <w:sz w:val="24"/>
          <w:szCs w:val="32"/>
          <w:highlight w:val="none"/>
        </w:rPr>
        <w:t>招标项目一览表</w:t>
      </w:r>
    </w:p>
    <w:p w14:paraId="39C78B5C">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本次招标共</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val="en-US" w:eastAsia="zh-CN"/>
        </w:rPr>
        <w:t>2</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个标</w:t>
      </w:r>
      <w:r>
        <w:rPr>
          <w:rFonts w:hint="eastAsia" w:ascii="宋体" w:hAnsi="宋体" w:cs="宋体"/>
          <w:color w:val="auto"/>
          <w:sz w:val="24"/>
          <w:szCs w:val="32"/>
          <w:highlight w:val="none"/>
          <w:lang w:val="en-US" w:eastAsia="zh-CN"/>
        </w:rPr>
        <w:t>项</w:t>
      </w:r>
      <w:r>
        <w:rPr>
          <w:rFonts w:hint="eastAsia" w:ascii="宋体" w:hAnsi="宋体" w:cs="宋体"/>
          <w:color w:val="auto"/>
          <w:sz w:val="24"/>
          <w:szCs w:val="32"/>
          <w:highlight w:val="none"/>
        </w:rPr>
        <w:t>，具体内容如下表：</w:t>
      </w:r>
    </w:p>
    <w:bookmarkEnd w:id="10"/>
    <w:bookmarkEnd w:id="11"/>
    <w:bookmarkEnd w:id="12"/>
    <w:bookmarkEnd w:id="13"/>
    <w:bookmarkEnd w:id="14"/>
    <w:bookmarkEnd w:id="15"/>
    <w:bookmarkEnd w:id="16"/>
    <w:tbl>
      <w:tblPr>
        <w:tblStyle w:val="29"/>
        <w:tblW w:w="86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60"/>
        <w:gridCol w:w="3461"/>
        <w:gridCol w:w="805"/>
        <w:gridCol w:w="913"/>
        <w:gridCol w:w="1773"/>
        <w:gridCol w:w="1051"/>
      </w:tblGrid>
      <w:tr w14:paraId="7EB00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660" w:type="dxa"/>
            <w:tcMar>
              <w:top w:w="75" w:type="dxa"/>
              <w:left w:w="75" w:type="dxa"/>
              <w:bottom w:w="75" w:type="dxa"/>
              <w:right w:w="75" w:type="dxa"/>
            </w:tcMar>
            <w:vAlign w:val="center"/>
          </w:tcPr>
          <w:p w14:paraId="007C681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标项</w:t>
            </w:r>
          </w:p>
        </w:tc>
        <w:tc>
          <w:tcPr>
            <w:tcW w:w="3461" w:type="dxa"/>
            <w:tcMar>
              <w:top w:w="75" w:type="dxa"/>
              <w:left w:w="75" w:type="dxa"/>
              <w:bottom w:w="75" w:type="dxa"/>
              <w:right w:w="75" w:type="dxa"/>
            </w:tcMar>
            <w:vAlign w:val="center"/>
          </w:tcPr>
          <w:p w14:paraId="5BCBA316">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内容</w:t>
            </w:r>
          </w:p>
        </w:tc>
        <w:tc>
          <w:tcPr>
            <w:tcW w:w="805" w:type="dxa"/>
            <w:tcMar>
              <w:top w:w="75" w:type="dxa"/>
              <w:left w:w="75" w:type="dxa"/>
              <w:bottom w:w="75" w:type="dxa"/>
              <w:right w:w="75" w:type="dxa"/>
            </w:tcMar>
            <w:vAlign w:val="center"/>
          </w:tcPr>
          <w:p w14:paraId="44617DD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913" w:type="dxa"/>
            <w:tcMar>
              <w:top w:w="75" w:type="dxa"/>
              <w:left w:w="75" w:type="dxa"/>
              <w:bottom w:w="75" w:type="dxa"/>
              <w:right w:w="75" w:type="dxa"/>
            </w:tcMar>
            <w:vAlign w:val="center"/>
          </w:tcPr>
          <w:p w14:paraId="33D4FFA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773" w:type="dxa"/>
            <w:tcMar>
              <w:top w:w="75" w:type="dxa"/>
              <w:left w:w="75" w:type="dxa"/>
              <w:bottom w:w="75" w:type="dxa"/>
              <w:right w:w="75" w:type="dxa"/>
            </w:tcMar>
            <w:vAlign w:val="center"/>
          </w:tcPr>
          <w:p w14:paraId="27C2092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预算/最高限价</w:t>
            </w:r>
          </w:p>
        </w:tc>
        <w:tc>
          <w:tcPr>
            <w:tcW w:w="1051" w:type="dxa"/>
            <w:tcMar>
              <w:top w:w="75" w:type="dxa"/>
              <w:left w:w="75" w:type="dxa"/>
              <w:bottom w:w="75" w:type="dxa"/>
              <w:right w:w="75" w:type="dxa"/>
            </w:tcMar>
            <w:vAlign w:val="center"/>
          </w:tcPr>
          <w:p w14:paraId="1BBF9AA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5367B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6" w:hRule="atLeast"/>
          <w:jc w:val="center"/>
        </w:trPr>
        <w:tc>
          <w:tcPr>
            <w:tcW w:w="660" w:type="dxa"/>
            <w:tcMar>
              <w:top w:w="75" w:type="dxa"/>
              <w:left w:w="75" w:type="dxa"/>
              <w:bottom w:w="75" w:type="dxa"/>
              <w:right w:w="75" w:type="dxa"/>
            </w:tcMar>
            <w:vAlign w:val="center"/>
          </w:tcPr>
          <w:p w14:paraId="67891CB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61" w:type="dxa"/>
            <w:tcMar>
              <w:top w:w="75" w:type="dxa"/>
              <w:left w:w="75" w:type="dxa"/>
              <w:bottom w:w="75" w:type="dxa"/>
              <w:right w:w="75" w:type="dxa"/>
            </w:tcMar>
            <w:vAlign w:val="center"/>
          </w:tcPr>
          <w:p w14:paraId="394C44EC">
            <w:pPr>
              <w:keepNext w:val="0"/>
              <w:keepLines w:val="0"/>
              <w:pageBreakBefore w:val="0"/>
              <w:widowControl w:val="0"/>
              <w:tabs>
                <w:tab w:val="left" w:pos="8280"/>
              </w:tabs>
              <w:kinsoku/>
              <w:wordWrap/>
              <w:overflowPunct/>
              <w:topLinePunct w:val="0"/>
              <w:autoSpaceDE w:val="0"/>
              <w:autoSpaceDN w:val="0"/>
              <w:bidi w:val="0"/>
              <w:adjustRightInd w:val="0"/>
              <w:snapToGrid w:val="0"/>
              <w:ind w:right="23"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“民转刑”防控应用场景综合集成项目</w:t>
            </w:r>
            <w:r>
              <w:rPr>
                <w:rFonts w:hint="eastAsia" w:ascii="宋体" w:hAnsi="宋体" w:eastAsia="宋体" w:cs="宋体"/>
                <w:color w:val="auto"/>
                <w:sz w:val="24"/>
                <w:szCs w:val="24"/>
                <w:highlight w:val="none"/>
                <w:lang w:eastAsia="zh-CN"/>
              </w:rPr>
              <w:t>升级改造</w:t>
            </w:r>
          </w:p>
        </w:tc>
        <w:tc>
          <w:tcPr>
            <w:tcW w:w="805" w:type="dxa"/>
            <w:tcMar>
              <w:top w:w="75" w:type="dxa"/>
              <w:left w:w="75" w:type="dxa"/>
              <w:bottom w:w="75" w:type="dxa"/>
              <w:right w:w="75" w:type="dxa"/>
            </w:tcMar>
            <w:vAlign w:val="center"/>
          </w:tcPr>
          <w:p w14:paraId="5A3DC559">
            <w:pPr>
              <w:keepNext w:val="0"/>
              <w:keepLines w:val="0"/>
              <w:pageBreakBefore w:val="0"/>
              <w:widowControl w:val="0"/>
              <w:tabs>
                <w:tab w:val="left" w:pos="8280"/>
              </w:tabs>
              <w:kinsoku/>
              <w:wordWrap/>
              <w:overflowPunct/>
              <w:topLinePunct w:val="0"/>
              <w:autoSpaceDE w:val="0"/>
              <w:autoSpaceDN w:val="0"/>
              <w:bidi w:val="0"/>
              <w:adjustRightInd w:val="0"/>
              <w:snapToGrid w:val="0"/>
              <w:ind w:right="23"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13" w:type="dxa"/>
            <w:tcMar>
              <w:top w:w="75" w:type="dxa"/>
              <w:left w:w="75" w:type="dxa"/>
              <w:bottom w:w="75" w:type="dxa"/>
              <w:right w:w="75" w:type="dxa"/>
            </w:tcMar>
            <w:vAlign w:val="center"/>
          </w:tcPr>
          <w:p w14:paraId="513F6B5E">
            <w:pPr>
              <w:keepNext w:val="0"/>
              <w:keepLines w:val="0"/>
              <w:pageBreakBefore w:val="0"/>
              <w:widowControl w:val="0"/>
              <w:tabs>
                <w:tab w:val="left" w:pos="8280"/>
              </w:tabs>
              <w:kinsoku/>
              <w:wordWrap/>
              <w:overflowPunct/>
              <w:topLinePunct w:val="0"/>
              <w:autoSpaceDE w:val="0"/>
              <w:autoSpaceDN w:val="0"/>
              <w:bidi w:val="0"/>
              <w:adjustRightInd w:val="0"/>
              <w:snapToGrid w:val="0"/>
              <w:ind w:right="23"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773" w:type="dxa"/>
            <w:tcMar>
              <w:top w:w="75" w:type="dxa"/>
              <w:left w:w="75" w:type="dxa"/>
              <w:bottom w:w="75" w:type="dxa"/>
              <w:right w:w="75" w:type="dxa"/>
            </w:tcMar>
            <w:vAlign w:val="center"/>
          </w:tcPr>
          <w:p w14:paraId="244A8198">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460000.00元</w:t>
            </w:r>
          </w:p>
        </w:tc>
        <w:tc>
          <w:tcPr>
            <w:tcW w:w="1051" w:type="dxa"/>
            <w:vMerge w:val="restart"/>
            <w:vAlign w:val="center"/>
          </w:tcPr>
          <w:p w14:paraId="5B041457">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详见招标需求</w:t>
            </w:r>
          </w:p>
        </w:tc>
      </w:tr>
      <w:tr w14:paraId="32014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6" w:hRule="atLeast"/>
          <w:jc w:val="center"/>
        </w:trPr>
        <w:tc>
          <w:tcPr>
            <w:tcW w:w="660" w:type="dxa"/>
            <w:tcMar>
              <w:top w:w="75" w:type="dxa"/>
              <w:left w:w="75" w:type="dxa"/>
              <w:bottom w:w="75" w:type="dxa"/>
              <w:right w:w="75" w:type="dxa"/>
            </w:tcMar>
            <w:vAlign w:val="center"/>
          </w:tcPr>
          <w:p w14:paraId="0BBDD07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461" w:type="dxa"/>
            <w:tcMar>
              <w:top w:w="75" w:type="dxa"/>
              <w:left w:w="75" w:type="dxa"/>
              <w:bottom w:w="75" w:type="dxa"/>
              <w:right w:w="75" w:type="dxa"/>
            </w:tcMar>
            <w:vAlign w:val="center"/>
          </w:tcPr>
          <w:p w14:paraId="5EA9DC89">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台州市统一地址管理与服务平台升级改造项目</w:t>
            </w:r>
          </w:p>
        </w:tc>
        <w:tc>
          <w:tcPr>
            <w:tcW w:w="805" w:type="dxa"/>
            <w:tcMar>
              <w:top w:w="75" w:type="dxa"/>
              <w:left w:w="75" w:type="dxa"/>
              <w:bottom w:w="75" w:type="dxa"/>
              <w:right w:w="75" w:type="dxa"/>
            </w:tcMar>
            <w:vAlign w:val="center"/>
          </w:tcPr>
          <w:p w14:paraId="44649A39">
            <w:pPr>
              <w:keepNext w:val="0"/>
              <w:keepLines w:val="0"/>
              <w:pageBreakBefore w:val="0"/>
              <w:widowControl w:val="0"/>
              <w:tabs>
                <w:tab w:val="left" w:pos="8280"/>
              </w:tabs>
              <w:kinsoku/>
              <w:wordWrap/>
              <w:overflowPunct/>
              <w:topLinePunct w:val="0"/>
              <w:autoSpaceDE w:val="0"/>
              <w:autoSpaceDN w:val="0"/>
              <w:bidi w:val="0"/>
              <w:adjustRightInd w:val="0"/>
              <w:snapToGrid w:val="0"/>
              <w:ind w:right="23"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13" w:type="dxa"/>
            <w:tcMar>
              <w:top w:w="75" w:type="dxa"/>
              <w:left w:w="75" w:type="dxa"/>
              <w:bottom w:w="75" w:type="dxa"/>
              <w:right w:w="75" w:type="dxa"/>
            </w:tcMar>
            <w:vAlign w:val="center"/>
          </w:tcPr>
          <w:p w14:paraId="3DDBE2E0">
            <w:pPr>
              <w:keepNext w:val="0"/>
              <w:keepLines w:val="0"/>
              <w:pageBreakBefore w:val="0"/>
              <w:widowControl w:val="0"/>
              <w:tabs>
                <w:tab w:val="left" w:pos="8280"/>
              </w:tabs>
              <w:kinsoku/>
              <w:wordWrap/>
              <w:overflowPunct/>
              <w:topLinePunct w:val="0"/>
              <w:autoSpaceDE w:val="0"/>
              <w:autoSpaceDN w:val="0"/>
              <w:bidi w:val="0"/>
              <w:adjustRightInd w:val="0"/>
              <w:snapToGrid w:val="0"/>
              <w:ind w:right="23"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773" w:type="dxa"/>
            <w:tcMar>
              <w:top w:w="75" w:type="dxa"/>
              <w:left w:w="75" w:type="dxa"/>
              <w:bottom w:w="75" w:type="dxa"/>
              <w:right w:w="75" w:type="dxa"/>
            </w:tcMar>
            <w:vAlign w:val="center"/>
          </w:tcPr>
          <w:p w14:paraId="52240BA5">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530000</w:t>
            </w:r>
            <w:r>
              <w:rPr>
                <w:rFonts w:hint="eastAsia" w:ascii="宋体" w:hAnsi="宋体" w:eastAsia="宋体" w:cs="宋体"/>
                <w:color w:val="auto"/>
                <w:kern w:val="0"/>
                <w:sz w:val="24"/>
                <w:szCs w:val="24"/>
                <w:highlight w:val="none"/>
                <w:lang w:val="en-US" w:eastAsia="zh-CN"/>
              </w:rPr>
              <w:t>.00元</w:t>
            </w:r>
          </w:p>
        </w:tc>
        <w:tc>
          <w:tcPr>
            <w:tcW w:w="1051" w:type="dxa"/>
            <w:vMerge w:val="continue"/>
            <w:vAlign w:val="center"/>
          </w:tcPr>
          <w:p w14:paraId="711E70A8">
            <w:pPr>
              <w:jc w:val="center"/>
              <w:rPr>
                <w:rFonts w:hint="eastAsia" w:ascii="宋体" w:hAnsi="宋体" w:eastAsia="宋体" w:cs="宋体"/>
                <w:color w:val="auto"/>
                <w:sz w:val="24"/>
                <w:szCs w:val="24"/>
                <w:highlight w:val="none"/>
              </w:rPr>
            </w:pPr>
          </w:p>
        </w:tc>
      </w:tr>
    </w:tbl>
    <w:p w14:paraId="3F476375">
      <w:pPr>
        <w:spacing w:line="360" w:lineRule="auto"/>
        <w:jc w:val="left"/>
        <w:outlineLvl w:val="0"/>
        <w:rPr>
          <w:rFonts w:ascii="宋体" w:hAnsi="宋体" w:cs="宋体"/>
          <w:b/>
          <w:bCs/>
          <w:color w:val="auto"/>
          <w:sz w:val="24"/>
          <w:szCs w:val="32"/>
          <w:highlight w:val="none"/>
        </w:rPr>
      </w:pPr>
      <w:r>
        <w:rPr>
          <w:rFonts w:hint="eastAsia" w:ascii="宋体" w:hAnsi="宋体" w:cs="宋体"/>
          <w:b/>
          <w:bCs/>
          <w:color w:val="auto"/>
          <w:sz w:val="24"/>
          <w:szCs w:val="32"/>
          <w:highlight w:val="none"/>
        </w:rPr>
        <w:t>二、技术需求</w:t>
      </w:r>
    </w:p>
    <w:p w14:paraId="0C04088E">
      <w:pPr>
        <w:spacing w:line="360" w:lineRule="auto"/>
        <w:outlineLvl w:val="1"/>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标项一</w:t>
      </w:r>
    </w:p>
    <w:p w14:paraId="28D71B8B">
      <w:pPr>
        <w:pageBreakBefore w:val="0"/>
        <w:kinsoku/>
        <w:wordWrap/>
        <w:overflowPunct/>
        <w:topLinePunct w:val="0"/>
        <w:bidi w:val="0"/>
        <w:adjustRightInd w:val="0"/>
        <w:snapToGrid w:val="0"/>
        <w:spacing w:line="360" w:lineRule="auto"/>
        <w:ind w:right="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3D07C074">
      <w:pPr>
        <w:pStyle w:val="87"/>
        <w:pageBreakBefore w:val="0"/>
        <w:widowControl w:val="0"/>
        <w:kinsoku/>
        <w:wordWrap/>
        <w:overflowPunct/>
        <w:topLinePunct w:val="0"/>
        <w:bidi w:val="0"/>
        <w:adjustRightInd w:val="0"/>
        <w:snapToGrid w:val="0"/>
        <w:spacing w:after="0" w:line="360" w:lineRule="auto"/>
        <w:ind w:right="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“民转刑”防控应用场景综合集成项目</w:t>
      </w:r>
      <w:r>
        <w:rPr>
          <w:rFonts w:hint="eastAsia" w:ascii="宋体" w:hAnsi="宋体" w:eastAsia="宋体" w:cs="宋体"/>
          <w:color w:val="auto"/>
          <w:sz w:val="24"/>
          <w:szCs w:val="24"/>
          <w:highlight w:val="none"/>
          <w:lang w:eastAsia="zh-CN"/>
        </w:rPr>
        <w:t>，围绕</w:t>
      </w:r>
      <w:r>
        <w:rPr>
          <w:rFonts w:hint="eastAsia" w:ascii="宋体" w:hAnsi="宋体" w:eastAsia="宋体" w:cs="宋体"/>
          <w:color w:val="auto"/>
          <w:sz w:val="24"/>
          <w:szCs w:val="24"/>
          <w:highlight w:val="none"/>
        </w:rPr>
        <w:t>“以人为中心、以事件为脉络”的民转刑案件防控</w:t>
      </w:r>
      <w:r>
        <w:rPr>
          <w:rFonts w:hint="eastAsia" w:ascii="宋体" w:hAnsi="宋体" w:eastAsia="宋体" w:cs="宋体"/>
          <w:color w:val="auto"/>
          <w:sz w:val="24"/>
          <w:szCs w:val="24"/>
          <w:highlight w:val="none"/>
          <w:lang w:eastAsia="zh-CN"/>
        </w:rPr>
        <w:t>流程</w:t>
      </w:r>
      <w:r>
        <w:rPr>
          <w:rFonts w:hint="eastAsia" w:ascii="宋体" w:hAnsi="宋体" w:eastAsia="宋体" w:cs="宋体"/>
          <w:color w:val="auto"/>
          <w:sz w:val="24"/>
          <w:szCs w:val="24"/>
          <w:highlight w:val="none"/>
        </w:rPr>
        <w:t>，构建</w:t>
      </w:r>
      <w:r>
        <w:rPr>
          <w:rFonts w:hint="eastAsia" w:ascii="宋体" w:hAnsi="宋体" w:eastAsia="宋体" w:cs="宋体"/>
          <w:color w:val="auto"/>
          <w:sz w:val="24"/>
          <w:szCs w:val="24"/>
          <w:highlight w:val="none"/>
          <w:lang w:eastAsia="zh-CN"/>
        </w:rPr>
        <w:t>了</w:t>
      </w:r>
      <w:r>
        <w:rPr>
          <w:rFonts w:hint="eastAsia" w:ascii="宋体" w:hAnsi="宋体" w:eastAsia="宋体" w:cs="宋体"/>
          <w:color w:val="auto"/>
          <w:sz w:val="24"/>
          <w:szCs w:val="24"/>
          <w:highlight w:val="none"/>
        </w:rPr>
        <w:t>“事前可感知、事中能化解、事后有关注”</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“案结事了人不忘”的民转刑防控</w:t>
      </w:r>
      <w:r>
        <w:rPr>
          <w:rFonts w:hint="eastAsia" w:ascii="宋体" w:hAnsi="宋体" w:eastAsia="宋体" w:cs="宋体"/>
          <w:color w:val="auto"/>
          <w:sz w:val="24"/>
          <w:szCs w:val="24"/>
          <w:highlight w:val="none"/>
          <w:lang w:eastAsia="zh-CN"/>
        </w:rPr>
        <w:t>机制</w:t>
      </w:r>
      <w:r>
        <w:rPr>
          <w:rFonts w:hint="eastAsia" w:ascii="宋体" w:hAnsi="宋体" w:eastAsia="宋体" w:cs="宋体"/>
          <w:color w:val="auto"/>
          <w:sz w:val="24"/>
          <w:szCs w:val="24"/>
          <w:highlight w:val="none"/>
        </w:rPr>
        <w:t>。</w:t>
      </w:r>
    </w:p>
    <w:p w14:paraId="6CD34D1F">
      <w:pPr>
        <w:pageBreakBefore w:val="0"/>
        <w:kinsoku/>
        <w:wordWrap/>
        <w:overflowPunct/>
        <w:topLinePunct w:val="0"/>
        <w:bidi w:val="0"/>
        <w:adjustRightInd w:val="0"/>
        <w:snapToGrid w:val="0"/>
        <w:spacing w:line="360" w:lineRule="auto"/>
        <w:ind w:right="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（二）项目需求一览表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5440"/>
        <w:gridCol w:w="1563"/>
      </w:tblGrid>
      <w:tr w14:paraId="1417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400" w:type="dxa"/>
            <w:noWrap/>
            <w:vAlign w:val="center"/>
          </w:tcPr>
          <w:p w14:paraId="694F6D82">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5440" w:type="dxa"/>
            <w:noWrap/>
            <w:vAlign w:val="center"/>
          </w:tcPr>
          <w:p w14:paraId="35E176C3">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货物名称</w:t>
            </w:r>
          </w:p>
        </w:tc>
        <w:tc>
          <w:tcPr>
            <w:tcW w:w="1563" w:type="dxa"/>
            <w:noWrap/>
            <w:vAlign w:val="center"/>
          </w:tcPr>
          <w:p w14:paraId="4261F927">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数量</w:t>
            </w:r>
          </w:p>
        </w:tc>
      </w:tr>
      <w:tr w14:paraId="4ECD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0" w:type="dxa"/>
            <w:noWrap/>
            <w:vAlign w:val="center"/>
          </w:tcPr>
          <w:p w14:paraId="296BDEF2">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1.</w:t>
            </w:r>
          </w:p>
        </w:tc>
        <w:tc>
          <w:tcPr>
            <w:tcW w:w="5440" w:type="dxa"/>
            <w:noWrap/>
            <w:vAlign w:val="center"/>
          </w:tcPr>
          <w:p w14:paraId="49CD5F3A">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eastAsia="zh-CN" w:bidi="ar"/>
              </w:rPr>
              <w:t>信创改造</w:t>
            </w:r>
          </w:p>
        </w:tc>
        <w:tc>
          <w:tcPr>
            <w:tcW w:w="1563" w:type="dxa"/>
            <w:noWrap/>
            <w:vAlign w:val="center"/>
          </w:tcPr>
          <w:p w14:paraId="3C3B4B18">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bCs/>
                <w:color w:val="auto"/>
                <w:kern w:val="0"/>
                <w:sz w:val="24"/>
                <w:szCs w:val="24"/>
                <w:highlight w:val="none"/>
                <w:lang w:bidi="ar"/>
              </w:rPr>
            </w:pPr>
          </w:p>
        </w:tc>
      </w:tr>
      <w:tr w14:paraId="2EA7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0" w:type="dxa"/>
            <w:noWrap/>
            <w:vAlign w:val="center"/>
          </w:tcPr>
          <w:p w14:paraId="3023E87A">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1.1</w:t>
            </w:r>
          </w:p>
        </w:tc>
        <w:tc>
          <w:tcPr>
            <w:tcW w:w="5440" w:type="dxa"/>
            <w:noWrap/>
            <w:vAlign w:val="center"/>
          </w:tcPr>
          <w:p w14:paraId="7BCCACF9">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服务器</w:t>
            </w:r>
            <w:r>
              <w:rPr>
                <w:rFonts w:hint="eastAsia" w:ascii="宋体" w:hAnsi="宋体" w:eastAsia="宋体" w:cs="宋体"/>
                <w:color w:val="auto"/>
                <w:sz w:val="24"/>
                <w:szCs w:val="24"/>
                <w:highlight w:val="none"/>
                <w:lang w:eastAsia="zh-CN"/>
              </w:rPr>
              <w:t>适配改造</w:t>
            </w:r>
          </w:p>
        </w:tc>
        <w:tc>
          <w:tcPr>
            <w:tcW w:w="1563" w:type="dxa"/>
            <w:noWrap/>
            <w:vAlign w:val="center"/>
          </w:tcPr>
          <w:p w14:paraId="14D53DD8">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eastAsia="zh-CN" w:bidi="ar"/>
              </w:rPr>
              <w:t>一套</w:t>
            </w:r>
          </w:p>
        </w:tc>
      </w:tr>
      <w:tr w14:paraId="2209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400" w:type="dxa"/>
            <w:noWrap/>
            <w:vAlign w:val="center"/>
          </w:tcPr>
          <w:p w14:paraId="29E42DFD">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c>
          <w:tcPr>
            <w:tcW w:w="5440" w:type="dxa"/>
            <w:noWrap/>
            <w:vAlign w:val="center"/>
          </w:tcPr>
          <w:p w14:paraId="4E588CDB">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w:t>
            </w:r>
            <w:r>
              <w:rPr>
                <w:rFonts w:hint="eastAsia" w:ascii="宋体" w:hAnsi="宋体" w:eastAsia="宋体" w:cs="宋体"/>
                <w:color w:val="auto"/>
                <w:sz w:val="24"/>
                <w:szCs w:val="24"/>
                <w:highlight w:val="none"/>
                <w:lang w:eastAsia="zh-CN"/>
              </w:rPr>
              <w:t>适配改造</w:t>
            </w:r>
          </w:p>
        </w:tc>
        <w:tc>
          <w:tcPr>
            <w:tcW w:w="1563" w:type="dxa"/>
            <w:noWrap/>
            <w:vAlign w:val="center"/>
          </w:tcPr>
          <w:p w14:paraId="7B7A40FA">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eastAsia="zh-CN" w:bidi="ar"/>
              </w:rPr>
              <w:t>一套</w:t>
            </w:r>
          </w:p>
        </w:tc>
      </w:tr>
      <w:tr w14:paraId="72E9D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400" w:type="dxa"/>
            <w:noWrap/>
            <w:vAlign w:val="center"/>
          </w:tcPr>
          <w:p w14:paraId="5DA7E6DB">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3</w:t>
            </w:r>
          </w:p>
        </w:tc>
        <w:tc>
          <w:tcPr>
            <w:tcW w:w="5440" w:type="dxa"/>
            <w:noWrap/>
            <w:vAlign w:val="center"/>
          </w:tcPr>
          <w:p w14:paraId="375CC61B">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w:t>
            </w:r>
            <w:r>
              <w:rPr>
                <w:rFonts w:hint="eastAsia" w:ascii="宋体" w:hAnsi="宋体" w:eastAsia="宋体" w:cs="宋体"/>
                <w:color w:val="auto"/>
                <w:sz w:val="24"/>
                <w:szCs w:val="24"/>
                <w:highlight w:val="none"/>
                <w:lang w:eastAsia="zh-CN"/>
              </w:rPr>
              <w:t>适配改造</w:t>
            </w:r>
          </w:p>
        </w:tc>
        <w:tc>
          <w:tcPr>
            <w:tcW w:w="1563" w:type="dxa"/>
            <w:noWrap/>
            <w:vAlign w:val="center"/>
          </w:tcPr>
          <w:p w14:paraId="146E1167">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eastAsia="zh-CN" w:bidi="ar"/>
              </w:rPr>
              <w:t>一套</w:t>
            </w:r>
          </w:p>
        </w:tc>
      </w:tr>
      <w:tr w14:paraId="58B3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0" w:type="dxa"/>
            <w:noWrap/>
            <w:vAlign w:val="center"/>
          </w:tcPr>
          <w:p w14:paraId="401288B1">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1.4</w:t>
            </w:r>
          </w:p>
        </w:tc>
        <w:tc>
          <w:tcPr>
            <w:tcW w:w="5440" w:type="dxa"/>
            <w:noWrap/>
            <w:vAlign w:val="center"/>
          </w:tcPr>
          <w:p w14:paraId="076A98BC">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数据迁移实施</w:t>
            </w:r>
          </w:p>
        </w:tc>
        <w:tc>
          <w:tcPr>
            <w:tcW w:w="1563" w:type="dxa"/>
            <w:noWrap/>
            <w:vAlign w:val="center"/>
          </w:tcPr>
          <w:p w14:paraId="435F246F">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eastAsia="zh-CN" w:bidi="ar"/>
              </w:rPr>
              <w:t>一套</w:t>
            </w:r>
          </w:p>
        </w:tc>
      </w:tr>
      <w:tr w14:paraId="4141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0" w:type="dxa"/>
            <w:noWrap/>
            <w:vAlign w:val="center"/>
          </w:tcPr>
          <w:p w14:paraId="07AF6886">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
              </w:rPr>
              <w:t>1.5</w:t>
            </w:r>
          </w:p>
        </w:tc>
        <w:tc>
          <w:tcPr>
            <w:tcW w:w="5440" w:type="dxa"/>
            <w:noWrap/>
            <w:vAlign w:val="center"/>
          </w:tcPr>
          <w:p w14:paraId="56CB9A68">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商用密码应用安全改造</w:t>
            </w:r>
          </w:p>
        </w:tc>
        <w:tc>
          <w:tcPr>
            <w:tcW w:w="1563" w:type="dxa"/>
            <w:noWrap/>
            <w:vAlign w:val="center"/>
          </w:tcPr>
          <w:p w14:paraId="74697880">
            <w:pPr>
              <w:pageBreakBefore w:val="0"/>
              <w:widowControl/>
              <w:kinsoku/>
              <w:wordWrap/>
              <w:overflowPunct/>
              <w:topLinePunct w:val="0"/>
              <w:bidi w:val="0"/>
              <w:adjustRightInd w:val="0"/>
              <w:snapToGrid w:val="0"/>
              <w:spacing w:line="360" w:lineRule="auto"/>
              <w:ind w:right="0"/>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eastAsia="zh-CN" w:bidi="ar"/>
              </w:rPr>
              <w:t>一套</w:t>
            </w:r>
          </w:p>
        </w:tc>
      </w:tr>
    </w:tbl>
    <w:p w14:paraId="50AFD5FA">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b/>
          <w:bCs/>
          <w:color w:val="auto"/>
          <w:sz w:val="24"/>
          <w:szCs w:val="24"/>
          <w:highlight w:val="none"/>
        </w:rPr>
      </w:pPr>
    </w:p>
    <w:p w14:paraId="7DC80D8D">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（三）工作条件</w:t>
      </w:r>
    </w:p>
    <w:p w14:paraId="321C8ADE">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1.安全等级：三级等保</w:t>
      </w:r>
      <w:r>
        <w:rPr>
          <w:rFonts w:hint="eastAsia" w:ascii="宋体" w:hAnsi="宋体" w:eastAsia="宋体" w:cs="宋体"/>
          <w:color w:val="auto"/>
          <w:sz w:val="24"/>
          <w:szCs w:val="24"/>
          <w:highlight w:val="none"/>
          <w:lang w:eastAsia="zh-CN"/>
        </w:rPr>
        <w:t>，等保</w:t>
      </w:r>
      <w:r>
        <w:rPr>
          <w:rFonts w:hint="eastAsia" w:ascii="宋体" w:hAnsi="宋体" w:eastAsia="宋体" w:cs="宋体"/>
          <w:color w:val="auto"/>
          <w:sz w:val="24"/>
          <w:szCs w:val="24"/>
          <w:highlight w:val="none"/>
        </w:rPr>
        <w:t>需达到</w:t>
      </w:r>
      <w:r>
        <w:rPr>
          <w:rFonts w:hint="eastAsia" w:ascii="宋体" w:hAnsi="宋体" w:eastAsia="宋体" w:cs="宋体"/>
          <w:color w:val="auto"/>
          <w:sz w:val="24"/>
          <w:szCs w:val="24"/>
          <w:highlight w:val="none"/>
          <w:lang w:eastAsia="zh-CN"/>
        </w:rPr>
        <w:t>台州市有关部门</w:t>
      </w:r>
      <w:r>
        <w:rPr>
          <w:rFonts w:hint="eastAsia" w:ascii="宋体" w:hAnsi="宋体" w:eastAsia="宋体" w:cs="宋体"/>
          <w:color w:val="auto"/>
          <w:sz w:val="24"/>
          <w:szCs w:val="24"/>
          <w:highlight w:val="none"/>
        </w:rPr>
        <w:t>的合格标准；</w:t>
      </w:r>
    </w:p>
    <w:p w14:paraId="007C86CD">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商业密评：</w:t>
      </w:r>
      <w:r>
        <w:rPr>
          <w:rFonts w:hint="eastAsia" w:ascii="宋体" w:hAnsi="宋体" w:eastAsia="宋体" w:cs="宋体"/>
          <w:color w:val="auto"/>
          <w:sz w:val="24"/>
          <w:szCs w:val="24"/>
          <w:highlight w:val="none"/>
        </w:rPr>
        <w:t>密评结果需达到</w:t>
      </w:r>
      <w:r>
        <w:rPr>
          <w:rFonts w:hint="eastAsia" w:ascii="宋体" w:hAnsi="宋体" w:eastAsia="宋体" w:cs="宋体"/>
          <w:color w:val="auto"/>
          <w:sz w:val="24"/>
          <w:szCs w:val="24"/>
          <w:highlight w:val="none"/>
          <w:lang w:eastAsia="zh-CN"/>
        </w:rPr>
        <w:t>台州市有关部门</w:t>
      </w:r>
      <w:r>
        <w:rPr>
          <w:rFonts w:hint="eastAsia" w:ascii="宋体" w:hAnsi="宋体" w:eastAsia="宋体" w:cs="宋体"/>
          <w:color w:val="auto"/>
          <w:sz w:val="24"/>
          <w:szCs w:val="24"/>
          <w:highlight w:val="none"/>
        </w:rPr>
        <w:t>的合格标准</w:t>
      </w:r>
      <w:r>
        <w:rPr>
          <w:rFonts w:hint="eastAsia" w:ascii="宋体" w:hAnsi="宋体" w:eastAsia="宋体" w:cs="宋体"/>
          <w:color w:val="auto"/>
          <w:sz w:val="24"/>
          <w:szCs w:val="24"/>
          <w:highlight w:val="none"/>
          <w:lang w:eastAsia="zh-CN"/>
        </w:rPr>
        <w:t>；</w:t>
      </w:r>
    </w:p>
    <w:p w14:paraId="240EFF5C">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信创适配：实现对安全可靠服务器、操作系统和数据库的适配</w:t>
      </w:r>
    </w:p>
    <w:p w14:paraId="5107E5F2">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.数据库部署：台州市本地化部署，</w:t>
      </w:r>
      <w:r>
        <w:rPr>
          <w:rFonts w:hint="eastAsia" w:ascii="宋体" w:hAnsi="宋体" w:eastAsia="宋体" w:cs="宋体"/>
          <w:color w:val="auto"/>
          <w:kern w:val="0"/>
          <w:sz w:val="24"/>
          <w:szCs w:val="24"/>
          <w:highlight w:val="none"/>
        </w:rPr>
        <w:t>在项目履行过程中形成的所有数据资源的产权均归属于采购人，中标方应积极配合采购人以合法方式取得并行使上述产权</w:t>
      </w:r>
      <w:r>
        <w:rPr>
          <w:rFonts w:hint="eastAsia" w:ascii="宋体" w:hAnsi="宋体" w:eastAsia="宋体" w:cs="宋体"/>
          <w:color w:val="auto"/>
          <w:kern w:val="0"/>
          <w:sz w:val="24"/>
          <w:szCs w:val="24"/>
          <w:highlight w:val="none"/>
          <w:lang w:eastAsia="zh-CN"/>
        </w:rPr>
        <w:t>，同时相关数据应与市公共数据平台实现共享；</w:t>
      </w:r>
    </w:p>
    <w:p w14:paraId="48A01941">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.产权归属：</w:t>
      </w:r>
      <w:r>
        <w:rPr>
          <w:rFonts w:hint="eastAsia" w:ascii="宋体" w:hAnsi="宋体" w:eastAsia="宋体" w:cs="宋体"/>
          <w:color w:val="auto"/>
          <w:sz w:val="24"/>
          <w:szCs w:val="24"/>
          <w:highlight w:val="none"/>
          <w:lang w:eastAsia="zh-CN"/>
        </w:rPr>
        <w:t>中共</w:t>
      </w:r>
      <w:r>
        <w:rPr>
          <w:rFonts w:hint="eastAsia" w:ascii="宋体" w:hAnsi="宋体" w:eastAsia="宋体" w:cs="宋体"/>
          <w:color w:val="auto"/>
          <w:sz w:val="24"/>
          <w:szCs w:val="24"/>
          <w:highlight w:val="none"/>
        </w:rPr>
        <w:t>台州市委政法委</w:t>
      </w:r>
      <w:r>
        <w:rPr>
          <w:rFonts w:hint="eastAsia" w:ascii="宋体" w:hAnsi="宋体" w:eastAsia="宋体" w:cs="宋体"/>
          <w:color w:val="auto"/>
          <w:sz w:val="24"/>
          <w:szCs w:val="24"/>
          <w:highlight w:val="none"/>
          <w:lang w:eastAsia="zh-CN"/>
        </w:rPr>
        <w:t>员会</w:t>
      </w:r>
      <w:r>
        <w:rPr>
          <w:rFonts w:hint="eastAsia" w:ascii="宋体" w:hAnsi="宋体" w:eastAsia="宋体" w:cs="宋体"/>
          <w:color w:val="auto"/>
          <w:sz w:val="24"/>
          <w:szCs w:val="24"/>
          <w:highlight w:val="none"/>
        </w:rPr>
        <w:t>；</w:t>
      </w:r>
    </w:p>
    <w:p w14:paraId="39C16EB6">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.承建单位必须承诺</w:t>
      </w:r>
      <w:r>
        <w:rPr>
          <w:rFonts w:hint="eastAsia" w:ascii="宋体" w:hAnsi="宋体" w:cs="宋体"/>
          <w:color w:val="auto"/>
          <w:sz w:val="24"/>
          <w:szCs w:val="32"/>
          <w:highlight w:val="none"/>
          <w:lang w:eastAsia="zh-CN"/>
        </w:rPr>
        <w:t>《中华人民共和国网络安全法》</w:t>
      </w:r>
      <w:r>
        <w:rPr>
          <w:rFonts w:hint="eastAsia" w:ascii="宋体" w:hAnsi="宋体" w:eastAsia="宋体" w:cs="宋体"/>
          <w:b w:val="0"/>
          <w:bCs w:val="0"/>
          <w:color w:val="auto"/>
          <w:kern w:val="2"/>
          <w:sz w:val="24"/>
          <w:szCs w:val="32"/>
          <w:highlight w:val="none"/>
          <w:lang w:val="en-US" w:eastAsia="zh-CN" w:bidi="ar-SA"/>
        </w:rPr>
        <w:t>《中华人民共和国数据安全法》《中华人民共和国个人信息保护法》</w:t>
      </w:r>
      <w:r>
        <w:rPr>
          <w:rFonts w:hint="eastAsia" w:ascii="宋体" w:hAnsi="宋体" w:eastAsia="宋体" w:cs="宋体"/>
          <w:color w:val="auto"/>
          <w:sz w:val="24"/>
          <w:szCs w:val="24"/>
          <w:highlight w:val="none"/>
        </w:rPr>
        <w:t>《浙江省公共数据条例》等相关法律法规要求，并在台州市数字化改革（包括但不限于网络安全、数据安全、保密规定等方面）整体要求下开展工作。</w:t>
      </w:r>
    </w:p>
    <w:p w14:paraId="156AE6D1">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（四）技术参数要求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83"/>
        <w:gridCol w:w="6449"/>
      </w:tblGrid>
      <w:tr w14:paraId="41D7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5" w:type="dxa"/>
            <w:noWrap w:val="0"/>
            <w:vAlign w:val="center"/>
          </w:tcPr>
          <w:p w14:paraId="099871F3">
            <w:pPr>
              <w:pageBreakBefore w:val="0"/>
              <w:kinsoku/>
              <w:wordWrap/>
              <w:overflowPunct/>
              <w:topLinePunct w:val="0"/>
              <w:bidi w:val="0"/>
              <w:adjustRightInd w:val="0"/>
              <w:snapToGrid w:val="0"/>
              <w:spacing w:line="360" w:lineRule="auto"/>
              <w:ind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383" w:type="dxa"/>
            <w:noWrap w:val="0"/>
            <w:vAlign w:val="center"/>
          </w:tcPr>
          <w:p w14:paraId="4A129FBC">
            <w:pPr>
              <w:pageBreakBefore w:val="0"/>
              <w:kinsoku/>
              <w:wordWrap/>
              <w:overflowPunct/>
              <w:topLinePunct w:val="0"/>
              <w:bidi w:val="0"/>
              <w:adjustRightInd w:val="0"/>
              <w:snapToGrid w:val="0"/>
              <w:spacing w:line="360" w:lineRule="auto"/>
              <w:ind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功能</w:t>
            </w:r>
          </w:p>
        </w:tc>
        <w:tc>
          <w:tcPr>
            <w:tcW w:w="6449" w:type="dxa"/>
            <w:noWrap w:val="0"/>
            <w:vAlign w:val="center"/>
          </w:tcPr>
          <w:p w14:paraId="123818BC">
            <w:pPr>
              <w:pageBreakBefore w:val="0"/>
              <w:kinsoku/>
              <w:wordWrap/>
              <w:overflowPunct/>
              <w:topLinePunct w:val="0"/>
              <w:bidi w:val="0"/>
              <w:adjustRightInd w:val="0"/>
              <w:snapToGrid w:val="0"/>
              <w:spacing w:line="360" w:lineRule="auto"/>
              <w:ind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技术规格</w:t>
            </w:r>
          </w:p>
        </w:tc>
      </w:tr>
      <w:tr w14:paraId="6595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05" w:type="dxa"/>
            <w:noWrap w:val="0"/>
            <w:vAlign w:val="center"/>
          </w:tcPr>
          <w:p w14:paraId="258FA050">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83" w:type="dxa"/>
            <w:noWrap w:val="0"/>
            <w:vAlign w:val="center"/>
          </w:tcPr>
          <w:p w14:paraId="1C8AE50A">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服务器</w:t>
            </w:r>
            <w:r>
              <w:rPr>
                <w:rFonts w:hint="eastAsia" w:ascii="宋体" w:hAnsi="宋体" w:eastAsia="宋体" w:cs="宋体"/>
                <w:color w:val="auto"/>
                <w:sz w:val="24"/>
                <w:szCs w:val="24"/>
                <w:highlight w:val="none"/>
                <w:lang w:eastAsia="zh-CN"/>
              </w:rPr>
              <w:t>适配改造</w:t>
            </w:r>
          </w:p>
        </w:tc>
        <w:tc>
          <w:tcPr>
            <w:tcW w:w="6449" w:type="dxa"/>
            <w:noWrap w:val="0"/>
            <w:vAlign w:val="center"/>
          </w:tcPr>
          <w:p w14:paraId="4092244A">
            <w:pPr>
              <w:pStyle w:val="2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要求对政务云区10台ECS服务器、3台RDS数据库、1台公有云区ECS服务器进行信创迁移适配；</w:t>
            </w:r>
          </w:p>
        </w:tc>
      </w:tr>
      <w:tr w14:paraId="4729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05" w:type="dxa"/>
            <w:noWrap w:val="0"/>
            <w:vAlign w:val="center"/>
          </w:tcPr>
          <w:p w14:paraId="4C4DD34F">
            <w:pPr>
              <w:pageBreakBefore w:val="0"/>
              <w:kinsoku/>
              <w:wordWrap/>
              <w:overflowPunct/>
              <w:topLinePunct w:val="0"/>
              <w:bidi w:val="0"/>
              <w:adjustRightInd w:val="0"/>
              <w:snapToGrid w:val="0"/>
              <w:spacing w:line="360" w:lineRule="auto"/>
              <w:ind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383" w:type="dxa"/>
            <w:noWrap w:val="0"/>
            <w:vAlign w:val="center"/>
          </w:tcPr>
          <w:p w14:paraId="19137A36">
            <w:pPr>
              <w:pageBreakBefore w:val="0"/>
              <w:kinsoku/>
              <w:wordWrap/>
              <w:overflowPunct/>
              <w:topLinePunct w:val="0"/>
              <w:bidi w:val="0"/>
              <w:adjustRightInd w:val="0"/>
              <w:snapToGrid w:val="0"/>
              <w:spacing w:line="360" w:lineRule="auto"/>
              <w:ind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操作系统适配改造</w:t>
            </w:r>
          </w:p>
        </w:tc>
        <w:tc>
          <w:tcPr>
            <w:tcW w:w="6449" w:type="dxa"/>
            <w:noWrap w:val="0"/>
            <w:vAlign w:val="center"/>
          </w:tcPr>
          <w:p w14:paraId="1D291E45">
            <w:pPr>
              <w:pageBreakBefore w:val="0"/>
              <w:kinsoku/>
              <w:wordWrap/>
              <w:overflowPunct/>
              <w:topLinePunct w:val="0"/>
              <w:bidi w:val="0"/>
              <w:adjustRightInd w:val="0"/>
              <w:snapToGrid w:val="0"/>
              <w:spacing w:line="360" w:lineRule="auto"/>
              <w:ind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要求基于国产操作系统服务器（银河麒麟）、CPU（X86海光），对原系统进行部署适配；</w:t>
            </w:r>
          </w:p>
        </w:tc>
      </w:tr>
      <w:tr w14:paraId="6E67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05" w:type="dxa"/>
            <w:noWrap w:val="0"/>
            <w:vAlign w:val="center"/>
          </w:tcPr>
          <w:p w14:paraId="7D29EF33">
            <w:pPr>
              <w:pageBreakBefore w:val="0"/>
              <w:kinsoku/>
              <w:wordWrap/>
              <w:overflowPunct/>
              <w:topLinePunct w:val="0"/>
              <w:bidi w:val="0"/>
              <w:adjustRightInd w:val="0"/>
              <w:snapToGrid w:val="0"/>
              <w:spacing w:line="360" w:lineRule="auto"/>
              <w:ind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383" w:type="dxa"/>
            <w:noWrap w:val="0"/>
            <w:vAlign w:val="center"/>
          </w:tcPr>
          <w:p w14:paraId="3437145D">
            <w:pPr>
              <w:pageBreakBefore w:val="0"/>
              <w:kinsoku/>
              <w:wordWrap/>
              <w:overflowPunct/>
              <w:topLinePunct w:val="0"/>
              <w:bidi w:val="0"/>
              <w:adjustRightInd w:val="0"/>
              <w:snapToGrid w:val="0"/>
              <w:spacing w:line="360" w:lineRule="auto"/>
              <w:ind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数据库适配改造</w:t>
            </w:r>
          </w:p>
        </w:tc>
        <w:tc>
          <w:tcPr>
            <w:tcW w:w="6449" w:type="dxa"/>
            <w:noWrap w:val="0"/>
            <w:vAlign w:val="center"/>
          </w:tcPr>
          <w:p w14:paraId="206A0844">
            <w:pPr>
              <w:pageBreakBefore w:val="0"/>
              <w:kinsoku/>
              <w:wordWrap/>
              <w:overflowPunct/>
              <w:topLinePunct w:val="0"/>
              <w:bidi w:val="0"/>
              <w:adjustRightInd w:val="0"/>
              <w:snapToGrid w:val="0"/>
              <w:spacing w:line="360" w:lineRule="auto"/>
              <w:ind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采用国产数据库（PolarDB-M），实现mysql数据库与国产数据库之间的适配；</w:t>
            </w:r>
          </w:p>
        </w:tc>
      </w:tr>
      <w:tr w14:paraId="3D4C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805" w:type="dxa"/>
            <w:noWrap w:val="0"/>
            <w:vAlign w:val="center"/>
          </w:tcPr>
          <w:p w14:paraId="396CE1CA">
            <w:pPr>
              <w:pageBreakBefore w:val="0"/>
              <w:kinsoku/>
              <w:wordWrap/>
              <w:overflowPunct/>
              <w:topLinePunct w:val="0"/>
              <w:bidi w:val="0"/>
              <w:adjustRightInd w:val="0"/>
              <w:snapToGrid w:val="0"/>
              <w:spacing w:line="360" w:lineRule="auto"/>
              <w:ind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383" w:type="dxa"/>
            <w:noWrap w:val="0"/>
            <w:vAlign w:val="center"/>
          </w:tcPr>
          <w:p w14:paraId="4AE05C3E">
            <w:pPr>
              <w:pageBreakBefore w:val="0"/>
              <w:kinsoku/>
              <w:wordWrap/>
              <w:overflowPunct/>
              <w:topLinePunct w:val="0"/>
              <w:bidi w:val="0"/>
              <w:adjustRightInd w:val="0"/>
              <w:snapToGrid w:val="0"/>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数据迁移实施</w:t>
            </w:r>
          </w:p>
        </w:tc>
        <w:tc>
          <w:tcPr>
            <w:tcW w:w="6449" w:type="dxa"/>
            <w:noWrap w:val="0"/>
            <w:vAlign w:val="center"/>
          </w:tcPr>
          <w:p w14:paraId="152C6471">
            <w:pPr>
              <w:pageBreakBefore w:val="0"/>
              <w:kinsoku/>
              <w:wordWrap/>
              <w:overflowPunct/>
              <w:topLinePunct w:val="0"/>
              <w:bidi w:val="0"/>
              <w:adjustRightInd w:val="0"/>
              <w:snapToGrid w:val="0"/>
              <w:spacing w:line="360" w:lineRule="auto"/>
              <w:ind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要求对用户信息库、原始数据库、算法研判库、模型计算库、数据中心库、任务中心库、业务数据库、业务事件库、协查上报库、大屏展示库等500多张数据表数据进行全部迁移，确保数据完整性、正确性、一致性；</w:t>
            </w:r>
          </w:p>
        </w:tc>
      </w:tr>
      <w:tr w14:paraId="3362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05" w:type="dxa"/>
            <w:noWrap w:val="0"/>
            <w:vAlign w:val="center"/>
          </w:tcPr>
          <w:p w14:paraId="459DBD00">
            <w:pPr>
              <w:pageBreakBefore w:val="0"/>
              <w:kinsoku/>
              <w:wordWrap/>
              <w:overflowPunct/>
              <w:topLinePunct w:val="0"/>
              <w:bidi w:val="0"/>
              <w:adjustRightInd w:val="0"/>
              <w:snapToGrid w:val="0"/>
              <w:spacing w:line="360" w:lineRule="auto"/>
              <w:ind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383" w:type="dxa"/>
            <w:noWrap w:val="0"/>
            <w:vAlign w:val="center"/>
          </w:tcPr>
          <w:p w14:paraId="7539A4AE">
            <w:pPr>
              <w:pageBreakBefore w:val="0"/>
              <w:kinsoku/>
              <w:wordWrap/>
              <w:overflowPunct/>
              <w:topLinePunct w:val="0"/>
              <w:bidi w:val="0"/>
              <w:adjustRightInd w:val="0"/>
              <w:snapToGrid w:val="0"/>
              <w:spacing w:line="360" w:lineRule="auto"/>
              <w:ind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商用密码应用安全改造</w:t>
            </w:r>
          </w:p>
        </w:tc>
        <w:tc>
          <w:tcPr>
            <w:tcW w:w="6449" w:type="dxa"/>
            <w:noWrap w:val="0"/>
            <w:vAlign w:val="center"/>
          </w:tcPr>
          <w:p w14:paraId="4954EC70">
            <w:pPr>
              <w:pageBreakBefore w:val="0"/>
              <w:kinsoku/>
              <w:wordWrap/>
              <w:overflowPunct/>
              <w:topLinePunct w:val="0"/>
              <w:bidi w:val="0"/>
              <w:adjustRightInd w:val="0"/>
              <w:snapToGrid w:val="0"/>
              <w:spacing w:line="360" w:lineRule="auto"/>
              <w:ind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要求基于</w:t>
            </w:r>
            <w:r>
              <w:rPr>
                <w:rFonts w:hint="eastAsia" w:ascii="宋体" w:hAnsi="宋体" w:eastAsia="宋体" w:cs="宋体"/>
                <w:color w:val="auto"/>
                <w:sz w:val="24"/>
                <w:szCs w:val="24"/>
                <w:highlight w:val="none"/>
                <w:lang w:val="en-US" w:eastAsia="zh-CN"/>
              </w:rPr>
              <w:t>台州市统一MM 服务平台进行应用系统的改造对接，按需做好国密证书、国密浏览器的部署，确保符合台州市有关部门的合格标准；</w:t>
            </w:r>
          </w:p>
        </w:tc>
      </w:tr>
      <w:tr w14:paraId="7906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05" w:type="dxa"/>
            <w:noWrap w:val="0"/>
            <w:vAlign w:val="center"/>
          </w:tcPr>
          <w:p w14:paraId="4EB943C1">
            <w:pPr>
              <w:pageBreakBefore w:val="0"/>
              <w:kinsoku/>
              <w:wordWrap/>
              <w:overflowPunct/>
              <w:topLinePunct w:val="0"/>
              <w:bidi w:val="0"/>
              <w:adjustRightInd w:val="0"/>
              <w:snapToGrid w:val="0"/>
              <w:spacing w:line="360" w:lineRule="auto"/>
              <w:ind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1383" w:type="dxa"/>
            <w:noWrap w:val="0"/>
            <w:vAlign w:val="center"/>
          </w:tcPr>
          <w:p w14:paraId="7AD7BE97">
            <w:pPr>
              <w:pageBreakBefore w:val="0"/>
              <w:kinsoku/>
              <w:wordWrap/>
              <w:overflowPunct/>
              <w:topLinePunct w:val="0"/>
              <w:bidi w:val="0"/>
              <w:adjustRightInd w:val="0"/>
              <w:snapToGrid w:val="0"/>
              <w:spacing w:line="360" w:lineRule="auto"/>
              <w:ind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其他要求</w:t>
            </w:r>
          </w:p>
        </w:tc>
        <w:tc>
          <w:tcPr>
            <w:tcW w:w="6449" w:type="dxa"/>
            <w:noWrap w:val="0"/>
            <w:vAlign w:val="center"/>
          </w:tcPr>
          <w:p w14:paraId="394151A5">
            <w:pPr>
              <w:pageBreakBefore w:val="0"/>
              <w:kinsoku/>
              <w:wordWrap/>
              <w:overflowPunct/>
              <w:topLinePunct w:val="0"/>
              <w:bidi w:val="0"/>
              <w:adjustRightInd w:val="0"/>
              <w:snapToGrid w:val="0"/>
              <w:spacing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本系统涉及的</w:t>
            </w:r>
            <w:r>
              <w:rPr>
                <w:rFonts w:hint="eastAsia" w:ascii="宋体" w:hAnsi="宋体" w:eastAsia="宋体" w:cs="宋体"/>
                <w:color w:val="auto"/>
                <w:sz w:val="24"/>
                <w:szCs w:val="24"/>
                <w:highlight w:val="none"/>
                <w:lang w:eastAsia="zh-CN"/>
              </w:rPr>
              <w:t>信创</w:t>
            </w:r>
            <w:r>
              <w:rPr>
                <w:rFonts w:hint="eastAsia" w:ascii="宋体" w:hAnsi="宋体" w:eastAsia="宋体" w:cs="宋体"/>
                <w:color w:val="auto"/>
                <w:sz w:val="24"/>
                <w:szCs w:val="24"/>
                <w:highlight w:val="none"/>
              </w:rPr>
              <w:t>云资源，中标方需按数据局要求向采购方提出申请需求，由采购方负责资源申请；投标总价包含</w:t>
            </w:r>
            <w:r>
              <w:rPr>
                <w:rFonts w:hint="eastAsia" w:ascii="宋体" w:hAnsi="宋体" w:eastAsia="宋体" w:cs="宋体"/>
                <w:color w:val="auto"/>
                <w:sz w:val="24"/>
                <w:szCs w:val="24"/>
                <w:highlight w:val="none"/>
                <w:lang w:eastAsia="zh-CN"/>
              </w:rPr>
              <w:t>信创</w:t>
            </w:r>
            <w:r>
              <w:rPr>
                <w:rFonts w:hint="eastAsia" w:ascii="宋体" w:hAnsi="宋体" w:eastAsia="宋体" w:cs="宋体"/>
                <w:color w:val="auto"/>
                <w:sz w:val="24"/>
                <w:szCs w:val="24"/>
                <w:highlight w:val="none"/>
              </w:rPr>
              <w:t>云的各类服务部署。</w:t>
            </w:r>
          </w:p>
          <w:p w14:paraId="61D3255A">
            <w:pPr>
              <w:pageBreakBefore w:val="0"/>
              <w:kinsoku/>
              <w:wordWrap/>
              <w:overflowPunct/>
              <w:topLinePunct w:val="0"/>
              <w:bidi w:val="0"/>
              <w:adjustRightInd w:val="0"/>
              <w:snapToGrid w:val="0"/>
              <w:spacing w:line="360" w:lineRule="auto"/>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2.要求做好功能测试、回归测试、压力测试、系统切割等工作，确保迁移后系统能够稳定运行。</w:t>
            </w:r>
          </w:p>
          <w:p w14:paraId="61678278">
            <w:pPr>
              <w:pageBreakBefore w:val="0"/>
              <w:kinsoku/>
              <w:wordWrap/>
              <w:overflowPunct/>
              <w:topLinePunct w:val="0"/>
              <w:bidi w:val="0"/>
              <w:adjustRightInd w:val="0"/>
              <w:snapToGrid w:val="0"/>
              <w:spacing w:line="360" w:lineRule="auto"/>
              <w:ind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3.数据迁移过程中出现问题，要安排专人在半小时进行回滚等响应，确保安全可控。</w:t>
            </w:r>
          </w:p>
        </w:tc>
      </w:tr>
    </w:tbl>
    <w:p w14:paraId="073E0C60">
      <w:pPr>
        <w:pStyle w:val="13"/>
        <w:pageBreakBefore w:val="0"/>
        <w:kinsoku/>
        <w:wordWrap/>
        <w:overflowPunct/>
        <w:topLinePunct w:val="0"/>
        <w:bidi w:val="0"/>
        <w:spacing w:line="360" w:lineRule="auto"/>
        <w:ind w:right="0"/>
        <w:rPr>
          <w:rFonts w:hint="eastAsia" w:ascii="宋体" w:hAnsi="宋体" w:eastAsia="宋体" w:cs="宋体"/>
          <w:color w:val="auto"/>
          <w:sz w:val="24"/>
          <w:szCs w:val="24"/>
          <w:highlight w:val="none"/>
        </w:rPr>
      </w:pPr>
    </w:p>
    <w:p w14:paraId="0B8B3088">
      <w:pPr>
        <w:pageBreakBefore w:val="0"/>
        <w:tabs>
          <w:tab w:val="left" w:pos="567"/>
          <w:tab w:val="left" w:pos="709"/>
          <w:tab w:val="left" w:pos="900"/>
        </w:tabs>
        <w:kinsoku/>
        <w:wordWrap/>
        <w:overflowPunct/>
        <w:topLinePunct w:val="0"/>
        <w:bidi w:val="0"/>
        <w:adjustRightInd w:val="0"/>
        <w:snapToGrid w:val="0"/>
        <w:spacing w:line="360" w:lineRule="auto"/>
        <w:ind w:right="0"/>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）项目建设期</w:t>
      </w:r>
    </w:p>
    <w:p w14:paraId="233EFB2E">
      <w:pPr>
        <w:pageBreakBefore w:val="0"/>
        <w:kinsoku/>
        <w:wordWrap/>
        <w:overflowPunct/>
        <w:topLinePunct w:val="0"/>
        <w:bidi w:val="0"/>
        <w:adjustRightInd w:val="0"/>
        <w:snapToGrid w:val="0"/>
        <w:spacing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月：完成系统开发、数据建库和本地化部署上线，完成项目初验。</w:t>
      </w:r>
    </w:p>
    <w:p w14:paraId="47852A2D">
      <w:pPr>
        <w:pageBreakBefore w:val="0"/>
        <w:kinsoku/>
        <w:wordWrap/>
        <w:overflowPunct/>
        <w:topLinePunct w:val="0"/>
        <w:bidi w:val="0"/>
        <w:adjustRightInd w:val="0"/>
        <w:snapToGrid w:val="0"/>
        <w:spacing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eastAsia="zh-CN"/>
        </w:rPr>
        <w:t>前</w:t>
      </w:r>
      <w:r>
        <w:rPr>
          <w:rFonts w:hint="eastAsia" w:ascii="宋体" w:hAnsi="宋体" w:eastAsia="宋体" w:cs="宋体"/>
          <w:color w:val="auto"/>
          <w:sz w:val="24"/>
          <w:szCs w:val="24"/>
          <w:highlight w:val="none"/>
        </w:rPr>
        <w:t>：完成项目试运行和项目终验。</w:t>
      </w:r>
    </w:p>
    <w:p w14:paraId="10D00B87">
      <w:pPr>
        <w:pageBreakBefore w:val="0"/>
        <w:numPr>
          <w:ilvl w:val="0"/>
          <w:numId w:val="2"/>
        </w:numPr>
        <w:kinsoku/>
        <w:wordWrap/>
        <w:overflowPunct/>
        <w:topLinePunct w:val="0"/>
        <w:bidi w:val="0"/>
        <w:adjustRightInd w:val="0"/>
        <w:snapToGrid w:val="0"/>
        <w:spacing w:line="360" w:lineRule="auto"/>
        <w:ind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项目实施过程中，中标方需按照采购方的要求，完成相应的开发任务；</w:t>
      </w:r>
    </w:p>
    <w:p w14:paraId="51577C0F">
      <w:pPr>
        <w:pStyle w:val="2"/>
        <w:pageBreakBefore w:val="0"/>
        <w:kinsoku/>
        <w:wordWrap/>
        <w:overflowPunct/>
        <w:topLinePunct w:val="0"/>
        <w:bidi w:val="0"/>
        <w:spacing w:line="360" w:lineRule="auto"/>
        <w:ind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4.因政策调整变更等原因，项目出现被关停、合并、中止等情形，双方及时协商解决。</w:t>
      </w:r>
    </w:p>
    <w:p w14:paraId="488AA69A">
      <w:pPr>
        <w:pageBreakBefore w:val="0"/>
        <w:tabs>
          <w:tab w:val="left" w:pos="567"/>
          <w:tab w:val="left" w:pos="709"/>
          <w:tab w:val="left" w:pos="900"/>
        </w:tabs>
        <w:kinsoku/>
        <w:wordWrap/>
        <w:overflowPunct/>
        <w:topLinePunct w:val="0"/>
        <w:bidi w:val="0"/>
        <w:adjustRightInd w:val="0"/>
        <w:snapToGrid w:val="0"/>
        <w:spacing w:line="360" w:lineRule="auto"/>
        <w:ind w:right="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）付款方式</w:t>
      </w:r>
    </w:p>
    <w:p w14:paraId="7F311980">
      <w:pPr>
        <w:pageBreakBefore w:val="0"/>
        <w:tabs>
          <w:tab w:val="left" w:pos="567"/>
          <w:tab w:val="left" w:pos="709"/>
          <w:tab w:val="left" w:pos="900"/>
        </w:tabs>
        <w:kinsoku/>
        <w:wordWrap/>
        <w:overflowPunct/>
        <w:topLinePunct w:val="0"/>
        <w:bidi w:val="0"/>
        <w:adjustRightInd w:val="0"/>
        <w:snapToGrid w:val="0"/>
        <w:spacing w:line="360" w:lineRule="auto"/>
        <w:ind w:right="0"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本项目款项支付分三次支付</w:t>
      </w:r>
      <w:r>
        <w:rPr>
          <w:rFonts w:hint="eastAsia" w:ascii="宋体" w:hAnsi="宋体" w:eastAsia="宋体" w:cs="宋体"/>
          <w:color w:val="auto"/>
          <w:sz w:val="24"/>
          <w:szCs w:val="24"/>
          <w:highlight w:val="none"/>
          <w:lang w:eastAsia="zh-CN"/>
        </w:rPr>
        <w:t>：</w:t>
      </w:r>
    </w:p>
    <w:p w14:paraId="1A9AE232">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（1）第一次支付为合同签订后、财政指标下达、乙方提交正式含税发票后20个工作日内，支付合同总金额的40%；</w:t>
      </w:r>
    </w:p>
    <w:p w14:paraId="2F0A9C0A">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（2）第二次支付为项目初验通过后、财政指标下达、乙方提交正式含税发票后20个工作日内，支付合同总金额的30%；</w:t>
      </w:r>
    </w:p>
    <w:p w14:paraId="24BB52E3">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（3）第三次支付为项目终验通过后、财政指标下达、乙方提交正式含税发票后20个工作日内，支付合同总金额的30%。</w:t>
      </w:r>
    </w:p>
    <w:p w14:paraId="1C344A9E">
      <w:pPr>
        <w:pStyle w:val="24"/>
        <w:pageBreakBefore w:val="0"/>
        <w:kinsoku/>
        <w:wordWrap/>
        <w:overflowPunct/>
        <w:topLinePunct w:val="0"/>
        <w:bidi w:val="0"/>
        <w:adjustRightInd w:val="0"/>
        <w:snapToGrid w:val="0"/>
        <w:spacing w:before="0" w:beforeAutospacing="0" w:after="0" w:afterAutospacing="0" w:line="360" w:lineRule="auto"/>
        <w:ind w:right="0"/>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val="en-US" w:eastAsia="zh-CN"/>
        </w:rPr>
        <w:t>七</w:t>
      </w:r>
      <w:r>
        <w:rPr>
          <w:rFonts w:hint="eastAsia" w:ascii="宋体" w:hAnsi="宋体" w:eastAsia="宋体" w:cs="宋体"/>
          <w:b/>
          <w:bCs/>
          <w:color w:val="auto"/>
          <w:kern w:val="2"/>
          <w:sz w:val="24"/>
          <w:szCs w:val="24"/>
          <w:highlight w:val="none"/>
        </w:rPr>
        <w:t>）验收要求</w:t>
      </w:r>
    </w:p>
    <w:p w14:paraId="764B2E05">
      <w:pPr>
        <w:keepNext w:val="0"/>
        <w:keepLines w:val="0"/>
        <w:pageBreakBefore w:val="0"/>
        <w:widowControl w:val="0"/>
        <w:tabs>
          <w:tab w:val="left" w:pos="567"/>
          <w:tab w:val="left" w:pos="900"/>
        </w:tabs>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项目验收时，中标方应将系统的所有技术文件资料、用户手册、项目实施的等资料，包括但不限于包括系统描述（系统结构图、系统接口图、网络拓扑图），软件架构图，软件流程图，输入输出接口等内容的软件概要设计说明书、软件详细设计说明书、软件实施方案、数据库设计方案、测试报告、安装维护手册、用户操作手册（PC版和APP版），</w:t>
      </w:r>
      <w:r>
        <w:rPr>
          <w:rFonts w:hint="eastAsia" w:ascii="宋体" w:hAnsi="宋体" w:eastAsia="宋体" w:cs="宋体"/>
          <w:color w:val="auto"/>
          <w:sz w:val="24"/>
          <w:szCs w:val="24"/>
          <w:highlight w:val="none"/>
        </w:rPr>
        <w:t>以及原代码和模型规则等项目资料整理成册交与采购单位；</w:t>
      </w:r>
    </w:p>
    <w:p w14:paraId="7B7BFC15">
      <w:pPr>
        <w:keepNext w:val="0"/>
        <w:keepLines w:val="0"/>
        <w:pageBreakBefore w:val="0"/>
        <w:widowControl w:val="0"/>
        <w:tabs>
          <w:tab w:val="left" w:pos="567"/>
          <w:tab w:val="left" w:pos="900"/>
        </w:tabs>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2.中标方对系统进行全面测试并起草完成对任务进行分解的详尽的项目验收报告，以便考核；</w:t>
      </w:r>
    </w:p>
    <w:p w14:paraId="6F4504A3">
      <w:pPr>
        <w:keepNext w:val="0"/>
        <w:keepLines w:val="0"/>
        <w:pageBreakBefore w:val="0"/>
        <w:widowControl w:val="0"/>
        <w:tabs>
          <w:tab w:val="left" w:pos="567"/>
          <w:tab w:val="left" w:pos="900"/>
        </w:tabs>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
        </w:rPr>
        <w:t>.</w:t>
      </w:r>
      <w:r>
        <w:rPr>
          <w:rFonts w:hint="eastAsia" w:ascii="宋体" w:hAnsi="宋体" w:eastAsia="宋体" w:cs="宋体"/>
          <w:color w:val="auto"/>
          <w:sz w:val="24"/>
          <w:szCs w:val="24"/>
          <w:highlight w:val="none"/>
          <w:lang w:val="en-US" w:eastAsia="zh-CN"/>
        </w:rPr>
        <w:t>项目初验、终验应召开专家验收会议，所有费用由中标方承担</w:t>
      </w:r>
      <w:r>
        <w:rPr>
          <w:rFonts w:hint="eastAsia" w:ascii="宋体" w:hAnsi="宋体" w:eastAsia="宋体" w:cs="宋体"/>
          <w:color w:val="auto"/>
          <w:sz w:val="24"/>
          <w:szCs w:val="24"/>
          <w:highlight w:val="none"/>
          <w:lang w:eastAsia="zh-CN"/>
        </w:rPr>
        <w:t>；</w:t>
      </w:r>
    </w:p>
    <w:p w14:paraId="01078551">
      <w:pPr>
        <w:pStyle w:val="2"/>
        <w:keepNext w:val="0"/>
        <w:keepLines w:val="0"/>
        <w:pageBreakBefore w:val="0"/>
        <w:widowControl w:val="0"/>
        <w:kinsoku/>
        <w:wordWrap/>
        <w:overflowPunct/>
        <w:topLinePunct w:val="0"/>
        <w:autoSpaceDE/>
        <w:autoSpaceDN/>
        <w:bidi w:val="0"/>
        <w:adjustRightInd w:val="0"/>
        <w:snapToGrid w:val="0"/>
        <w:spacing w:after="0" w:line="360" w:lineRule="auto"/>
        <w:ind w:right="0"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4</w:t>
      </w:r>
      <w:r>
        <w:rPr>
          <w:rFonts w:hint="eastAsia" w:ascii="宋体" w:hAnsi="宋体" w:eastAsia="宋体" w:cs="宋体"/>
          <w:color w:val="auto"/>
          <w:sz w:val="24"/>
          <w:szCs w:val="24"/>
          <w:highlight w:val="none"/>
          <w:lang w:val="en"/>
        </w:rPr>
        <w:t>.</w:t>
      </w:r>
      <w:r>
        <w:rPr>
          <w:rFonts w:hint="eastAsia" w:ascii="宋体" w:hAnsi="宋体" w:eastAsia="宋体" w:cs="宋体"/>
          <w:color w:val="auto"/>
          <w:sz w:val="24"/>
          <w:szCs w:val="24"/>
          <w:highlight w:val="none"/>
        </w:rPr>
        <w:t>试运行期限：3个月</w:t>
      </w:r>
      <w:r>
        <w:rPr>
          <w:rFonts w:hint="eastAsia" w:ascii="宋体" w:hAnsi="宋体" w:eastAsia="宋体" w:cs="宋体"/>
          <w:color w:val="auto"/>
          <w:sz w:val="24"/>
          <w:szCs w:val="24"/>
          <w:highlight w:val="none"/>
          <w:lang w:eastAsia="zh-CN"/>
        </w:rPr>
        <w:t>；</w:t>
      </w:r>
    </w:p>
    <w:p w14:paraId="3C432B55">
      <w:pPr>
        <w:pStyle w:val="2"/>
        <w:keepNext w:val="0"/>
        <w:keepLines w:val="0"/>
        <w:pageBreakBefore w:val="0"/>
        <w:widowControl w:val="0"/>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lang w:val="en"/>
        </w:rPr>
        <w:t>.</w:t>
      </w:r>
      <w:r>
        <w:rPr>
          <w:rFonts w:hint="eastAsia" w:ascii="宋体" w:hAnsi="宋体" w:eastAsia="宋体" w:cs="宋体"/>
          <w:color w:val="auto"/>
          <w:kern w:val="0"/>
          <w:sz w:val="24"/>
          <w:szCs w:val="24"/>
          <w:highlight w:val="none"/>
          <w:shd w:val="clear" w:color="auto" w:fill="FFFFFF"/>
        </w:rPr>
        <w:t>提供基于业务平台的数据库使用说明书以及数据库的最高权限，提供平台部署整体的网络架构图、服务器用途说明列表、服务器root账号权限，项目初验前要移交给采购方</w:t>
      </w:r>
      <w:r>
        <w:rPr>
          <w:rFonts w:hint="eastAsia" w:ascii="宋体" w:hAnsi="宋体" w:eastAsia="宋体" w:cs="宋体"/>
          <w:color w:val="auto"/>
          <w:kern w:val="0"/>
          <w:sz w:val="24"/>
          <w:szCs w:val="24"/>
          <w:highlight w:val="none"/>
          <w:shd w:val="clear" w:color="auto" w:fill="FFFFFF"/>
          <w:lang w:eastAsia="zh-CN"/>
        </w:rPr>
        <w:t>。</w:t>
      </w:r>
    </w:p>
    <w:p w14:paraId="7608F4C0">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right="0"/>
        <w:textAlignment w:val="auto"/>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val="en-US" w:eastAsia="zh-CN"/>
        </w:rPr>
        <w:t>八</w:t>
      </w:r>
      <w:r>
        <w:rPr>
          <w:rFonts w:hint="eastAsia" w:ascii="宋体" w:hAnsi="宋体" w:eastAsia="宋体" w:cs="宋体"/>
          <w:b/>
          <w:bCs/>
          <w:color w:val="auto"/>
          <w:kern w:val="2"/>
          <w:sz w:val="24"/>
          <w:szCs w:val="24"/>
          <w:highlight w:val="none"/>
        </w:rPr>
        <w:t>）其他</w:t>
      </w:r>
    </w:p>
    <w:p w14:paraId="6CD2B8AF">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
        </w:rPr>
        <w:t>.</w:t>
      </w:r>
      <w:r>
        <w:rPr>
          <w:rFonts w:hint="eastAsia" w:ascii="宋体" w:hAnsi="宋体" w:eastAsia="宋体" w:cs="宋体"/>
          <w:color w:val="auto"/>
          <w:sz w:val="24"/>
          <w:szCs w:val="24"/>
          <w:highlight w:val="none"/>
        </w:rPr>
        <w:t>本项目属于“交钥匙”工程，中标方需对项目的完整性负责，如相关设施在招标需求中未列出但在实施时必须使用，由中标方提供，所产生的一切费用，均由中标方负责。</w:t>
      </w:r>
    </w:p>
    <w:p w14:paraId="0C0A5D8D">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
        </w:rPr>
        <w:t>.</w:t>
      </w:r>
      <w:r>
        <w:rPr>
          <w:rFonts w:hint="eastAsia" w:ascii="宋体" w:hAnsi="宋体" w:eastAsia="宋体" w:cs="宋体"/>
          <w:color w:val="auto"/>
          <w:sz w:val="24"/>
          <w:szCs w:val="24"/>
          <w:highlight w:val="none"/>
        </w:rPr>
        <w:t>中标方需</w:t>
      </w:r>
      <w:r>
        <w:rPr>
          <w:rFonts w:hint="eastAsia" w:ascii="宋体" w:hAnsi="宋体" w:eastAsia="宋体" w:cs="宋体"/>
          <w:color w:val="auto"/>
          <w:kern w:val="0"/>
          <w:sz w:val="24"/>
          <w:szCs w:val="24"/>
          <w:highlight w:val="none"/>
          <w:lang w:bidi="ar"/>
        </w:rPr>
        <w:t>配合采购方，完成三级等保、密评等工作；</w:t>
      </w:r>
    </w:p>
    <w:p w14:paraId="4A0E0799">
      <w:pPr>
        <w:pStyle w:val="8"/>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cs="宋体"/>
          <w:b/>
          <w:bCs/>
          <w:color w:val="auto"/>
          <w:sz w:val="36"/>
          <w:szCs w:val="44"/>
          <w:highlight w:val="none"/>
        </w:rPr>
      </w:pPr>
      <w:r>
        <w:rPr>
          <w:rFonts w:hint="eastAsia" w:ascii="宋体" w:hAnsi="宋体" w:eastAsia="宋体" w:cs="宋体"/>
          <w:color w:val="auto"/>
          <w:kern w:val="0"/>
          <w:sz w:val="24"/>
          <w:szCs w:val="24"/>
          <w:highlight w:val="none"/>
          <w:lang w:val="en" w:bidi="ar"/>
        </w:rPr>
        <w:t>3.</w:t>
      </w:r>
      <w:r>
        <w:rPr>
          <w:rFonts w:hint="eastAsia" w:ascii="宋体" w:hAnsi="宋体" w:eastAsia="宋体" w:cs="宋体"/>
          <w:color w:val="auto"/>
          <w:kern w:val="0"/>
          <w:sz w:val="24"/>
          <w:szCs w:val="24"/>
          <w:highlight w:val="none"/>
          <w:lang w:bidi="ar"/>
        </w:rPr>
        <w:t>建立完善数据安全制度，包括但不限于网络安全、数据安全、保密安全条款。</w:t>
      </w:r>
    </w:p>
    <w:p w14:paraId="2CA08E91">
      <w:pPr>
        <w:spacing w:line="360" w:lineRule="auto"/>
        <w:outlineLvl w:val="1"/>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标项二</w:t>
      </w:r>
    </w:p>
    <w:p w14:paraId="7CFD1A70">
      <w:pPr>
        <w:pageBreakBefore w:val="0"/>
        <w:kinsoku/>
        <w:wordWrap/>
        <w:overflowPunct/>
        <w:topLinePunct w:val="0"/>
        <w:autoSpaceDE/>
        <w:autoSpaceDN/>
        <w:bidi w:val="0"/>
        <w:adjustRightInd w:val="0"/>
        <w:snapToGrid w:val="0"/>
        <w:spacing w:line="360"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658B65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台州市统一地址管理与服务平台形成</w:t>
      </w:r>
      <w:r>
        <w:rPr>
          <w:rFonts w:hint="eastAsia" w:ascii="宋体" w:hAnsi="宋体" w:eastAsia="宋体" w:cs="宋体"/>
          <w:color w:val="auto"/>
          <w:sz w:val="24"/>
          <w:szCs w:val="24"/>
          <w:highlight w:val="none"/>
          <w:lang w:eastAsia="zh-CN"/>
        </w:rPr>
        <w:t>建筑物面、院落面等数据，</w:t>
      </w:r>
      <w:r>
        <w:rPr>
          <w:rFonts w:hint="eastAsia" w:ascii="宋体" w:hAnsi="宋体" w:eastAsia="宋体" w:cs="宋体"/>
          <w:color w:val="auto"/>
          <w:sz w:val="24"/>
          <w:szCs w:val="24"/>
          <w:highlight w:val="none"/>
        </w:rPr>
        <w:t>为台州市统一地址库建设和数据治理提供软件工具</w:t>
      </w:r>
      <w:r>
        <w:rPr>
          <w:rFonts w:hint="eastAsia" w:ascii="宋体" w:hAnsi="宋体" w:eastAsia="宋体" w:cs="宋体"/>
          <w:color w:val="auto"/>
          <w:sz w:val="24"/>
          <w:szCs w:val="24"/>
          <w:highlight w:val="none"/>
          <w:lang w:eastAsia="zh-CN"/>
        </w:rPr>
        <w:t>，有效</w:t>
      </w:r>
      <w:r>
        <w:rPr>
          <w:rFonts w:hint="eastAsia" w:ascii="宋体" w:hAnsi="宋体" w:eastAsia="宋体" w:cs="宋体"/>
          <w:color w:val="auto"/>
          <w:sz w:val="24"/>
          <w:szCs w:val="24"/>
          <w:highlight w:val="none"/>
        </w:rPr>
        <w:t>提升台州市域社会治理“智治”水平</w:t>
      </w:r>
      <w:r>
        <w:rPr>
          <w:rFonts w:hint="eastAsia" w:ascii="宋体" w:hAnsi="宋体" w:eastAsia="宋体" w:cs="宋体"/>
          <w:color w:val="auto"/>
          <w:sz w:val="24"/>
          <w:szCs w:val="24"/>
          <w:highlight w:val="none"/>
          <w:lang w:eastAsia="zh-CN"/>
        </w:rPr>
        <w:t>。</w:t>
      </w:r>
    </w:p>
    <w:p w14:paraId="3A74B746">
      <w:pPr>
        <w:pageBreakBefore w:val="0"/>
        <w:kinsoku/>
        <w:wordWrap/>
        <w:overflowPunct/>
        <w:topLinePunct w:val="0"/>
        <w:autoSpaceDE/>
        <w:autoSpaceDN/>
        <w:bidi w:val="0"/>
        <w:adjustRightInd w:val="0"/>
        <w:snapToGrid w:val="0"/>
        <w:spacing w:line="360"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（二）项目需求一览表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5440"/>
        <w:gridCol w:w="1563"/>
      </w:tblGrid>
      <w:tr w14:paraId="777F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400" w:type="dxa"/>
            <w:noWrap/>
            <w:vAlign w:val="center"/>
          </w:tcPr>
          <w:p w14:paraId="5A952B26">
            <w:pPr>
              <w:widowControl/>
              <w:adjustRightInd w:val="0"/>
              <w:snapToGrid w:val="0"/>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5440" w:type="dxa"/>
            <w:noWrap/>
            <w:vAlign w:val="center"/>
          </w:tcPr>
          <w:p w14:paraId="0C39AA00">
            <w:pPr>
              <w:widowControl/>
              <w:adjustRightInd w:val="0"/>
              <w:snapToGrid w:val="0"/>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货物名称</w:t>
            </w:r>
          </w:p>
        </w:tc>
        <w:tc>
          <w:tcPr>
            <w:tcW w:w="1563" w:type="dxa"/>
            <w:noWrap/>
            <w:vAlign w:val="center"/>
          </w:tcPr>
          <w:p w14:paraId="2E0E7D8B">
            <w:pPr>
              <w:widowControl/>
              <w:adjustRightInd w:val="0"/>
              <w:snapToGrid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数量</w:t>
            </w:r>
          </w:p>
        </w:tc>
      </w:tr>
      <w:tr w14:paraId="20A6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0" w:type="dxa"/>
            <w:noWrap/>
            <w:vAlign w:val="center"/>
          </w:tcPr>
          <w:p w14:paraId="7E340304">
            <w:pPr>
              <w:widowControl/>
              <w:adjustRightInd w:val="0"/>
              <w:snapToGrid w:val="0"/>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1.</w:t>
            </w:r>
          </w:p>
        </w:tc>
        <w:tc>
          <w:tcPr>
            <w:tcW w:w="5440" w:type="dxa"/>
            <w:noWrap/>
            <w:vAlign w:val="center"/>
          </w:tcPr>
          <w:p w14:paraId="5F2A8730">
            <w:pPr>
              <w:widowControl/>
              <w:adjustRightInd w:val="0"/>
              <w:snapToGrid w:val="0"/>
              <w:spacing w:line="360" w:lineRule="auto"/>
              <w:jc w:val="center"/>
              <w:textAlignment w:val="center"/>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eastAsia="zh-CN" w:bidi="ar"/>
              </w:rPr>
              <w:t>信创改造</w:t>
            </w:r>
          </w:p>
        </w:tc>
        <w:tc>
          <w:tcPr>
            <w:tcW w:w="1563" w:type="dxa"/>
            <w:noWrap/>
            <w:vAlign w:val="center"/>
          </w:tcPr>
          <w:p w14:paraId="661AA0CC">
            <w:pPr>
              <w:widowControl/>
              <w:adjustRightInd w:val="0"/>
              <w:snapToGrid w:val="0"/>
              <w:spacing w:line="360" w:lineRule="auto"/>
              <w:jc w:val="center"/>
              <w:textAlignment w:val="center"/>
              <w:rPr>
                <w:rFonts w:hint="eastAsia" w:ascii="宋体" w:hAnsi="宋体" w:eastAsia="宋体" w:cs="宋体"/>
                <w:b/>
                <w:bCs/>
                <w:color w:val="auto"/>
                <w:kern w:val="0"/>
                <w:sz w:val="24"/>
                <w:szCs w:val="24"/>
                <w:highlight w:val="none"/>
                <w:lang w:bidi="ar"/>
              </w:rPr>
            </w:pPr>
          </w:p>
        </w:tc>
      </w:tr>
      <w:tr w14:paraId="7DF7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0" w:type="dxa"/>
            <w:noWrap/>
            <w:vAlign w:val="center"/>
          </w:tcPr>
          <w:p w14:paraId="4742CD99">
            <w:pPr>
              <w:widowControl/>
              <w:adjustRightInd w:val="0"/>
              <w:snapToGrid w:val="0"/>
              <w:spacing w:line="360" w:lineRule="auto"/>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bidi="ar"/>
              </w:rPr>
              <w:t>1.1</w:t>
            </w:r>
          </w:p>
        </w:tc>
        <w:tc>
          <w:tcPr>
            <w:tcW w:w="5440" w:type="dxa"/>
            <w:noWrap/>
            <w:vAlign w:val="center"/>
          </w:tcPr>
          <w:p w14:paraId="5824CFA7">
            <w:pPr>
              <w:widowControl/>
              <w:adjustRightInd w:val="0"/>
              <w:snapToGrid w:val="0"/>
              <w:spacing w:line="360" w:lineRule="auto"/>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服务器</w:t>
            </w:r>
            <w:r>
              <w:rPr>
                <w:rFonts w:hint="eastAsia" w:ascii="宋体" w:hAnsi="宋体" w:eastAsia="宋体" w:cs="宋体"/>
                <w:color w:val="auto"/>
                <w:sz w:val="24"/>
                <w:szCs w:val="24"/>
                <w:highlight w:val="none"/>
                <w:lang w:eastAsia="zh-CN"/>
              </w:rPr>
              <w:t>适配改造</w:t>
            </w:r>
          </w:p>
        </w:tc>
        <w:tc>
          <w:tcPr>
            <w:tcW w:w="1563" w:type="dxa"/>
            <w:noWrap/>
            <w:vAlign w:val="center"/>
          </w:tcPr>
          <w:p w14:paraId="7A2ACC06">
            <w:pPr>
              <w:widowControl/>
              <w:adjustRightInd w:val="0"/>
              <w:snapToGrid w:val="0"/>
              <w:spacing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eastAsia="zh-CN" w:bidi="ar"/>
              </w:rPr>
              <w:t>一套</w:t>
            </w:r>
          </w:p>
        </w:tc>
      </w:tr>
      <w:tr w14:paraId="0343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400" w:type="dxa"/>
            <w:noWrap/>
            <w:vAlign w:val="center"/>
          </w:tcPr>
          <w:p w14:paraId="15CFDDE3">
            <w:pPr>
              <w:widowControl/>
              <w:adjustRightInd w:val="0"/>
              <w:snapToGrid w:val="0"/>
              <w:spacing w:line="360" w:lineRule="auto"/>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c>
          <w:tcPr>
            <w:tcW w:w="5440" w:type="dxa"/>
            <w:noWrap/>
            <w:vAlign w:val="center"/>
          </w:tcPr>
          <w:p w14:paraId="76AA60EC">
            <w:pPr>
              <w:widowControl/>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w:t>
            </w:r>
            <w:r>
              <w:rPr>
                <w:rFonts w:hint="eastAsia" w:ascii="宋体" w:hAnsi="宋体" w:eastAsia="宋体" w:cs="宋体"/>
                <w:color w:val="auto"/>
                <w:sz w:val="24"/>
                <w:szCs w:val="24"/>
                <w:highlight w:val="none"/>
                <w:lang w:eastAsia="zh-CN"/>
              </w:rPr>
              <w:t>适配改造</w:t>
            </w:r>
          </w:p>
        </w:tc>
        <w:tc>
          <w:tcPr>
            <w:tcW w:w="1563" w:type="dxa"/>
            <w:noWrap/>
            <w:vAlign w:val="center"/>
          </w:tcPr>
          <w:p w14:paraId="7632E6F0">
            <w:pPr>
              <w:widowControl/>
              <w:adjustRightInd w:val="0"/>
              <w:snapToGrid w:val="0"/>
              <w:spacing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eastAsia="zh-CN" w:bidi="ar"/>
              </w:rPr>
              <w:t>一套</w:t>
            </w:r>
          </w:p>
        </w:tc>
      </w:tr>
      <w:tr w14:paraId="3713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400" w:type="dxa"/>
            <w:noWrap/>
            <w:vAlign w:val="center"/>
          </w:tcPr>
          <w:p w14:paraId="7CA5F19C">
            <w:pPr>
              <w:widowControl/>
              <w:adjustRightInd w:val="0"/>
              <w:snapToGrid w:val="0"/>
              <w:spacing w:line="360" w:lineRule="auto"/>
              <w:jc w:val="center"/>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3</w:t>
            </w:r>
          </w:p>
        </w:tc>
        <w:tc>
          <w:tcPr>
            <w:tcW w:w="5440" w:type="dxa"/>
            <w:noWrap/>
            <w:vAlign w:val="center"/>
          </w:tcPr>
          <w:p w14:paraId="53F58C62">
            <w:pPr>
              <w:widowControl/>
              <w:adjustRightInd w:val="0"/>
              <w:snapToGrid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w:t>
            </w:r>
            <w:r>
              <w:rPr>
                <w:rFonts w:hint="eastAsia" w:ascii="宋体" w:hAnsi="宋体" w:eastAsia="宋体" w:cs="宋体"/>
                <w:color w:val="auto"/>
                <w:sz w:val="24"/>
                <w:szCs w:val="24"/>
                <w:highlight w:val="none"/>
                <w:lang w:eastAsia="zh-CN"/>
              </w:rPr>
              <w:t>适配改造</w:t>
            </w:r>
          </w:p>
        </w:tc>
        <w:tc>
          <w:tcPr>
            <w:tcW w:w="1563" w:type="dxa"/>
            <w:noWrap/>
            <w:vAlign w:val="center"/>
          </w:tcPr>
          <w:p w14:paraId="27382FF5">
            <w:pPr>
              <w:widowControl/>
              <w:adjustRightInd w:val="0"/>
              <w:snapToGrid w:val="0"/>
              <w:spacing w:line="360" w:lineRule="auto"/>
              <w:jc w:val="center"/>
              <w:textAlignment w:val="center"/>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eastAsia="zh-CN" w:bidi="ar"/>
              </w:rPr>
              <w:t>一套</w:t>
            </w:r>
          </w:p>
        </w:tc>
      </w:tr>
      <w:tr w14:paraId="09B3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0" w:type="dxa"/>
            <w:noWrap/>
            <w:vAlign w:val="center"/>
          </w:tcPr>
          <w:p w14:paraId="6BA4F247">
            <w:pPr>
              <w:widowControl/>
              <w:adjustRightInd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1.4</w:t>
            </w:r>
          </w:p>
        </w:tc>
        <w:tc>
          <w:tcPr>
            <w:tcW w:w="5440" w:type="dxa"/>
            <w:noWrap/>
            <w:vAlign w:val="center"/>
          </w:tcPr>
          <w:p w14:paraId="742D0B7C">
            <w:pPr>
              <w:widowControl/>
              <w:adjustRightInd w:val="0"/>
              <w:snapToGrid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数据迁移实施</w:t>
            </w:r>
          </w:p>
        </w:tc>
        <w:tc>
          <w:tcPr>
            <w:tcW w:w="1563" w:type="dxa"/>
            <w:noWrap/>
            <w:vAlign w:val="center"/>
          </w:tcPr>
          <w:p w14:paraId="10E48E0C">
            <w:pPr>
              <w:widowControl/>
              <w:adjustRightInd w:val="0"/>
              <w:snapToGrid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eastAsia="zh-CN" w:bidi="ar"/>
              </w:rPr>
              <w:t>一套</w:t>
            </w:r>
          </w:p>
        </w:tc>
      </w:tr>
      <w:tr w14:paraId="4016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0" w:type="dxa"/>
            <w:noWrap/>
            <w:vAlign w:val="center"/>
          </w:tcPr>
          <w:p w14:paraId="23126FA4">
            <w:pPr>
              <w:widowControl/>
              <w:adjustRightInd w:val="0"/>
              <w:snapToGrid w:val="0"/>
              <w:spacing w:line="360" w:lineRule="auto"/>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
              </w:rPr>
              <w:t>1.5</w:t>
            </w:r>
          </w:p>
        </w:tc>
        <w:tc>
          <w:tcPr>
            <w:tcW w:w="5440" w:type="dxa"/>
            <w:noWrap/>
            <w:vAlign w:val="center"/>
          </w:tcPr>
          <w:p w14:paraId="7042BAEC">
            <w:pPr>
              <w:widowControl/>
              <w:adjustRightInd w:val="0"/>
              <w:snapToGrid w:val="0"/>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商用密码应用安全改造</w:t>
            </w:r>
          </w:p>
        </w:tc>
        <w:tc>
          <w:tcPr>
            <w:tcW w:w="1563" w:type="dxa"/>
            <w:noWrap/>
            <w:vAlign w:val="center"/>
          </w:tcPr>
          <w:p w14:paraId="3606ED49">
            <w:pPr>
              <w:widowControl/>
              <w:adjustRightInd w:val="0"/>
              <w:snapToGrid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eastAsia="zh-CN" w:bidi="ar"/>
              </w:rPr>
              <w:t>一套</w:t>
            </w:r>
          </w:p>
        </w:tc>
      </w:tr>
      <w:tr w14:paraId="3326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0" w:type="dxa"/>
            <w:noWrap/>
            <w:vAlign w:val="center"/>
          </w:tcPr>
          <w:p w14:paraId="4B852752">
            <w:pPr>
              <w:widowControl/>
              <w:adjustRightInd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w:t>
            </w:r>
          </w:p>
        </w:tc>
        <w:tc>
          <w:tcPr>
            <w:tcW w:w="5440" w:type="dxa"/>
            <w:noWrap/>
            <w:vAlign w:val="center"/>
          </w:tcPr>
          <w:p w14:paraId="4B81C6AE">
            <w:pPr>
              <w:widowControl/>
              <w:adjustRightInd w:val="0"/>
              <w:snapToGrid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软件采购</w:t>
            </w:r>
          </w:p>
        </w:tc>
        <w:tc>
          <w:tcPr>
            <w:tcW w:w="1563" w:type="dxa"/>
            <w:noWrap/>
            <w:vAlign w:val="center"/>
          </w:tcPr>
          <w:p w14:paraId="34C3A40D">
            <w:pPr>
              <w:widowControl/>
              <w:adjustRightInd w:val="0"/>
              <w:snapToGrid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p>
        </w:tc>
      </w:tr>
      <w:tr w14:paraId="7D93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0" w:type="dxa"/>
            <w:noWrap/>
            <w:vAlign w:val="center"/>
          </w:tcPr>
          <w:p w14:paraId="1BD21AD1">
            <w:pPr>
              <w:widowControl/>
              <w:adjustRightInd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2.1</w:t>
            </w:r>
          </w:p>
        </w:tc>
        <w:tc>
          <w:tcPr>
            <w:tcW w:w="5440" w:type="dxa"/>
            <w:noWrap/>
            <w:vAlign w:val="center"/>
          </w:tcPr>
          <w:p w14:paraId="17540C57">
            <w:pPr>
              <w:widowControl/>
              <w:adjustRightInd w:val="0"/>
              <w:snapToGrid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GeoScene 高级版专业桌面软件</w:t>
            </w:r>
          </w:p>
        </w:tc>
        <w:tc>
          <w:tcPr>
            <w:tcW w:w="1563" w:type="dxa"/>
            <w:noWrap/>
            <w:vAlign w:val="center"/>
          </w:tcPr>
          <w:p w14:paraId="294873B2">
            <w:pPr>
              <w:widowControl/>
              <w:adjustRightInd w:val="0"/>
              <w:snapToGrid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eastAsia="zh-CN" w:bidi="ar"/>
              </w:rPr>
              <w:t>一套</w:t>
            </w:r>
          </w:p>
        </w:tc>
      </w:tr>
      <w:tr w14:paraId="58CA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0" w:type="dxa"/>
            <w:noWrap/>
            <w:vAlign w:val="center"/>
          </w:tcPr>
          <w:p w14:paraId="76E0A825">
            <w:pPr>
              <w:widowControl/>
              <w:adjustRightInd w:val="0"/>
              <w:snapToGrid w:val="0"/>
              <w:spacing w:line="360" w:lineRule="auto"/>
              <w:jc w:val="center"/>
              <w:textAlignment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2.2</w:t>
            </w:r>
          </w:p>
        </w:tc>
        <w:tc>
          <w:tcPr>
            <w:tcW w:w="5440" w:type="dxa"/>
            <w:noWrap/>
            <w:vAlign w:val="center"/>
          </w:tcPr>
          <w:p w14:paraId="71999D11">
            <w:pPr>
              <w:widowControl/>
              <w:adjustRightInd w:val="0"/>
              <w:snapToGrid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GeoScene 标准版平台软件</w:t>
            </w:r>
          </w:p>
        </w:tc>
        <w:tc>
          <w:tcPr>
            <w:tcW w:w="1563" w:type="dxa"/>
            <w:noWrap/>
            <w:vAlign w:val="center"/>
          </w:tcPr>
          <w:p w14:paraId="6CCE6062">
            <w:pPr>
              <w:widowControl/>
              <w:adjustRightInd w:val="0"/>
              <w:snapToGrid w:val="0"/>
              <w:spacing w:line="360" w:lineRule="auto"/>
              <w:jc w:val="center"/>
              <w:textAlignment w:val="center"/>
              <w:rPr>
                <w:rFonts w:hint="eastAsia" w:ascii="宋体" w:hAnsi="宋体" w:eastAsia="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eastAsia="zh-CN" w:bidi="ar"/>
              </w:rPr>
              <w:t>一套</w:t>
            </w:r>
          </w:p>
        </w:tc>
      </w:tr>
    </w:tbl>
    <w:p w14:paraId="34E7459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（三）工作条件</w:t>
      </w:r>
    </w:p>
    <w:p w14:paraId="2E5B6F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1.安全等级：三级等保</w:t>
      </w:r>
      <w:r>
        <w:rPr>
          <w:rFonts w:hint="eastAsia" w:ascii="宋体" w:hAnsi="宋体" w:eastAsia="宋体" w:cs="宋体"/>
          <w:color w:val="auto"/>
          <w:sz w:val="24"/>
          <w:szCs w:val="24"/>
          <w:highlight w:val="none"/>
          <w:lang w:eastAsia="zh-CN"/>
        </w:rPr>
        <w:t>，等保</w:t>
      </w:r>
      <w:r>
        <w:rPr>
          <w:rFonts w:hint="eastAsia" w:ascii="宋体" w:hAnsi="宋体" w:eastAsia="宋体" w:cs="宋体"/>
          <w:color w:val="auto"/>
          <w:sz w:val="24"/>
          <w:szCs w:val="24"/>
          <w:highlight w:val="none"/>
        </w:rPr>
        <w:t>需达到</w:t>
      </w:r>
      <w:r>
        <w:rPr>
          <w:rFonts w:hint="eastAsia" w:ascii="宋体" w:hAnsi="宋体" w:eastAsia="宋体" w:cs="宋体"/>
          <w:color w:val="auto"/>
          <w:sz w:val="24"/>
          <w:szCs w:val="24"/>
          <w:highlight w:val="none"/>
          <w:lang w:eastAsia="zh-CN"/>
        </w:rPr>
        <w:t>台州市有关部门</w:t>
      </w:r>
      <w:r>
        <w:rPr>
          <w:rFonts w:hint="eastAsia" w:ascii="宋体" w:hAnsi="宋体" w:eastAsia="宋体" w:cs="宋体"/>
          <w:color w:val="auto"/>
          <w:sz w:val="24"/>
          <w:szCs w:val="24"/>
          <w:highlight w:val="none"/>
        </w:rPr>
        <w:t>的合格标准；</w:t>
      </w:r>
    </w:p>
    <w:p w14:paraId="26A4CB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商业密评：</w:t>
      </w:r>
      <w:r>
        <w:rPr>
          <w:rFonts w:hint="eastAsia" w:ascii="宋体" w:hAnsi="宋体" w:eastAsia="宋体" w:cs="宋体"/>
          <w:color w:val="auto"/>
          <w:sz w:val="24"/>
          <w:szCs w:val="24"/>
          <w:highlight w:val="none"/>
        </w:rPr>
        <w:t>密评结果需达到</w:t>
      </w:r>
      <w:r>
        <w:rPr>
          <w:rFonts w:hint="eastAsia" w:ascii="宋体" w:hAnsi="宋体" w:eastAsia="宋体" w:cs="宋体"/>
          <w:color w:val="auto"/>
          <w:sz w:val="24"/>
          <w:szCs w:val="24"/>
          <w:highlight w:val="none"/>
          <w:lang w:eastAsia="zh-CN"/>
        </w:rPr>
        <w:t>台州市有关部门</w:t>
      </w:r>
      <w:r>
        <w:rPr>
          <w:rFonts w:hint="eastAsia" w:ascii="宋体" w:hAnsi="宋体" w:eastAsia="宋体" w:cs="宋体"/>
          <w:color w:val="auto"/>
          <w:sz w:val="24"/>
          <w:szCs w:val="24"/>
          <w:highlight w:val="none"/>
        </w:rPr>
        <w:t>的合格标准</w:t>
      </w:r>
      <w:r>
        <w:rPr>
          <w:rFonts w:hint="eastAsia" w:ascii="宋体" w:hAnsi="宋体" w:eastAsia="宋体" w:cs="宋体"/>
          <w:color w:val="auto"/>
          <w:sz w:val="24"/>
          <w:szCs w:val="24"/>
          <w:highlight w:val="none"/>
          <w:lang w:eastAsia="zh-CN"/>
        </w:rPr>
        <w:t>；</w:t>
      </w:r>
    </w:p>
    <w:p w14:paraId="04E4A0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信创适配：实现对安全可靠服务器、操作系统和数据库的适配</w:t>
      </w:r>
    </w:p>
    <w:p w14:paraId="21A599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.数据库部署：台州市本地化部署，</w:t>
      </w:r>
      <w:r>
        <w:rPr>
          <w:rFonts w:hint="eastAsia" w:ascii="宋体" w:hAnsi="宋体" w:eastAsia="宋体" w:cs="宋体"/>
          <w:color w:val="auto"/>
          <w:kern w:val="0"/>
          <w:sz w:val="24"/>
          <w:szCs w:val="24"/>
          <w:highlight w:val="none"/>
        </w:rPr>
        <w:t>在项目履行过程中形成的所有数据资源的产权均归属于采购人，中标方应积极配合采购人以合法方式取得并行使上述产权</w:t>
      </w:r>
      <w:r>
        <w:rPr>
          <w:rFonts w:hint="eastAsia" w:ascii="宋体" w:hAnsi="宋体" w:eastAsia="宋体" w:cs="宋体"/>
          <w:color w:val="auto"/>
          <w:kern w:val="0"/>
          <w:sz w:val="24"/>
          <w:szCs w:val="24"/>
          <w:highlight w:val="none"/>
          <w:lang w:eastAsia="zh-CN"/>
        </w:rPr>
        <w:t>，同时相关数据应与市公共数据平台实现共享；</w:t>
      </w:r>
    </w:p>
    <w:p w14:paraId="6D0926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.产权归属：</w:t>
      </w:r>
      <w:r>
        <w:rPr>
          <w:rFonts w:hint="eastAsia" w:ascii="宋体" w:hAnsi="宋体" w:eastAsia="宋体" w:cs="宋体"/>
          <w:color w:val="auto"/>
          <w:sz w:val="24"/>
          <w:szCs w:val="24"/>
          <w:highlight w:val="none"/>
          <w:lang w:eastAsia="zh-CN"/>
        </w:rPr>
        <w:t>中共</w:t>
      </w:r>
      <w:r>
        <w:rPr>
          <w:rFonts w:hint="eastAsia" w:ascii="宋体" w:hAnsi="宋体" w:eastAsia="宋体" w:cs="宋体"/>
          <w:color w:val="auto"/>
          <w:sz w:val="24"/>
          <w:szCs w:val="24"/>
          <w:highlight w:val="none"/>
        </w:rPr>
        <w:t>台州市委政法委</w:t>
      </w:r>
      <w:r>
        <w:rPr>
          <w:rFonts w:hint="eastAsia" w:ascii="宋体" w:hAnsi="宋体" w:eastAsia="宋体" w:cs="宋体"/>
          <w:color w:val="auto"/>
          <w:sz w:val="24"/>
          <w:szCs w:val="24"/>
          <w:highlight w:val="none"/>
          <w:lang w:eastAsia="zh-CN"/>
        </w:rPr>
        <w:t>员会</w:t>
      </w:r>
      <w:r>
        <w:rPr>
          <w:rFonts w:hint="eastAsia" w:ascii="宋体" w:hAnsi="宋体" w:eastAsia="宋体" w:cs="宋体"/>
          <w:color w:val="auto"/>
          <w:sz w:val="24"/>
          <w:szCs w:val="24"/>
          <w:highlight w:val="none"/>
        </w:rPr>
        <w:t>；</w:t>
      </w:r>
    </w:p>
    <w:p w14:paraId="461757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.承建单位必须承诺</w:t>
      </w:r>
      <w:r>
        <w:rPr>
          <w:rFonts w:hint="eastAsia" w:ascii="宋体" w:hAnsi="宋体" w:cs="宋体"/>
          <w:color w:val="auto"/>
          <w:sz w:val="24"/>
          <w:szCs w:val="32"/>
          <w:highlight w:val="none"/>
          <w:lang w:eastAsia="zh-CN"/>
        </w:rPr>
        <w:t>《中华人民共和国网络安全法》</w:t>
      </w:r>
      <w:r>
        <w:rPr>
          <w:rFonts w:hint="eastAsia" w:ascii="宋体" w:hAnsi="宋体" w:eastAsia="宋体" w:cs="宋体"/>
          <w:b w:val="0"/>
          <w:bCs w:val="0"/>
          <w:color w:val="auto"/>
          <w:kern w:val="2"/>
          <w:sz w:val="24"/>
          <w:szCs w:val="32"/>
          <w:highlight w:val="none"/>
          <w:lang w:val="en-US" w:eastAsia="zh-CN" w:bidi="ar-SA"/>
        </w:rPr>
        <w:t>《中华人民共和国数据安全法》《中华人民共和国个人信息保护法》</w:t>
      </w:r>
      <w:r>
        <w:rPr>
          <w:rFonts w:hint="eastAsia" w:ascii="宋体" w:hAnsi="宋体" w:eastAsia="宋体" w:cs="宋体"/>
          <w:color w:val="auto"/>
          <w:sz w:val="24"/>
          <w:szCs w:val="24"/>
          <w:highlight w:val="none"/>
        </w:rPr>
        <w:t>《浙江省公共数据条例》等相关法律法规要求，并在台州市数字化改革（包括但不限于网络安全、数据安全、保密规定等方面）整体要求下开展工作。</w:t>
      </w:r>
    </w:p>
    <w:p w14:paraId="224574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（四）技术参数要求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50"/>
        <w:gridCol w:w="6582"/>
      </w:tblGrid>
      <w:tr w14:paraId="0432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5" w:type="dxa"/>
            <w:noWrap w:val="0"/>
            <w:vAlign w:val="center"/>
          </w:tcPr>
          <w:p w14:paraId="35C457DE">
            <w:pPr>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350" w:type="dxa"/>
            <w:noWrap w:val="0"/>
            <w:vAlign w:val="center"/>
          </w:tcPr>
          <w:p w14:paraId="27F752BA">
            <w:pPr>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功能</w:t>
            </w:r>
          </w:p>
        </w:tc>
        <w:tc>
          <w:tcPr>
            <w:tcW w:w="6582" w:type="dxa"/>
            <w:noWrap w:val="0"/>
            <w:vAlign w:val="center"/>
          </w:tcPr>
          <w:p w14:paraId="7D0A88CD">
            <w:pPr>
              <w:adjustRightInd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技术规格</w:t>
            </w:r>
          </w:p>
        </w:tc>
      </w:tr>
      <w:tr w14:paraId="4AAF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261241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50" w:type="dxa"/>
            <w:noWrap w:val="0"/>
            <w:vAlign w:val="center"/>
          </w:tcPr>
          <w:p w14:paraId="798FEA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服务器</w:t>
            </w:r>
            <w:r>
              <w:rPr>
                <w:rFonts w:hint="eastAsia" w:ascii="宋体" w:hAnsi="宋体" w:eastAsia="宋体" w:cs="宋体"/>
                <w:color w:val="auto"/>
                <w:sz w:val="24"/>
                <w:szCs w:val="24"/>
                <w:highlight w:val="none"/>
                <w:lang w:eastAsia="zh-CN"/>
              </w:rPr>
              <w:t>适配改造</w:t>
            </w:r>
          </w:p>
        </w:tc>
        <w:tc>
          <w:tcPr>
            <w:tcW w:w="6582" w:type="dxa"/>
            <w:noWrap w:val="0"/>
            <w:vAlign w:val="center"/>
          </w:tcPr>
          <w:p w14:paraId="088C9C32">
            <w:pPr>
              <w:pStyle w:val="2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要求对政务云区1</w:t>
            </w:r>
            <w:r>
              <w:rPr>
                <w:rFonts w:hint="eastAsia" w:ascii="宋体" w:hAnsi="宋体" w:eastAsia="宋体" w:cs="宋体"/>
                <w:color w:val="auto"/>
                <w:kern w:val="2"/>
                <w:sz w:val="24"/>
                <w:szCs w:val="24"/>
                <w:highlight w:val="none"/>
                <w:lang w:val="en-US" w:eastAsia="zh" w:bidi="ar-SA"/>
              </w:rPr>
              <w:t>3</w:t>
            </w:r>
            <w:r>
              <w:rPr>
                <w:rFonts w:hint="eastAsia" w:ascii="宋体" w:hAnsi="宋体" w:eastAsia="宋体" w:cs="宋体"/>
                <w:color w:val="auto"/>
                <w:kern w:val="2"/>
                <w:sz w:val="24"/>
                <w:szCs w:val="24"/>
                <w:highlight w:val="none"/>
                <w:lang w:val="en-US" w:eastAsia="zh-CN" w:bidi="ar-SA"/>
              </w:rPr>
              <w:t>台ECS服务器、</w:t>
            </w:r>
            <w:r>
              <w:rPr>
                <w:rFonts w:hint="eastAsia" w:ascii="宋体" w:hAnsi="宋体" w:eastAsia="宋体" w:cs="宋体"/>
                <w:color w:val="auto"/>
                <w:kern w:val="2"/>
                <w:sz w:val="24"/>
                <w:szCs w:val="24"/>
                <w:highlight w:val="none"/>
                <w:lang w:val="en-US" w:eastAsia="zh" w:bidi="ar-SA"/>
              </w:rPr>
              <w:t>1</w:t>
            </w:r>
            <w:r>
              <w:rPr>
                <w:rFonts w:hint="eastAsia" w:ascii="宋体" w:hAnsi="宋体" w:eastAsia="宋体" w:cs="宋体"/>
                <w:color w:val="auto"/>
                <w:kern w:val="2"/>
                <w:sz w:val="24"/>
                <w:szCs w:val="24"/>
                <w:highlight w:val="none"/>
                <w:lang w:val="en-US" w:eastAsia="zh-CN" w:bidi="ar-SA"/>
              </w:rPr>
              <w:t>台RDS数据库、1台公有云区ECS服务器进行信创迁移适配；</w:t>
            </w:r>
          </w:p>
        </w:tc>
      </w:tr>
      <w:tr w14:paraId="4850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05" w:type="dxa"/>
            <w:noWrap w:val="0"/>
            <w:vAlign w:val="center"/>
          </w:tcPr>
          <w:p w14:paraId="1C046109">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350" w:type="dxa"/>
            <w:noWrap w:val="0"/>
            <w:vAlign w:val="center"/>
          </w:tcPr>
          <w:p w14:paraId="2844677B">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操作系统适配改造</w:t>
            </w:r>
          </w:p>
        </w:tc>
        <w:tc>
          <w:tcPr>
            <w:tcW w:w="6582" w:type="dxa"/>
            <w:noWrap w:val="0"/>
            <w:vAlign w:val="center"/>
          </w:tcPr>
          <w:p w14:paraId="3DD685C9">
            <w:pPr>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要求基于国产操作系统服务器（银河麒麟）、CPU（X86海光），对原系统进行部署适配；</w:t>
            </w:r>
          </w:p>
        </w:tc>
      </w:tr>
      <w:tr w14:paraId="60AA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05" w:type="dxa"/>
            <w:noWrap w:val="0"/>
            <w:vAlign w:val="center"/>
          </w:tcPr>
          <w:p w14:paraId="1B97187F">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350" w:type="dxa"/>
            <w:noWrap w:val="0"/>
            <w:vAlign w:val="center"/>
          </w:tcPr>
          <w:p w14:paraId="73C6D266">
            <w:pPr>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数据库适配改造</w:t>
            </w:r>
          </w:p>
        </w:tc>
        <w:tc>
          <w:tcPr>
            <w:tcW w:w="6582" w:type="dxa"/>
            <w:noWrap w:val="0"/>
            <w:vAlign w:val="center"/>
          </w:tcPr>
          <w:p w14:paraId="7A8AE3F6">
            <w:pPr>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采用国产数据库（PolarDB-M），实现mysql数据库与国产数据库之间的适配；</w:t>
            </w:r>
          </w:p>
        </w:tc>
      </w:tr>
      <w:tr w14:paraId="2F64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5" w:type="dxa"/>
            <w:noWrap w:val="0"/>
            <w:vAlign w:val="center"/>
          </w:tcPr>
          <w:p w14:paraId="084584F9">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350" w:type="dxa"/>
            <w:noWrap w:val="0"/>
            <w:vAlign w:val="center"/>
          </w:tcPr>
          <w:p w14:paraId="1F64662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数据迁移实施</w:t>
            </w:r>
          </w:p>
        </w:tc>
        <w:tc>
          <w:tcPr>
            <w:tcW w:w="6582" w:type="dxa"/>
            <w:noWrap w:val="0"/>
            <w:vAlign w:val="center"/>
          </w:tcPr>
          <w:p w14:paraId="0071BE63">
            <w:pPr>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要求对过程库、成果库等160多张数据表数据进行全部迁移，确保数据完整性、正确性、一致性；</w:t>
            </w:r>
          </w:p>
        </w:tc>
      </w:tr>
      <w:tr w14:paraId="354A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14:paraId="1B27D66A">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350" w:type="dxa"/>
            <w:noWrap w:val="0"/>
            <w:vAlign w:val="center"/>
          </w:tcPr>
          <w:p w14:paraId="58EE635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商用密码应用安全改造</w:t>
            </w:r>
          </w:p>
        </w:tc>
        <w:tc>
          <w:tcPr>
            <w:tcW w:w="6582" w:type="dxa"/>
            <w:noWrap w:val="0"/>
            <w:vAlign w:val="center"/>
          </w:tcPr>
          <w:p w14:paraId="0DED929E">
            <w:pPr>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要求基于</w:t>
            </w:r>
            <w:r>
              <w:rPr>
                <w:rFonts w:hint="eastAsia" w:ascii="宋体" w:hAnsi="宋体" w:eastAsia="宋体" w:cs="宋体"/>
                <w:color w:val="auto"/>
                <w:sz w:val="24"/>
                <w:szCs w:val="24"/>
                <w:highlight w:val="none"/>
                <w:lang w:val="en-US" w:eastAsia="zh-CN"/>
              </w:rPr>
              <w:t>台州市统一MM 服务平台进行应用系统的改造对接，按需做好国密证书、国密浏览器的部署，确保符合台州市有关部门的合格标准；</w:t>
            </w:r>
          </w:p>
        </w:tc>
      </w:tr>
      <w:tr w14:paraId="4D3A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05" w:type="dxa"/>
            <w:noWrap w:val="0"/>
            <w:vAlign w:val="center"/>
          </w:tcPr>
          <w:p w14:paraId="5AA16036">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1350" w:type="dxa"/>
            <w:noWrap w:val="0"/>
            <w:vAlign w:val="center"/>
          </w:tcPr>
          <w:p w14:paraId="02CA81DB">
            <w:pP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软件采购</w:t>
            </w:r>
          </w:p>
        </w:tc>
        <w:tc>
          <w:tcPr>
            <w:tcW w:w="6582" w:type="dxa"/>
            <w:noWrap w:val="0"/>
            <w:vAlign w:val="center"/>
          </w:tcPr>
          <w:p w14:paraId="6579E60A">
            <w:pPr>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对采购的GeoScene 高级版专业桌面软件和GeoScene 标准版平台软件，要求：1.永久授权；2.质保期一年，质保期内享受免费升级服务，项目质保期届满后，该软件仍能正常使用；3.提供原厂安装、培训服务；4.应急故障响应措施：响应时间不超过2小时，出现在线无法解决的问题时，安排工程师8小时内到场解决。</w:t>
            </w:r>
          </w:p>
        </w:tc>
      </w:tr>
      <w:tr w14:paraId="4479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noWrap w:val="0"/>
            <w:vAlign w:val="center"/>
          </w:tcPr>
          <w:p w14:paraId="3E2EC3E1">
            <w:pPr>
              <w:adjustRightInd w:val="0"/>
              <w:snapToGrid w:val="0"/>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1350" w:type="dxa"/>
            <w:noWrap w:val="0"/>
            <w:vAlign w:val="center"/>
          </w:tcPr>
          <w:p w14:paraId="4E612F99">
            <w:pP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其他要求</w:t>
            </w:r>
          </w:p>
        </w:tc>
        <w:tc>
          <w:tcPr>
            <w:tcW w:w="6582" w:type="dxa"/>
            <w:noWrap w:val="0"/>
            <w:vAlign w:val="center"/>
          </w:tcPr>
          <w:p w14:paraId="704FF8D8">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本系统涉及的</w:t>
            </w:r>
            <w:r>
              <w:rPr>
                <w:rFonts w:hint="eastAsia" w:ascii="宋体" w:hAnsi="宋体" w:eastAsia="宋体" w:cs="宋体"/>
                <w:color w:val="auto"/>
                <w:sz w:val="24"/>
                <w:szCs w:val="24"/>
                <w:highlight w:val="none"/>
                <w:lang w:eastAsia="zh-CN"/>
              </w:rPr>
              <w:t>信创</w:t>
            </w:r>
            <w:r>
              <w:rPr>
                <w:rFonts w:hint="eastAsia" w:ascii="宋体" w:hAnsi="宋体" w:eastAsia="宋体" w:cs="宋体"/>
                <w:color w:val="auto"/>
                <w:sz w:val="24"/>
                <w:szCs w:val="24"/>
                <w:highlight w:val="none"/>
              </w:rPr>
              <w:t>云资源，中标方需按数据局要求向采购方提出申请需求，由采购方负责资源申请；投标总价包含</w:t>
            </w:r>
            <w:r>
              <w:rPr>
                <w:rFonts w:hint="eastAsia" w:ascii="宋体" w:hAnsi="宋体" w:eastAsia="宋体" w:cs="宋体"/>
                <w:color w:val="auto"/>
                <w:sz w:val="24"/>
                <w:szCs w:val="24"/>
                <w:highlight w:val="none"/>
                <w:lang w:eastAsia="zh-CN"/>
              </w:rPr>
              <w:t>信创</w:t>
            </w:r>
            <w:r>
              <w:rPr>
                <w:rFonts w:hint="eastAsia" w:ascii="宋体" w:hAnsi="宋体" w:eastAsia="宋体" w:cs="宋体"/>
                <w:color w:val="auto"/>
                <w:sz w:val="24"/>
                <w:szCs w:val="24"/>
                <w:highlight w:val="none"/>
              </w:rPr>
              <w:t>云的各类服务部署。</w:t>
            </w:r>
          </w:p>
          <w:p w14:paraId="088126EB">
            <w:pPr>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要求做好功能测试、回归测试、压力测试、系统切割等工作，确保迁移后系统能够稳定运行。</w:t>
            </w:r>
          </w:p>
          <w:p w14:paraId="17CFEF6E">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3.数据迁移过程中出现问题，要安排专人在半小时进行回滚等响应，确保安全可控。</w:t>
            </w:r>
          </w:p>
        </w:tc>
      </w:tr>
    </w:tbl>
    <w:p w14:paraId="3BFCD424">
      <w:pPr>
        <w:adjustRightInd w:val="0"/>
        <w:snapToGrid w:val="0"/>
        <w:spacing w:line="360" w:lineRule="auto"/>
        <w:rPr>
          <w:rFonts w:hint="eastAsia" w:ascii="宋体" w:hAnsi="宋体" w:eastAsia="宋体" w:cs="宋体"/>
          <w:b/>
          <w:color w:val="auto"/>
          <w:sz w:val="24"/>
          <w:szCs w:val="24"/>
          <w:highlight w:val="none"/>
        </w:rPr>
      </w:pPr>
    </w:p>
    <w:p w14:paraId="74E557CC">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）项目建设期</w:t>
      </w:r>
    </w:p>
    <w:p w14:paraId="0DE0B33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月：完成系统开发、数据建库和本地化部署上线，完成项目初验。</w:t>
      </w:r>
    </w:p>
    <w:p w14:paraId="3D19E2C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eastAsia="zh-CN"/>
        </w:rPr>
        <w:t>前</w:t>
      </w:r>
      <w:r>
        <w:rPr>
          <w:rFonts w:hint="eastAsia" w:ascii="宋体" w:hAnsi="宋体" w:eastAsia="宋体" w:cs="宋体"/>
          <w:color w:val="auto"/>
          <w:sz w:val="24"/>
          <w:szCs w:val="24"/>
          <w:highlight w:val="none"/>
        </w:rPr>
        <w:t>：完成项目试运行和项目终验。</w:t>
      </w:r>
    </w:p>
    <w:p w14:paraId="0F18D249">
      <w:pPr>
        <w:numPr>
          <w:ilvl w:val="0"/>
          <w:numId w:val="3"/>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项目实施过程中，中标方需按照采购方的要求，完成相应的开发任务；</w:t>
      </w:r>
    </w:p>
    <w:p w14:paraId="78DF1730">
      <w:pPr>
        <w:pStyle w:val="2"/>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4.因政策调整变更等原因，项目出现被关停、合并、中止等情形，双方及时协商解决。</w:t>
      </w:r>
    </w:p>
    <w:p w14:paraId="032CC339">
      <w:pPr>
        <w:tabs>
          <w:tab w:val="left" w:pos="567"/>
          <w:tab w:val="left" w:pos="709"/>
          <w:tab w:val="left" w:pos="900"/>
        </w:tabs>
        <w:adjustRightInd w:val="0"/>
        <w:snapToGrid w:val="0"/>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）付款方式</w:t>
      </w:r>
    </w:p>
    <w:p w14:paraId="429506EA">
      <w:pPr>
        <w:tabs>
          <w:tab w:val="left" w:pos="567"/>
          <w:tab w:val="left" w:pos="709"/>
          <w:tab w:val="left" w:pos="900"/>
        </w:tabs>
        <w:adjustRightInd w:val="0"/>
        <w:snapToGrid w:val="0"/>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本项目款项支付分三次支付</w:t>
      </w:r>
      <w:r>
        <w:rPr>
          <w:rFonts w:hint="eastAsia" w:ascii="宋体" w:hAnsi="宋体" w:eastAsia="宋体" w:cs="宋体"/>
          <w:color w:val="auto"/>
          <w:sz w:val="24"/>
          <w:szCs w:val="24"/>
          <w:highlight w:val="none"/>
          <w:lang w:eastAsia="zh-CN"/>
        </w:rPr>
        <w:t>：</w:t>
      </w:r>
    </w:p>
    <w:p w14:paraId="08FE9C47">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line="360" w:lineRule="auto"/>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（1）第一次支付为合同签订后、财政指标下达、乙方提交正式含税发票后20个工作日内，支付合同总金额的40%；</w:t>
      </w:r>
    </w:p>
    <w:p w14:paraId="104DBA06">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line="360" w:lineRule="auto"/>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（2）第二次支付为项目初验通过后、财政指标下达、乙方提交正式含税发票后20个工作日内，支付合同总金额的30%；</w:t>
      </w:r>
    </w:p>
    <w:p w14:paraId="02A1F23A">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line="360" w:lineRule="auto"/>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（3）第三次支付为项目终验通过后、财政指标下达、乙方提交正式含税发票后20个工作日内，支付合同总金额的30%。</w:t>
      </w:r>
    </w:p>
    <w:p w14:paraId="639AD93F">
      <w:pPr>
        <w:pStyle w:val="24"/>
        <w:adjustRightInd w:val="0"/>
        <w:snapToGrid w:val="0"/>
        <w:spacing w:before="0" w:beforeAutospacing="0" w:after="0" w:afterAutospacing="0" w:line="360" w:lineRule="auto"/>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val="en-US" w:eastAsia="zh-CN"/>
        </w:rPr>
        <w:t>七</w:t>
      </w:r>
      <w:r>
        <w:rPr>
          <w:rFonts w:hint="eastAsia" w:ascii="宋体" w:hAnsi="宋体" w:eastAsia="宋体" w:cs="宋体"/>
          <w:b/>
          <w:bCs/>
          <w:color w:val="auto"/>
          <w:kern w:val="2"/>
          <w:sz w:val="24"/>
          <w:szCs w:val="24"/>
          <w:highlight w:val="none"/>
        </w:rPr>
        <w:t>）验收要求</w:t>
      </w:r>
    </w:p>
    <w:p w14:paraId="76C38C94">
      <w:pPr>
        <w:keepNext w:val="0"/>
        <w:keepLines w:val="0"/>
        <w:pageBreakBefore w:val="0"/>
        <w:widowControl w:val="0"/>
        <w:tabs>
          <w:tab w:val="left" w:pos="567"/>
          <w:tab w:val="left" w:pos="9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项目验收时，中标方应将系统的所有技术文件资料、用户手册、项目实施的等资料，包括但不限于包括系统描述（系统结构图、系统接口图、网络拓扑图），软件架构图，软件流程图，输入输出接口等内容的软件概要设计说明书、软件详细设计说明书、软件实施方案、数据库设计方案、测试报告、安装维护手册、用户操作手册（PC版和APP版），</w:t>
      </w:r>
      <w:r>
        <w:rPr>
          <w:rFonts w:hint="eastAsia" w:ascii="宋体" w:hAnsi="宋体" w:eastAsia="宋体" w:cs="宋体"/>
          <w:color w:val="auto"/>
          <w:sz w:val="24"/>
          <w:szCs w:val="24"/>
          <w:highlight w:val="none"/>
        </w:rPr>
        <w:t>以及原代码和模型规则等项目资料整理成册交与采购单位；</w:t>
      </w:r>
    </w:p>
    <w:p w14:paraId="53C70BD4">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2.中标方对系统进行全面测试并起草完成对任务进行分解的详尽的项目验收报告，以便考核；</w:t>
      </w:r>
    </w:p>
    <w:p w14:paraId="0DBCFF3A">
      <w:pPr>
        <w:keepNext w:val="0"/>
        <w:keepLines w:val="0"/>
        <w:pageBreakBefore w:val="0"/>
        <w:widowControl w:val="0"/>
        <w:tabs>
          <w:tab w:val="left" w:pos="567"/>
          <w:tab w:val="left" w:pos="9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
        </w:rPr>
        <w:t>.</w:t>
      </w:r>
      <w:r>
        <w:rPr>
          <w:rFonts w:hint="eastAsia" w:ascii="宋体" w:hAnsi="宋体" w:eastAsia="宋体" w:cs="宋体"/>
          <w:color w:val="auto"/>
          <w:sz w:val="24"/>
          <w:szCs w:val="24"/>
          <w:highlight w:val="none"/>
          <w:lang w:val="en-US" w:eastAsia="zh-CN"/>
        </w:rPr>
        <w:t>项目初验、终验应召开专家验收会议，所有费用由中标方承担</w:t>
      </w:r>
      <w:r>
        <w:rPr>
          <w:rFonts w:hint="eastAsia" w:ascii="宋体" w:hAnsi="宋体" w:eastAsia="宋体" w:cs="宋体"/>
          <w:color w:val="auto"/>
          <w:sz w:val="24"/>
          <w:szCs w:val="24"/>
          <w:highlight w:val="none"/>
          <w:lang w:eastAsia="zh-CN"/>
        </w:rPr>
        <w:t>；</w:t>
      </w:r>
    </w:p>
    <w:p w14:paraId="150CE682">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4</w:t>
      </w:r>
      <w:r>
        <w:rPr>
          <w:rFonts w:hint="eastAsia" w:ascii="宋体" w:hAnsi="宋体" w:eastAsia="宋体" w:cs="宋体"/>
          <w:color w:val="auto"/>
          <w:sz w:val="24"/>
          <w:szCs w:val="24"/>
          <w:highlight w:val="none"/>
          <w:lang w:val="en"/>
        </w:rPr>
        <w:t>.</w:t>
      </w:r>
      <w:r>
        <w:rPr>
          <w:rFonts w:hint="eastAsia" w:ascii="宋体" w:hAnsi="宋体" w:eastAsia="宋体" w:cs="宋体"/>
          <w:color w:val="auto"/>
          <w:sz w:val="24"/>
          <w:szCs w:val="24"/>
          <w:highlight w:val="none"/>
        </w:rPr>
        <w:t>试运行期限：3个月</w:t>
      </w:r>
      <w:r>
        <w:rPr>
          <w:rFonts w:hint="eastAsia" w:ascii="宋体" w:hAnsi="宋体" w:eastAsia="宋体" w:cs="宋体"/>
          <w:color w:val="auto"/>
          <w:sz w:val="24"/>
          <w:szCs w:val="24"/>
          <w:highlight w:val="none"/>
          <w:lang w:eastAsia="zh-CN"/>
        </w:rPr>
        <w:t>；</w:t>
      </w:r>
    </w:p>
    <w:p w14:paraId="51372EF7">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lang w:val="en"/>
        </w:rPr>
        <w:t>.</w:t>
      </w:r>
      <w:r>
        <w:rPr>
          <w:rFonts w:hint="eastAsia" w:ascii="宋体" w:hAnsi="宋体" w:eastAsia="宋体" w:cs="宋体"/>
          <w:color w:val="auto"/>
          <w:kern w:val="0"/>
          <w:sz w:val="24"/>
          <w:szCs w:val="24"/>
          <w:highlight w:val="none"/>
          <w:shd w:val="clear" w:color="auto" w:fill="FFFFFF"/>
        </w:rPr>
        <w:t>提供基于业务平台的数据库使用说明书以及数据库的最高权限，提供平台部署整体的网络架构图、服务器用途说明列表、服务器root账号权限，项目初验前要移交给采购方</w:t>
      </w:r>
      <w:r>
        <w:rPr>
          <w:rFonts w:hint="eastAsia" w:ascii="宋体" w:hAnsi="宋体" w:eastAsia="宋体" w:cs="宋体"/>
          <w:color w:val="auto"/>
          <w:kern w:val="0"/>
          <w:sz w:val="24"/>
          <w:szCs w:val="24"/>
          <w:highlight w:val="none"/>
          <w:shd w:val="clear" w:color="auto" w:fill="FFFFFF"/>
          <w:lang w:eastAsia="zh-CN"/>
        </w:rPr>
        <w:t>。</w:t>
      </w:r>
    </w:p>
    <w:p w14:paraId="4E70E107">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outlineLvl w:val="2"/>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val="en-US" w:eastAsia="zh-CN"/>
        </w:rPr>
        <w:t>八</w:t>
      </w:r>
      <w:r>
        <w:rPr>
          <w:rFonts w:hint="eastAsia" w:ascii="宋体" w:hAnsi="宋体" w:eastAsia="宋体" w:cs="宋体"/>
          <w:b/>
          <w:bCs/>
          <w:color w:val="auto"/>
          <w:kern w:val="2"/>
          <w:sz w:val="24"/>
          <w:szCs w:val="24"/>
          <w:highlight w:val="none"/>
        </w:rPr>
        <w:t>）其他</w:t>
      </w:r>
    </w:p>
    <w:p w14:paraId="4E7B8C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
        </w:rPr>
        <w:t>.</w:t>
      </w:r>
      <w:r>
        <w:rPr>
          <w:rFonts w:hint="eastAsia" w:ascii="宋体" w:hAnsi="宋体" w:eastAsia="宋体" w:cs="宋体"/>
          <w:color w:val="auto"/>
          <w:sz w:val="24"/>
          <w:szCs w:val="24"/>
          <w:highlight w:val="none"/>
        </w:rPr>
        <w:t>本项目属于“交钥匙”工程，中标方需对项目的完整性负责，如相关设施在招标需求中未列出但在实施时必须使用，由中标方提供，所产生的一切费用，均由中标方负责。</w:t>
      </w:r>
    </w:p>
    <w:p w14:paraId="1EA66F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
        </w:rPr>
        <w:t>.</w:t>
      </w:r>
      <w:r>
        <w:rPr>
          <w:rFonts w:hint="eastAsia" w:ascii="宋体" w:hAnsi="宋体" w:eastAsia="宋体" w:cs="宋体"/>
          <w:color w:val="auto"/>
          <w:sz w:val="24"/>
          <w:szCs w:val="24"/>
          <w:highlight w:val="none"/>
        </w:rPr>
        <w:t>中标方需</w:t>
      </w:r>
      <w:r>
        <w:rPr>
          <w:rFonts w:hint="eastAsia" w:ascii="宋体" w:hAnsi="宋体" w:eastAsia="宋体" w:cs="宋体"/>
          <w:color w:val="auto"/>
          <w:kern w:val="0"/>
          <w:sz w:val="24"/>
          <w:szCs w:val="24"/>
          <w:highlight w:val="none"/>
          <w:lang w:bidi="ar"/>
        </w:rPr>
        <w:t>配合采购方，完成三级等保、密评等工作；</w:t>
      </w:r>
    </w:p>
    <w:p w14:paraId="01C3C7DA">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 w:bidi="ar"/>
        </w:rPr>
        <w:t>3.</w:t>
      </w:r>
      <w:r>
        <w:rPr>
          <w:rFonts w:hint="eastAsia" w:ascii="宋体" w:hAnsi="宋体" w:eastAsia="宋体" w:cs="宋体"/>
          <w:color w:val="auto"/>
          <w:kern w:val="0"/>
          <w:sz w:val="24"/>
          <w:szCs w:val="24"/>
          <w:highlight w:val="none"/>
          <w:lang w:bidi="ar"/>
        </w:rPr>
        <w:t>建立完善数据安全制度，包括但不限于网络安全、数据安全、保密安全条款。</w:t>
      </w:r>
    </w:p>
    <w:p w14:paraId="4AA2E63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bCs/>
          <w:color w:val="auto"/>
          <w:sz w:val="36"/>
          <w:szCs w:val="44"/>
          <w:highlight w:val="none"/>
        </w:rPr>
      </w:pPr>
    </w:p>
    <w:p w14:paraId="38DEA720">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outlineLvl w:val="9"/>
        <w:rPr>
          <w:rFonts w:hint="eastAsia" w:ascii="宋体" w:hAnsi="宋体" w:cs="宋体"/>
          <w:b/>
          <w:bCs/>
          <w:color w:val="auto"/>
          <w:sz w:val="36"/>
          <w:szCs w:val="44"/>
          <w:highlight w:val="none"/>
        </w:rPr>
      </w:pPr>
    </w:p>
    <w:p w14:paraId="451AF3DE">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outlineLvl w:val="9"/>
        <w:rPr>
          <w:rFonts w:hint="eastAsia" w:ascii="宋体" w:hAnsi="宋体" w:cs="宋体"/>
          <w:b/>
          <w:bCs/>
          <w:color w:val="auto"/>
          <w:sz w:val="36"/>
          <w:szCs w:val="44"/>
          <w:highlight w:val="none"/>
        </w:rPr>
      </w:pPr>
    </w:p>
    <w:p w14:paraId="11D48D37">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outlineLvl w:val="9"/>
        <w:rPr>
          <w:rFonts w:hint="eastAsia" w:ascii="宋体" w:hAnsi="宋体" w:cs="宋体"/>
          <w:b/>
          <w:bCs/>
          <w:color w:val="auto"/>
          <w:sz w:val="36"/>
          <w:szCs w:val="44"/>
          <w:highlight w:val="none"/>
        </w:rPr>
      </w:pPr>
    </w:p>
    <w:p w14:paraId="0675887B">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outlineLvl w:val="9"/>
        <w:rPr>
          <w:rFonts w:hint="eastAsia" w:ascii="宋体" w:hAnsi="宋体" w:cs="宋体"/>
          <w:b/>
          <w:bCs/>
          <w:color w:val="auto"/>
          <w:sz w:val="36"/>
          <w:szCs w:val="44"/>
          <w:highlight w:val="none"/>
        </w:rPr>
      </w:pPr>
    </w:p>
    <w:p w14:paraId="161CA4AC">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outlineLvl w:val="9"/>
        <w:rPr>
          <w:rFonts w:hint="eastAsia" w:ascii="宋体" w:hAnsi="宋体" w:cs="宋体"/>
          <w:b/>
          <w:bCs/>
          <w:color w:val="auto"/>
          <w:sz w:val="36"/>
          <w:szCs w:val="44"/>
          <w:highlight w:val="none"/>
        </w:rPr>
      </w:pPr>
    </w:p>
    <w:p w14:paraId="710F7B93">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outlineLvl w:val="9"/>
        <w:rPr>
          <w:rFonts w:hint="eastAsia" w:ascii="宋体" w:hAnsi="宋体" w:cs="宋体"/>
          <w:b/>
          <w:bCs/>
          <w:color w:val="auto"/>
          <w:sz w:val="36"/>
          <w:szCs w:val="44"/>
          <w:highlight w:val="none"/>
        </w:rPr>
      </w:pPr>
    </w:p>
    <w:p w14:paraId="02A939F0">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outlineLvl w:val="9"/>
        <w:rPr>
          <w:rFonts w:hint="eastAsia" w:ascii="宋体" w:hAnsi="宋体" w:cs="宋体"/>
          <w:b/>
          <w:bCs/>
          <w:color w:val="auto"/>
          <w:sz w:val="36"/>
          <w:szCs w:val="44"/>
          <w:highlight w:val="none"/>
        </w:rPr>
      </w:pPr>
    </w:p>
    <w:p w14:paraId="313B9E20">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outlineLvl w:val="9"/>
        <w:rPr>
          <w:rFonts w:hint="eastAsia" w:ascii="宋体" w:hAnsi="宋体" w:cs="宋体"/>
          <w:b/>
          <w:bCs/>
          <w:color w:val="auto"/>
          <w:sz w:val="36"/>
          <w:szCs w:val="44"/>
          <w:highlight w:val="none"/>
        </w:rPr>
      </w:pPr>
    </w:p>
    <w:p w14:paraId="5C969A7D">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outlineLvl w:val="9"/>
        <w:rPr>
          <w:rFonts w:hint="eastAsia" w:ascii="宋体" w:hAnsi="宋体" w:cs="宋体"/>
          <w:b/>
          <w:bCs/>
          <w:color w:val="auto"/>
          <w:sz w:val="36"/>
          <w:szCs w:val="44"/>
          <w:highlight w:val="none"/>
        </w:rPr>
      </w:pPr>
    </w:p>
    <w:p w14:paraId="7D6803FC">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outlineLvl w:val="9"/>
        <w:rPr>
          <w:rFonts w:hint="eastAsia" w:ascii="宋体" w:hAnsi="宋体" w:cs="宋体"/>
          <w:b/>
          <w:bCs/>
          <w:color w:val="auto"/>
          <w:sz w:val="36"/>
          <w:szCs w:val="44"/>
          <w:highlight w:val="none"/>
        </w:rPr>
      </w:pPr>
    </w:p>
    <w:p w14:paraId="2B644C8A">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outlineLvl w:val="9"/>
        <w:rPr>
          <w:rFonts w:hint="eastAsia" w:ascii="宋体" w:hAnsi="宋体" w:cs="宋体"/>
          <w:b/>
          <w:bCs/>
          <w:color w:val="auto"/>
          <w:sz w:val="36"/>
          <w:szCs w:val="44"/>
          <w:highlight w:val="none"/>
        </w:rPr>
      </w:pPr>
    </w:p>
    <w:p w14:paraId="30D4FD0E">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outlineLvl w:val="9"/>
        <w:rPr>
          <w:rFonts w:hint="eastAsia" w:ascii="宋体" w:hAnsi="宋体" w:cs="宋体"/>
          <w:b/>
          <w:bCs/>
          <w:color w:val="auto"/>
          <w:sz w:val="36"/>
          <w:szCs w:val="44"/>
          <w:highlight w:val="none"/>
        </w:rPr>
      </w:pPr>
    </w:p>
    <w:p w14:paraId="2FC3B50C">
      <w:pPr>
        <w:keepNext w:val="0"/>
        <w:keepLines w:val="0"/>
        <w:pageBreakBefore w:val="0"/>
        <w:widowControl w:val="0"/>
        <w:kinsoku/>
        <w:wordWrap/>
        <w:overflowPunct/>
        <w:topLinePunct w:val="0"/>
        <w:autoSpaceDE/>
        <w:autoSpaceDN/>
        <w:bidi w:val="0"/>
        <w:adjustRightInd/>
        <w:snapToGrid/>
        <w:spacing w:line="360" w:lineRule="auto"/>
        <w:ind w:firstLine="1807" w:firstLineChars="500"/>
        <w:textAlignment w:val="auto"/>
        <w:outlineLvl w:val="9"/>
        <w:rPr>
          <w:rFonts w:hint="eastAsia" w:ascii="宋体" w:hAnsi="宋体" w:cs="宋体"/>
          <w:b/>
          <w:bCs/>
          <w:color w:val="auto"/>
          <w:sz w:val="36"/>
          <w:szCs w:val="44"/>
          <w:highlight w:val="none"/>
        </w:rPr>
      </w:pPr>
    </w:p>
    <w:p w14:paraId="699B03D2">
      <w:pPr>
        <w:spacing w:line="360" w:lineRule="auto"/>
        <w:outlineLvl w:val="0"/>
        <w:rPr>
          <w:rFonts w:hint="eastAsia" w:ascii="宋体" w:hAnsi="宋体" w:cs="宋体"/>
          <w:b/>
          <w:bCs/>
          <w:color w:val="auto"/>
          <w:sz w:val="36"/>
          <w:szCs w:val="44"/>
          <w:highlight w:val="none"/>
        </w:rPr>
        <w:sectPr>
          <w:footerReference r:id="rId6" w:type="default"/>
          <w:pgSz w:w="11906" w:h="16838"/>
          <w:pgMar w:top="1440" w:right="1803" w:bottom="1440" w:left="1803" w:header="851" w:footer="992" w:gutter="0"/>
          <w:pgNumType w:start="1"/>
          <w:cols w:space="0" w:num="1"/>
          <w:docGrid w:type="lines" w:linePitch="317" w:charSpace="0"/>
        </w:sectPr>
      </w:pPr>
    </w:p>
    <w:p w14:paraId="0889400D">
      <w:pPr>
        <w:spacing w:line="360" w:lineRule="auto"/>
        <w:ind w:firstLine="1807" w:firstLineChars="500"/>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第四部分 评审办法及评审标准</w:t>
      </w:r>
    </w:p>
    <w:p w14:paraId="52261DF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一、采购组织机构将组织磋商小组，磋商小组由3人以上单数组成，对供应商提供的磋商响应文件进行综合评审。   </w:t>
      </w:r>
    </w:p>
    <w:p w14:paraId="48C959F4">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二、本次磋商项目的评审方法为</w:t>
      </w:r>
      <w:r>
        <w:rPr>
          <w:rFonts w:hint="eastAsia" w:ascii="宋体" w:hAnsi="宋体" w:cs="宋体"/>
          <w:b/>
          <w:bCs/>
          <w:color w:val="auto"/>
          <w:sz w:val="24"/>
          <w:szCs w:val="32"/>
          <w:highlight w:val="none"/>
        </w:rPr>
        <w:t>综合评分法</w:t>
      </w:r>
      <w:r>
        <w:rPr>
          <w:rFonts w:hint="eastAsia" w:ascii="宋体" w:hAnsi="宋体" w:cs="宋体"/>
          <w:color w:val="auto"/>
          <w:sz w:val="24"/>
          <w:szCs w:val="32"/>
          <w:highlight w:val="none"/>
        </w:rPr>
        <w:t>，总计100分。</w:t>
      </w:r>
    </w:p>
    <w:p w14:paraId="6C88489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（一）商务与技术文件中的客观分由磋商小组讨论后统一打分；其余在规定的分值内单独评定打分。</w:t>
      </w:r>
    </w:p>
    <w:p w14:paraId="6E48825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（二）各磋商供应商商务与技术文件得分按照磋商小组成员的独立评分结果汇总后的算术平均分计算，计算公式为：</w:t>
      </w:r>
    </w:p>
    <w:p w14:paraId="7634F7F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商务与技术文件得分=磋商小组所有成员评分合计数/磋商小组组成人员数。</w:t>
      </w:r>
    </w:p>
    <w:p w14:paraId="26022779">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（三）综合评分法中的价格分统一采用低价优先法计算，即满足磋商文件要求通过一轮磋商且最后报价最低的供应商的价格作为磋商基准价，其报价得满分</w:t>
      </w:r>
      <w:r>
        <w:rPr>
          <w:rFonts w:hint="eastAsia" w:ascii="宋体" w:hAnsi="宋体" w:cs="宋体"/>
          <w:color w:val="auto"/>
          <w:sz w:val="24"/>
          <w:szCs w:val="32"/>
          <w:highlight w:val="none"/>
          <w:lang w:val="en-US" w:eastAsia="zh-CN"/>
        </w:rPr>
        <w:t>20分（标项一与标项二一致）</w:t>
      </w:r>
      <w:r>
        <w:rPr>
          <w:rFonts w:hint="eastAsia" w:ascii="宋体" w:hAnsi="宋体" w:cs="宋体"/>
          <w:color w:val="auto"/>
          <w:sz w:val="24"/>
          <w:szCs w:val="32"/>
          <w:highlight w:val="none"/>
        </w:rPr>
        <w:t>其他供应商的价格分统一按照下列公式计算：</w:t>
      </w:r>
    </w:p>
    <w:p w14:paraId="15CAD7E9">
      <w:pPr>
        <w:spacing w:line="360" w:lineRule="auto"/>
        <w:ind w:firstLine="482" w:firstLineChars="200"/>
        <w:rPr>
          <w:rFonts w:ascii="宋体" w:hAnsi="宋体" w:cs="宋体"/>
          <w:b/>
          <w:bCs/>
          <w:color w:val="auto"/>
          <w:sz w:val="24"/>
          <w:szCs w:val="32"/>
          <w:highlight w:val="none"/>
          <w:u w:val="single"/>
        </w:rPr>
      </w:pPr>
      <w:r>
        <w:rPr>
          <w:rFonts w:hint="eastAsia" w:ascii="宋体" w:hAnsi="宋体" w:cs="宋体"/>
          <w:b/>
          <w:bCs/>
          <w:color w:val="auto"/>
          <w:sz w:val="24"/>
          <w:szCs w:val="32"/>
          <w:highlight w:val="none"/>
          <w:u w:val="single"/>
        </w:rPr>
        <w:t>投标报价得分=（评标基准价/投标报价）×</w:t>
      </w:r>
      <w:r>
        <w:rPr>
          <w:rFonts w:hint="eastAsia" w:ascii="宋体" w:hAnsi="宋体" w:cs="宋体"/>
          <w:b/>
          <w:bCs/>
          <w:color w:val="auto"/>
          <w:sz w:val="24"/>
          <w:szCs w:val="32"/>
          <w:highlight w:val="none"/>
          <w:u w:val="single"/>
          <w:lang w:val="en-US" w:eastAsia="zh-CN"/>
        </w:rPr>
        <w:t>2</w:t>
      </w:r>
      <w:r>
        <w:rPr>
          <w:rFonts w:hint="eastAsia" w:ascii="宋体" w:hAnsi="宋体" w:cs="宋体"/>
          <w:b/>
          <w:bCs/>
          <w:color w:val="auto"/>
          <w:sz w:val="24"/>
          <w:szCs w:val="32"/>
          <w:highlight w:val="none"/>
          <w:u w:val="single"/>
        </w:rPr>
        <w:t>0%×100 。</w:t>
      </w:r>
    </w:p>
    <w:p w14:paraId="25436DBD">
      <w:pPr>
        <w:autoSpaceDE w:val="0"/>
        <w:autoSpaceDN w:val="0"/>
        <w:adjustRightInd w:val="0"/>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（四）政府采购政策及优惠：</w:t>
      </w:r>
    </w:p>
    <w:p w14:paraId="442844E8">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）根据浙江省财政厅发布的《浙江省财政厅关于进一步加大政府采购支持中小企业力度</w:t>
      </w:r>
      <w:r>
        <w:rPr>
          <w:rFonts w:hint="eastAsia" w:ascii="宋体" w:hAnsi="宋体" w:cs="宋体"/>
          <w:color w:val="auto"/>
          <w:sz w:val="24"/>
          <w:szCs w:val="32"/>
          <w:highlight w:val="none"/>
        </w:rPr>
        <w:t xml:space="preserve"> 助力扎实稳住经济</w:t>
      </w:r>
      <w:r>
        <w:rPr>
          <w:rFonts w:hint="eastAsia" w:ascii="宋体" w:hAnsi="宋体" w:cs="宋体"/>
          <w:color w:val="auto"/>
          <w:sz w:val="24"/>
          <w:szCs w:val="32"/>
          <w:highlight w:val="none"/>
          <w:lang w:val="zh-CN"/>
        </w:rPr>
        <w:t>的通知》【浙财采监〔2022〕</w:t>
      </w:r>
      <w:r>
        <w:rPr>
          <w:rFonts w:hint="eastAsia" w:ascii="宋体" w:hAnsi="宋体" w:cs="宋体"/>
          <w:color w:val="auto"/>
          <w:sz w:val="24"/>
          <w:szCs w:val="32"/>
          <w:highlight w:val="none"/>
        </w:rPr>
        <w:t>8</w:t>
      </w:r>
      <w:r>
        <w:rPr>
          <w:rFonts w:hint="eastAsia" w:ascii="宋体" w:hAnsi="宋体" w:cs="宋体"/>
          <w:color w:val="auto"/>
          <w:sz w:val="24"/>
          <w:szCs w:val="32"/>
          <w:highlight w:val="none"/>
          <w:lang w:val="zh-CN"/>
        </w:rPr>
        <w:t>号】规定，落实财政部、工业和信息化部发布的《政府采购促进中小企业发展管理办法》【财库（2020）46号】和《财政部关于进一步加大政府采购支持中小企业力度的通知》【财库（</w:t>
      </w:r>
      <w:r>
        <w:rPr>
          <w:rFonts w:hint="eastAsia" w:ascii="宋体" w:hAnsi="宋体" w:cs="宋体"/>
          <w:color w:val="auto"/>
          <w:sz w:val="24"/>
          <w:szCs w:val="32"/>
          <w:highlight w:val="none"/>
        </w:rPr>
        <w:t>2022</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19号</w:t>
      </w:r>
      <w:r>
        <w:rPr>
          <w:rFonts w:hint="eastAsia" w:ascii="宋体" w:hAnsi="宋体" w:cs="宋体"/>
          <w:color w:val="auto"/>
          <w:sz w:val="24"/>
          <w:szCs w:val="32"/>
          <w:highlight w:val="none"/>
          <w:lang w:val="zh-CN"/>
        </w:rPr>
        <w:t>】有关规定，货物和服务项目中未预留份额专门面向中小企业采购的，以及预留份额项目中的非预留部分采购包，采购单位、采购代理机构应当对符合规定的小微企业报价给予</w:t>
      </w: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0%的扣除，用扣除后的价格参加评审。</w:t>
      </w:r>
    </w:p>
    <w:p w14:paraId="0D35AD24">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允许大中型企业向一家或者多家小微企业分包的采购项目，分包意向协议约定小微企业的合同份额占到合同总金额30%以上的，采购单位、采购代理机构应当对大中型企业的报价给予</w:t>
      </w: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的扣除，用扣除后的价格参加评审。</w:t>
      </w:r>
    </w:p>
    <w:p w14:paraId="69402EFE">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接受分包的小微企业与分包企业之间存在直接控股、管理关系的，不享受价格扣除优惠政策。</w:t>
      </w:r>
    </w:p>
    <w:p w14:paraId="39F5909D">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投标文件中须同时出具《政府采购促进中小企业发展管理办法》【财库（2020）46号】规定的《中小企业声明函》，否则不得享受价格扣除。</w:t>
      </w:r>
    </w:p>
    <w:p w14:paraId="35A0AA34">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本项目对符合规定的小微企业（含小型企业）报价给予</w:t>
      </w:r>
      <w:r>
        <w:rPr>
          <w:rFonts w:hint="eastAsia" w:ascii="宋体" w:hAnsi="宋体" w:cs="宋体"/>
          <w:color w:val="auto"/>
          <w:sz w:val="24"/>
          <w:szCs w:val="32"/>
          <w:highlight w:val="none"/>
        </w:rPr>
        <w:t>20</w:t>
      </w:r>
      <w:r>
        <w:rPr>
          <w:rFonts w:hint="eastAsia" w:ascii="宋体" w:hAnsi="宋体" w:cs="宋体"/>
          <w:color w:val="auto"/>
          <w:sz w:val="24"/>
          <w:szCs w:val="32"/>
          <w:highlight w:val="none"/>
          <w:lang w:val="zh-CN"/>
        </w:rPr>
        <w:t>%的扣除。</w:t>
      </w:r>
    </w:p>
    <w:p w14:paraId="09C61B6A">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auto"/>
          <w:kern w:val="0"/>
          <w:sz w:val="24"/>
          <w:highlight w:val="none"/>
        </w:rPr>
        <w:t>20</w:t>
      </w:r>
      <w:r>
        <w:rPr>
          <w:rFonts w:hint="eastAsia" w:ascii="宋体" w:hAnsi="宋体" w:cs="宋体"/>
          <w:color w:val="auto"/>
          <w:kern w:val="0"/>
          <w:sz w:val="24"/>
          <w:highlight w:val="none"/>
          <w:lang w:val="zh-CN"/>
        </w:rPr>
        <w:t>%后参与评审。</w:t>
      </w:r>
    </w:p>
    <w:p w14:paraId="458636DB">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投标文件中须同时提供：供应商的省级以上监狱管理局、戒毒管理局（含新疆生产建设兵团）出具的属于监狱企业的证明文件，未提供完整证明材料的，投标报价不予扣减。</w:t>
      </w:r>
    </w:p>
    <w:p w14:paraId="58361CE0">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17420862">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享受政府采购支持政策的残疾人福利性单位应当同时满足以下条件：</w:t>
      </w:r>
    </w:p>
    <w:p w14:paraId="2B9F4F84">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①安置的残疾人占本单位在职职工人数的比例不低于25%（含25%），并且安置的残疾人人数不少于10人（含10人）；</w:t>
      </w:r>
    </w:p>
    <w:p w14:paraId="479CB626">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②依法与安置的每位残疾人签订了一年以上（含一年）的劳动合同或服务协议；</w:t>
      </w:r>
    </w:p>
    <w:p w14:paraId="78729509">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③为安置的每位残疾人按月足额缴纳了基本养老保险、基本医疗保险、失业保险、工伤保险和生育保险等社会保险费；</w:t>
      </w:r>
    </w:p>
    <w:p w14:paraId="43099286">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④通过银行等金融机构向安置的每位残疾人，按月支付了不低于单位所在区县适用的经省级人民政府批准的月最低工资标准的工资；</w:t>
      </w:r>
    </w:p>
    <w:p w14:paraId="3D3BCC8C">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⑤提供本单位制造的货物、承担的工程或者服务（以下简称产品），或者提供其他残疾人福利性单位制造的货物（不包括使用非残疾人福利性单位注册商标的货物）。</w:t>
      </w:r>
    </w:p>
    <w:p w14:paraId="54CCF247">
      <w:pPr>
        <w:autoSpaceDE w:val="0"/>
        <w:autoSpaceDN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4FBD33">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14:paraId="1A5C1AAD">
      <w:pPr>
        <w:shd w:val="clear" w:color="auto" w:fill="auto"/>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w:t>
      </w:r>
      <w:r>
        <w:rPr>
          <w:rFonts w:hint="eastAsia" w:ascii="宋体" w:hAnsi="宋体" w:eastAsia="宋体" w:cs="宋体"/>
          <w:color w:val="auto"/>
          <w:sz w:val="24"/>
          <w:highlight w:val="none"/>
          <w:lang w:val="zh-CN"/>
        </w:rPr>
        <w:t>在最大限度地满足磋商文件实质性要求前提下，</w:t>
      </w:r>
      <w:r>
        <w:rPr>
          <w:rFonts w:hint="eastAsia" w:ascii="宋体" w:hAnsi="宋体" w:eastAsia="宋体" w:cs="宋体"/>
          <w:color w:val="auto"/>
          <w:sz w:val="24"/>
          <w:highlight w:val="none"/>
        </w:rPr>
        <w:t>磋商小组</w:t>
      </w:r>
      <w:r>
        <w:rPr>
          <w:rFonts w:hint="eastAsia" w:ascii="宋体" w:hAnsi="宋体" w:eastAsia="宋体" w:cs="宋体"/>
          <w:color w:val="auto"/>
          <w:sz w:val="24"/>
          <w:highlight w:val="none"/>
          <w:lang w:val="zh-CN"/>
        </w:rPr>
        <w:t>按照磋商文件中规定的各项因素进行综合评审后，以评审总得分最高的供应商为第一成交候选供应商，总得分次高的为第二成交候选供应商，总得分第三高的为第三成交候选供应商</w:t>
      </w:r>
      <w:r>
        <w:rPr>
          <w:rFonts w:hint="eastAsia" w:ascii="宋体" w:hAnsi="宋体" w:cs="宋体"/>
          <w:color w:val="auto"/>
          <w:sz w:val="24"/>
          <w:szCs w:val="32"/>
          <w:highlight w:val="none"/>
        </w:rPr>
        <w:t>。</w:t>
      </w:r>
    </w:p>
    <w:p w14:paraId="5F3B3F09">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四、如综合得分相同，投标报价低者为先；如综合得分且投标报价相同的，服务类采购项目根据综合实力信誉较高者为先。</w:t>
      </w:r>
    </w:p>
    <w:p w14:paraId="70C343E6">
      <w:pP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五</w:t>
      </w:r>
      <w:r>
        <w:rPr>
          <w:rFonts w:hint="eastAsia" w:ascii="宋体" w:hAnsi="宋体" w:cs="宋体"/>
          <w:color w:val="auto"/>
          <w:sz w:val="24"/>
          <w:szCs w:val="32"/>
          <w:highlight w:val="none"/>
          <w:lang w:val="zh-CN"/>
        </w:rPr>
        <w:t>、本次评分具体分值细化条款如下表：</w:t>
      </w:r>
    </w:p>
    <w:p w14:paraId="26BC9B34">
      <w:pPr>
        <w:pStyle w:val="2"/>
        <w:rPr>
          <w:rFonts w:hint="default" w:eastAsia="宋体"/>
          <w:color w:val="auto"/>
          <w:highlight w:val="none"/>
          <w:lang w:val="en-US" w:eastAsia="zh-CN"/>
        </w:rPr>
      </w:pPr>
      <w:r>
        <w:rPr>
          <w:rFonts w:hint="eastAsia" w:ascii="宋体" w:hAnsi="宋体" w:cs="宋体"/>
          <w:color w:val="auto"/>
          <w:sz w:val="24"/>
          <w:szCs w:val="32"/>
          <w:highlight w:val="none"/>
          <w:lang w:val="en-US" w:eastAsia="zh-CN"/>
        </w:rPr>
        <w:t>标项一</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47"/>
        <w:gridCol w:w="6122"/>
        <w:gridCol w:w="694"/>
      </w:tblGrid>
      <w:tr w14:paraId="5E59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12" w:type="dxa"/>
            <w:noWrap w:val="0"/>
            <w:tcMar>
              <w:top w:w="0" w:type="dxa"/>
              <w:left w:w="57" w:type="dxa"/>
              <w:bottom w:w="0" w:type="dxa"/>
              <w:right w:w="57" w:type="dxa"/>
            </w:tcMar>
            <w:vAlign w:val="center"/>
          </w:tcPr>
          <w:p w14:paraId="095B69D9">
            <w:pPr>
              <w:adjustRightInd w:val="0"/>
              <w:snapToGrid w:val="0"/>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47" w:type="dxa"/>
            <w:noWrap w:val="0"/>
            <w:tcMar>
              <w:top w:w="0" w:type="dxa"/>
              <w:left w:w="57" w:type="dxa"/>
              <w:bottom w:w="0" w:type="dxa"/>
              <w:right w:w="57" w:type="dxa"/>
            </w:tcMar>
            <w:vAlign w:val="center"/>
          </w:tcPr>
          <w:p w14:paraId="5C04E23F">
            <w:pPr>
              <w:adjustRightInd w:val="0"/>
              <w:snapToGrid w:val="0"/>
              <w:jc w:val="center"/>
              <w:rPr>
                <w:rFonts w:ascii="宋体" w:hAnsi="宋体" w:cs="宋体"/>
                <w:b/>
                <w:bCs/>
                <w:color w:val="auto"/>
                <w:sz w:val="24"/>
                <w:highlight w:val="none"/>
              </w:rPr>
            </w:pPr>
            <w:r>
              <w:rPr>
                <w:rFonts w:hint="eastAsia" w:ascii="宋体" w:hAnsi="宋体" w:cs="宋体"/>
                <w:b/>
                <w:bCs/>
                <w:color w:val="auto"/>
                <w:kern w:val="0"/>
                <w:sz w:val="24"/>
                <w:highlight w:val="none"/>
              </w:rPr>
              <w:t>评分项目</w:t>
            </w:r>
          </w:p>
        </w:tc>
        <w:tc>
          <w:tcPr>
            <w:tcW w:w="6122" w:type="dxa"/>
            <w:noWrap w:val="0"/>
            <w:tcMar>
              <w:top w:w="0" w:type="dxa"/>
              <w:left w:w="57" w:type="dxa"/>
              <w:bottom w:w="0" w:type="dxa"/>
              <w:right w:w="57" w:type="dxa"/>
            </w:tcMar>
            <w:vAlign w:val="center"/>
          </w:tcPr>
          <w:p w14:paraId="68D3D453">
            <w:pPr>
              <w:adjustRightInd w:val="0"/>
              <w:snapToGrid w:val="0"/>
              <w:jc w:val="center"/>
              <w:rPr>
                <w:rFonts w:ascii="宋体" w:hAnsi="宋体" w:cs="宋体"/>
                <w:b/>
                <w:bCs/>
                <w:color w:val="auto"/>
                <w:sz w:val="24"/>
                <w:highlight w:val="none"/>
              </w:rPr>
            </w:pPr>
            <w:r>
              <w:rPr>
                <w:rFonts w:hint="eastAsia" w:ascii="宋体" w:hAnsi="宋体" w:cs="宋体"/>
                <w:b/>
                <w:bCs/>
                <w:color w:val="auto"/>
                <w:sz w:val="24"/>
                <w:highlight w:val="none"/>
              </w:rPr>
              <w:t>评分细则</w:t>
            </w:r>
          </w:p>
        </w:tc>
        <w:tc>
          <w:tcPr>
            <w:tcW w:w="694" w:type="dxa"/>
            <w:noWrap w:val="0"/>
            <w:tcMar>
              <w:top w:w="0" w:type="dxa"/>
              <w:left w:w="57" w:type="dxa"/>
              <w:bottom w:w="0" w:type="dxa"/>
              <w:right w:w="57" w:type="dxa"/>
            </w:tcMar>
            <w:vAlign w:val="center"/>
          </w:tcPr>
          <w:p w14:paraId="7E239AF1">
            <w:pPr>
              <w:adjustRightInd w:val="0"/>
              <w:snapToGrid w:val="0"/>
              <w:jc w:val="center"/>
              <w:rPr>
                <w:rFonts w:ascii="宋体" w:hAnsi="宋体" w:cs="宋体"/>
                <w:b/>
                <w:bCs/>
                <w:color w:val="auto"/>
                <w:sz w:val="24"/>
                <w:highlight w:val="none"/>
              </w:rPr>
            </w:pPr>
            <w:r>
              <w:rPr>
                <w:rFonts w:hint="eastAsia" w:ascii="宋体" w:hAnsi="宋体" w:cs="宋体"/>
                <w:b/>
                <w:bCs/>
                <w:color w:val="auto"/>
                <w:sz w:val="24"/>
                <w:highlight w:val="none"/>
              </w:rPr>
              <w:t>分值</w:t>
            </w:r>
          </w:p>
        </w:tc>
      </w:tr>
      <w:tr w14:paraId="698B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001F298A">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47" w:type="dxa"/>
            <w:vMerge w:val="restart"/>
            <w:noWrap w:val="0"/>
            <w:tcMar>
              <w:top w:w="0" w:type="dxa"/>
              <w:left w:w="57" w:type="dxa"/>
              <w:bottom w:w="0" w:type="dxa"/>
              <w:right w:w="57" w:type="dxa"/>
            </w:tcMar>
            <w:vAlign w:val="center"/>
          </w:tcPr>
          <w:p w14:paraId="015D6345">
            <w:pPr>
              <w:pStyle w:val="2"/>
              <w:adjustRightInd w:val="0"/>
              <w:snapToGrid w:val="0"/>
              <w:spacing w:line="360" w:lineRule="auto"/>
              <w:jc w:val="center"/>
              <w:rPr>
                <w:rFonts w:ascii="宋体" w:hAnsi="宋体" w:cs="宋体"/>
                <w:b/>
                <w:bCs/>
                <w:color w:val="auto"/>
                <w:highlight w:val="none"/>
              </w:rPr>
            </w:pPr>
            <w:r>
              <w:rPr>
                <w:rFonts w:hint="eastAsia" w:ascii="宋体" w:hAnsi="宋体" w:cs="宋体"/>
                <w:b/>
                <w:bCs/>
                <w:color w:val="auto"/>
                <w:sz w:val="24"/>
                <w:szCs w:val="24"/>
                <w:highlight w:val="none"/>
                <w:lang w:eastAsia="zh-CN"/>
              </w:rPr>
              <w:t>项目理解</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16</w:t>
            </w:r>
            <w:r>
              <w:rPr>
                <w:rFonts w:hint="eastAsia" w:ascii="宋体" w:hAnsi="宋体" w:cs="宋体"/>
                <w:b/>
                <w:bCs/>
                <w:color w:val="auto"/>
                <w:sz w:val="24"/>
                <w:szCs w:val="24"/>
                <w:highlight w:val="none"/>
              </w:rPr>
              <w:t>分）</w:t>
            </w:r>
          </w:p>
        </w:tc>
        <w:tc>
          <w:tcPr>
            <w:tcW w:w="6122" w:type="dxa"/>
            <w:noWrap w:val="0"/>
            <w:tcMar>
              <w:top w:w="0" w:type="dxa"/>
              <w:left w:w="57" w:type="dxa"/>
              <w:bottom w:w="0" w:type="dxa"/>
              <w:right w:w="57" w:type="dxa"/>
            </w:tcMar>
            <w:vAlign w:val="center"/>
          </w:tcPr>
          <w:p w14:paraId="4B7277F5">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根据投标方对本项目</w:t>
            </w:r>
            <w:r>
              <w:rPr>
                <w:rFonts w:hint="eastAsia" w:ascii="宋体" w:hAnsi="宋体" w:cs="宋体"/>
                <w:color w:val="auto"/>
                <w:sz w:val="24"/>
                <w:szCs w:val="24"/>
                <w:highlight w:val="none"/>
                <w:lang w:eastAsia="zh-CN"/>
              </w:rPr>
              <w:t>原系统</w:t>
            </w:r>
            <w:r>
              <w:rPr>
                <w:rFonts w:hint="eastAsia" w:ascii="宋体" w:hAnsi="宋体" w:cs="宋体"/>
                <w:color w:val="auto"/>
                <w:sz w:val="24"/>
                <w:szCs w:val="24"/>
                <w:highlight w:val="none"/>
              </w:rPr>
              <w:t>的理解打分，从项目背景、用户需求、</w:t>
            </w:r>
            <w:r>
              <w:rPr>
                <w:rFonts w:hint="eastAsia" w:ascii="宋体" w:hAnsi="宋体" w:cs="宋体"/>
                <w:color w:val="auto"/>
                <w:sz w:val="24"/>
                <w:szCs w:val="24"/>
                <w:highlight w:val="none"/>
                <w:lang w:eastAsia="zh-CN"/>
              </w:rPr>
              <w:t>运行</w:t>
            </w:r>
            <w:r>
              <w:rPr>
                <w:rFonts w:hint="eastAsia" w:ascii="宋体" w:hAnsi="宋体" w:cs="宋体"/>
                <w:color w:val="auto"/>
                <w:sz w:val="24"/>
                <w:szCs w:val="24"/>
                <w:highlight w:val="none"/>
              </w:rPr>
              <w:t>现状等描述进行酌情打分。理解透彻切实可行的得6-8分；描述基本可行的得3-5.9分；描述不明确或不可行的得0-2.9分。</w:t>
            </w:r>
          </w:p>
        </w:tc>
        <w:tc>
          <w:tcPr>
            <w:tcW w:w="694" w:type="dxa"/>
            <w:noWrap w:val="0"/>
            <w:tcMar>
              <w:top w:w="0" w:type="dxa"/>
              <w:left w:w="57" w:type="dxa"/>
              <w:bottom w:w="0" w:type="dxa"/>
              <w:right w:w="57" w:type="dxa"/>
            </w:tcMar>
            <w:vAlign w:val="center"/>
          </w:tcPr>
          <w:p w14:paraId="7420EF0D">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r>
      <w:tr w14:paraId="1ED1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2" w:type="dxa"/>
            <w:noWrap w:val="0"/>
            <w:tcMar>
              <w:top w:w="0" w:type="dxa"/>
              <w:left w:w="57" w:type="dxa"/>
              <w:bottom w:w="0" w:type="dxa"/>
              <w:right w:w="57" w:type="dxa"/>
            </w:tcMar>
            <w:vAlign w:val="center"/>
          </w:tcPr>
          <w:p w14:paraId="3A521CEA">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247" w:type="dxa"/>
            <w:vMerge w:val="continue"/>
            <w:noWrap w:val="0"/>
            <w:tcMar>
              <w:top w:w="0" w:type="dxa"/>
              <w:left w:w="57" w:type="dxa"/>
              <w:bottom w:w="0" w:type="dxa"/>
              <w:right w:w="57" w:type="dxa"/>
            </w:tcMar>
            <w:vAlign w:val="center"/>
          </w:tcPr>
          <w:p w14:paraId="53014B52">
            <w:pPr>
              <w:adjustRightInd w:val="0"/>
              <w:snapToGrid w:val="0"/>
              <w:spacing w:line="360" w:lineRule="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2A4F03B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根据投标方对本项目需求的理解打分，从需求理解的深入程度、业务熟悉程度等方面描述进行酌情评分。理解深入、业务熟悉程度分析合理的得6-8分；理解一般、业务熟悉程度分析较合理的得3-5.9分；理解不到位、业务熟悉程度分析不合理的得0-2.9分。</w:t>
            </w:r>
          </w:p>
        </w:tc>
        <w:tc>
          <w:tcPr>
            <w:tcW w:w="694" w:type="dxa"/>
            <w:noWrap w:val="0"/>
            <w:tcMar>
              <w:top w:w="0" w:type="dxa"/>
              <w:left w:w="57" w:type="dxa"/>
              <w:bottom w:w="0" w:type="dxa"/>
              <w:right w:w="57" w:type="dxa"/>
            </w:tcMar>
            <w:vAlign w:val="center"/>
          </w:tcPr>
          <w:p w14:paraId="7C54A355">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r>
      <w:tr w14:paraId="5DBB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0EE0BB89">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247" w:type="dxa"/>
            <w:vMerge w:val="restart"/>
            <w:noWrap w:val="0"/>
            <w:tcMar>
              <w:top w:w="0" w:type="dxa"/>
              <w:left w:w="57" w:type="dxa"/>
              <w:bottom w:w="0" w:type="dxa"/>
              <w:right w:w="57" w:type="dxa"/>
            </w:tcMar>
            <w:vAlign w:val="center"/>
          </w:tcPr>
          <w:p w14:paraId="7505080F">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szCs w:val="24"/>
                <w:highlight w:val="none"/>
              </w:rPr>
              <w:t>技术方案（</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分）</w:t>
            </w:r>
          </w:p>
        </w:tc>
        <w:tc>
          <w:tcPr>
            <w:tcW w:w="6122" w:type="dxa"/>
            <w:noWrap w:val="0"/>
            <w:tcMar>
              <w:top w:w="0" w:type="dxa"/>
              <w:left w:w="57" w:type="dxa"/>
              <w:bottom w:w="0" w:type="dxa"/>
              <w:right w:w="57" w:type="dxa"/>
            </w:tcMar>
            <w:vAlign w:val="center"/>
          </w:tcPr>
          <w:p w14:paraId="76763B3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投标方</w:t>
            </w:r>
            <w:r>
              <w:rPr>
                <w:rFonts w:hint="eastAsia" w:ascii="宋体" w:hAnsi="宋体" w:cs="宋体"/>
                <w:color w:val="auto"/>
                <w:sz w:val="24"/>
                <w:highlight w:val="none"/>
              </w:rPr>
              <w:t>提供的信创云</w:t>
            </w:r>
            <w:r>
              <w:rPr>
                <w:rFonts w:hint="eastAsia" w:ascii="宋体" w:hAnsi="宋体" w:cs="宋体"/>
                <w:color w:val="auto"/>
                <w:sz w:val="24"/>
                <w:highlight w:val="none"/>
                <w:lang w:eastAsia="zh-CN"/>
              </w:rPr>
              <w:t>服务器适配改造</w:t>
            </w:r>
            <w:r>
              <w:rPr>
                <w:rFonts w:hint="eastAsia" w:ascii="宋体" w:hAnsi="宋体" w:cs="宋体"/>
                <w:color w:val="auto"/>
                <w:sz w:val="24"/>
                <w:highlight w:val="none"/>
              </w:rPr>
              <w:t>方案</w:t>
            </w:r>
            <w:r>
              <w:rPr>
                <w:rFonts w:hint="eastAsia" w:ascii="宋体" w:hAnsi="宋体" w:cs="宋体"/>
                <w:color w:val="auto"/>
                <w:sz w:val="24"/>
                <w:highlight w:val="none"/>
                <w:lang w:eastAsia="zh-CN"/>
              </w:rPr>
              <w:t>，进行酌情打分。</w:t>
            </w:r>
            <w:r>
              <w:rPr>
                <w:rFonts w:hint="eastAsia" w:ascii="宋体" w:hAnsi="宋体" w:eastAsia="宋体" w:cs="宋体"/>
                <w:color w:val="auto"/>
                <w:sz w:val="24"/>
                <w:szCs w:val="24"/>
                <w:highlight w:val="none"/>
                <w:lang w:val="en-US" w:eastAsia="zh-CN"/>
              </w:rPr>
              <w:t>方案描述清晰、针对性强、确实可行的得</w:t>
            </w:r>
            <w:r>
              <w:rPr>
                <w:rFonts w:hint="eastAsia" w:ascii="宋体" w:hAnsi="宋体" w:eastAsia="宋体" w:cs="宋体"/>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rPr>
              <w:t>分；方案描述较清晰、针对性较强、较确实可行的得</w:t>
            </w:r>
            <w:r>
              <w:rPr>
                <w:rFonts w:hint="eastAsia" w:ascii="宋体" w:hAnsi="宋体" w:eastAsia="宋体" w:cs="宋体"/>
                <w:color w:val="auto"/>
                <w:kern w:val="2"/>
                <w:sz w:val="24"/>
                <w:szCs w:val="24"/>
                <w:highlight w:val="none"/>
                <w:lang w:val="en-US" w:eastAsia="zh-CN" w:bidi="ar-SA"/>
              </w:rPr>
              <w:t>2-3.9</w:t>
            </w:r>
            <w:r>
              <w:rPr>
                <w:rFonts w:hint="eastAsia" w:ascii="宋体" w:hAnsi="宋体" w:eastAsia="宋体" w:cs="宋体"/>
                <w:color w:val="auto"/>
                <w:sz w:val="24"/>
                <w:szCs w:val="24"/>
                <w:highlight w:val="none"/>
                <w:lang w:val="en-US" w:eastAsia="zh-CN"/>
              </w:rPr>
              <w:t>分；方案描述不清晰、针对性不强、不确实可行的得</w:t>
            </w:r>
            <w:r>
              <w:rPr>
                <w:rFonts w:hint="eastAsia" w:ascii="宋体" w:hAnsi="宋体" w:eastAsia="宋体" w:cs="宋体"/>
                <w:color w:val="auto"/>
                <w:kern w:val="2"/>
                <w:sz w:val="24"/>
                <w:szCs w:val="24"/>
                <w:highlight w:val="none"/>
                <w:lang w:val="en-US" w:eastAsia="zh-CN" w:bidi="ar-SA"/>
              </w:rPr>
              <w:t>0-1.9</w:t>
            </w:r>
            <w:r>
              <w:rPr>
                <w:rFonts w:hint="eastAsia" w:ascii="宋体" w:hAnsi="宋体" w:eastAsia="宋体" w:cs="宋体"/>
                <w:color w:val="auto"/>
                <w:sz w:val="24"/>
                <w:szCs w:val="24"/>
                <w:highlight w:val="none"/>
                <w:lang w:val="en-US" w:eastAsia="zh-CN"/>
              </w:rPr>
              <w:t>分。</w:t>
            </w:r>
          </w:p>
        </w:tc>
        <w:tc>
          <w:tcPr>
            <w:tcW w:w="694" w:type="dxa"/>
            <w:noWrap w:val="0"/>
            <w:tcMar>
              <w:top w:w="0" w:type="dxa"/>
              <w:left w:w="57" w:type="dxa"/>
              <w:bottom w:w="0" w:type="dxa"/>
              <w:right w:w="57" w:type="dxa"/>
            </w:tcMar>
            <w:vAlign w:val="center"/>
          </w:tcPr>
          <w:p w14:paraId="1B1C813E">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4F6C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46C6D334">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247" w:type="dxa"/>
            <w:vMerge w:val="continue"/>
            <w:noWrap w:val="0"/>
            <w:tcMar>
              <w:top w:w="0" w:type="dxa"/>
              <w:left w:w="57" w:type="dxa"/>
              <w:bottom w:w="0" w:type="dxa"/>
              <w:right w:w="57" w:type="dxa"/>
            </w:tcMar>
            <w:vAlign w:val="center"/>
          </w:tcPr>
          <w:p w14:paraId="4CD4B64E">
            <w:pPr>
              <w:adjustRightInd w:val="0"/>
              <w:snapToGrid w:val="0"/>
              <w:spacing w:line="360" w:lineRule="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0096CE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投标方</w:t>
            </w:r>
            <w:r>
              <w:rPr>
                <w:rFonts w:hint="eastAsia" w:ascii="宋体" w:hAnsi="宋体" w:cs="宋体"/>
                <w:color w:val="auto"/>
                <w:sz w:val="24"/>
                <w:highlight w:val="none"/>
              </w:rPr>
              <w:t>提供的</w:t>
            </w:r>
            <w:r>
              <w:rPr>
                <w:rFonts w:hint="eastAsia" w:ascii="宋体" w:hAnsi="宋体" w:cs="宋体"/>
                <w:color w:val="auto"/>
                <w:sz w:val="24"/>
                <w:highlight w:val="none"/>
                <w:lang w:eastAsia="zh-CN"/>
              </w:rPr>
              <w:t>操作系统适配改造</w:t>
            </w:r>
            <w:r>
              <w:rPr>
                <w:rFonts w:hint="eastAsia" w:ascii="宋体" w:hAnsi="宋体" w:cs="宋体"/>
                <w:color w:val="auto"/>
                <w:sz w:val="24"/>
                <w:highlight w:val="none"/>
              </w:rPr>
              <w:t>方案</w:t>
            </w:r>
            <w:r>
              <w:rPr>
                <w:rFonts w:hint="eastAsia" w:ascii="宋体" w:hAnsi="宋体" w:cs="宋体"/>
                <w:color w:val="auto"/>
                <w:sz w:val="24"/>
                <w:highlight w:val="none"/>
                <w:lang w:eastAsia="zh-CN"/>
              </w:rPr>
              <w:t>，进行酌情打分。</w:t>
            </w:r>
          </w:p>
          <w:p w14:paraId="660C7E0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方案描述清晰、针对性强、确实可行的得</w:t>
            </w:r>
            <w:r>
              <w:rPr>
                <w:rFonts w:hint="eastAsia" w:ascii="宋体" w:hAnsi="宋体" w:eastAsia="宋体" w:cs="宋体"/>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rPr>
              <w:t>分；方案描述较清晰、针对性较强、较确实可行的得</w:t>
            </w:r>
            <w:r>
              <w:rPr>
                <w:rFonts w:hint="eastAsia" w:ascii="宋体" w:hAnsi="宋体" w:eastAsia="宋体" w:cs="宋体"/>
                <w:color w:val="auto"/>
                <w:kern w:val="2"/>
                <w:sz w:val="24"/>
                <w:szCs w:val="24"/>
                <w:highlight w:val="none"/>
                <w:lang w:val="en-US" w:eastAsia="zh-CN" w:bidi="ar-SA"/>
              </w:rPr>
              <w:t>2-3.9</w:t>
            </w:r>
            <w:r>
              <w:rPr>
                <w:rFonts w:hint="eastAsia" w:ascii="宋体" w:hAnsi="宋体" w:eastAsia="宋体" w:cs="宋体"/>
                <w:color w:val="auto"/>
                <w:sz w:val="24"/>
                <w:szCs w:val="24"/>
                <w:highlight w:val="none"/>
                <w:lang w:val="en-US" w:eastAsia="zh-CN"/>
              </w:rPr>
              <w:t>分；方案描述不清晰、针对性不强、不确实可行的得</w:t>
            </w:r>
            <w:r>
              <w:rPr>
                <w:rFonts w:hint="eastAsia" w:ascii="宋体" w:hAnsi="宋体" w:eastAsia="宋体" w:cs="宋体"/>
                <w:color w:val="auto"/>
                <w:kern w:val="2"/>
                <w:sz w:val="24"/>
                <w:szCs w:val="24"/>
                <w:highlight w:val="none"/>
                <w:lang w:val="en-US" w:eastAsia="zh-CN" w:bidi="ar-SA"/>
              </w:rPr>
              <w:t>0-1.9</w:t>
            </w:r>
            <w:r>
              <w:rPr>
                <w:rFonts w:hint="eastAsia" w:ascii="宋体" w:hAnsi="宋体" w:eastAsia="宋体" w:cs="宋体"/>
                <w:color w:val="auto"/>
                <w:sz w:val="24"/>
                <w:szCs w:val="24"/>
                <w:highlight w:val="none"/>
                <w:lang w:val="en-US" w:eastAsia="zh-CN"/>
              </w:rPr>
              <w:t>分。</w:t>
            </w:r>
          </w:p>
        </w:tc>
        <w:tc>
          <w:tcPr>
            <w:tcW w:w="694" w:type="dxa"/>
            <w:noWrap w:val="0"/>
            <w:tcMar>
              <w:top w:w="0" w:type="dxa"/>
              <w:left w:w="57" w:type="dxa"/>
              <w:bottom w:w="0" w:type="dxa"/>
              <w:right w:w="57" w:type="dxa"/>
            </w:tcMar>
            <w:vAlign w:val="center"/>
          </w:tcPr>
          <w:p w14:paraId="2B2F6DDC">
            <w:pPr>
              <w:spacing w:line="360" w:lineRule="exact"/>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6</w:t>
            </w:r>
          </w:p>
        </w:tc>
      </w:tr>
      <w:tr w14:paraId="269E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76ED1691">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247" w:type="dxa"/>
            <w:vMerge w:val="continue"/>
            <w:noWrap w:val="0"/>
            <w:tcMar>
              <w:top w:w="0" w:type="dxa"/>
              <w:left w:w="57" w:type="dxa"/>
              <w:bottom w:w="0" w:type="dxa"/>
              <w:right w:w="57" w:type="dxa"/>
            </w:tcMar>
            <w:vAlign w:val="center"/>
          </w:tcPr>
          <w:p w14:paraId="03F236C2">
            <w:pPr>
              <w:adjustRightInd w:val="0"/>
              <w:snapToGrid w:val="0"/>
              <w:spacing w:line="360" w:lineRule="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31CD0B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投标方</w:t>
            </w:r>
            <w:r>
              <w:rPr>
                <w:rFonts w:hint="eastAsia" w:ascii="宋体" w:hAnsi="宋体" w:cs="宋体"/>
                <w:color w:val="auto"/>
                <w:sz w:val="24"/>
                <w:highlight w:val="none"/>
              </w:rPr>
              <w:t>提供的</w:t>
            </w:r>
            <w:r>
              <w:rPr>
                <w:rFonts w:hint="eastAsia" w:ascii="宋体" w:hAnsi="宋体" w:cs="宋体"/>
                <w:color w:val="auto"/>
                <w:sz w:val="24"/>
                <w:highlight w:val="none"/>
                <w:lang w:eastAsia="zh-CN"/>
              </w:rPr>
              <w:t>数据库适配改造</w:t>
            </w:r>
            <w:r>
              <w:rPr>
                <w:rFonts w:hint="eastAsia" w:ascii="宋体" w:hAnsi="宋体" w:cs="宋体"/>
                <w:color w:val="auto"/>
                <w:sz w:val="24"/>
                <w:highlight w:val="none"/>
              </w:rPr>
              <w:t>方案</w:t>
            </w:r>
            <w:r>
              <w:rPr>
                <w:rFonts w:hint="eastAsia" w:ascii="宋体" w:hAnsi="宋体" w:cs="宋体"/>
                <w:color w:val="auto"/>
                <w:sz w:val="24"/>
                <w:highlight w:val="none"/>
                <w:lang w:eastAsia="zh-CN"/>
              </w:rPr>
              <w:t>，进行酌情打分。</w:t>
            </w:r>
            <w:r>
              <w:rPr>
                <w:rFonts w:hint="eastAsia" w:ascii="宋体" w:hAnsi="宋体" w:eastAsia="宋体" w:cs="宋体"/>
                <w:color w:val="auto"/>
                <w:sz w:val="24"/>
                <w:szCs w:val="24"/>
                <w:highlight w:val="none"/>
                <w:lang w:val="en-US" w:eastAsia="zh-CN"/>
              </w:rPr>
              <w:t>方案描述清晰、针对性强、确实可行的得</w:t>
            </w:r>
            <w:r>
              <w:rPr>
                <w:rFonts w:hint="eastAsia" w:ascii="宋体" w:hAnsi="宋体" w:eastAsia="宋体" w:cs="宋体"/>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rPr>
              <w:t>分；方案描述较清晰、针对性较强、较确实可行的得</w:t>
            </w:r>
            <w:r>
              <w:rPr>
                <w:rFonts w:hint="eastAsia" w:ascii="宋体" w:hAnsi="宋体" w:eastAsia="宋体" w:cs="宋体"/>
                <w:color w:val="auto"/>
                <w:kern w:val="2"/>
                <w:sz w:val="24"/>
                <w:szCs w:val="24"/>
                <w:highlight w:val="none"/>
                <w:lang w:val="en-US" w:eastAsia="zh-CN" w:bidi="ar-SA"/>
              </w:rPr>
              <w:t>2-3.9</w:t>
            </w:r>
            <w:r>
              <w:rPr>
                <w:rFonts w:hint="eastAsia" w:ascii="宋体" w:hAnsi="宋体" w:eastAsia="宋体" w:cs="宋体"/>
                <w:color w:val="auto"/>
                <w:sz w:val="24"/>
                <w:szCs w:val="24"/>
                <w:highlight w:val="none"/>
                <w:lang w:val="en-US" w:eastAsia="zh-CN"/>
              </w:rPr>
              <w:t>分；方案描述不清晰、针对性不强、不确实可行的得</w:t>
            </w:r>
            <w:r>
              <w:rPr>
                <w:rFonts w:hint="eastAsia" w:ascii="宋体" w:hAnsi="宋体" w:eastAsia="宋体" w:cs="宋体"/>
                <w:color w:val="auto"/>
                <w:kern w:val="2"/>
                <w:sz w:val="24"/>
                <w:szCs w:val="24"/>
                <w:highlight w:val="none"/>
                <w:lang w:val="en-US" w:eastAsia="zh-CN" w:bidi="ar-SA"/>
              </w:rPr>
              <w:t>0-1.9</w:t>
            </w:r>
            <w:r>
              <w:rPr>
                <w:rFonts w:hint="eastAsia" w:ascii="宋体" w:hAnsi="宋体" w:eastAsia="宋体" w:cs="宋体"/>
                <w:color w:val="auto"/>
                <w:sz w:val="24"/>
                <w:szCs w:val="24"/>
                <w:highlight w:val="none"/>
                <w:lang w:val="en-US" w:eastAsia="zh-CN"/>
              </w:rPr>
              <w:t>分。</w:t>
            </w:r>
          </w:p>
        </w:tc>
        <w:tc>
          <w:tcPr>
            <w:tcW w:w="694" w:type="dxa"/>
            <w:noWrap w:val="0"/>
            <w:tcMar>
              <w:top w:w="0" w:type="dxa"/>
              <w:left w:w="57" w:type="dxa"/>
              <w:bottom w:w="0" w:type="dxa"/>
              <w:right w:w="57" w:type="dxa"/>
            </w:tcMar>
            <w:vAlign w:val="center"/>
          </w:tcPr>
          <w:p w14:paraId="3E0AEEEF">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78A3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12" w:type="dxa"/>
            <w:noWrap w:val="0"/>
            <w:tcMar>
              <w:top w:w="0" w:type="dxa"/>
              <w:left w:w="57" w:type="dxa"/>
              <w:bottom w:w="0" w:type="dxa"/>
              <w:right w:w="57" w:type="dxa"/>
            </w:tcMar>
            <w:vAlign w:val="center"/>
          </w:tcPr>
          <w:p w14:paraId="223614AE">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247" w:type="dxa"/>
            <w:vMerge w:val="continue"/>
            <w:noWrap w:val="0"/>
            <w:tcMar>
              <w:top w:w="0" w:type="dxa"/>
              <w:left w:w="57" w:type="dxa"/>
              <w:bottom w:w="0" w:type="dxa"/>
              <w:right w:w="57" w:type="dxa"/>
            </w:tcMar>
            <w:vAlign w:val="center"/>
          </w:tcPr>
          <w:p w14:paraId="22E2A1CE">
            <w:pPr>
              <w:adjustRightInd w:val="0"/>
              <w:snapToGrid w:val="0"/>
              <w:spacing w:line="360" w:lineRule="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4259E7A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投标方</w:t>
            </w:r>
            <w:r>
              <w:rPr>
                <w:rFonts w:hint="eastAsia" w:ascii="宋体" w:hAnsi="宋体" w:cs="宋体"/>
                <w:color w:val="auto"/>
                <w:sz w:val="24"/>
                <w:highlight w:val="none"/>
              </w:rPr>
              <w:t>提供的</w:t>
            </w:r>
            <w:r>
              <w:rPr>
                <w:rFonts w:hint="eastAsia" w:ascii="宋体" w:hAnsi="宋体" w:cs="宋体"/>
                <w:color w:val="auto"/>
                <w:sz w:val="24"/>
                <w:highlight w:val="none"/>
                <w:lang w:eastAsia="zh-CN"/>
              </w:rPr>
              <w:t>数据库迁移</w:t>
            </w:r>
            <w:r>
              <w:rPr>
                <w:rFonts w:hint="eastAsia" w:ascii="宋体" w:hAnsi="宋体" w:cs="宋体"/>
                <w:color w:val="auto"/>
                <w:sz w:val="24"/>
                <w:highlight w:val="none"/>
              </w:rPr>
              <w:t>方案</w:t>
            </w:r>
            <w:r>
              <w:rPr>
                <w:rFonts w:hint="eastAsia" w:ascii="宋体" w:hAnsi="宋体" w:cs="宋体"/>
                <w:color w:val="auto"/>
                <w:sz w:val="24"/>
                <w:highlight w:val="none"/>
                <w:lang w:eastAsia="zh-CN"/>
              </w:rPr>
              <w:t>，进行酌情打分。</w:t>
            </w:r>
            <w:r>
              <w:rPr>
                <w:rFonts w:hint="eastAsia" w:ascii="宋体" w:hAnsi="宋体" w:eastAsia="宋体" w:cs="宋体"/>
                <w:color w:val="auto"/>
                <w:sz w:val="24"/>
                <w:szCs w:val="24"/>
                <w:highlight w:val="none"/>
                <w:lang w:val="en-US" w:eastAsia="zh-CN"/>
              </w:rPr>
              <w:t>方案描述清晰、针对性强、确实可行的得</w:t>
            </w:r>
            <w:r>
              <w:rPr>
                <w:rFonts w:hint="eastAsia" w:ascii="宋体" w:hAnsi="宋体" w:eastAsia="宋体" w:cs="宋体"/>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rPr>
              <w:t>分；方案描述较清晰、针对性较强、较确实可行的得</w:t>
            </w:r>
            <w:r>
              <w:rPr>
                <w:rFonts w:hint="eastAsia" w:ascii="宋体" w:hAnsi="宋体" w:eastAsia="宋体" w:cs="宋体"/>
                <w:color w:val="auto"/>
                <w:kern w:val="2"/>
                <w:sz w:val="24"/>
                <w:szCs w:val="24"/>
                <w:highlight w:val="none"/>
                <w:lang w:val="en-US" w:eastAsia="zh-CN" w:bidi="ar-SA"/>
              </w:rPr>
              <w:t>2-3.9</w:t>
            </w:r>
            <w:r>
              <w:rPr>
                <w:rFonts w:hint="eastAsia" w:ascii="宋体" w:hAnsi="宋体" w:eastAsia="宋体" w:cs="宋体"/>
                <w:color w:val="auto"/>
                <w:sz w:val="24"/>
                <w:szCs w:val="24"/>
                <w:highlight w:val="none"/>
                <w:lang w:val="en-US" w:eastAsia="zh-CN"/>
              </w:rPr>
              <w:t>分；方案描述不清晰、针对性不强、不确实可行的得</w:t>
            </w:r>
            <w:r>
              <w:rPr>
                <w:rFonts w:hint="eastAsia" w:ascii="宋体" w:hAnsi="宋体" w:eastAsia="宋体" w:cs="宋体"/>
                <w:color w:val="auto"/>
                <w:kern w:val="2"/>
                <w:sz w:val="24"/>
                <w:szCs w:val="24"/>
                <w:highlight w:val="none"/>
                <w:lang w:val="en-US" w:eastAsia="zh-CN" w:bidi="ar-SA"/>
              </w:rPr>
              <w:t>0-1.9</w:t>
            </w:r>
            <w:r>
              <w:rPr>
                <w:rFonts w:hint="eastAsia" w:ascii="宋体" w:hAnsi="宋体" w:eastAsia="宋体" w:cs="宋体"/>
                <w:color w:val="auto"/>
                <w:sz w:val="24"/>
                <w:szCs w:val="24"/>
                <w:highlight w:val="none"/>
                <w:lang w:val="en-US" w:eastAsia="zh-CN"/>
              </w:rPr>
              <w:t>分。</w:t>
            </w:r>
          </w:p>
        </w:tc>
        <w:tc>
          <w:tcPr>
            <w:tcW w:w="694" w:type="dxa"/>
            <w:noWrap w:val="0"/>
            <w:tcMar>
              <w:top w:w="0" w:type="dxa"/>
              <w:left w:w="57" w:type="dxa"/>
              <w:bottom w:w="0" w:type="dxa"/>
              <w:right w:w="57" w:type="dxa"/>
            </w:tcMar>
            <w:vAlign w:val="center"/>
          </w:tcPr>
          <w:p w14:paraId="4A43C6E3">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493F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72B4BE8B">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247" w:type="dxa"/>
            <w:vMerge w:val="continue"/>
            <w:noWrap w:val="0"/>
            <w:tcMar>
              <w:top w:w="0" w:type="dxa"/>
              <w:left w:w="57" w:type="dxa"/>
              <w:bottom w:w="0" w:type="dxa"/>
              <w:right w:w="57" w:type="dxa"/>
            </w:tcMar>
            <w:vAlign w:val="center"/>
          </w:tcPr>
          <w:p w14:paraId="7A9C6D48">
            <w:pPr>
              <w:adjustRightInd w:val="0"/>
              <w:snapToGrid w:val="0"/>
              <w:spacing w:line="360" w:lineRule="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4BDC688B">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投标方</w:t>
            </w:r>
            <w:r>
              <w:rPr>
                <w:rFonts w:hint="eastAsia" w:ascii="宋体" w:hAnsi="宋体" w:cs="宋体"/>
                <w:color w:val="auto"/>
                <w:sz w:val="24"/>
                <w:highlight w:val="none"/>
              </w:rPr>
              <w:t>提供的商用密码应用安全改造方案</w:t>
            </w:r>
            <w:r>
              <w:rPr>
                <w:rFonts w:hint="eastAsia" w:ascii="宋体" w:hAnsi="宋体" w:cs="宋体"/>
                <w:color w:val="auto"/>
                <w:sz w:val="24"/>
                <w:highlight w:val="none"/>
                <w:lang w:eastAsia="zh-CN"/>
              </w:rPr>
              <w:t>，进行酌情打分。</w:t>
            </w:r>
            <w:r>
              <w:rPr>
                <w:rFonts w:hint="eastAsia" w:ascii="宋体" w:hAnsi="宋体" w:eastAsia="宋体" w:cs="宋体"/>
                <w:color w:val="auto"/>
                <w:sz w:val="24"/>
                <w:szCs w:val="24"/>
                <w:highlight w:val="none"/>
                <w:lang w:val="en-US" w:eastAsia="zh-CN"/>
              </w:rPr>
              <w:t>方案描述清晰、针对性强、确实可行的得</w:t>
            </w:r>
            <w:r>
              <w:rPr>
                <w:rFonts w:hint="eastAsia" w:ascii="宋体" w:hAnsi="宋体" w:eastAsia="宋体" w:cs="宋体"/>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rPr>
              <w:t>分；方案描述较清晰、针对性较强、较确实可行的得</w:t>
            </w:r>
            <w:r>
              <w:rPr>
                <w:rFonts w:hint="eastAsia" w:ascii="宋体" w:hAnsi="宋体" w:eastAsia="宋体" w:cs="宋体"/>
                <w:color w:val="auto"/>
                <w:kern w:val="2"/>
                <w:sz w:val="24"/>
                <w:szCs w:val="24"/>
                <w:highlight w:val="none"/>
                <w:lang w:val="en-US" w:eastAsia="zh-CN" w:bidi="ar-SA"/>
              </w:rPr>
              <w:t>2-3.9</w:t>
            </w:r>
            <w:r>
              <w:rPr>
                <w:rFonts w:hint="eastAsia" w:ascii="宋体" w:hAnsi="宋体" w:eastAsia="宋体" w:cs="宋体"/>
                <w:color w:val="auto"/>
                <w:sz w:val="24"/>
                <w:szCs w:val="24"/>
                <w:highlight w:val="none"/>
                <w:lang w:val="en-US" w:eastAsia="zh-CN"/>
              </w:rPr>
              <w:t>分；方案描述不清晰、针对性不强、不确实可行的得</w:t>
            </w:r>
            <w:r>
              <w:rPr>
                <w:rFonts w:hint="eastAsia" w:ascii="宋体" w:hAnsi="宋体" w:eastAsia="宋体" w:cs="宋体"/>
                <w:color w:val="auto"/>
                <w:kern w:val="2"/>
                <w:sz w:val="24"/>
                <w:szCs w:val="24"/>
                <w:highlight w:val="none"/>
                <w:lang w:val="en-US" w:eastAsia="zh-CN" w:bidi="ar-SA"/>
              </w:rPr>
              <w:t>0-1.9</w:t>
            </w:r>
            <w:r>
              <w:rPr>
                <w:rFonts w:hint="eastAsia" w:ascii="宋体" w:hAnsi="宋体" w:eastAsia="宋体" w:cs="宋体"/>
                <w:color w:val="auto"/>
                <w:sz w:val="24"/>
                <w:szCs w:val="24"/>
                <w:highlight w:val="none"/>
                <w:lang w:val="en-US" w:eastAsia="zh-CN"/>
              </w:rPr>
              <w:t>分。</w:t>
            </w:r>
          </w:p>
        </w:tc>
        <w:tc>
          <w:tcPr>
            <w:tcW w:w="694" w:type="dxa"/>
            <w:noWrap w:val="0"/>
            <w:tcMar>
              <w:top w:w="0" w:type="dxa"/>
              <w:left w:w="57" w:type="dxa"/>
              <w:bottom w:w="0" w:type="dxa"/>
              <w:right w:w="57" w:type="dxa"/>
            </w:tcMar>
            <w:vAlign w:val="center"/>
          </w:tcPr>
          <w:p w14:paraId="4CB135C4">
            <w:pPr>
              <w:spacing w:line="36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6</w:t>
            </w:r>
          </w:p>
        </w:tc>
      </w:tr>
      <w:tr w14:paraId="0C80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5226AEA5">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247" w:type="dxa"/>
            <w:vMerge w:val="restart"/>
            <w:noWrap w:val="0"/>
            <w:tcMar>
              <w:top w:w="0" w:type="dxa"/>
              <w:left w:w="57" w:type="dxa"/>
              <w:bottom w:w="0" w:type="dxa"/>
              <w:right w:w="57" w:type="dxa"/>
            </w:tcMar>
            <w:vAlign w:val="center"/>
          </w:tcPr>
          <w:p w14:paraId="65DF10B8">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项目实施方案（10分）</w:t>
            </w:r>
          </w:p>
        </w:tc>
        <w:tc>
          <w:tcPr>
            <w:tcW w:w="6122" w:type="dxa"/>
            <w:noWrap w:val="0"/>
            <w:tcMar>
              <w:top w:w="0" w:type="dxa"/>
              <w:left w:w="57" w:type="dxa"/>
              <w:bottom w:w="0" w:type="dxa"/>
              <w:right w:w="57" w:type="dxa"/>
            </w:tcMar>
            <w:vAlign w:val="center"/>
          </w:tcPr>
          <w:p w14:paraId="3A33D0B0">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投标方提供符合工期要求的实施方案和计划安排打分，实施方案描述具有科学性、可操作性、计划安排切实可行得3-4分，描述具有较科学性和可操作性，计划安排较可行得1.5-2.9分，科学性和可操作性差或计划安排可行性差的得0-1.4分。</w:t>
            </w:r>
          </w:p>
        </w:tc>
        <w:tc>
          <w:tcPr>
            <w:tcW w:w="694" w:type="dxa"/>
            <w:noWrap w:val="0"/>
            <w:tcMar>
              <w:top w:w="0" w:type="dxa"/>
              <w:left w:w="57" w:type="dxa"/>
              <w:bottom w:w="0" w:type="dxa"/>
              <w:right w:w="57" w:type="dxa"/>
            </w:tcMar>
            <w:vAlign w:val="center"/>
          </w:tcPr>
          <w:p w14:paraId="0990DD34">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r>
      <w:tr w14:paraId="3A13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7C2FB726">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247" w:type="dxa"/>
            <w:vMerge w:val="continue"/>
            <w:noWrap w:val="0"/>
            <w:tcMar>
              <w:top w:w="0" w:type="dxa"/>
              <w:left w:w="57" w:type="dxa"/>
              <w:bottom w:w="0" w:type="dxa"/>
              <w:right w:w="57" w:type="dxa"/>
            </w:tcMar>
            <w:vAlign w:val="center"/>
          </w:tcPr>
          <w:p w14:paraId="33983731">
            <w:pPr>
              <w:adjustRightInd w:val="0"/>
              <w:snapToGrid w:val="0"/>
              <w:spacing w:line="360" w:lineRule="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27843232">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投标方对本项目的质量保障方案进行打分，质量保证措施和质量控制方案合理先进，并具有详细可行的得1.5-2分；质量保证措施和质量控制方案较合理先进，并具有较可行的得0.9-1.4分；质量保证措施和质量控制方案不合理先进，可行差的得0-0.8分。</w:t>
            </w:r>
          </w:p>
        </w:tc>
        <w:tc>
          <w:tcPr>
            <w:tcW w:w="694" w:type="dxa"/>
            <w:noWrap w:val="0"/>
            <w:tcMar>
              <w:top w:w="0" w:type="dxa"/>
              <w:left w:w="57" w:type="dxa"/>
              <w:bottom w:w="0" w:type="dxa"/>
              <w:right w:w="57" w:type="dxa"/>
            </w:tcMar>
            <w:vAlign w:val="center"/>
          </w:tcPr>
          <w:p w14:paraId="4DDEB7BF">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r>
      <w:tr w14:paraId="2595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07B7CD13">
            <w:pPr>
              <w:adjustRightInd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247" w:type="dxa"/>
            <w:vMerge w:val="continue"/>
            <w:noWrap w:val="0"/>
            <w:tcMar>
              <w:top w:w="0" w:type="dxa"/>
              <w:left w:w="57" w:type="dxa"/>
              <w:bottom w:w="0" w:type="dxa"/>
              <w:right w:w="57" w:type="dxa"/>
            </w:tcMar>
            <w:vAlign w:val="center"/>
          </w:tcPr>
          <w:p w14:paraId="61F29608">
            <w:pPr>
              <w:adjustRightInd w:val="0"/>
              <w:snapToGrid w:val="0"/>
              <w:spacing w:line="360" w:lineRule="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28D51EC8">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投标方对本项目的进度保障方案进行打分，进度计划和进度保障措施合理先进，并具有详细可行的实施内容得1.5-2分；进度计划和进度保障措施相对合理先进，并具有较好的可行的实施性得0.9-1.4分；进度计划和进度保障措施不太合理先进，可行性差的得0-0.8分。</w:t>
            </w:r>
          </w:p>
        </w:tc>
        <w:tc>
          <w:tcPr>
            <w:tcW w:w="694" w:type="dxa"/>
            <w:noWrap w:val="0"/>
            <w:tcMar>
              <w:top w:w="0" w:type="dxa"/>
              <w:left w:w="57" w:type="dxa"/>
              <w:bottom w:w="0" w:type="dxa"/>
              <w:right w:w="57" w:type="dxa"/>
            </w:tcMar>
            <w:vAlign w:val="center"/>
          </w:tcPr>
          <w:p w14:paraId="46A7E2EC">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r>
      <w:tr w14:paraId="7A41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02027D4C">
            <w:pPr>
              <w:keepNext/>
              <w:keepLines/>
              <w:adjustRightInd w:val="0"/>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247" w:type="dxa"/>
            <w:vMerge w:val="continue"/>
            <w:noWrap w:val="0"/>
            <w:tcMar>
              <w:top w:w="0" w:type="dxa"/>
              <w:left w:w="57" w:type="dxa"/>
              <w:bottom w:w="0" w:type="dxa"/>
              <w:right w:w="57" w:type="dxa"/>
            </w:tcMar>
            <w:vAlign w:val="center"/>
          </w:tcPr>
          <w:p w14:paraId="5E9CA884">
            <w:pPr>
              <w:keepNext/>
              <w:keepLines/>
              <w:adjustRightInd w:val="0"/>
              <w:snapToGrid w:val="0"/>
              <w:spacing w:line="360" w:lineRule="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1E6CEA4A">
            <w:pPr>
              <w:keepNext/>
              <w:keepLines/>
              <w:adjustRightInd w:val="0"/>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根据投标方提出的测试、试运行方案的合理性、可行性情况打分，详细合理得1.5-2分，详细合理得0.9-1.4分，不够详细合理得0-0.8分。</w:t>
            </w:r>
          </w:p>
        </w:tc>
        <w:tc>
          <w:tcPr>
            <w:tcW w:w="694" w:type="dxa"/>
            <w:noWrap w:val="0"/>
            <w:tcMar>
              <w:top w:w="0" w:type="dxa"/>
              <w:left w:w="57" w:type="dxa"/>
              <w:bottom w:w="0" w:type="dxa"/>
              <w:right w:w="57" w:type="dxa"/>
            </w:tcMar>
            <w:vAlign w:val="center"/>
          </w:tcPr>
          <w:p w14:paraId="7F48E171">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r>
      <w:tr w14:paraId="7ED0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712" w:type="dxa"/>
            <w:noWrap w:val="0"/>
            <w:tcMar>
              <w:top w:w="0" w:type="dxa"/>
              <w:left w:w="57" w:type="dxa"/>
              <w:bottom w:w="0" w:type="dxa"/>
              <w:right w:w="57" w:type="dxa"/>
            </w:tcMar>
            <w:vAlign w:val="center"/>
          </w:tcPr>
          <w:p w14:paraId="0665B8BA">
            <w:pPr>
              <w:spacing w:line="36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12</w:t>
            </w:r>
          </w:p>
        </w:tc>
        <w:tc>
          <w:tcPr>
            <w:tcW w:w="1247" w:type="dxa"/>
            <w:noWrap w:val="0"/>
            <w:tcMar>
              <w:top w:w="0" w:type="dxa"/>
              <w:left w:w="57" w:type="dxa"/>
              <w:bottom w:w="0" w:type="dxa"/>
              <w:right w:w="57" w:type="dxa"/>
            </w:tcMar>
            <w:vAlign w:val="center"/>
          </w:tcPr>
          <w:p w14:paraId="45B5F9EF">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应急方案</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6</w:t>
            </w:r>
            <w:r>
              <w:rPr>
                <w:rFonts w:hint="eastAsia" w:ascii="宋体" w:hAnsi="宋体" w:cs="宋体"/>
                <w:b/>
                <w:bCs/>
                <w:color w:val="auto"/>
                <w:kern w:val="0"/>
                <w:sz w:val="24"/>
                <w:szCs w:val="24"/>
                <w:highlight w:val="none"/>
              </w:rPr>
              <w:t>分）</w:t>
            </w:r>
          </w:p>
        </w:tc>
        <w:tc>
          <w:tcPr>
            <w:tcW w:w="6122" w:type="dxa"/>
            <w:noWrap w:val="0"/>
            <w:tcMar>
              <w:top w:w="0" w:type="dxa"/>
              <w:left w:w="57" w:type="dxa"/>
              <w:bottom w:w="0" w:type="dxa"/>
              <w:right w:w="57" w:type="dxa"/>
            </w:tcMar>
            <w:vAlign w:val="center"/>
          </w:tcPr>
          <w:p w14:paraId="03F16D1C">
            <w:pPr>
              <w:keepNext/>
              <w:keepLines/>
              <w:adjustRightInd w:val="0"/>
              <w:snapToGrid w:val="0"/>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根据投标方对本项目迁移实施过程中的应急预案进行打分，方案应包括实施过程中可能遇到的问题及其应对措施的考虑情况等。</w:t>
            </w:r>
          </w:p>
          <w:p w14:paraId="66953E41">
            <w:pPr>
              <w:keepNext/>
              <w:keepLines/>
              <w:adjustRightInd w:val="0"/>
              <w:snapToGrid w:val="0"/>
              <w:spacing w:line="360" w:lineRule="auto"/>
              <w:rPr>
                <w:rFonts w:hint="eastAsia"/>
                <w:color w:val="auto"/>
                <w:highlight w:val="none"/>
                <w:lang w:val="en-US" w:eastAsia="zh-CN"/>
              </w:rPr>
            </w:pPr>
            <w:r>
              <w:rPr>
                <w:rFonts w:hint="eastAsia" w:ascii="宋体" w:hAnsi="宋体" w:cs="宋体"/>
                <w:color w:val="auto"/>
                <w:kern w:val="0"/>
                <w:sz w:val="24"/>
                <w:highlight w:val="none"/>
                <w:lang w:val="en-US" w:eastAsia="zh-CN"/>
              </w:rPr>
              <w:t>方案描述清晰、针对性强、确实可行的得4-6分；方案描述较清晰、针对性较强、较确实可行的得2-3.9分；方案描述不清晰、针对性不强、不确实可行的得0-1.9分。</w:t>
            </w:r>
          </w:p>
        </w:tc>
        <w:tc>
          <w:tcPr>
            <w:tcW w:w="694" w:type="dxa"/>
            <w:noWrap w:val="0"/>
            <w:tcMar>
              <w:top w:w="0" w:type="dxa"/>
              <w:left w:w="57" w:type="dxa"/>
              <w:bottom w:w="0" w:type="dxa"/>
              <w:right w:w="57" w:type="dxa"/>
            </w:tcMar>
            <w:vAlign w:val="center"/>
          </w:tcPr>
          <w:p w14:paraId="20BC772E">
            <w:pPr>
              <w:spacing w:line="360" w:lineRule="exact"/>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6</w:t>
            </w:r>
          </w:p>
        </w:tc>
      </w:tr>
      <w:tr w14:paraId="2056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0A4947DE">
            <w:pPr>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247" w:type="dxa"/>
            <w:vMerge w:val="restart"/>
            <w:noWrap w:val="0"/>
            <w:tcMar>
              <w:top w:w="0" w:type="dxa"/>
              <w:left w:w="57" w:type="dxa"/>
              <w:bottom w:w="0" w:type="dxa"/>
              <w:right w:w="57" w:type="dxa"/>
            </w:tcMar>
            <w:vAlign w:val="center"/>
          </w:tcPr>
          <w:p w14:paraId="6450E0C8">
            <w:pPr>
              <w:pStyle w:val="2"/>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技术指标响应程度</w:t>
            </w:r>
          </w:p>
          <w:p w14:paraId="526C1A2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8</w:t>
            </w:r>
            <w:r>
              <w:rPr>
                <w:rFonts w:hint="eastAsia" w:ascii="宋体" w:hAnsi="宋体" w:cs="宋体"/>
                <w:b/>
                <w:bCs/>
                <w:color w:val="auto"/>
                <w:kern w:val="0"/>
                <w:sz w:val="24"/>
                <w:szCs w:val="24"/>
                <w:highlight w:val="none"/>
              </w:rPr>
              <w:t>分）</w:t>
            </w:r>
          </w:p>
        </w:tc>
        <w:tc>
          <w:tcPr>
            <w:tcW w:w="6122" w:type="dxa"/>
            <w:noWrap w:val="0"/>
            <w:tcMar>
              <w:top w:w="0" w:type="dxa"/>
              <w:left w:w="57" w:type="dxa"/>
              <w:bottom w:w="0" w:type="dxa"/>
              <w:right w:w="57" w:type="dxa"/>
            </w:tcMar>
            <w:vAlign w:val="center"/>
          </w:tcPr>
          <w:p w14:paraId="021B671C">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根据投标</w:t>
            </w:r>
            <w:r>
              <w:rPr>
                <w:rFonts w:hint="eastAsia" w:ascii="宋体" w:hAnsi="宋体" w:cs="宋体"/>
                <w:color w:val="auto"/>
                <w:kern w:val="0"/>
                <w:sz w:val="24"/>
                <w:szCs w:val="24"/>
                <w:highlight w:val="none"/>
                <w:lang w:eastAsia="zh-CN"/>
              </w:rPr>
              <w:t>方</w:t>
            </w:r>
            <w:r>
              <w:rPr>
                <w:rFonts w:hint="eastAsia" w:ascii="宋体" w:hAnsi="宋体" w:cs="宋体"/>
                <w:color w:val="auto"/>
                <w:kern w:val="0"/>
                <w:sz w:val="24"/>
                <w:szCs w:val="24"/>
                <w:highlight w:val="none"/>
              </w:rPr>
              <w:t>提供的重要参数（招标文件中带“★”项的参数）响应情况，每负偏离一项扣1分，最多扣完</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w:t>
            </w:r>
          </w:p>
        </w:tc>
        <w:tc>
          <w:tcPr>
            <w:tcW w:w="694" w:type="dxa"/>
            <w:noWrap w:val="0"/>
            <w:tcMar>
              <w:top w:w="0" w:type="dxa"/>
              <w:left w:w="57" w:type="dxa"/>
              <w:bottom w:w="0" w:type="dxa"/>
              <w:right w:w="57" w:type="dxa"/>
            </w:tcMar>
            <w:vAlign w:val="center"/>
          </w:tcPr>
          <w:p w14:paraId="535DC567">
            <w:pP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r>
      <w:tr w14:paraId="14D6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25BB49F5">
            <w:pPr>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247" w:type="dxa"/>
            <w:vMerge w:val="continue"/>
            <w:noWrap w:val="0"/>
            <w:tcMar>
              <w:top w:w="0" w:type="dxa"/>
              <w:left w:w="57" w:type="dxa"/>
              <w:bottom w:w="0" w:type="dxa"/>
              <w:right w:w="57" w:type="dxa"/>
            </w:tcMar>
            <w:vAlign w:val="center"/>
          </w:tcPr>
          <w:p w14:paraId="0929F032">
            <w:pPr>
              <w:widowControl/>
              <w:adjustRightInd w:val="0"/>
              <w:snapToGrid w:val="0"/>
              <w:spacing w:line="360" w:lineRule="auto"/>
              <w:jc w:val="center"/>
              <w:rPr>
                <w:rFonts w:ascii="宋体" w:hAnsi="宋体" w:cs="宋体"/>
                <w:b/>
                <w:bCs/>
                <w:color w:val="auto"/>
                <w:kern w:val="0"/>
                <w:sz w:val="24"/>
                <w:szCs w:val="24"/>
                <w:highlight w:val="none"/>
              </w:rPr>
            </w:pPr>
          </w:p>
        </w:tc>
        <w:tc>
          <w:tcPr>
            <w:tcW w:w="6122" w:type="dxa"/>
            <w:noWrap w:val="0"/>
            <w:tcMar>
              <w:top w:w="0" w:type="dxa"/>
              <w:left w:w="57" w:type="dxa"/>
              <w:bottom w:w="0" w:type="dxa"/>
              <w:right w:w="57" w:type="dxa"/>
            </w:tcMar>
            <w:vAlign w:val="center"/>
          </w:tcPr>
          <w:p w14:paraId="6E6C88F7">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根据投标</w:t>
            </w:r>
            <w:r>
              <w:rPr>
                <w:rFonts w:hint="eastAsia" w:ascii="宋体" w:hAnsi="宋体" w:cs="宋体"/>
                <w:color w:val="auto"/>
                <w:kern w:val="0"/>
                <w:sz w:val="24"/>
                <w:szCs w:val="24"/>
                <w:highlight w:val="none"/>
                <w:lang w:eastAsia="zh-CN"/>
              </w:rPr>
              <w:t>方</w:t>
            </w:r>
            <w:r>
              <w:rPr>
                <w:rFonts w:hint="eastAsia" w:ascii="宋体" w:hAnsi="宋体" w:cs="宋体"/>
                <w:color w:val="auto"/>
                <w:kern w:val="0"/>
                <w:sz w:val="24"/>
                <w:szCs w:val="24"/>
                <w:highlight w:val="none"/>
              </w:rPr>
              <w:t>提供的参数（招标文件中带“★”项之外的参数）响应程度进行评审给分，负偏离一项扣0.5分，最多扣完6分。</w:t>
            </w:r>
          </w:p>
        </w:tc>
        <w:tc>
          <w:tcPr>
            <w:tcW w:w="694" w:type="dxa"/>
            <w:noWrap w:val="0"/>
            <w:tcMar>
              <w:top w:w="0" w:type="dxa"/>
              <w:left w:w="57" w:type="dxa"/>
              <w:bottom w:w="0" w:type="dxa"/>
              <w:right w:w="57" w:type="dxa"/>
            </w:tcMar>
            <w:vAlign w:val="center"/>
          </w:tcPr>
          <w:p w14:paraId="3594F36F">
            <w:pPr>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r>
      <w:tr w14:paraId="4C2E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12" w:type="dxa"/>
            <w:noWrap w:val="0"/>
            <w:tcMar>
              <w:top w:w="0" w:type="dxa"/>
              <w:left w:w="57" w:type="dxa"/>
              <w:bottom w:w="0" w:type="dxa"/>
              <w:right w:w="57" w:type="dxa"/>
            </w:tcMar>
            <w:vAlign w:val="center"/>
          </w:tcPr>
          <w:p w14:paraId="0E13909E">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247" w:type="dxa"/>
            <w:noWrap w:val="0"/>
            <w:tcMar>
              <w:top w:w="0" w:type="dxa"/>
              <w:left w:w="57" w:type="dxa"/>
              <w:bottom w:w="0" w:type="dxa"/>
              <w:right w:w="57" w:type="dxa"/>
            </w:tcMar>
            <w:vAlign w:val="center"/>
          </w:tcPr>
          <w:p w14:paraId="0D945326">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kern w:val="0"/>
                <w:sz w:val="24"/>
                <w:highlight w:val="none"/>
              </w:rPr>
              <w:t>投标方资质（</w:t>
            </w:r>
            <w:r>
              <w:rPr>
                <w:rFonts w:hint="eastAsia" w:ascii="宋体" w:hAnsi="宋体" w:cs="宋体"/>
                <w:b/>
                <w:bCs/>
                <w:color w:val="auto"/>
                <w:kern w:val="0"/>
                <w:sz w:val="24"/>
                <w:highlight w:val="none"/>
                <w:lang w:val="en-US" w:eastAsia="zh-CN"/>
              </w:rPr>
              <w:t>3</w:t>
            </w:r>
            <w:r>
              <w:rPr>
                <w:rFonts w:hint="eastAsia" w:ascii="宋体" w:hAnsi="宋体" w:cs="宋体"/>
                <w:b/>
                <w:bCs/>
                <w:color w:val="auto"/>
                <w:kern w:val="0"/>
                <w:sz w:val="24"/>
                <w:highlight w:val="none"/>
              </w:rPr>
              <w:t>分）</w:t>
            </w:r>
          </w:p>
        </w:tc>
        <w:tc>
          <w:tcPr>
            <w:tcW w:w="6122" w:type="dxa"/>
            <w:noWrap w:val="0"/>
            <w:tcMar>
              <w:top w:w="0" w:type="dxa"/>
              <w:left w:w="57" w:type="dxa"/>
              <w:bottom w:w="0" w:type="dxa"/>
              <w:right w:w="57" w:type="dxa"/>
            </w:tcMar>
            <w:vAlign w:val="center"/>
          </w:tcPr>
          <w:p w14:paraId="2D6C0B81">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投标方</w:t>
            </w:r>
            <w:r>
              <w:rPr>
                <w:rFonts w:hint="eastAsia" w:ascii="宋体" w:hAnsi="宋体" w:cs="宋体"/>
                <w:color w:val="auto"/>
                <w:sz w:val="24"/>
                <w:highlight w:val="none"/>
              </w:rPr>
              <w:t>提供的</w:t>
            </w:r>
            <w:r>
              <w:rPr>
                <w:rFonts w:hint="eastAsia" w:ascii="宋体" w:hAnsi="宋体" w:cs="宋体"/>
                <w:color w:val="auto"/>
                <w:sz w:val="24"/>
                <w:highlight w:val="none"/>
                <w:lang w:eastAsia="zh-CN"/>
              </w:rPr>
              <w:t>企业资质进行评分。</w:t>
            </w:r>
            <w:r>
              <w:rPr>
                <w:rFonts w:hint="eastAsia" w:ascii="宋体" w:hAnsi="宋体" w:cs="宋体"/>
                <w:color w:val="auto"/>
                <w:kern w:val="0"/>
                <w:sz w:val="24"/>
                <w:highlight w:val="none"/>
              </w:rPr>
              <w:t>投标</w:t>
            </w:r>
            <w:r>
              <w:rPr>
                <w:rFonts w:hint="eastAsia" w:ascii="宋体" w:hAnsi="宋体" w:cs="宋体"/>
                <w:color w:val="auto"/>
                <w:kern w:val="0"/>
                <w:sz w:val="24"/>
                <w:highlight w:val="none"/>
                <w:lang w:eastAsia="zh-CN"/>
              </w:rPr>
              <w:t>方</w:t>
            </w:r>
            <w:r>
              <w:rPr>
                <w:rFonts w:hint="eastAsia" w:ascii="宋体" w:hAnsi="宋体" w:cs="宋体"/>
                <w:color w:val="auto"/>
                <w:kern w:val="0"/>
                <w:sz w:val="24"/>
                <w:highlight w:val="none"/>
              </w:rPr>
              <w:t>具备IS09001质量管理体系认证证书，ISO27001信息安全管理体系认证证书，ISO20000信息技术服务管理体系认证证书，</w:t>
            </w:r>
            <w:r>
              <w:rPr>
                <w:rFonts w:ascii="宋体" w:hAnsi="宋体" w:cs="宋体"/>
                <w:color w:val="auto"/>
                <w:kern w:val="0"/>
                <w:sz w:val="24"/>
                <w:highlight w:val="none"/>
                <w:lang w:val="en"/>
              </w:rPr>
              <w:t>CMMI</w:t>
            </w:r>
            <w:r>
              <w:rPr>
                <w:rFonts w:hint="eastAsia" w:ascii="宋体" w:hAnsi="宋体" w:cs="宋体"/>
                <w:color w:val="auto"/>
                <w:kern w:val="0"/>
                <w:sz w:val="24"/>
                <w:highlight w:val="none"/>
                <w:lang w:val="en"/>
              </w:rPr>
              <w:t>软件能力成熟度三级或以上证书，</w:t>
            </w:r>
            <w:r>
              <w:rPr>
                <w:rFonts w:hint="eastAsia" w:ascii="宋体" w:hAnsi="宋体" w:cs="宋体"/>
                <w:color w:val="auto"/>
                <w:kern w:val="0"/>
                <w:sz w:val="24"/>
                <w:highlight w:val="none"/>
              </w:rPr>
              <w:t>每满足一项得1分，最多得3分；</w:t>
            </w:r>
            <w:r>
              <w:rPr>
                <w:rFonts w:hint="eastAsia" w:ascii="宋体" w:hAnsi="宋体" w:cs="宋体"/>
                <w:color w:val="auto"/>
                <w:kern w:val="0"/>
                <w:sz w:val="24"/>
                <w:highlight w:val="none"/>
              </w:rPr>
              <w:br w:type="textWrapping"/>
            </w:r>
            <w:r>
              <w:rPr>
                <w:rFonts w:hint="eastAsia" w:ascii="宋体" w:hAnsi="宋体" w:cs="宋体"/>
                <w:b/>
                <w:bCs/>
                <w:color w:val="auto"/>
                <w:kern w:val="0"/>
                <w:sz w:val="24"/>
                <w:highlight w:val="none"/>
              </w:rPr>
              <w:t>以上证书提供扫描件并加盖公章，未提供或未加盖公章的不得分。</w:t>
            </w:r>
          </w:p>
        </w:tc>
        <w:tc>
          <w:tcPr>
            <w:tcW w:w="694" w:type="dxa"/>
            <w:noWrap w:val="0"/>
            <w:tcMar>
              <w:top w:w="0" w:type="dxa"/>
              <w:left w:w="57" w:type="dxa"/>
              <w:bottom w:w="0" w:type="dxa"/>
              <w:right w:w="57" w:type="dxa"/>
            </w:tcMar>
            <w:vAlign w:val="center"/>
          </w:tcPr>
          <w:p w14:paraId="1423B9C1">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r>
      <w:tr w14:paraId="47273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24FE6D1F">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247" w:type="dxa"/>
            <w:noWrap w:val="0"/>
            <w:tcMar>
              <w:top w:w="0" w:type="dxa"/>
              <w:left w:w="57" w:type="dxa"/>
              <w:bottom w:w="0" w:type="dxa"/>
              <w:right w:w="57" w:type="dxa"/>
            </w:tcMar>
            <w:vAlign w:val="center"/>
          </w:tcPr>
          <w:p w14:paraId="11AABBA6">
            <w:pPr>
              <w:pStyle w:val="2"/>
              <w:adjustRightInd w:val="0"/>
              <w:snapToGrid w:val="0"/>
              <w:spacing w:line="360" w:lineRule="auto"/>
              <w:jc w:val="center"/>
              <w:rPr>
                <w:rFonts w:ascii="宋体" w:hAnsi="宋体" w:cs="宋体"/>
                <w:b/>
                <w:bCs/>
                <w:color w:val="auto"/>
                <w:highlight w:val="none"/>
              </w:rPr>
            </w:pPr>
            <w:r>
              <w:rPr>
                <w:rFonts w:hint="eastAsia" w:ascii="宋体" w:hAnsi="宋体" w:cs="宋体"/>
                <w:b/>
                <w:bCs/>
                <w:color w:val="auto"/>
                <w:kern w:val="0"/>
                <w:sz w:val="24"/>
                <w:highlight w:val="none"/>
                <w:lang w:eastAsia="zh-CN"/>
              </w:rPr>
              <w:t>人员配备</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分）</w:t>
            </w:r>
          </w:p>
        </w:tc>
        <w:tc>
          <w:tcPr>
            <w:tcW w:w="6122" w:type="dxa"/>
            <w:tcBorders>
              <w:left w:val="single" w:color="auto" w:sz="4" w:space="0"/>
            </w:tcBorders>
            <w:noWrap w:val="0"/>
            <w:tcMar>
              <w:top w:w="0" w:type="dxa"/>
              <w:left w:w="57" w:type="dxa"/>
              <w:bottom w:w="0" w:type="dxa"/>
              <w:right w:w="57" w:type="dxa"/>
            </w:tcMar>
            <w:vAlign w:val="center"/>
          </w:tcPr>
          <w:p w14:paraId="7A354C75">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根据投标方提供的项目人员相关职称或认证证书打分。</w:t>
            </w:r>
          </w:p>
          <w:p w14:paraId="25BD849C">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TW"/>
              </w:rPr>
              <w:t>项目经理具备信息系统项目管理师</w:t>
            </w:r>
            <w:r>
              <w:rPr>
                <w:rFonts w:hint="eastAsia" w:ascii="宋体" w:hAnsi="宋体" w:cs="宋体"/>
                <w:color w:val="auto"/>
                <w:kern w:val="0"/>
                <w:sz w:val="24"/>
                <w:szCs w:val="24"/>
                <w:highlight w:val="none"/>
              </w:rPr>
              <w:t>证书、</w:t>
            </w:r>
            <w:r>
              <w:rPr>
                <w:rFonts w:hint="eastAsia" w:ascii="宋体" w:hAnsi="宋体" w:eastAsia="宋体" w:cs="宋体"/>
                <w:b w:val="0"/>
                <w:bCs w:val="0"/>
                <w:color w:val="auto"/>
                <w:kern w:val="0"/>
                <w:sz w:val="24"/>
                <w:szCs w:val="24"/>
                <w:highlight w:val="none"/>
                <w:lang w:eastAsia="zh-TW"/>
              </w:rPr>
              <w:t>系统规划与管理师证书</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注册信息安全专业人员</w:t>
            </w:r>
            <w:r>
              <w:rPr>
                <w:rFonts w:hint="eastAsia" w:ascii="宋体" w:hAnsi="宋体" w:eastAsia="宋体" w:cs="宋体"/>
                <w:b w:val="0"/>
                <w:bCs w:val="0"/>
                <w:color w:val="auto"/>
                <w:kern w:val="0"/>
                <w:sz w:val="24"/>
                <w:szCs w:val="24"/>
                <w:highlight w:val="none"/>
                <w:lang w:eastAsia="zh-TW"/>
              </w:rPr>
              <w:t>证书</w:t>
            </w:r>
            <w:r>
              <w:rPr>
                <w:rFonts w:hint="eastAsia" w:ascii="宋体" w:hAnsi="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eastAsia="zh-TW"/>
              </w:rPr>
              <w:t>CISP</w:t>
            </w:r>
            <w:r>
              <w:rPr>
                <w:rFonts w:hint="eastAsia" w:ascii="宋体" w:hAnsi="宋体" w:cs="宋体"/>
                <w:b w:val="0"/>
                <w:bCs w:val="0"/>
                <w:color w:val="auto"/>
                <w:kern w:val="0"/>
                <w:sz w:val="24"/>
                <w:szCs w:val="24"/>
                <w:highlight w:val="none"/>
                <w:lang w:eastAsia="zh-CN"/>
              </w:rPr>
              <w:t>体系）</w:t>
            </w:r>
            <w:r>
              <w:rPr>
                <w:rFonts w:hint="eastAsia" w:ascii="宋体" w:hAnsi="宋体" w:cs="宋体"/>
                <w:color w:val="auto"/>
                <w:kern w:val="0"/>
                <w:sz w:val="24"/>
                <w:szCs w:val="24"/>
                <w:highlight w:val="none"/>
                <w:lang w:eastAsia="zh-TW"/>
              </w:rPr>
              <w:t>，</w:t>
            </w:r>
            <w:r>
              <w:rPr>
                <w:rFonts w:hint="eastAsia" w:ascii="宋体" w:hAnsi="宋体" w:cs="宋体"/>
                <w:color w:val="auto"/>
                <w:kern w:val="0"/>
                <w:sz w:val="24"/>
                <w:szCs w:val="24"/>
                <w:highlight w:val="none"/>
              </w:rPr>
              <w:t>每满足一项得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分，最多得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w:t>
            </w:r>
          </w:p>
          <w:p w14:paraId="2E18FD58">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ascii="宋体" w:hAnsi="宋体" w:cs="宋体"/>
                <w:color w:val="auto"/>
                <w:kern w:val="0"/>
                <w:sz w:val="24"/>
                <w:szCs w:val="24"/>
                <w:highlight w:val="none"/>
                <w:lang w:eastAsia="zh-TW"/>
              </w:rPr>
            </w:pPr>
            <w:r>
              <w:rPr>
                <w:rFonts w:hint="eastAsia" w:ascii="宋体" w:hAnsi="宋体" w:cs="宋体"/>
                <w:b w:val="0"/>
                <w:bCs w:val="0"/>
                <w:color w:val="auto"/>
                <w:kern w:val="0"/>
                <w:sz w:val="24"/>
                <w:szCs w:val="24"/>
                <w:highlight w:val="none"/>
              </w:rPr>
              <w:t>2.</w:t>
            </w:r>
            <w:r>
              <w:rPr>
                <w:rFonts w:hint="eastAsia" w:ascii="宋体" w:hAnsi="宋体" w:cs="宋体"/>
                <w:b w:val="0"/>
                <w:bCs w:val="0"/>
                <w:color w:val="auto"/>
                <w:kern w:val="0"/>
                <w:sz w:val="24"/>
                <w:szCs w:val="24"/>
                <w:highlight w:val="none"/>
                <w:lang w:eastAsia="zh-TW"/>
              </w:rPr>
              <w:t>项目技术负责</w:t>
            </w:r>
            <w:r>
              <w:rPr>
                <w:rFonts w:hint="eastAsia" w:ascii="宋体" w:hAnsi="宋体" w:eastAsia="宋体" w:cs="宋体"/>
                <w:b w:val="0"/>
                <w:bCs w:val="0"/>
                <w:color w:val="auto"/>
                <w:kern w:val="0"/>
                <w:sz w:val="24"/>
                <w:szCs w:val="24"/>
                <w:highlight w:val="none"/>
                <w:lang w:eastAsia="zh-TW"/>
              </w:rPr>
              <w:t>人具备具有</w:t>
            </w:r>
            <w:r>
              <w:rPr>
                <w:rFonts w:hint="eastAsia" w:ascii="宋体" w:hAnsi="宋体" w:eastAsia="宋体" w:cs="宋体"/>
                <w:b w:val="0"/>
                <w:bCs w:val="0"/>
                <w:color w:val="auto"/>
                <w:kern w:val="0"/>
                <w:sz w:val="24"/>
                <w:szCs w:val="24"/>
                <w:highlight w:val="none"/>
                <w:lang w:val="en-US" w:eastAsia="zh-CN"/>
              </w:rPr>
              <w:t>注册信息安全专业人员</w:t>
            </w:r>
            <w:r>
              <w:rPr>
                <w:rFonts w:hint="eastAsia" w:ascii="宋体" w:hAnsi="宋体" w:eastAsia="宋体" w:cs="宋体"/>
                <w:b w:val="0"/>
                <w:bCs w:val="0"/>
                <w:color w:val="auto"/>
                <w:kern w:val="0"/>
                <w:sz w:val="24"/>
                <w:szCs w:val="24"/>
                <w:highlight w:val="none"/>
                <w:lang w:eastAsia="zh-TW"/>
              </w:rPr>
              <w:t>证书</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eastAsia="zh-TW"/>
              </w:rPr>
              <w:t>CISP</w:t>
            </w:r>
            <w:r>
              <w:rPr>
                <w:rFonts w:hint="eastAsia" w:ascii="宋体" w:hAnsi="宋体" w:cs="宋体"/>
                <w:b w:val="0"/>
                <w:bCs w:val="0"/>
                <w:color w:val="auto"/>
                <w:kern w:val="0"/>
                <w:sz w:val="24"/>
                <w:szCs w:val="24"/>
                <w:highlight w:val="none"/>
                <w:lang w:eastAsia="zh-CN"/>
              </w:rPr>
              <w:t>体系</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eastAsia="zh-TW"/>
              </w:rPr>
              <w:t>、信息系统项目管理师证书、系统架构设计师证书、系统分析师证书、网络规划设计师证书、系统规划与管理师证书的，</w:t>
            </w:r>
            <w:r>
              <w:rPr>
                <w:rFonts w:hint="eastAsia" w:ascii="宋体" w:hAnsi="宋体" w:cs="宋体"/>
                <w:b w:val="0"/>
                <w:bCs w:val="0"/>
                <w:color w:val="auto"/>
                <w:kern w:val="0"/>
                <w:sz w:val="24"/>
                <w:szCs w:val="24"/>
                <w:highlight w:val="none"/>
              </w:rPr>
              <w:t>每满足一项得</w:t>
            </w:r>
            <w:r>
              <w:rPr>
                <w:rFonts w:hint="eastAsia" w:ascii="宋体" w:hAnsi="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rPr>
              <w:t>分，最多得</w:t>
            </w:r>
            <w:r>
              <w:rPr>
                <w:rFonts w:hint="eastAsia" w:ascii="宋体" w:hAnsi="宋体" w:cs="宋体"/>
                <w:b w:val="0"/>
                <w:bCs w:val="0"/>
                <w:color w:val="auto"/>
                <w:kern w:val="0"/>
                <w:sz w:val="24"/>
                <w:szCs w:val="24"/>
                <w:highlight w:val="none"/>
                <w:lang w:val="en-US" w:eastAsia="zh-CN"/>
              </w:rPr>
              <w:t>2</w:t>
            </w:r>
            <w:r>
              <w:rPr>
                <w:rFonts w:hint="eastAsia" w:ascii="宋体" w:hAnsi="宋体" w:cs="宋体"/>
                <w:b w:val="0"/>
                <w:bCs w:val="0"/>
                <w:color w:val="auto"/>
                <w:kern w:val="0"/>
                <w:sz w:val="24"/>
                <w:szCs w:val="24"/>
                <w:highlight w:val="none"/>
              </w:rPr>
              <w:t>分；</w:t>
            </w:r>
          </w:p>
          <w:p w14:paraId="3663782B">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rPr>
                <w:rFonts w:ascii="宋体" w:hAnsi="宋体" w:cs="宋体"/>
                <w:color w:val="auto"/>
                <w:kern w:val="0"/>
                <w:sz w:val="24"/>
                <w:szCs w:val="24"/>
                <w:highlight w:val="none"/>
              </w:rPr>
            </w:pPr>
            <w:r>
              <w:rPr>
                <w:rFonts w:hint="eastAsia" w:ascii="宋体" w:hAnsi="宋体" w:cs="宋体"/>
                <w:b w:val="0"/>
                <w:bCs w:val="0"/>
                <w:color w:val="auto"/>
                <w:kern w:val="0"/>
                <w:sz w:val="24"/>
                <w:szCs w:val="24"/>
                <w:highlight w:val="none"/>
              </w:rPr>
              <w:t>3.</w:t>
            </w:r>
            <w:r>
              <w:rPr>
                <w:rFonts w:hint="eastAsia" w:ascii="宋体" w:hAnsi="宋体" w:cs="宋体"/>
                <w:b w:val="0"/>
                <w:bCs w:val="0"/>
                <w:color w:val="auto"/>
                <w:kern w:val="0"/>
                <w:sz w:val="24"/>
                <w:szCs w:val="24"/>
                <w:highlight w:val="none"/>
                <w:lang w:eastAsia="zh-TW"/>
              </w:rPr>
              <w:t>项目组成员</w:t>
            </w:r>
            <w:r>
              <w:rPr>
                <w:rFonts w:hint="eastAsia" w:ascii="宋体" w:hAnsi="宋体" w:cs="宋体"/>
                <w:b w:val="0"/>
                <w:bCs w:val="0"/>
                <w:color w:val="auto"/>
                <w:kern w:val="0"/>
                <w:sz w:val="24"/>
                <w:szCs w:val="24"/>
                <w:highlight w:val="none"/>
              </w:rPr>
              <w:t>（除项目经理和项目技术负责人外）</w:t>
            </w:r>
            <w:r>
              <w:rPr>
                <w:rFonts w:hint="eastAsia" w:ascii="宋体" w:hAnsi="宋体" w:cs="宋体"/>
                <w:b w:val="0"/>
                <w:bCs w:val="0"/>
                <w:color w:val="auto"/>
                <w:kern w:val="0"/>
                <w:sz w:val="24"/>
                <w:szCs w:val="24"/>
                <w:highlight w:val="none"/>
                <w:lang w:eastAsia="zh-TW"/>
              </w:rPr>
              <w:t>具备</w:t>
            </w:r>
            <w:r>
              <w:rPr>
                <w:rFonts w:ascii="宋体" w:hAnsi="宋体" w:cs="宋体"/>
                <w:b w:val="0"/>
                <w:bCs w:val="0"/>
                <w:color w:val="auto"/>
                <w:kern w:val="0"/>
                <w:sz w:val="24"/>
                <w:szCs w:val="24"/>
                <w:highlight w:val="none"/>
                <w:lang w:eastAsia="zh-TW"/>
              </w:rPr>
              <w:t>全国计算机技术与软件专业技术资格（水平）考</w:t>
            </w:r>
            <w:r>
              <w:rPr>
                <w:rFonts w:ascii="宋体" w:hAnsi="宋体" w:eastAsia="宋体" w:cs="宋体"/>
                <w:b w:val="0"/>
                <w:bCs w:val="0"/>
                <w:color w:val="auto"/>
                <w:kern w:val="0"/>
                <w:sz w:val="24"/>
                <w:szCs w:val="24"/>
                <w:highlight w:val="none"/>
                <w:lang w:eastAsia="zh-TW"/>
              </w:rPr>
              <w:t>试</w:t>
            </w:r>
            <w:r>
              <w:rPr>
                <w:rFonts w:hint="eastAsia" w:ascii="宋体" w:hAnsi="宋体" w:eastAsia="宋体" w:cs="宋体"/>
                <w:b w:val="0"/>
                <w:bCs w:val="0"/>
                <w:color w:val="auto"/>
                <w:kern w:val="0"/>
                <w:sz w:val="24"/>
                <w:szCs w:val="24"/>
                <w:highlight w:val="none"/>
                <w:lang w:eastAsia="zh-TW"/>
              </w:rPr>
              <w:t>中级及以上证书的，每满足一</w:t>
            </w:r>
            <w:r>
              <w:rPr>
                <w:rFonts w:hint="eastAsia" w:ascii="宋体" w:hAnsi="宋体" w:cs="宋体"/>
                <w:b w:val="0"/>
                <w:bCs w:val="0"/>
                <w:color w:val="auto"/>
                <w:kern w:val="0"/>
                <w:sz w:val="24"/>
                <w:szCs w:val="24"/>
                <w:highlight w:val="none"/>
                <w:lang w:eastAsia="zh-CN"/>
              </w:rPr>
              <w:t>人</w:t>
            </w:r>
            <w:r>
              <w:rPr>
                <w:rFonts w:hint="eastAsia" w:ascii="宋体" w:hAnsi="宋体" w:eastAsia="宋体" w:cs="宋体"/>
                <w:b w:val="0"/>
                <w:bCs w:val="0"/>
                <w:color w:val="auto"/>
                <w:kern w:val="0"/>
                <w:sz w:val="24"/>
                <w:szCs w:val="24"/>
                <w:highlight w:val="none"/>
                <w:lang w:eastAsia="zh-TW"/>
              </w:rPr>
              <w:t>得0.5分，最多得1分。</w:t>
            </w:r>
          </w:p>
          <w:p w14:paraId="526BCEF3">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bCs/>
                <w:color w:val="auto"/>
                <w:highlight w:val="none"/>
              </w:rPr>
            </w:pPr>
            <w:r>
              <w:rPr>
                <w:rFonts w:hint="eastAsia" w:ascii="宋体" w:hAnsi="宋体" w:cs="宋体"/>
                <w:b/>
                <w:bCs/>
                <w:color w:val="auto"/>
                <w:kern w:val="0"/>
                <w:sz w:val="24"/>
                <w:szCs w:val="24"/>
                <w:highlight w:val="none"/>
              </w:rPr>
              <w:t>以上证书提供原件扫描件并加盖公章，未提供或未加盖公章的不得分；以上证书人员需提供本公司6个月社保证明，不提供社保证明不得分。</w:t>
            </w:r>
          </w:p>
        </w:tc>
        <w:tc>
          <w:tcPr>
            <w:tcW w:w="694" w:type="dxa"/>
            <w:noWrap w:val="0"/>
            <w:tcMar>
              <w:top w:w="0" w:type="dxa"/>
              <w:left w:w="57" w:type="dxa"/>
              <w:bottom w:w="0" w:type="dxa"/>
              <w:right w:w="57" w:type="dxa"/>
            </w:tcMar>
            <w:vAlign w:val="center"/>
          </w:tcPr>
          <w:p w14:paraId="3A2CEC54">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r>
      <w:tr w14:paraId="4E945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7C7DC14D">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1247" w:type="dxa"/>
            <w:tcBorders>
              <w:left w:val="single" w:color="auto" w:sz="4" w:space="0"/>
            </w:tcBorders>
            <w:noWrap w:val="0"/>
            <w:tcMar>
              <w:top w:w="0" w:type="dxa"/>
              <w:left w:w="57" w:type="dxa"/>
              <w:bottom w:w="0" w:type="dxa"/>
              <w:right w:w="57" w:type="dxa"/>
            </w:tcMar>
            <w:vAlign w:val="center"/>
          </w:tcPr>
          <w:p w14:paraId="7DBBBF0C">
            <w:pPr>
              <w:widowControl/>
              <w:adjustRightInd w:val="0"/>
              <w:snapToGrid w:val="0"/>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成功案例</w:t>
            </w:r>
          </w:p>
          <w:p w14:paraId="29284D23">
            <w:pPr>
              <w:widowControl/>
              <w:adjustRightInd w:val="0"/>
              <w:snapToGrid w:val="0"/>
              <w:spacing w:line="360" w:lineRule="auto"/>
              <w:jc w:val="center"/>
              <w:rPr>
                <w:rFonts w:ascii="宋体" w:hAnsi="宋体" w:cs="宋体"/>
                <w:b/>
                <w:bCs/>
                <w:color w:val="auto"/>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2</w:t>
            </w:r>
            <w:r>
              <w:rPr>
                <w:rFonts w:hint="eastAsia" w:ascii="宋体" w:hAnsi="宋体" w:cs="宋体"/>
                <w:b/>
                <w:bCs/>
                <w:color w:val="auto"/>
                <w:kern w:val="0"/>
                <w:sz w:val="24"/>
                <w:highlight w:val="none"/>
              </w:rPr>
              <w:t>分）</w:t>
            </w:r>
          </w:p>
        </w:tc>
        <w:tc>
          <w:tcPr>
            <w:tcW w:w="6122" w:type="dxa"/>
            <w:tcBorders>
              <w:left w:val="single" w:color="auto" w:sz="4" w:space="0"/>
            </w:tcBorders>
            <w:noWrap w:val="0"/>
            <w:tcMar>
              <w:top w:w="0" w:type="dxa"/>
              <w:left w:w="57" w:type="dxa"/>
              <w:bottom w:w="0" w:type="dxa"/>
              <w:right w:w="57" w:type="dxa"/>
            </w:tcMar>
            <w:vAlign w:val="center"/>
          </w:tcPr>
          <w:p w14:paraId="38280612">
            <w:pPr>
              <w:widowControl/>
              <w:adjustRightInd w:val="0"/>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rPr>
              <w:t>20</w:t>
            </w:r>
            <w:r>
              <w:rPr>
                <w:rFonts w:hint="eastAsia" w:ascii="宋体" w:hAnsi="宋体" w:cs="宋体"/>
                <w:color w:val="auto"/>
                <w:kern w:val="0"/>
                <w:sz w:val="24"/>
                <w:highlight w:val="none"/>
                <w:lang w:val="en-US" w:eastAsia="zh-CN"/>
              </w:rPr>
              <w:t>22</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月1日至今，投标人提供相关改造升级类案例合同，每个项目得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分，最多得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r>
              <w:rPr>
                <w:rFonts w:hint="eastAsia" w:ascii="宋体" w:hAnsi="宋体" w:cs="宋体"/>
                <w:color w:val="auto"/>
                <w:kern w:val="0"/>
                <w:sz w:val="24"/>
                <w:highlight w:val="none"/>
              </w:rPr>
              <w:br w:type="textWrapping"/>
            </w:r>
            <w:r>
              <w:rPr>
                <w:rFonts w:hint="eastAsia" w:ascii="宋体" w:hAnsi="宋体" w:cs="宋体"/>
                <w:b/>
                <w:bCs/>
                <w:color w:val="auto"/>
                <w:kern w:val="0"/>
                <w:sz w:val="24"/>
                <w:highlight w:val="none"/>
              </w:rPr>
              <w:t>以上案例需提供合同原件扫描件并加盖投标人公章，未提供或未加盖公章的不得分。</w:t>
            </w:r>
          </w:p>
        </w:tc>
        <w:tc>
          <w:tcPr>
            <w:tcW w:w="694" w:type="dxa"/>
            <w:noWrap w:val="0"/>
            <w:tcMar>
              <w:top w:w="0" w:type="dxa"/>
              <w:left w:w="57" w:type="dxa"/>
              <w:bottom w:w="0" w:type="dxa"/>
              <w:right w:w="57" w:type="dxa"/>
            </w:tcMar>
            <w:vAlign w:val="center"/>
          </w:tcPr>
          <w:p w14:paraId="29F4D315">
            <w:pPr>
              <w:widowControl/>
              <w:adjustRightInd w:val="0"/>
              <w:snapToGrid w:val="0"/>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w:t>
            </w:r>
          </w:p>
        </w:tc>
      </w:tr>
      <w:tr w14:paraId="68C99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77F66C38">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1247" w:type="dxa"/>
            <w:tcBorders>
              <w:left w:val="single" w:color="auto" w:sz="4" w:space="0"/>
            </w:tcBorders>
            <w:noWrap w:val="0"/>
            <w:tcMar>
              <w:top w:w="0" w:type="dxa"/>
              <w:left w:w="57" w:type="dxa"/>
              <w:bottom w:w="0" w:type="dxa"/>
              <w:right w:w="57" w:type="dxa"/>
            </w:tcMar>
            <w:vAlign w:val="center"/>
          </w:tcPr>
          <w:p w14:paraId="141089DB">
            <w:pPr>
              <w:adjustRightInd w:val="0"/>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价格</w:t>
            </w:r>
          </w:p>
          <w:p w14:paraId="02BBBA6B">
            <w:pPr>
              <w:adjustRightInd w:val="0"/>
              <w:snapToGrid w:val="0"/>
              <w:spacing w:line="360" w:lineRule="auto"/>
              <w:jc w:val="center"/>
              <w:rPr>
                <w:rFonts w:ascii="宋体" w:hAnsi="宋体" w:cs="宋体"/>
                <w:color w:val="auto"/>
                <w:kern w:val="0"/>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0分）</w:t>
            </w:r>
          </w:p>
        </w:tc>
        <w:tc>
          <w:tcPr>
            <w:tcW w:w="6122" w:type="dxa"/>
            <w:tcBorders>
              <w:left w:val="single" w:color="auto" w:sz="4" w:space="0"/>
            </w:tcBorders>
            <w:noWrap w:val="0"/>
            <w:tcMar>
              <w:top w:w="0" w:type="dxa"/>
              <w:left w:w="57" w:type="dxa"/>
              <w:bottom w:w="0" w:type="dxa"/>
              <w:right w:w="57" w:type="dxa"/>
            </w:tcMar>
            <w:vAlign w:val="center"/>
          </w:tcPr>
          <w:p w14:paraId="6366E2D6">
            <w:pPr>
              <w:pStyle w:val="9"/>
              <w:tabs>
                <w:tab w:val="left" w:pos="220"/>
              </w:tabs>
              <w:adjustRightInd w:val="0"/>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以合格投标人有效投标总报价中的最低价为基准价，基准价为</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0分。投标报价得分＝（评标基准价/投标报价）×</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0%</w:t>
            </w:r>
            <w:r>
              <w:rPr>
                <w:rFonts w:hint="eastAsia" w:ascii="宋体" w:hAnsi="宋体" w:cs="宋体"/>
                <w:color w:val="auto"/>
                <w:sz w:val="24"/>
                <w:highlight w:val="none"/>
              </w:rPr>
              <w:t>×</w:t>
            </w:r>
            <w:r>
              <w:rPr>
                <w:rFonts w:hint="eastAsia" w:ascii="宋体" w:hAnsi="宋体" w:cs="宋体"/>
                <w:color w:val="auto"/>
                <w:kern w:val="0"/>
                <w:sz w:val="24"/>
                <w:highlight w:val="none"/>
              </w:rPr>
              <w:t>100</w:t>
            </w:r>
            <w:r>
              <w:rPr>
                <w:rFonts w:hint="eastAsia" w:ascii="宋体" w:hAnsi="宋体" w:cs="宋体"/>
                <w:color w:val="auto"/>
                <w:sz w:val="24"/>
                <w:highlight w:val="none"/>
              </w:rPr>
              <w:t>（小数点后保留2位小数）。</w:t>
            </w:r>
          </w:p>
        </w:tc>
        <w:tc>
          <w:tcPr>
            <w:tcW w:w="694" w:type="dxa"/>
            <w:noWrap w:val="0"/>
            <w:tcMar>
              <w:top w:w="0" w:type="dxa"/>
              <w:left w:w="57" w:type="dxa"/>
              <w:bottom w:w="0" w:type="dxa"/>
              <w:right w:w="57" w:type="dxa"/>
            </w:tcMar>
            <w:vAlign w:val="center"/>
          </w:tcPr>
          <w:p w14:paraId="4D1AF0EF">
            <w:pPr>
              <w:widowControl/>
              <w:adjustRightInd w:val="0"/>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0</w:t>
            </w:r>
          </w:p>
        </w:tc>
      </w:tr>
    </w:tbl>
    <w:p w14:paraId="310DB3E7">
      <w:pPr>
        <w:rPr>
          <w:rFonts w:hint="eastAsia" w:ascii="宋体" w:hAnsi="宋体" w:cs="宋体"/>
          <w:b/>
          <w:bCs/>
          <w:color w:val="auto"/>
          <w:sz w:val="36"/>
          <w:szCs w:val="44"/>
          <w:highlight w:val="none"/>
          <w:lang w:val="en-US" w:eastAsia="zh-CN"/>
        </w:rPr>
      </w:pPr>
    </w:p>
    <w:p w14:paraId="6B74ABE6">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标项二</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47"/>
        <w:gridCol w:w="6122"/>
        <w:gridCol w:w="694"/>
      </w:tblGrid>
      <w:tr w14:paraId="6A95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12" w:type="dxa"/>
            <w:noWrap w:val="0"/>
            <w:tcMar>
              <w:top w:w="0" w:type="dxa"/>
              <w:left w:w="57" w:type="dxa"/>
              <w:bottom w:w="0" w:type="dxa"/>
              <w:right w:w="57" w:type="dxa"/>
            </w:tcMar>
            <w:vAlign w:val="center"/>
          </w:tcPr>
          <w:p w14:paraId="616C6F9C">
            <w:pPr>
              <w:pageBreakBefore w:val="0"/>
              <w:kinsoku/>
              <w:wordWrap/>
              <w:overflowPunct/>
              <w:topLinePunct w:val="0"/>
              <w:autoSpaceDE/>
              <w:autoSpaceDN/>
              <w:bidi w:val="0"/>
              <w:adjustRightInd w:val="0"/>
              <w:snapToGrid w:val="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47" w:type="dxa"/>
            <w:noWrap w:val="0"/>
            <w:tcMar>
              <w:top w:w="0" w:type="dxa"/>
              <w:left w:w="57" w:type="dxa"/>
              <w:bottom w:w="0" w:type="dxa"/>
              <w:right w:w="57" w:type="dxa"/>
            </w:tcMar>
            <w:vAlign w:val="center"/>
          </w:tcPr>
          <w:p w14:paraId="7EAFEE03">
            <w:pPr>
              <w:pageBreakBefore w:val="0"/>
              <w:kinsoku/>
              <w:wordWrap/>
              <w:overflowPunct/>
              <w:topLinePunct w:val="0"/>
              <w:autoSpaceDE/>
              <w:autoSpaceDN/>
              <w:bidi w:val="0"/>
              <w:adjustRightInd w:val="0"/>
              <w:snapToGrid w:val="0"/>
              <w:jc w:val="center"/>
              <w:textAlignment w:val="auto"/>
              <w:rPr>
                <w:rFonts w:ascii="宋体" w:hAnsi="宋体" w:cs="宋体"/>
                <w:b/>
                <w:bCs/>
                <w:color w:val="auto"/>
                <w:sz w:val="24"/>
                <w:highlight w:val="none"/>
              </w:rPr>
            </w:pPr>
            <w:r>
              <w:rPr>
                <w:rFonts w:hint="eastAsia" w:ascii="宋体" w:hAnsi="宋体" w:cs="宋体"/>
                <w:b/>
                <w:bCs/>
                <w:color w:val="auto"/>
                <w:kern w:val="0"/>
                <w:sz w:val="24"/>
                <w:highlight w:val="none"/>
              </w:rPr>
              <w:t>评分项目</w:t>
            </w:r>
          </w:p>
        </w:tc>
        <w:tc>
          <w:tcPr>
            <w:tcW w:w="6122" w:type="dxa"/>
            <w:noWrap w:val="0"/>
            <w:tcMar>
              <w:top w:w="0" w:type="dxa"/>
              <w:left w:w="57" w:type="dxa"/>
              <w:bottom w:w="0" w:type="dxa"/>
              <w:right w:w="57" w:type="dxa"/>
            </w:tcMar>
            <w:vAlign w:val="center"/>
          </w:tcPr>
          <w:p w14:paraId="4CA8AF44">
            <w:pPr>
              <w:pageBreakBefore w:val="0"/>
              <w:kinsoku/>
              <w:wordWrap/>
              <w:overflowPunct/>
              <w:topLinePunct w:val="0"/>
              <w:autoSpaceDE/>
              <w:autoSpaceDN/>
              <w:bidi w:val="0"/>
              <w:adjustRightInd w:val="0"/>
              <w:snapToGrid w:val="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评分细则</w:t>
            </w:r>
          </w:p>
        </w:tc>
        <w:tc>
          <w:tcPr>
            <w:tcW w:w="694" w:type="dxa"/>
            <w:noWrap w:val="0"/>
            <w:tcMar>
              <w:top w:w="0" w:type="dxa"/>
              <w:left w:w="57" w:type="dxa"/>
              <w:bottom w:w="0" w:type="dxa"/>
              <w:right w:w="57" w:type="dxa"/>
            </w:tcMar>
            <w:vAlign w:val="center"/>
          </w:tcPr>
          <w:p w14:paraId="4D5ABE54">
            <w:pPr>
              <w:pageBreakBefore w:val="0"/>
              <w:kinsoku/>
              <w:wordWrap/>
              <w:overflowPunct/>
              <w:topLinePunct w:val="0"/>
              <w:autoSpaceDE/>
              <w:autoSpaceDN/>
              <w:bidi w:val="0"/>
              <w:adjustRightInd w:val="0"/>
              <w:snapToGrid w:val="0"/>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分值</w:t>
            </w:r>
          </w:p>
        </w:tc>
      </w:tr>
      <w:tr w14:paraId="34DC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54CD34BE">
            <w:pPr>
              <w:pageBreakBefore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247" w:type="dxa"/>
            <w:vMerge w:val="restart"/>
            <w:noWrap w:val="0"/>
            <w:tcMar>
              <w:top w:w="0" w:type="dxa"/>
              <w:left w:w="57" w:type="dxa"/>
              <w:bottom w:w="0" w:type="dxa"/>
              <w:right w:w="57" w:type="dxa"/>
            </w:tcMar>
            <w:vAlign w:val="center"/>
          </w:tcPr>
          <w:p w14:paraId="20A895D6">
            <w:pPr>
              <w:pStyle w:val="2"/>
              <w:pageBreakBefore w:val="0"/>
              <w:kinsoku/>
              <w:wordWrap/>
              <w:overflowPunct/>
              <w:topLinePunct w:val="0"/>
              <w:autoSpaceDE/>
              <w:autoSpaceDN/>
              <w:bidi w:val="0"/>
              <w:adjustRightInd w:val="0"/>
              <w:snapToGrid w:val="0"/>
              <w:spacing w:line="360" w:lineRule="auto"/>
              <w:jc w:val="center"/>
              <w:textAlignment w:val="auto"/>
              <w:rPr>
                <w:rFonts w:ascii="宋体" w:hAnsi="宋体" w:cs="宋体"/>
                <w:b/>
                <w:bCs/>
                <w:color w:val="auto"/>
                <w:highlight w:val="none"/>
              </w:rPr>
            </w:pPr>
            <w:r>
              <w:rPr>
                <w:rFonts w:hint="eastAsia" w:ascii="宋体" w:hAnsi="宋体" w:cs="宋体"/>
                <w:b/>
                <w:bCs/>
                <w:color w:val="auto"/>
                <w:sz w:val="24"/>
                <w:szCs w:val="24"/>
                <w:highlight w:val="none"/>
                <w:lang w:eastAsia="zh-CN"/>
              </w:rPr>
              <w:t>项目理解</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16</w:t>
            </w:r>
            <w:r>
              <w:rPr>
                <w:rFonts w:hint="eastAsia" w:ascii="宋体" w:hAnsi="宋体" w:cs="宋体"/>
                <w:b/>
                <w:bCs/>
                <w:color w:val="auto"/>
                <w:sz w:val="24"/>
                <w:szCs w:val="24"/>
                <w:highlight w:val="none"/>
              </w:rPr>
              <w:t>分）</w:t>
            </w:r>
          </w:p>
        </w:tc>
        <w:tc>
          <w:tcPr>
            <w:tcW w:w="6122" w:type="dxa"/>
            <w:noWrap w:val="0"/>
            <w:tcMar>
              <w:top w:w="0" w:type="dxa"/>
              <w:left w:w="57" w:type="dxa"/>
              <w:bottom w:w="0" w:type="dxa"/>
              <w:right w:w="57" w:type="dxa"/>
            </w:tcMar>
            <w:vAlign w:val="center"/>
          </w:tcPr>
          <w:p w14:paraId="748EBD24">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根据投标方对本项目</w:t>
            </w:r>
            <w:r>
              <w:rPr>
                <w:rFonts w:hint="eastAsia" w:ascii="宋体" w:hAnsi="宋体" w:cs="宋体"/>
                <w:color w:val="auto"/>
                <w:sz w:val="24"/>
                <w:szCs w:val="24"/>
                <w:highlight w:val="none"/>
                <w:lang w:eastAsia="zh-CN"/>
              </w:rPr>
              <w:t>原系统</w:t>
            </w:r>
            <w:r>
              <w:rPr>
                <w:rFonts w:hint="eastAsia" w:ascii="宋体" w:hAnsi="宋体" w:cs="宋体"/>
                <w:color w:val="auto"/>
                <w:sz w:val="24"/>
                <w:szCs w:val="24"/>
                <w:highlight w:val="none"/>
              </w:rPr>
              <w:t>的理解打分，从项目背景、用户需求、</w:t>
            </w:r>
            <w:r>
              <w:rPr>
                <w:rFonts w:hint="eastAsia" w:ascii="宋体" w:hAnsi="宋体" w:cs="宋体"/>
                <w:color w:val="auto"/>
                <w:sz w:val="24"/>
                <w:szCs w:val="24"/>
                <w:highlight w:val="none"/>
                <w:lang w:eastAsia="zh-CN"/>
              </w:rPr>
              <w:t>运行</w:t>
            </w:r>
            <w:r>
              <w:rPr>
                <w:rFonts w:hint="eastAsia" w:ascii="宋体" w:hAnsi="宋体" w:cs="宋体"/>
                <w:color w:val="auto"/>
                <w:sz w:val="24"/>
                <w:szCs w:val="24"/>
                <w:highlight w:val="none"/>
              </w:rPr>
              <w:t>现状等描述进行酌情打分。理解透彻切实可行的得6-8分；描述基本可行的得3-5.9分；描述不明确或不可行的得0-2.9分。</w:t>
            </w:r>
          </w:p>
        </w:tc>
        <w:tc>
          <w:tcPr>
            <w:tcW w:w="694" w:type="dxa"/>
            <w:noWrap w:val="0"/>
            <w:tcMar>
              <w:top w:w="0" w:type="dxa"/>
              <w:left w:w="57" w:type="dxa"/>
              <w:bottom w:w="0" w:type="dxa"/>
              <w:right w:w="57" w:type="dxa"/>
            </w:tcMar>
            <w:vAlign w:val="center"/>
          </w:tcPr>
          <w:p w14:paraId="3B4C07DF">
            <w:pPr>
              <w:pageBreakBefore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r>
      <w:tr w14:paraId="67D6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12" w:type="dxa"/>
            <w:noWrap w:val="0"/>
            <w:tcMar>
              <w:top w:w="0" w:type="dxa"/>
              <w:left w:w="57" w:type="dxa"/>
              <w:bottom w:w="0" w:type="dxa"/>
              <w:right w:w="57" w:type="dxa"/>
            </w:tcMar>
            <w:vAlign w:val="center"/>
          </w:tcPr>
          <w:p w14:paraId="0DEF5654">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247" w:type="dxa"/>
            <w:vMerge w:val="continue"/>
            <w:noWrap w:val="0"/>
            <w:tcMar>
              <w:top w:w="0" w:type="dxa"/>
              <w:left w:w="57" w:type="dxa"/>
              <w:bottom w:w="0" w:type="dxa"/>
              <w:right w:w="57" w:type="dxa"/>
            </w:tcMar>
            <w:vAlign w:val="center"/>
          </w:tcPr>
          <w:p w14:paraId="1C92AB54">
            <w:pPr>
              <w:pageBreakBefore w:val="0"/>
              <w:kinsoku/>
              <w:wordWrap/>
              <w:overflowPunct/>
              <w:topLinePunct w:val="0"/>
              <w:autoSpaceDE/>
              <w:autoSpaceDN/>
              <w:bidi w:val="0"/>
              <w:adjustRightInd w:val="0"/>
              <w:snapToGrid w:val="0"/>
              <w:spacing w:line="360" w:lineRule="auto"/>
              <w:textAlignment w:val="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0150CA9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根据投标方对本项目需求的理解打分，从需求理解的深入程度、业务熟悉程度等方面描述进行酌情评分。理解深入、业务熟悉程度分析合理的得6-8分；理解一般、业务熟悉程度分析较合理的得3-5.9分；理解不到位、业务熟悉程度分析不合理的得0-2.9分。</w:t>
            </w:r>
          </w:p>
        </w:tc>
        <w:tc>
          <w:tcPr>
            <w:tcW w:w="694" w:type="dxa"/>
            <w:noWrap w:val="0"/>
            <w:tcMar>
              <w:top w:w="0" w:type="dxa"/>
              <w:left w:w="57" w:type="dxa"/>
              <w:bottom w:w="0" w:type="dxa"/>
              <w:right w:w="57" w:type="dxa"/>
            </w:tcMar>
            <w:vAlign w:val="center"/>
          </w:tcPr>
          <w:p w14:paraId="051377C6">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r>
      <w:tr w14:paraId="6602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507C97FC">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247" w:type="dxa"/>
            <w:vMerge w:val="restart"/>
            <w:noWrap w:val="0"/>
            <w:tcMar>
              <w:top w:w="0" w:type="dxa"/>
              <w:left w:w="57" w:type="dxa"/>
              <w:bottom w:w="0" w:type="dxa"/>
              <w:right w:w="57" w:type="dxa"/>
            </w:tcMar>
            <w:vAlign w:val="center"/>
          </w:tcPr>
          <w:p w14:paraId="0661C3B4">
            <w:pPr>
              <w:pageBreakBefore w:val="0"/>
              <w:kinsoku/>
              <w:wordWrap/>
              <w:overflowPunct/>
              <w:topLinePunct w:val="0"/>
              <w:autoSpaceDE/>
              <w:autoSpaceDN/>
              <w:bidi w:val="0"/>
              <w:adjustRightInd w:val="0"/>
              <w:snapToGrid w:val="0"/>
              <w:spacing w:line="360" w:lineRule="auto"/>
              <w:jc w:val="center"/>
              <w:textAlignment w:val="auto"/>
              <w:rPr>
                <w:rFonts w:ascii="宋体" w:hAnsi="宋体" w:cs="宋体"/>
                <w:b/>
                <w:bCs/>
                <w:color w:val="auto"/>
                <w:sz w:val="24"/>
                <w:highlight w:val="none"/>
              </w:rPr>
            </w:pPr>
            <w:r>
              <w:rPr>
                <w:rFonts w:hint="eastAsia" w:ascii="宋体" w:hAnsi="宋体" w:cs="宋体"/>
                <w:b/>
                <w:bCs/>
                <w:color w:val="auto"/>
                <w:sz w:val="24"/>
                <w:szCs w:val="24"/>
                <w:highlight w:val="none"/>
              </w:rPr>
              <w:t>技术方案（</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分）</w:t>
            </w:r>
          </w:p>
        </w:tc>
        <w:tc>
          <w:tcPr>
            <w:tcW w:w="6122" w:type="dxa"/>
            <w:noWrap w:val="0"/>
            <w:tcMar>
              <w:top w:w="0" w:type="dxa"/>
              <w:left w:w="57" w:type="dxa"/>
              <w:bottom w:w="0" w:type="dxa"/>
              <w:right w:w="57" w:type="dxa"/>
            </w:tcMar>
            <w:vAlign w:val="center"/>
          </w:tcPr>
          <w:p w14:paraId="23C29D0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投标方</w:t>
            </w:r>
            <w:r>
              <w:rPr>
                <w:rFonts w:hint="eastAsia" w:ascii="宋体" w:hAnsi="宋体" w:cs="宋体"/>
                <w:color w:val="auto"/>
                <w:sz w:val="24"/>
                <w:highlight w:val="none"/>
              </w:rPr>
              <w:t>提供的信创云</w:t>
            </w:r>
            <w:r>
              <w:rPr>
                <w:rFonts w:hint="eastAsia" w:ascii="宋体" w:hAnsi="宋体" w:cs="宋体"/>
                <w:color w:val="auto"/>
                <w:sz w:val="24"/>
                <w:highlight w:val="none"/>
                <w:lang w:eastAsia="zh-CN"/>
              </w:rPr>
              <w:t>服务器适配改造</w:t>
            </w:r>
            <w:r>
              <w:rPr>
                <w:rFonts w:hint="eastAsia" w:ascii="宋体" w:hAnsi="宋体" w:cs="宋体"/>
                <w:color w:val="auto"/>
                <w:sz w:val="24"/>
                <w:highlight w:val="none"/>
              </w:rPr>
              <w:t>方案</w:t>
            </w:r>
            <w:r>
              <w:rPr>
                <w:rFonts w:hint="eastAsia" w:ascii="宋体" w:hAnsi="宋体" w:cs="宋体"/>
                <w:color w:val="auto"/>
                <w:sz w:val="24"/>
                <w:highlight w:val="none"/>
                <w:lang w:eastAsia="zh-CN"/>
              </w:rPr>
              <w:t>，进行酌情打分。</w:t>
            </w:r>
            <w:r>
              <w:rPr>
                <w:rFonts w:hint="eastAsia" w:ascii="宋体" w:hAnsi="宋体" w:eastAsia="宋体" w:cs="宋体"/>
                <w:color w:val="auto"/>
                <w:sz w:val="24"/>
                <w:szCs w:val="24"/>
                <w:highlight w:val="none"/>
                <w:lang w:val="en-US" w:eastAsia="zh-CN"/>
              </w:rPr>
              <w:t>方案描述清晰、针对性强、确实可行的得</w:t>
            </w:r>
            <w:r>
              <w:rPr>
                <w:rFonts w:hint="eastAsia" w:ascii="宋体" w:hAnsi="宋体" w:eastAsia="宋体" w:cs="宋体"/>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rPr>
              <w:t>分；方案描述较清晰、针对性较强、较确实可行的得</w:t>
            </w:r>
            <w:r>
              <w:rPr>
                <w:rFonts w:hint="eastAsia" w:ascii="宋体" w:hAnsi="宋体" w:eastAsia="宋体" w:cs="宋体"/>
                <w:color w:val="auto"/>
                <w:kern w:val="2"/>
                <w:sz w:val="24"/>
                <w:szCs w:val="24"/>
                <w:highlight w:val="none"/>
                <w:lang w:val="en-US" w:eastAsia="zh-CN" w:bidi="ar-SA"/>
              </w:rPr>
              <w:t>2-3.9</w:t>
            </w:r>
            <w:r>
              <w:rPr>
                <w:rFonts w:hint="eastAsia" w:ascii="宋体" w:hAnsi="宋体" w:eastAsia="宋体" w:cs="宋体"/>
                <w:color w:val="auto"/>
                <w:sz w:val="24"/>
                <w:szCs w:val="24"/>
                <w:highlight w:val="none"/>
                <w:lang w:val="en-US" w:eastAsia="zh-CN"/>
              </w:rPr>
              <w:t>分；方案描述不清晰、针对性不强、不确实可行的得</w:t>
            </w:r>
            <w:r>
              <w:rPr>
                <w:rFonts w:hint="eastAsia" w:ascii="宋体" w:hAnsi="宋体" w:eastAsia="宋体" w:cs="宋体"/>
                <w:color w:val="auto"/>
                <w:kern w:val="2"/>
                <w:sz w:val="24"/>
                <w:szCs w:val="24"/>
                <w:highlight w:val="none"/>
                <w:lang w:val="en-US" w:eastAsia="zh-CN" w:bidi="ar-SA"/>
              </w:rPr>
              <w:t>0-1.9</w:t>
            </w:r>
            <w:r>
              <w:rPr>
                <w:rFonts w:hint="eastAsia" w:ascii="宋体" w:hAnsi="宋体" w:eastAsia="宋体" w:cs="宋体"/>
                <w:color w:val="auto"/>
                <w:sz w:val="24"/>
                <w:szCs w:val="24"/>
                <w:highlight w:val="none"/>
                <w:lang w:val="en-US" w:eastAsia="zh-CN"/>
              </w:rPr>
              <w:t>分。</w:t>
            </w:r>
          </w:p>
        </w:tc>
        <w:tc>
          <w:tcPr>
            <w:tcW w:w="694" w:type="dxa"/>
            <w:noWrap w:val="0"/>
            <w:tcMar>
              <w:top w:w="0" w:type="dxa"/>
              <w:left w:w="57" w:type="dxa"/>
              <w:bottom w:w="0" w:type="dxa"/>
              <w:right w:w="57" w:type="dxa"/>
            </w:tcMar>
            <w:vAlign w:val="center"/>
          </w:tcPr>
          <w:p w14:paraId="3CD5D979">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16AA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37CFD1E9">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247" w:type="dxa"/>
            <w:vMerge w:val="continue"/>
            <w:noWrap w:val="0"/>
            <w:tcMar>
              <w:top w:w="0" w:type="dxa"/>
              <w:left w:w="57" w:type="dxa"/>
              <w:bottom w:w="0" w:type="dxa"/>
              <w:right w:w="57" w:type="dxa"/>
            </w:tcMar>
            <w:vAlign w:val="center"/>
          </w:tcPr>
          <w:p w14:paraId="4736FCCB">
            <w:pPr>
              <w:pageBreakBefore w:val="0"/>
              <w:kinsoku/>
              <w:wordWrap/>
              <w:overflowPunct/>
              <w:topLinePunct w:val="0"/>
              <w:autoSpaceDE/>
              <w:autoSpaceDN/>
              <w:bidi w:val="0"/>
              <w:adjustRightInd w:val="0"/>
              <w:snapToGrid w:val="0"/>
              <w:spacing w:line="360" w:lineRule="auto"/>
              <w:textAlignment w:val="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3A4EB6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投标方</w:t>
            </w:r>
            <w:r>
              <w:rPr>
                <w:rFonts w:hint="eastAsia" w:ascii="宋体" w:hAnsi="宋体" w:cs="宋体"/>
                <w:color w:val="auto"/>
                <w:sz w:val="24"/>
                <w:highlight w:val="none"/>
              </w:rPr>
              <w:t>提供的</w:t>
            </w:r>
            <w:r>
              <w:rPr>
                <w:rFonts w:hint="eastAsia" w:ascii="宋体" w:hAnsi="宋体" w:cs="宋体"/>
                <w:color w:val="auto"/>
                <w:sz w:val="24"/>
                <w:highlight w:val="none"/>
                <w:lang w:eastAsia="zh-CN"/>
              </w:rPr>
              <w:t>操作系统适配改造</w:t>
            </w:r>
            <w:r>
              <w:rPr>
                <w:rFonts w:hint="eastAsia" w:ascii="宋体" w:hAnsi="宋体" w:cs="宋体"/>
                <w:color w:val="auto"/>
                <w:sz w:val="24"/>
                <w:highlight w:val="none"/>
              </w:rPr>
              <w:t>方案</w:t>
            </w:r>
            <w:r>
              <w:rPr>
                <w:rFonts w:hint="eastAsia" w:ascii="宋体" w:hAnsi="宋体" w:cs="宋体"/>
                <w:color w:val="auto"/>
                <w:sz w:val="24"/>
                <w:highlight w:val="none"/>
                <w:lang w:eastAsia="zh-CN"/>
              </w:rPr>
              <w:t>，进行酌情打分。</w:t>
            </w:r>
          </w:p>
          <w:p w14:paraId="0838821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方案描述清晰、针对性强、确实可行的得</w:t>
            </w:r>
            <w:r>
              <w:rPr>
                <w:rFonts w:hint="eastAsia" w:ascii="宋体" w:hAnsi="宋体" w:eastAsia="宋体" w:cs="宋体"/>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rPr>
              <w:t>分；方案描述较清晰、针对性较强、较确实可行的得</w:t>
            </w:r>
            <w:r>
              <w:rPr>
                <w:rFonts w:hint="eastAsia" w:ascii="宋体" w:hAnsi="宋体" w:eastAsia="宋体" w:cs="宋体"/>
                <w:color w:val="auto"/>
                <w:kern w:val="2"/>
                <w:sz w:val="24"/>
                <w:szCs w:val="24"/>
                <w:highlight w:val="none"/>
                <w:lang w:val="en-US" w:eastAsia="zh-CN" w:bidi="ar-SA"/>
              </w:rPr>
              <w:t>2-3.9</w:t>
            </w:r>
            <w:r>
              <w:rPr>
                <w:rFonts w:hint="eastAsia" w:ascii="宋体" w:hAnsi="宋体" w:eastAsia="宋体" w:cs="宋体"/>
                <w:color w:val="auto"/>
                <w:sz w:val="24"/>
                <w:szCs w:val="24"/>
                <w:highlight w:val="none"/>
                <w:lang w:val="en-US" w:eastAsia="zh-CN"/>
              </w:rPr>
              <w:t>分；方案描述不清晰、针对性不强、不确实可行的得</w:t>
            </w:r>
            <w:r>
              <w:rPr>
                <w:rFonts w:hint="eastAsia" w:ascii="宋体" w:hAnsi="宋体" w:eastAsia="宋体" w:cs="宋体"/>
                <w:color w:val="auto"/>
                <w:kern w:val="2"/>
                <w:sz w:val="24"/>
                <w:szCs w:val="24"/>
                <w:highlight w:val="none"/>
                <w:lang w:val="en-US" w:eastAsia="zh-CN" w:bidi="ar-SA"/>
              </w:rPr>
              <w:t>0-1.9</w:t>
            </w:r>
            <w:r>
              <w:rPr>
                <w:rFonts w:hint="eastAsia" w:ascii="宋体" w:hAnsi="宋体" w:eastAsia="宋体" w:cs="宋体"/>
                <w:color w:val="auto"/>
                <w:sz w:val="24"/>
                <w:szCs w:val="24"/>
                <w:highlight w:val="none"/>
                <w:lang w:val="en-US" w:eastAsia="zh-CN"/>
              </w:rPr>
              <w:t>分。</w:t>
            </w:r>
          </w:p>
        </w:tc>
        <w:tc>
          <w:tcPr>
            <w:tcW w:w="694" w:type="dxa"/>
            <w:noWrap w:val="0"/>
            <w:tcMar>
              <w:top w:w="0" w:type="dxa"/>
              <w:left w:w="57" w:type="dxa"/>
              <w:bottom w:w="0" w:type="dxa"/>
              <w:right w:w="57" w:type="dxa"/>
            </w:tcMar>
            <w:vAlign w:val="center"/>
          </w:tcPr>
          <w:p w14:paraId="346B4758">
            <w:pPr>
              <w:pageBreakBefore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6</w:t>
            </w:r>
          </w:p>
        </w:tc>
      </w:tr>
      <w:tr w14:paraId="4E3F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52EB9684">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247" w:type="dxa"/>
            <w:vMerge w:val="continue"/>
            <w:noWrap w:val="0"/>
            <w:tcMar>
              <w:top w:w="0" w:type="dxa"/>
              <w:left w:w="57" w:type="dxa"/>
              <w:bottom w:w="0" w:type="dxa"/>
              <w:right w:w="57" w:type="dxa"/>
            </w:tcMar>
            <w:vAlign w:val="center"/>
          </w:tcPr>
          <w:p w14:paraId="7C9A1E5C">
            <w:pPr>
              <w:pageBreakBefore w:val="0"/>
              <w:kinsoku/>
              <w:wordWrap/>
              <w:overflowPunct/>
              <w:topLinePunct w:val="0"/>
              <w:autoSpaceDE/>
              <w:autoSpaceDN/>
              <w:bidi w:val="0"/>
              <w:adjustRightInd w:val="0"/>
              <w:snapToGrid w:val="0"/>
              <w:spacing w:line="360" w:lineRule="auto"/>
              <w:textAlignment w:val="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1092C6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投标方</w:t>
            </w:r>
            <w:r>
              <w:rPr>
                <w:rFonts w:hint="eastAsia" w:ascii="宋体" w:hAnsi="宋体" w:cs="宋体"/>
                <w:color w:val="auto"/>
                <w:sz w:val="24"/>
                <w:highlight w:val="none"/>
              </w:rPr>
              <w:t>提供的</w:t>
            </w:r>
            <w:r>
              <w:rPr>
                <w:rFonts w:hint="eastAsia" w:ascii="宋体" w:hAnsi="宋体" w:cs="宋体"/>
                <w:color w:val="auto"/>
                <w:sz w:val="24"/>
                <w:highlight w:val="none"/>
                <w:lang w:eastAsia="zh-CN"/>
              </w:rPr>
              <w:t>数据库适配改造</w:t>
            </w:r>
            <w:r>
              <w:rPr>
                <w:rFonts w:hint="eastAsia" w:ascii="宋体" w:hAnsi="宋体" w:cs="宋体"/>
                <w:color w:val="auto"/>
                <w:sz w:val="24"/>
                <w:highlight w:val="none"/>
              </w:rPr>
              <w:t>方案</w:t>
            </w:r>
            <w:r>
              <w:rPr>
                <w:rFonts w:hint="eastAsia" w:ascii="宋体" w:hAnsi="宋体" w:cs="宋体"/>
                <w:color w:val="auto"/>
                <w:sz w:val="24"/>
                <w:highlight w:val="none"/>
                <w:lang w:eastAsia="zh-CN"/>
              </w:rPr>
              <w:t>，进行酌情打分。</w:t>
            </w:r>
            <w:r>
              <w:rPr>
                <w:rFonts w:hint="eastAsia" w:ascii="宋体" w:hAnsi="宋体" w:eastAsia="宋体" w:cs="宋体"/>
                <w:color w:val="auto"/>
                <w:sz w:val="24"/>
                <w:szCs w:val="24"/>
                <w:highlight w:val="none"/>
                <w:lang w:val="en-US" w:eastAsia="zh-CN"/>
              </w:rPr>
              <w:t>方案描述清晰、针对性强、确实可行的得</w:t>
            </w:r>
            <w:r>
              <w:rPr>
                <w:rFonts w:hint="eastAsia" w:ascii="宋体" w:hAnsi="宋体" w:eastAsia="宋体" w:cs="宋体"/>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rPr>
              <w:t>分；方案描述较清晰、针对性较强、较确实可行的得</w:t>
            </w:r>
            <w:r>
              <w:rPr>
                <w:rFonts w:hint="eastAsia" w:ascii="宋体" w:hAnsi="宋体" w:eastAsia="宋体" w:cs="宋体"/>
                <w:color w:val="auto"/>
                <w:kern w:val="2"/>
                <w:sz w:val="24"/>
                <w:szCs w:val="24"/>
                <w:highlight w:val="none"/>
                <w:lang w:val="en-US" w:eastAsia="zh-CN" w:bidi="ar-SA"/>
              </w:rPr>
              <w:t>2-3.9</w:t>
            </w:r>
            <w:r>
              <w:rPr>
                <w:rFonts w:hint="eastAsia" w:ascii="宋体" w:hAnsi="宋体" w:eastAsia="宋体" w:cs="宋体"/>
                <w:color w:val="auto"/>
                <w:sz w:val="24"/>
                <w:szCs w:val="24"/>
                <w:highlight w:val="none"/>
                <w:lang w:val="en-US" w:eastAsia="zh-CN"/>
              </w:rPr>
              <w:t>分；方案描述不清晰、针对性不强、不确实可行的得</w:t>
            </w:r>
            <w:r>
              <w:rPr>
                <w:rFonts w:hint="eastAsia" w:ascii="宋体" w:hAnsi="宋体" w:eastAsia="宋体" w:cs="宋体"/>
                <w:color w:val="auto"/>
                <w:kern w:val="2"/>
                <w:sz w:val="24"/>
                <w:szCs w:val="24"/>
                <w:highlight w:val="none"/>
                <w:lang w:val="en-US" w:eastAsia="zh-CN" w:bidi="ar-SA"/>
              </w:rPr>
              <w:t>0-1.9</w:t>
            </w:r>
            <w:r>
              <w:rPr>
                <w:rFonts w:hint="eastAsia" w:ascii="宋体" w:hAnsi="宋体" w:eastAsia="宋体" w:cs="宋体"/>
                <w:color w:val="auto"/>
                <w:sz w:val="24"/>
                <w:szCs w:val="24"/>
                <w:highlight w:val="none"/>
                <w:lang w:val="en-US" w:eastAsia="zh-CN"/>
              </w:rPr>
              <w:t>分。</w:t>
            </w:r>
          </w:p>
        </w:tc>
        <w:tc>
          <w:tcPr>
            <w:tcW w:w="694" w:type="dxa"/>
            <w:noWrap w:val="0"/>
            <w:tcMar>
              <w:top w:w="0" w:type="dxa"/>
              <w:left w:w="57" w:type="dxa"/>
              <w:bottom w:w="0" w:type="dxa"/>
              <w:right w:w="57" w:type="dxa"/>
            </w:tcMar>
            <w:vAlign w:val="center"/>
          </w:tcPr>
          <w:p w14:paraId="0345D6E2">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7519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12" w:type="dxa"/>
            <w:noWrap w:val="0"/>
            <w:tcMar>
              <w:top w:w="0" w:type="dxa"/>
              <w:left w:w="57" w:type="dxa"/>
              <w:bottom w:w="0" w:type="dxa"/>
              <w:right w:w="57" w:type="dxa"/>
            </w:tcMar>
            <w:vAlign w:val="center"/>
          </w:tcPr>
          <w:p w14:paraId="36A561B8">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247" w:type="dxa"/>
            <w:vMerge w:val="continue"/>
            <w:noWrap w:val="0"/>
            <w:tcMar>
              <w:top w:w="0" w:type="dxa"/>
              <w:left w:w="57" w:type="dxa"/>
              <w:bottom w:w="0" w:type="dxa"/>
              <w:right w:w="57" w:type="dxa"/>
            </w:tcMar>
            <w:vAlign w:val="center"/>
          </w:tcPr>
          <w:p w14:paraId="0F135D22">
            <w:pPr>
              <w:pageBreakBefore w:val="0"/>
              <w:kinsoku/>
              <w:wordWrap/>
              <w:overflowPunct/>
              <w:topLinePunct w:val="0"/>
              <w:autoSpaceDE/>
              <w:autoSpaceDN/>
              <w:bidi w:val="0"/>
              <w:adjustRightInd w:val="0"/>
              <w:snapToGrid w:val="0"/>
              <w:spacing w:line="360" w:lineRule="auto"/>
              <w:textAlignment w:val="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3026729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投标方</w:t>
            </w:r>
            <w:r>
              <w:rPr>
                <w:rFonts w:hint="eastAsia" w:ascii="宋体" w:hAnsi="宋体" w:cs="宋体"/>
                <w:color w:val="auto"/>
                <w:sz w:val="24"/>
                <w:highlight w:val="none"/>
              </w:rPr>
              <w:t>提供的</w:t>
            </w:r>
            <w:r>
              <w:rPr>
                <w:rFonts w:hint="eastAsia" w:ascii="宋体" w:hAnsi="宋体" w:cs="宋体"/>
                <w:color w:val="auto"/>
                <w:sz w:val="24"/>
                <w:highlight w:val="none"/>
                <w:lang w:eastAsia="zh-CN"/>
              </w:rPr>
              <w:t>数据库迁移</w:t>
            </w:r>
            <w:r>
              <w:rPr>
                <w:rFonts w:hint="eastAsia" w:ascii="宋体" w:hAnsi="宋体" w:cs="宋体"/>
                <w:color w:val="auto"/>
                <w:sz w:val="24"/>
                <w:highlight w:val="none"/>
              </w:rPr>
              <w:t>方案</w:t>
            </w:r>
            <w:r>
              <w:rPr>
                <w:rFonts w:hint="eastAsia" w:ascii="宋体" w:hAnsi="宋体" w:cs="宋体"/>
                <w:color w:val="auto"/>
                <w:sz w:val="24"/>
                <w:highlight w:val="none"/>
                <w:lang w:eastAsia="zh-CN"/>
              </w:rPr>
              <w:t>，进行酌情打分。</w:t>
            </w:r>
            <w:r>
              <w:rPr>
                <w:rFonts w:hint="eastAsia" w:ascii="宋体" w:hAnsi="宋体" w:eastAsia="宋体" w:cs="宋体"/>
                <w:color w:val="auto"/>
                <w:sz w:val="24"/>
                <w:szCs w:val="24"/>
                <w:highlight w:val="none"/>
                <w:lang w:val="en-US" w:eastAsia="zh-CN"/>
              </w:rPr>
              <w:t>方案描述清晰、针对性强、确实可行的得</w:t>
            </w:r>
            <w:r>
              <w:rPr>
                <w:rFonts w:hint="eastAsia" w:ascii="宋体" w:hAnsi="宋体" w:eastAsia="宋体" w:cs="宋体"/>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rPr>
              <w:t>分；方案描述较清晰、针对性较强、较确实可行的得</w:t>
            </w:r>
            <w:r>
              <w:rPr>
                <w:rFonts w:hint="eastAsia" w:ascii="宋体" w:hAnsi="宋体" w:eastAsia="宋体" w:cs="宋体"/>
                <w:color w:val="auto"/>
                <w:kern w:val="2"/>
                <w:sz w:val="24"/>
                <w:szCs w:val="24"/>
                <w:highlight w:val="none"/>
                <w:lang w:val="en-US" w:eastAsia="zh-CN" w:bidi="ar-SA"/>
              </w:rPr>
              <w:t>2-3.9</w:t>
            </w:r>
            <w:r>
              <w:rPr>
                <w:rFonts w:hint="eastAsia" w:ascii="宋体" w:hAnsi="宋体" w:eastAsia="宋体" w:cs="宋体"/>
                <w:color w:val="auto"/>
                <w:sz w:val="24"/>
                <w:szCs w:val="24"/>
                <w:highlight w:val="none"/>
                <w:lang w:val="en-US" w:eastAsia="zh-CN"/>
              </w:rPr>
              <w:t>分；方案描述不清晰、针对性不强、不确实可行的得</w:t>
            </w:r>
            <w:r>
              <w:rPr>
                <w:rFonts w:hint="eastAsia" w:ascii="宋体" w:hAnsi="宋体" w:eastAsia="宋体" w:cs="宋体"/>
                <w:color w:val="auto"/>
                <w:kern w:val="2"/>
                <w:sz w:val="24"/>
                <w:szCs w:val="24"/>
                <w:highlight w:val="none"/>
                <w:lang w:val="en-US" w:eastAsia="zh-CN" w:bidi="ar-SA"/>
              </w:rPr>
              <w:t>0-1.9</w:t>
            </w:r>
            <w:r>
              <w:rPr>
                <w:rFonts w:hint="eastAsia" w:ascii="宋体" w:hAnsi="宋体" w:eastAsia="宋体" w:cs="宋体"/>
                <w:color w:val="auto"/>
                <w:sz w:val="24"/>
                <w:szCs w:val="24"/>
                <w:highlight w:val="none"/>
                <w:lang w:val="en-US" w:eastAsia="zh-CN"/>
              </w:rPr>
              <w:t>分。</w:t>
            </w:r>
          </w:p>
        </w:tc>
        <w:tc>
          <w:tcPr>
            <w:tcW w:w="694" w:type="dxa"/>
            <w:noWrap w:val="0"/>
            <w:tcMar>
              <w:top w:w="0" w:type="dxa"/>
              <w:left w:w="57" w:type="dxa"/>
              <w:bottom w:w="0" w:type="dxa"/>
              <w:right w:w="57" w:type="dxa"/>
            </w:tcMar>
            <w:vAlign w:val="center"/>
          </w:tcPr>
          <w:p w14:paraId="60004EC2">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5BE5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7C64FF1D">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247" w:type="dxa"/>
            <w:vMerge w:val="continue"/>
            <w:noWrap w:val="0"/>
            <w:tcMar>
              <w:top w:w="0" w:type="dxa"/>
              <w:left w:w="57" w:type="dxa"/>
              <w:bottom w:w="0" w:type="dxa"/>
              <w:right w:w="57" w:type="dxa"/>
            </w:tcMar>
            <w:vAlign w:val="center"/>
          </w:tcPr>
          <w:p w14:paraId="32579869">
            <w:pPr>
              <w:pageBreakBefore w:val="0"/>
              <w:kinsoku/>
              <w:wordWrap/>
              <w:overflowPunct/>
              <w:topLinePunct w:val="0"/>
              <w:autoSpaceDE/>
              <w:autoSpaceDN/>
              <w:bidi w:val="0"/>
              <w:adjustRightInd w:val="0"/>
              <w:snapToGrid w:val="0"/>
              <w:spacing w:line="360" w:lineRule="auto"/>
              <w:textAlignment w:val="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5575C20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投标方</w:t>
            </w:r>
            <w:r>
              <w:rPr>
                <w:rFonts w:hint="eastAsia" w:ascii="宋体" w:hAnsi="宋体" w:cs="宋体"/>
                <w:color w:val="auto"/>
                <w:sz w:val="24"/>
                <w:highlight w:val="none"/>
              </w:rPr>
              <w:t>提供的商用密码应用安全改造方案</w:t>
            </w:r>
            <w:r>
              <w:rPr>
                <w:rFonts w:hint="eastAsia" w:ascii="宋体" w:hAnsi="宋体" w:cs="宋体"/>
                <w:color w:val="auto"/>
                <w:sz w:val="24"/>
                <w:highlight w:val="none"/>
                <w:lang w:eastAsia="zh-CN"/>
              </w:rPr>
              <w:t>，进行酌情打分。</w:t>
            </w:r>
            <w:r>
              <w:rPr>
                <w:rFonts w:hint="eastAsia" w:ascii="宋体" w:hAnsi="宋体" w:eastAsia="宋体" w:cs="宋体"/>
                <w:color w:val="auto"/>
                <w:sz w:val="24"/>
                <w:szCs w:val="24"/>
                <w:highlight w:val="none"/>
                <w:lang w:val="en-US" w:eastAsia="zh-CN"/>
              </w:rPr>
              <w:t>方案描述清晰、针对性强、确实可行的得</w:t>
            </w:r>
            <w:r>
              <w:rPr>
                <w:rFonts w:hint="eastAsia" w:ascii="宋体" w:hAnsi="宋体" w:eastAsia="宋体" w:cs="宋体"/>
                <w:color w:val="auto"/>
                <w:kern w:val="2"/>
                <w:sz w:val="24"/>
                <w:szCs w:val="24"/>
                <w:highlight w:val="none"/>
                <w:lang w:val="en-US" w:eastAsia="zh-CN" w:bidi="ar-SA"/>
              </w:rPr>
              <w:t>4-6</w:t>
            </w:r>
            <w:r>
              <w:rPr>
                <w:rFonts w:hint="eastAsia" w:ascii="宋体" w:hAnsi="宋体" w:eastAsia="宋体" w:cs="宋体"/>
                <w:color w:val="auto"/>
                <w:sz w:val="24"/>
                <w:szCs w:val="24"/>
                <w:highlight w:val="none"/>
                <w:lang w:val="en-US" w:eastAsia="zh-CN"/>
              </w:rPr>
              <w:t>分；方案描述较清晰、针对性较强、较确实可行的得</w:t>
            </w:r>
            <w:r>
              <w:rPr>
                <w:rFonts w:hint="eastAsia" w:ascii="宋体" w:hAnsi="宋体" w:eastAsia="宋体" w:cs="宋体"/>
                <w:color w:val="auto"/>
                <w:kern w:val="2"/>
                <w:sz w:val="24"/>
                <w:szCs w:val="24"/>
                <w:highlight w:val="none"/>
                <w:lang w:val="en-US" w:eastAsia="zh-CN" w:bidi="ar-SA"/>
              </w:rPr>
              <w:t>2-3.9</w:t>
            </w:r>
            <w:r>
              <w:rPr>
                <w:rFonts w:hint="eastAsia" w:ascii="宋体" w:hAnsi="宋体" w:eastAsia="宋体" w:cs="宋体"/>
                <w:color w:val="auto"/>
                <w:sz w:val="24"/>
                <w:szCs w:val="24"/>
                <w:highlight w:val="none"/>
                <w:lang w:val="en-US" w:eastAsia="zh-CN"/>
              </w:rPr>
              <w:t>分；方案描述不清晰、针对性不强、不确实可行的得</w:t>
            </w:r>
            <w:r>
              <w:rPr>
                <w:rFonts w:hint="eastAsia" w:ascii="宋体" w:hAnsi="宋体" w:eastAsia="宋体" w:cs="宋体"/>
                <w:color w:val="auto"/>
                <w:kern w:val="2"/>
                <w:sz w:val="24"/>
                <w:szCs w:val="24"/>
                <w:highlight w:val="none"/>
                <w:lang w:val="en-US" w:eastAsia="zh-CN" w:bidi="ar-SA"/>
              </w:rPr>
              <w:t>0-1.9</w:t>
            </w:r>
            <w:r>
              <w:rPr>
                <w:rFonts w:hint="eastAsia" w:ascii="宋体" w:hAnsi="宋体" w:eastAsia="宋体" w:cs="宋体"/>
                <w:color w:val="auto"/>
                <w:sz w:val="24"/>
                <w:szCs w:val="24"/>
                <w:highlight w:val="none"/>
                <w:lang w:val="en-US" w:eastAsia="zh-CN"/>
              </w:rPr>
              <w:t>分。</w:t>
            </w:r>
          </w:p>
        </w:tc>
        <w:tc>
          <w:tcPr>
            <w:tcW w:w="694" w:type="dxa"/>
            <w:noWrap w:val="0"/>
            <w:tcMar>
              <w:top w:w="0" w:type="dxa"/>
              <w:left w:w="57" w:type="dxa"/>
              <w:bottom w:w="0" w:type="dxa"/>
              <w:right w:w="57" w:type="dxa"/>
            </w:tcMar>
            <w:vAlign w:val="center"/>
          </w:tcPr>
          <w:p w14:paraId="4A69A992">
            <w:pPr>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6</w:t>
            </w:r>
          </w:p>
        </w:tc>
      </w:tr>
      <w:tr w14:paraId="1853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6C5FA86D">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247" w:type="dxa"/>
            <w:vMerge w:val="restart"/>
            <w:noWrap w:val="0"/>
            <w:tcMar>
              <w:top w:w="0" w:type="dxa"/>
              <w:left w:w="57" w:type="dxa"/>
              <w:bottom w:w="0" w:type="dxa"/>
              <w:right w:w="57" w:type="dxa"/>
            </w:tcMar>
            <w:vAlign w:val="center"/>
          </w:tcPr>
          <w:p w14:paraId="6E302065">
            <w:pPr>
              <w:pageBreakBefore w:val="0"/>
              <w:kinsoku/>
              <w:wordWrap/>
              <w:overflowPunct/>
              <w:topLinePunct w:val="0"/>
              <w:autoSpaceDE/>
              <w:autoSpaceDN/>
              <w:bidi w:val="0"/>
              <w:adjustRightInd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项目实施方案（10分）</w:t>
            </w:r>
          </w:p>
        </w:tc>
        <w:tc>
          <w:tcPr>
            <w:tcW w:w="6122" w:type="dxa"/>
            <w:noWrap w:val="0"/>
            <w:tcMar>
              <w:top w:w="0" w:type="dxa"/>
              <w:left w:w="57" w:type="dxa"/>
              <w:bottom w:w="0" w:type="dxa"/>
              <w:right w:w="57" w:type="dxa"/>
            </w:tcMar>
            <w:vAlign w:val="center"/>
          </w:tcPr>
          <w:p w14:paraId="2BF40B4D">
            <w:pPr>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根据投标方提供符合工期要求的实施方案和计划安排打分，实施方案描述具有科学性、可操作性、计划安排切实可行得3-4分，描述具有较科学性和可操作性，计划安排较可行得1.5-2.9分，科学性和可操作性差或计划安排可行性差的得0-1.4分。</w:t>
            </w:r>
          </w:p>
        </w:tc>
        <w:tc>
          <w:tcPr>
            <w:tcW w:w="694" w:type="dxa"/>
            <w:noWrap w:val="0"/>
            <w:tcMar>
              <w:top w:w="0" w:type="dxa"/>
              <w:left w:w="57" w:type="dxa"/>
              <w:bottom w:w="0" w:type="dxa"/>
              <w:right w:w="57" w:type="dxa"/>
            </w:tcMar>
            <w:vAlign w:val="center"/>
          </w:tcPr>
          <w:p w14:paraId="511DB672">
            <w:pPr>
              <w:pageBreakBefore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r>
      <w:tr w14:paraId="2687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54A9E737">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247" w:type="dxa"/>
            <w:vMerge w:val="continue"/>
            <w:noWrap w:val="0"/>
            <w:tcMar>
              <w:top w:w="0" w:type="dxa"/>
              <w:left w:w="57" w:type="dxa"/>
              <w:bottom w:w="0" w:type="dxa"/>
              <w:right w:w="57" w:type="dxa"/>
            </w:tcMar>
            <w:vAlign w:val="center"/>
          </w:tcPr>
          <w:p w14:paraId="52ED0F78">
            <w:pPr>
              <w:pageBreakBefore w:val="0"/>
              <w:kinsoku/>
              <w:wordWrap/>
              <w:overflowPunct/>
              <w:topLinePunct w:val="0"/>
              <w:autoSpaceDE/>
              <w:autoSpaceDN/>
              <w:bidi w:val="0"/>
              <w:adjustRightInd w:val="0"/>
              <w:snapToGrid w:val="0"/>
              <w:spacing w:line="360" w:lineRule="auto"/>
              <w:textAlignment w:val="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0CEBA4D0">
            <w:pPr>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根据投标方对本项目的质量保障方案进行打分，质量保证措施和质量控制方案合理先进，并具有详细可行的得1.5-2分；质量保证措施和质量控制方案较合理先进，并具有较可行的得0.9-1.4分；质量保证措施和质量控制方案不合理先进，可行差的得0-0.8分。</w:t>
            </w:r>
          </w:p>
        </w:tc>
        <w:tc>
          <w:tcPr>
            <w:tcW w:w="694" w:type="dxa"/>
            <w:noWrap w:val="0"/>
            <w:tcMar>
              <w:top w:w="0" w:type="dxa"/>
              <w:left w:w="57" w:type="dxa"/>
              <w:bottom w:w="0" w:type="dxa"/>
              <w:right w:w="57" w:type="dxa"/>
            </w:tcMar>
            <w:vAlign w:val="center"/>
          </w:tcPr>
          <w:p w14:paraId="639BC58C">
            <w:pPr>
              <w:pageBreakBefore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r>
      <w:tr w14:paraId="3653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78E65E9D">
            <w:pPr>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247" w:type="dxa"/>
            <w:vMerge w:val="continue"/>
            <w:noWrap w:val="0"/>
            <w:tcMar>
              <w:top w:w="0" w:type="dxa"/>
              <w:left w:w="57" w:type="dxa"/>
              <w:bottom w:w="0" w:type="dxa"/>
              <w:right w:w="57" w:type="dxa"/>
            </w:tcMar>
            <w:vAlign w:val="center"/>
          </w:tcPr>
          <w:p w14:paraId="15869B5F">
            <w:pPr>
              <w:pageBreakBefore w:val="0"/>
              <w:kinsoku/>
              <w:wordWrap/>
              <w:overflowPunct/>
              <w:topLinePunct w:val="0"/>
              <w:autoSpaceDE/>
              <w:autoSpaceDN/>
              <w:bidi w:val="0"/>
              <w:adjustRightInd w:val="0"/>
              <w:snapToGrid w:val="0"/>
              <w:spacing w:line="360" w:lineRule="auto"/>
              <w:textAlignment w:val="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62DA4768">
            <w:pPr>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根据投标方对本项目的进度保障方案进行打分，进度计划和进度保障措施合理先进，并具有详细可行的实施内容得1.5-2分；进度计划和进度保障措施相对合理先进，并具有较好的可行的实施性得0.9-1.4分；进度计划和进度保障措施不太合理先进，可行性差的得0-0.8分。</w:t>
            </w:r>
          </w:p>
        </w:tc>
        <w:tc>
          <w:tcPr>
            <w:tcW w:w="694" w:type="dxa"/>
            <w:noWrap w:val="0"/>
            <w:tcMar>
              <w:top w:w="0" w:type="dxa"/>
              <w:left w:w="57" w:type="dxa"/>
              <w:bottom w:w="0" w:type="dxa"/>
              <w:right w:w="57" w:type="dxa"/>
            </w:tcMar>
            <w:vAlign w:val="center"/>
          </w:tcPr>
          <w:p w14:paraId="24A98720">
            <w:pPr>
              <w:pageBreakBefore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r>
      <w:tr w14:paraId="74E9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09AF192D">
            <w:pPr>
              <w:keepNext/>
              <w:keepLines/>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247" w:type="dxa"/>
            <w:vMerge w:val="continue"/>
            <w:noWrap w:val="0"/>
            <w:tcMar>
              <w:top w:w="0" w:type="dxa"/>
              <w:left w:w="57" w:type="dxa"/>
              <w:bottom w:w="0" w:type="dxa"/>
              <w:right w:w="57" w:type="dxa"/>
            </w:tcMar>
            <w:vAlign w:val="center"/>
          </w:tcPr>
          <w:p w14:paraId="75D0B2D0">
            <w:pPr>
              <w:keepNext/>
              <w:keepLines/>
              <w:pageBreakBefore w:val="0"/>
              <w:kinsoku/>
              <w:wordWrap/>
              <w:overflowPunct/>
              <w:topLinePunct w:val="0"/>
              <w:autoSpaceDE/>
              <w:autoSpaceDN/>
              <w:bidi w:val="0"/>
              <w:adjustRightInd w:val="0"/>
              <w:snapToGrid w:val="0"/>
              <w:spacing w:line="360" w:lineRule="auto"/>
              <w:textAlignment w:val="auto"/>
              <w:rPr>
                <w:rFonts w:ascii="宋体" w:hAnsi="宋体" w:cs="宋体"/>
                <w:b/>
                <w:bCs/>
                <w:color w:val="auto"/>
                <w:sz w:val="24"/>
                <w:highlight w:val="none"/>
              </w:rPr>
            </w:pPr>
          </w:p>
        </w:tc>
        <w:tc>
          <w:tcPr>
            <w:tcW w:w="6122" w:type="dxa"/>
            <w:noWrap w:val="0"/>
            <w:tcMar>
              <w:top w:w="0" w:type="dxa"/>
              <w:left w:w="57" w:type="dxa"/>
              <w:bottom w:w="0" w:type="dxa"/>
              <w:right w:w="57" w:type="dxa"/>
            </w:tcMar>
            <w:vAlign w:val="center"/>
          </w:tcPr>
          <w:p w14:paraId="2404A4E4">
            <w:pPr>
              <w:keepNext/>
              <w:keepLines/>
              <w:pageBreakBefore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kern w:val="0"/>
                <w:sz w:val="24"/>
                <w:highlight w:val="none"/>
              </w:rPr>
              <w:t>根据投标方提出的测试、试运行方案的合理性、可行性情况打分，详细合理得1.5-2分，详细合理得0.9-1.4分，不够详细合理得0-0.8分。</w:t>
            </w:r>
          </w:p>
        </w:tc>
        <w:tc>
          <w:tcPr>
            <w:tcW w:w="694" w:type="dxa"/>
            <w:noWrap w:val="0"/>
            <w:tcMar>
              <w:top w:w="0" w:type="dxa"/>
              <w:left w:w="57" w:type="dxa"/>
              <w:bottom w:w="0" w:type="dxa"/>
              <w:right w:w="57" w:type="dxa"/>
            </w:tcMar>
            <w:vAlign w:val="center"/>
          </w:tcPr>
          <w:p w14:paraId="0F037F04">
            <w:pPr>
              <w:pageBreakBefore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r>
      <w:tr w14:paraId="0751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712" w:type="dxa"/>
            <w:noWrap w:val="0"/>
            <w:tcMar>
              <w:top w:w="0" w:type="dxa"/>
              <w:left w:w="57" w:type="dxa"/>
              <w:bottom w:w="0" w:type="dxa"/>
              <w:right w:w="57" w:type="dxa"/>
            </w:tcMar>
            <w:vAlign w:val="center"/>
          </w:tcPr>
          <w:p w14:paraId="6927232F">
            <w:pPr>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12</w:t>
            </w:r>
          </w:p>
        </w:tc>
        <w:tc>
          <w:tcPr>
            <w:tcW w:w="1247" w:type="dxa"/>
            <w:noWrap w:val="0"/>
            <w:tcMar>
              <w:top w:w="0" w:type="dxa"/>
              <w:left w:w="57" w:type="dxa"/>
              <w:bottom w:w="0" w:type="dxa"/>
              <w:right w:w="57" w:type="dxa"/>
            </w:tcMar>
            <w:vAlign w:val="center"/>
          </w:tcPr>
          <w:p w14:paraId="7AFE2577">
            <w:pPr>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应急方案</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6</w:t>
            </w:r>
            <w:r>
              <w:rPr>
                <w:rFonts w:hint="eastAsia" w:ascii="宋体" w:hAnsi="宋体" w:cs="宋体"/>
                <w:b/>
                <w:bCs/>
                <w:color w:val="auto"/>
                <w:kern w:val="0"/>
                <w:sz w:val="24"/>
                <w:szCs w:val="24"/>
                <w:highlight w:val="none"/>
              </w:rPr>
              <w:t>分）</w:t>
            </w:r>
          </w:p>
        </w:tc>
        <w:tc>
          <w:tcPr>
            <w:tcW w:w="6122" w:type="dxa"/>
            <w:noWrap w:val="0"/>
            <w:tcMar>
              <w:top w:w="0" w:type="dxa"/>
              <w:left w:w="57" w:type="dxa"/>
              <w:bottom w:w="0" w:type="dxa"/>
              <w:right w:w="57" w:type="dxa"/>
            </w:tcMar>
            <w:vAlign w:val="center"/>
          </w:tcPr>
          <w:p w14:paraId="274BDF1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color w:val="auto"/>
                <w:highlight w:val="none"/>
                <w:lang w:val="en-US" w:eastAsia="zh-CN"/>
              </w:rPr>
              <w:t>根据投标方对本项目迁移实施过程中的应急预案进行打分，方案应包括实施过程中可能遇到的问题及其</w:t>
            </w:r>
            <w:r>
              <w:rPr>
                <w:rFonts w:hint="eastAsia" w:ascii="宋体" w:hAnsi="宋体" w:eastAsia="宋体" w:cs="宋体"/>
                <w:color w:val="auto"/>
                <w:kern w:val="0"/>
                <w:sz w:val="24"/>
                <w:szCs w:val="24"/>
                <w:highlight w:val="none"/>
                <w:lang w:val="en-US" w:eastAsia="zh-CN" w:bidi="ar-SA"/>
              </w:rPr>
              <w:t>应对措施的考虑情况等。</w:t>
            </w:r>
          </w:p>
          <w:p w14:paraId="2D0A6DF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color w:val="auto"/>
                <w:highlight w:val="none"/>
                <w:lang w:val="en-US" w:eastAsia="zh-CN"/>
              </w:rPr>
            </w:pPr>
            <w:r>
              <w:rPr>
                <w:rFonts w:hint="eastAsia" w:ascii="宋体" w:hAnsi="宋体" w:eastAsia="宋体" w:cs="宋体"/>
                <w:color w:val="auto"/>
                <w:kern w:val="0"/>
                <w:sz w:val="24"/>
                <w:szCs w:val="24"/>
                <w:highlight w:val="none"/>
                <w:lang w:val="en-US" w:eastAsia="zh-CN" w:bidi="ar-SA"/>
              </w:rPr>
              <w:t>方案描述清晰、针对性强、确实可行的得4-6分；方案描述较清晰、针对性较强、较确实可行的得2-3.9分；方案描述不清晰、针对性不强、不确实可行的得0-1.9分。</w:t>
            </w:r>
          </w:p>
        </w:tc>
        <w:tc>
          <w:tcPr>
            <w:tcW w:w="694" w:type="dxa"/>
            <w:noWrap w:val="0"/>
            <w:tcMar>
              <w:top w:w="0" w:type="dxa"/>
              <w:left w:w="57" w:type="dxa"/>
              <w:bottom w:w="0" w:type="dxa"/>
              <w:right w:w="57" w:type="dxa"/>
            </w:tcMar>
            <w:vAlign w:val="center"/>
          </w:tcPr>
          <w:p w14:paraId="7349A7E3">
            <w:pPr>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6</w:t>
            </w:r>
          </w:p>
        </w:tc>
      </w:tr>
      <w:tr w14:paraId="133A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6B4A67D2">
            <w:pPr>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247" w:type="dxa"/>
            <w:vMerge w:val="restart"/>
            <w:noWrap w:val="0"/>
            <w:tcMar>
              <w:top w:w="0" w:type="dxa"/>
              <w:left w:w="57" w:type="dxa"/>
              <w:bottom w:w="0" w:type="dxa"/>
              <w:right w:w="57" w:type="dxa"/>
            </w:tcMar>
            <w:vAlign w:val="center"/>
          </w:tcPr>
          <w:p w14:paraId="3112C350">
            <w:pPr>
              <w:pStyle w:val="2"/>
              <w:keepNext w:val="0"/>
              <w:keepLines w:val="0"/>
              <w:pageBreakBefore w:val="0"/>
              <w:kinsoku/>
              <w:wordWrap/>
              <w:overflowPunct/>
              <w:topLinePunct w:val="0"/>
              <w:autoSpaceDE/>
              <w:autoSpaceDN/>
              <w:bidi w:val="0"/>
              <w:adjustRightInd w:val="0"/>
              <w:snapToGrid w:val="0"/>
              <w:spacing w:after="0" w:line="360" w:lineRule="auto"/>
              <w:jc w:val="center"/>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技术指标响应程度</w:t>
            </w:r>
          </w:p>
          <w:p w14:paraId="75EF910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8</w:t>
            </w:r>
            <w:r>
              <w:rPr>
                <w:rFonts w:hint="eastAsia" w:ascii="宋体" w:hAnsi="宋体" w:cs="宋体"/>
                <w:b/>
                <w:bCs/>
                <w:color w:val="auto"/>
                <w:kern w:val="0"/>
                <w:sz w:val="24"/>
                <w:szCs w:val="24"/>
                <w:highlight w:val="none"/>
              </w:rPr>
              <w:t>分）</w:t>
            </w:r>
          </w:p>
        </w:tc>
        <w:tc>
          <w:tcPr>
            <w:tcW w:w="6122" w:type="dxa"/>
            <w:noWrap w:val="0"/>
            <w:tcMar>
              <w:top w:w="0" w:type="dxa"/>
              <w:left w:w="57" w:type="dxa"/>
              <w:bottom w:w="0" w:type="dxa"/>
              <w:right w:w="57" w:type="dxa"/>
            </w:tcMar>
            <w:vAlign w:val="center"/>
          </w:tcPr>
          <w:p w14:paraId="47D82B6C">
            <w:pPr>
              <w:pStyle w:val="2"/>
              <w:pageBreakBefore w:val="0"/>
              <w:kinsoku/>
              <w:wordWrap/>
              <w:overflowPunct/>
              <w:topLinePunct w:val="0"/>
              <w:autoSpaceDE/>
              <w:autoSpaceDN/>
              <w:bidi w:val="0"/>
              <w:adjustRightInd w:val="0"/>
              <w:snapToGrid w:val="0"/>
              <w:spacing w:line="360" w:lineRule="auto"/>
              <w:textAlignment w:val="auto"/>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根据投标</w:t>
            </w:r>
            <w:r>
              <w:rPr>
                <w:rFonts w:hint="eastAsia" w:ascii="宋体" w:hAnsi="宋体" w:cs="宋体"/>
                <w:color w:val="auto"/>
                <w:kern w:val="0"/>
                <w:sz w:val="24"/>
                <w:szCs w:val="24"/>
                <w:highlight w:val="none"/>
                <w:lang w:eastAsia="zh-CN"/>
              </w:rPr>
              <w:t>方</w:t>
            </w:r>
            <w:r>
              <w:rPr>
                <w:rFonts w:hint="eastAsia" w:ascii="宋体" w:hAnsi="宋体" w:cs="宋体"/>
                <w:color w:val="auto"/>
                <w:kern w:val="0"/>
                <w:sz w:val="24"/>
                <w:szCs w:val="24"/>
                <w:highlight w:val="none"/>
              </w:rPr>
              <w:t>提供的重要参数（招标文件中带“★”项的参数）响应情况，每负偏离一项扣1分，最多扣完</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w:t>
            </w:r>
          </w:p>
        </w:tc>
        <w:tc>
          <w:tcPr>
            <w:tcW w:w="694" w:type="dxa"/>
            <w:noWrap w:val="0"/>
            <w:tcMar>
              <w:top w:w="0" w:type="dxa"/>
              <w:left w:w="57" w:type="dxa"/>
              <w:bottom w:w="0" w:type="dxa"/>
              <w:right w:w="57" w:type="dxa"/>
            </w:tcMar>
            <w:vAlign w:val="center"/>
          </w:tcPr>
          <w:p w14:paraId="2BB5ACE6">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r>
      <w:tr w14:paraId="6CC1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188E7320">
            <w:pPr>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247" w:type="dxa"/>
            <w:vMerge w:val="continue"/>
            <w:noWrap w:val="0"/>
            <w:tcMar>
              <w:top w:w="0" w:type="dxa"/>
              <w:left w:w="57" w:type="dxa"/>
              <w:bottom w:w="0" w:type="dxa"/>
              <w:right w:w="57" w:type="dxa"/>
            </w:tcMar>
            <w:vAlign w:val="center"/>
          </w:tcPr>
          <w:p w14:paraId="1A0B7074">
            <w:pPr>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b/>
                <w:bCs/>
                <w:color w:val="auto"/>
                <w:kern w:val="0"/>
                <w:sz w:val="24"/>
                <w:szCs w:val="24"/>
                <w:highlight w:val="none"/>
              </w:rPr>
            </w:pPr>
          </w:p>
        </w:tc>
        <w:tc>
          <w:tcPr>
            <w:tcW w:w="6122" w:type="dxa"/>
            <w:noWrap w:val="0"/>
            <w:tcMar>
              <w:top w:w="0" w:type="dxa"/>
              <w:left w:w="57" w:type="dxa"/>
              <w:bottom w:w="0" w:type="dxa"/>
              <w:right w:w="57" w:type="dxa"/>
            </w:tcMar>
            <w:vAlign w:val="center"/>
          </w:tcPr>
          <w:p w14:paraId="4AC90D70">
            <w:pPr>
              <w:pStyle w:val="2"/>
              <w:pageBreakBefore w:val="0"/>
              <w:kinsoku/>
              <w:wordWrap/>
              <w:overflowPunct/>
              <w:topLinePunct w:val="0"/>
              <w:autoSpaceDE/>
              <w:autoSpaceDN/>
              <w:bidi w:val="0"/>
              <w:adjustRightInd w:val="0"/>
              <w:snapToGrid w:val="0"/>
              <w:spacing w:line="360" w:lineRule="auto"/>
              <w:textAlignment w:val="auto"/>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根据投标</w:t>
            </w:r>
            <w:r>
              <w:rPr>
                <w:rFonts w:hint="eastAsia" w:ascii="宋体" w:hAnsi="宋体" w:cs="宋体"/>
                <w:color w:val="auto"/>
                <w:kern w:val="0"/>
                <w:sz w:val="24"/>
                <w:szCs w:val="24"/>
                <w:highlight w:val="none"/>
                <w:lang w:eastAsia="zh-CN"/>
              </w:rPr>
              <w:t>方</w:t>
            </w:r>
            <w:r>
              <w:rPr>
                <w:rFonts w:hint="eastAsia" w:ascii="宋体" w:hAnsi="宋体" w:cs="宋体"/>
                <w:color w:val="auto"/>
                <w:kern w:val="0"/>
                <w:sz w:val="24"/>
                <w:szCs w:val="24"/>
                <w:highlight w:val="none"/>
              </w:rPr>
              <w:t>提供的参数（招标文件中带“★”项之外的参数）响应程度进行评审给分，负偏离一项扣0.5分，最多扣完6分。</w:t>
            </w:r>
          </w:p>
        </w:tc>
        <w:tc>
          <w:tcPr>
            <w:tcW w:w="694" w:type="dxa"/>
            <w:noWrap w:val="0"/>
            <w:tcMar>
              <w:top w:w="0" w:type="dxa"/>
              <w:left w:w="57" w:type="dxa"/>
              <w:bottom w:w="0" w:type="dxa"/>
              <w:right w:w="57" w:type="dxa"/>
            </w:tcMar>
            <w:vAlign w:val="center"/>
          </w:tcPr>
          <w:p w14:paraId="3B4E8082">
            <w:pPr>
              <w:pageBreakBefore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6</w:t>
            </w:r>
          </w:p>
        </w:tc>
      </w:tr>
      <w:tr w14:paraId="3091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612A2D33">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247" w:type="dxa"/>
            <w:noWrap w:val="0"/>
            <w:tcMar>
              <w:top w:w="0" w:type="dxa"/>
              <w:left w:w="57" w:type="dxa"/>
              <w:bottom w:w="0" w:type="dxa"/>
              <w:right w:w="57" w:type="dxa"/>
            </w:tcMar>
            <w:vAlign w:val="center"/>
          </w:tcPr>
          <w:p w14:paraId="13FF5FBF">
            <w:pPr>
              <w:pageBreakBefore w:val="0"/>
              <w:kinsoku/>
              <w:wordWrap/>
              <w:overflowPunct/>
              <w:topLinePunct w:val="0"/>
              <w:autoSpaceDE/>
              <w:autoSpaceDN/>
              <w:bidi w:val="0"/>
              <w:adjustRightInd w:val="0"/>
              <w:snapToGrid w:val="0"/>
              <w:spacing w:line="360" w:lineRule="auto"/>
              <w:textAlignment w:val="auto"/>
              <w:rPr>
                <w:rFonts w:ascii="宋体" w:hAnsi="宋体" w:cs="宋体"/>
                <w:b/>
                <w:bCs/>
                <w:color w:val="auto"/>
                <w:sz w:val="24"/>
                <w:highlight w:val="none"/>
              </w:rPr>
            </w:pPr>
            <w:r>
              <w:rPr>
                <w:rFonts w:hint="eastAsia" w:ascii="宋体" w:hAnsi="宋体" w:cs="宋体"/>
                <w:b/>
                <w:bCs/>
                <w:color w:val="auto"/>
                <w:kern w:val="0"/>
                <w:sz w:val="24"/>
                <w:highlight w:val="none"/>
              </w:rPr>
              <w:t>投标方资质（</w:t>
            </w:r>
            <w:r>
              <w:rPr>
                <w:rFonts w:hint="eastAsia" w:ascii="宋体" w:hAnsi="宋体" w:cs="宋体"/>
                <w:b/>
                <w:bCs/>
                <w:color w:val="auto"/>
                <w:kern w:val="0"/>
                <w:sz w:val="24"/>
                <w:highlight w:val="none"/>
                <w:lang w:val="en-US" w:eastAsia="zh-CN"/>
              </w:rPr>
              <w:t>3</w:t>
            </w:r>
            <w:r>
              <w:rPr>
                <w:rFonts w:hint="eastAsia" w:ascii="宋体" w:hAnsi="宋体" w:cs="宋体"/>
                <w:b/>
                <w:bCs/>
                <w:color w:val="auto"/>
                <w:kern w:val="0"/>
                <w:sz w:val="24"/>
                <w:highlight w:val="none"/>
              </w:rPr>
              <w:t>分）</w:t>
            </w:r>
          </w:p>
        </w:tc>
        <w:tc>
          <w:tcPr>
            <w:tcW w:w="6122" w:type="dxa"/>
            <w:noWrap w:val="0"/>
            <w:tcMar>
              <w:top w:w="0" w:type="dxa"/>
              <w:left w:w="57" w:type="dxa"/>
              <w:bottom w:w="0" w:type="dxa"/>
              <w:right w:w="57" w:type="dxa"/>
            </w:tcMar>
            <w:vAlign w:val="center"/>
          </w:tcPr>
          <w:p w14:paraId="7CDD2DE4">
            <w:pPr>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投标方</w:t>
            </w:r>
            <w:r>
              <w:rPr>
                <w:rFonts w:hint="eastAsia" w:ascii="宋体" w:hAnsi="宋体" w:cs="宋体"/>
                <w:color w:val="auto"/>
                <w:sz w:val="24"/>
                <w:highlight w:val="none"/>
              </w:rPr>
              <w:t>提供的</w:t>
            </w:r>
            <w:r>
              <w:rPr>
                <w:rFonts w:hint="eastAsia" w:ascii="宋体" w:hAnsi="宋体" w:cs="宋体"/>
                <w:color w:val="auto"/>
                <w:sz w:val="24"/>
                <w:highlight w:val="none"/>
                <w:lang w:eastAsia="zh-CN"/>
              </w:rPr>
              <w:t>企业资质进行评分。</w:t>
            </w:r>
            <w:r>
              <w:rPr>
                <w:rFonts w:hint="eastAsia" w:ascii="宋体" w:hAnsi="宋体" w:cs="宋体"/>
                <w:color w:val="auto"/>
                <w:kern w:val="0"/>
                <w:sz w:val="24"/>
                <w:highlight w:val="none"/>
              </w:rPr>
              <w:t>投标</w:t>
            </w:r>
            <w:r>
              <w:rPr>
                <w:rFonts w:hint="eastAsia" w:ascii="宋体" w:hAnsi="宋体" w:cs="宋体"/>
                <w:color w:val="auto"/>
                <w:kern w:val="0"/>
                <w:sz w:val="24"/>
                <w:highlight w:val="none"/>
                <w:lang w:eastAsia="zh-CN"/>
              </w:rPr>
              <w:t>方</w:t>
            </w:r>
            <w:r>
              <w:rPr>
                <w:rFonts w:hint="eastAsia" w:ascii="宋体" w:hAnsi="宋体" w:cs="宋体"/>
                <w:color w:val="auto"/>
                <w:kern w:val="0"/>
                <w:sz w:val="24"/>
                <w:highlight w:val="none"/>
              </w:rPr>
              <w:t>具备IS09001质量管理体系认证证书，ISO27001信息安全管理体系认证证书，ISO20000信息技术服务管理体系认证证书，</w:t>
            </w:r>
            <w:r>
              <w:rPr>
                <w:rFonts w:ascii="宋体" w:hAnsi="宋体" w:cs="宋体"/>
                <w:color w:val="auto"/>
                <w:kern w:val="0"/>
                <w:sz w:val="24"/>
                <w:highlight w:val="none"/>
                <w:lang w:val="en"/>
              </w:rPr>
              <w:t>CMMI</w:t>
            </w:r>
            <w:r>
              <w:rPr>
                <w:rFonts w:hint="eastAsia" w:ascii="宋体" w:hAnsi="宋体" w:cs="宋体"/>
                <w:color w:val="auto"/>
                <w:kern w:val="0"/>
                <w:sz w:val="24"/>
                <w:highlight w:val="none"/>
                <w:lang w:val="en"/>
              </w:rPr>
              <w:t>软件能力成熟度三级或以上证书，</w:t>
            </w:r>
            <w:r>
              <w:rPr>
                <w:rFonts w:hint="eastAsia" w:ascii="宋体" w:hAnsi="宋体" w:cs="宋体"/>
                <w:color w:val="auto"/>
                <w:kern w:val="0"/>
                <w:sz w:val="24"/>
                <w:highlight w:val="none"/>
              </w:rPr>
              <w:t>每满足一项得1分，最多得3分；</w:t>
            </w:r>
            <w:r>
              <w:rPr>
                <w:rFonts w:hint="eastAsia" w:ascii="宋体" w:hAnsi="宋体" w:cs="宋体"/>
                <w:color w:val="auto"/>
                <w:kern w:val="0"/>
                <w:sz w:val="24"/>
                <w:highlight w:val="none"/>
              </w:rPr>
              <w:br w:type="textWrapping"/>
            </w:r>
            <w:r>
              <w:rPr>
                <w:rFonts w:hint="eastAsia" w:ascii="宋体" w:hAnsi="宋体" w:cs="宋体"/>
                <w:b/>
                <w:bCs/>
                <w:color w:val="auto"/>
                <w:kern w:val="0"/>
                <w:sz w:val="24"/>
                <w:highlight w:val="none"/>
              </w:rPr>
              <w:t>以上证书提供扫描件并加盖公章，未提供或未加盖公章的不得分。</w:t>
            </w:r>
          </w:p>
        </w:tc>
        <w:tc>
          <w:tcPr>
            <w:tcW w:w="694" w:type="dxa"/>
            <w:noWrap w:val="0"/>
            <w:tcMar>
              <w:top w:w="0" w:type="dxa"/>
              <w:left w:w="57" w:type="dxa"/>
              <w:bottom w:w="0" w:type="dxa"/>
              <w:right w:w="57" w:type="dxa"/>
            </w:tcMar>
            <w:vAlign w:val="center"/>
          </w:tcPr>
          <w:p w14:paraId="61BE3262">
            <w:pPr>
              <w:pageBreakBefore w:val="0"/>
              <w:kinsoku/>
              <w:wordWrap/>
              <w:overflowPunct/>
              <w:topLinePunct w:val="0"/>
              <w:autoSpaceDE/>
              <w:autoSpaceDN/>
              <w:bidi w:val="0"/>
              <w:adjustRightInd w:val="0"/>
              <w:snapToGrid w:val="0"/>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r>
      <w:tr w14:paraId="02CE1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672B9B1B">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247" w:type="dxa"/>
            <w:noWrap w:val="0"/>
            <w:tcMar>
              <w:top w:w="0" w:type="dxa"/>
              <w:left w:w="57" w:type="dxa"/>
              <w:bottom w:w="0" w:type="dxa"/>
              <w:right w:w="57" w:type="dxa"/>
            </w:tcMar>
            <w:vAlign w:val="center"/>
          </w:tcPr>
          <w:p w14:paraId="3688F0EE">
            <w:pPr>
              <w:pStyle w:val="2"/>
              <w:pageBreakBefore w:val="0"/>
              <w:kinsoku/>
              <w:wordWrap/>
              <w:overflowPunct/>
              <w:topLinePunct w:val="0"/>
              <w:autoSpaceDE/>
              <w:autoSpaceDN/>
              <w:bidi w:val="0"/>
              <w:adjustRightInd w:val="0"/>
              <w:snapToGrid w:val="0"/>
              <w:spacing w:line="360" w:lineRule="auto"/>
              <w:textAlignment w:val="auto"/>
              <w:rPr>
                <w:rFonts w:ascii="宋体" w:hAnsi="宋体" w:cs="宋体"/>
                <w:b/>
                <w:bCs/>
                <w:color w:val="auto"/>
                <w:highlight w:val="none"/>
              </w:rPr>
            </w:pPr>
            <w:r>
              <w:rPr>
                <w:rFonts w:hint="eastAsia" w:ascii="宋体" w:hAnsi="宋体" w:cs="宋体"/>
                <w:b/>
                <w:bCs/>
                <w:color w:val="auto"/>
                <w:kern w:val="0"/>
                <w:sz w:val="24"/>
                <w:highlight w:val="none"/>
                <w:lang w:eastAsia="zh-CN"/>
              </w:rPr>
              <w:t>人员配备</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分）</w:t>
            </w:r>
          </w:p>
        </w:tc>
        <w:tc>
          <w:tcPr>
            <w:tcW w:w="6122" w:type="dxa"/>
            <w:tcBorders>
              <w:left w:val="single" w:color="auto" w:sz="4" w:space="0"/>
            </w:tcBorders>
            <w:noWrap w:val="0"/>
            <w:tcMar>
              <w:top w:w="0" w:type="dxa"/>
              <w:left w:w="57" w:type="dxa"/>
              <w:bottom w:w="0" w:type="dxa"/>
              <w:right w:w="57" w:type="dxa"/>
            </w:tcMar>
            <w:vAlign w:val="center"/>
          </w:tcPr>
          <w:p w14:paraId="464B84BF">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根据投标方提供的项目人员相关职称或认证证书打分。</w:t>
            </w:r>
          </w:p>
          <w:p w14:paraId="7705B562">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TW"/>
              </w:rPr>
              <w:t>项目经理具备信息系统项目管理师</w:t>
            </w:r>
            <w:r>
              <w:rPr>
                <w:rFonts w:hint="eastAsia" w:ascii="宋体" w:hAnsi="宋体" w:cs="宋体"/>
                <w:color w:val="auto"/>
                <w:kern w:val="0"/>
                <w:sz w:val="24"/>
                <w:szCs w:val="24"/>
                <w:highlight w:val="none"/>
              </w:rPr>
              <w:t>证书、</w:t>
            </w:r>
            <w:r>
              <w:rPr>
                <w:rFonts w:hint="eastAsia" w:ascii="宋体" w:hAnsi="宋体" w:eastAsia="宋体" w:cs="宋体"/>
                <w:b w:val="0"/>
                <w:bCs w:val="0"/>
                <w:color w:val="auto"/>
                <w:kern w:val="0"/>
                <w:sz w:val="24"/>
                <w:szCs w:val="24"/>
                <w:highlight w:val="none"/>
                <w:lang w:eastAsia="zh-TW"/>
              </w:rPr>
              <w:t>系统规划与管理师证书</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注册信息安全专业人员</w:t>
            </w:r>
            <w:r>
              <w:rPr>
                <w:rFonts w:hint="eastAsia" w:ascii="宋体" w:hAnsi="宋体" w:eastAsia="宋体" w:cs="宋体"/>
                <w:b w:val="0"/>
                <w:bCs w:val="0"/>
                <w:color w:val="auto"/>
                <w:kern w:val="0"/>
                <w:sz w:val="24"/>
                <w:szCs w:val="24"/>
                <w:highlight w:val="none"/>
                <w:lang w:eastAsia="zh-TW"/>
              </w:rPr>
              <w:t>证书</w:t>
            </w:r>
            <w:r>
              <w:rPr>
                <w:rFonts w:hint="eastAsia" w:ascii="宋体" w:hAnsi="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eastAsia="zh-TW"/>
              </w:rPr>
              <w:t>CISP</w:t>
            </w:r>
            <w:r>
              <w:rPr>
                <w:rFonts w:hint="eastAsia" w:ascii="宋体" w:hAnsi="宋体" w:cs="宋体"/>
                <w:b w:val="0"/>
                <w:bCs w:val="0"/>
                <w:color w:val="auto"/>
                <w:kern w:val="0"/>
                <w:sz w:val="24"/>
                <w:szCs w:val="24"/>
                <w:highlight w:val="none"/>
                <w:lang w:eastAsia="zh-CN"/>
              </w:rPr>
              <w:t>体系）</w:t>
            </w:r>
            <w:r>
              <w:rPr>
                <w:rFonts w:hint="eastAsia" w:ascii="宋体" w:hAnsi="宋体" w:cs="宋体"/>
                <w:color w:val="auto"/>
                <w:kern w:val="0"/>
                <w:sz w:val="24"/>
                <w:szCs w:val="24"/>
                <w:highlight w:val="none"/>
                <w:lang w:eastAsia="zh-TW"/>
              </w:rPr>
              <w:t>，</w:t>
            </w:r>
            <w:r>
              <w:rPr>
                <w:rFonts w:hint="eastAsia" w:ascii="宋体" w:hAnsi="宋体" w:cs="宋体"/>
                <w:color w:val="auto"/>
                <w:kern w:val="0"/>
                <w:sz w:val="24"/>
                <w:szCs w:val="24"/>
                <w:highlight w:val="none"/>
              </w:rPr>
              <w:t>每满足一项得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分，最多得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w:t>
            </w:r>
          </w:p>
          <w:p w14:paraId="40D6469D">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ascii="宋体" w:hAnsi="宋体" w:cs="宋体"/>
                <w:color w:val="auto"/>
                <w:kern w:val="0"/>
                <w:sz w:val="24"/>
                <w:szCs w:val="24"/>
                <w:highlight w:val="none"/>
                <w:lang w:eastAsia="zh-TW"/>
              </w:rPr>
            </w:pPr>
            <w:r>
              <w:rPr>
                <w:rFonts w:hint="eastAsia" w:ascii="宋体" w:hAnsi="宋体" w:cs="宋体"/>
                <w:b w:val="0"/>
                <w:bCs w:val="0"/>
                <w:color w:val="auto"/>
                <w:kern w:val="0"/>
                <w:sz w:val="24"/>
                <w:szCs w:val="24"/>
                <w:highlight w:val="none"/>
              </w:rPr>
              <w:t>2.</w:t>
            </w:r>
            <w:r>
              <w:rPr>
                <w:rFonts w:hint="eastAsia" w:ascii="宋体" w:hAnsi="宋体" w:cs="宋体"/>
                <w:b w:val="0"/>
                <w:bCs w:val="0"/>
                <w:color w:val="auto"/>
                <w:kern w:val="0"/>
                <w:sz w:val="24"/>
                <w:szCs w:val="24"/>
                <w:highlight w:val="none"/>
                <w:lang w:eastAsia="zh-TW"/>
              </w:rPr>
              <w:t>项目技术负责</w:t>
            </w:r>
            <w:r>
              <w:rPr>
                <w:rFonts w:hint="eastAsia" w:ascii="宋体" w:hAnsi="宋体" w:eastAsia="宋体" w:cs="宋体"/>
                <w:b w:val="0"/>
                <w:bCs w:val="0"/>
                <w:color w:val="auto"/>
                <w:kern w:val="0"/>
                <w:sz w:val="24"/>
                <w:szCs w:val="24"/>
                <w:highlight w:val="none"/>
                <w:lang w:eastAsia="zh-TW"/>
              </w:rPr>
              <w:t>人具备具有</w:t>
            </w:r>
            <w:r>
              <w:rPr>
                <w:rFonts w:hint="eastAsia" w:ascii="宋体" w:hAnsi="宋体" w:eastAsia="宋体" w:cs="宋体"/>
                <w:b w:val="0"/>
                <w:bCs w:val="0"/>
                <w:color w:val="auto"/>
                <w:kern w:val="0"/>
                <w:sz w:val="24"/>
                <w:szCs w:val="24"/>
                <w:highlight w:val="none"/>
                <w:lang w:val="en-US" w:eastAsia="zh-CN"/>
              </w:rPr>
              <w:t>注册信息安全专业人员</w:t>
            </w:r>
            <w:r>
              <w:rPr>
                <w:rFonts w:hint="eastAsia" w:ascii="宋体" w:hAnsi="宋体" w:eastAsia="宋体" w:cs="宋体"/>
                <w:b w:val="0"/>
                <w:bCs w:val="0"/>
                <w:color w:val="auto"/>
                <w:kern w:val="0"/>
                <w:sz w:val="24"/>
                <w:szCs w:val="24"/>
                <w:highlight w:val="none"/>
                <w:lang w:eastAsia="zh-TW"/>
              </w:rPr>
              <w:t>证书</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eastAsia="zh-TW"/>
              </w:rPr>
              <w:t>CISP</w:t>
            </w:r>
            <w:r>
              <w:rPr>
                <w:rFonts w:hint="eastAsia" w:ascii="宋体" w:hAnsi="宋体" w:cs="宋体"/>
                <w:b w:val="0"/>
                <w:bCs w:val="0"/>
                <w:color w:val="auto"/>
                <w:kern w:val="0"/>
                <w:sz w:val="24"/>
                <w:szCs w:val="24"/>
                <w:highlight w:val="none"/>
                <w:lang w:eastAsia="zh-CN"/>
              </w:rPr>
              <w:t>体系</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eastAsia="zh-TW"/>
              </w:rPr>
              <w:t>、信息系统项目管理师证书、系统架构设计师证书、系统分析师证书、网络规划设计师证书、系统规划与管理师证书的，</w:t>
            </w:r>
            <w:r>
              <w:rPr>
                <w:rFonts w:hint="eastAsia" w:ascii="宋体" w:hAnsi="宋体" w:cs="宋体"/>
                <w:b w:val="0"/>
                <w:bCs w:val="0"/>
                <w:color w:val="auto"/>
                <w:kern w:val="0"/>
                <w:sz w:val="24"/>
                <w:szCs w:val="24"/>
                <w:highlight w:val="none"/>
              </w:rPr>
              <w:t>每满足一项得</w:t>
            </w:r>
            <w:r>
              <w:rPr>
                <w:rFonts w:hint="eastAsia" w:ascii="宋体" w:hAnsi="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rPr>
              <w:t>分，最多得</w:t>
            </w:r>
            <w:r>
              <w:rPr>
                <w:rFonts w:hint="eastAsia" w:ascii="宋体" w:hAnsi="宋体" w:cs="宋体"/>
                <w:b w:val="0"/>
                <w:bCs w:val="0"/>
                <w:color w:val="auto"/>
                <w:kern w:val="0"/>
                <w:sz w:val="24"/>
                <w:szCs w:val="24"/>
                <w:highlight w:val="none"/>
                <w:lang w:val="en-US" w:eastAsia="zh-CN"/>
              </w:rPr>
              <w:t>2</w:t>
            </w:r>
            <w:r>
              <w:rPr>
                <w:rFonts w:hint="eastAsia" w:ascii="宋体" w:hAnsi="宋体" w:cs="宋体"/>
                <w:b w:val="0"/>
                <w:bCs w:val="0"/>
                <w:color w:val="auto"/>
                <w:kern w:val="0"/>
                <w:sz w:val="24"/>
                <w:szCs w:val="24"/>
                <w:highlight w:val="none"/>
              </w:rPr>
              <w:t>分；</w:t>
            </w:r>
          </w:p>
          <w:p w14:paraId="5DE214D5">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rPr>
                <w:rFonts w:ascii="宋体" w:hAnsi="宋体" w:cs="宋体"/>
                <w:color w:val="auto"/>
                <w:kern w:val="0"/>
                <w:sz w:val="24"/>
                <w:szCs w:val="24"/>
                <w:highlight w:val="none"/>
              </w:rPr>
            </w:pPr>
            <w:r>
              <w:rPr>
                <w:rFonts w:hint="eastAsia" w:ascii="宋体" w:hAnsi="宋体" w:cs="宋体"/>
                <w:b w:val="0"/>
                <w:bCs w:val="0"/>
                <w:color w:val="auto"/>
                <w:kern w:val="0"/>
                <w:sz w:val="24"/>
                <w:szCs w:val="24"/>
                <w:highlight w:val="none"/>
              </w:rPr>
              <w:t>3.</w:t>
            </w:r>
            <w:r>
              <w:rPr>
                <w:rFonts w:hint="eastAsia" w:ascii="宋体" w:hAnsi="宋体" w:cs="宋体"/>
                <w:b w:val="0"/>
                <w:bCs w:val="0"/>
                <w:color w:val="auto"/>
                <w:kern w:val="0"/>
                <w:sz w:val="24"/>
                <w:szCs w:val="24"/>
                <w:highlight w:val="none"/>
                <w:lang w:eastAsia="zh-TW"/>
              </w:rPr>
              <w:t>项目组成员</w:t>
            </w:r>
            <w:r>
              <w:rPr>
                <w:rFonts w:hint="eastAsia" w:ascii="宋体" w:hAnsi="宋体" w:cs="宋体"/>
                <w:b w:val="0"/>
                <w:bCs w:val="0"/>
                <w:color w:val="auto"/>
                <w:kern w:val="0"/>
                <w:sz w:val="24"/>
                <w:szCs w:val="24"/>
                <w:highlight w:val="none"/>
              </w:rPr>
              <w:t>（除项目经理和项目技术负责人外）</w:t>
            </w:r>
            <w:r>
              <w:rPr>
                <w:rFonts w:hint="eastAsia" w:ascii="宋体" w:hAnsi="宋体" w:cs="宋体"/>
                <w:b w:val="0"/>
                <w:bCs w:val="0"/>
                <w:color w:val="auto"/>
                <w:kern w:val="0"/>
                <w:sz w:val="24"/>
                <w:szCs w:val="24"/>
                <w:highlight w:val="none"/>
                <w:lang w:eastAsia="zh-TW"/>
              </w:rPr>
              <w:t>具备</w:t>
            </w:r>
            <w:r>
              <w:rPr>
                <w:rFonts w:ascii="宋体" w:hAnsi="宋体" w:cs="宋体"/>
                <w:b w:val="0"/>
                <w:bCs w:val="0"/>
                <w:color w:val="auto"/>
                <w:kern w:val="0"/>
                <w:sz w:val="24"/>
                <w:szCs w:val="24"/>
                <w:highlight w:val="none"/>
                <w:lang w:eastAsia="zh-TW"/>
              </w:rPr>
              <w:t>全国计算机技术与软件专业技术资格（水平）考</w:t>
            </w:r>
            <w:r>
              <w:rPr>
                <w:rFonts w:ascii="宋体" w:hAnsi="宋体" w:eastAsia="宋体" w:cs="宋体"/>
                <w:b w:val="0"/>
                <w:bCs w:val="0"/>
                <w:color w:val="auto"/>
                <w:kern w:val="0"/>
                <w:sz w:val="24"/>
                <w:szCs w:val="24"/>
                <w:highlight w:val="none"/>
                <w:lang w:eastAsia="zh-TW"/>
              </w:rPr>
              <w:t>试</w:t>
            </w:r>
            <w:r>
              <w:rPr>
                <w:rFonts w:hint="eastAsia" w:ascii="宋体" w:hAnsi="宋体" w:eastAsia="宋体" w:cs="宋体"/>
                <w:b w:val="0"/>
                <w:bCs w:val="0"/>
                <w:color w:val="auto"/>
                <w:kern w:val="0"/>
                <w:sz w:val="24"/>
                <w:szCs w:val="24"/>
                <w:highlight w:val="none"/>
                <w:lang w:eastAsia="zh-TW"/>
              </w:rPr>
              <w:t>中级及以上证书的，每满足一</w:t>
            </w:r>
            <w:r>
              <w:rPr>
                <w:rFonts w:hint="eastAsia" w:ascii="宋体" w:hAnsi="宋体" w:cs="宋体"/>
                <w:b w:val="0"/>
                <w:bCs w:val="0"/>
                <w:color w:val="auto"/>
                <w:kern w:val="0"/>
                <w:sz w:val="24"/>
                <w:szCs w:val="24"/>
                <w:highlight w:val="none"/>
                <w:lang w:eastAsia="zh-CN"/>
              </w:rPr>
              <w:t>人</w:t>
            </w:r>
            <w:r>
              <w:rPr>
                <w:rFonts w:hint="eastAsia" w:ascii="宋体" w:hAnsi="宋体" w:eastAsia="宋体" w:cs="宋体"/>
                <w:b w:val="0"/>
                <w:bCs w:val="0"/>
                <w:color w:val="auto"/>
                <w:kern w:val="0"/>
                <w:sz w:val="24"/>
                <w:szCs w:val="24"/>
                <w:highlight w:val="none"/>
                <w:lang w:eastAsia="zh-TW"/>
              </w:rPr>
              <w:t>得0.5分，最多得1分。</w:t>
            </w:r>
          </w:p>
          <w:p w14:paraId="64D63A75">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bCs/>
                <w:color w:val="auto"/>
                <w:highlight w:val="none"/>
              </w:rPr>
            </w:pPr>
            <w:r>
              <w:rPr>
                <w:rFonts w:hint="eastAsia" w:ascii="宋体" w:hAnsi="宋体" w:cs="宋体"/>
                <w:b/>
                <w:bCs/>
                <w:color w:val="auto"/>
                <w:kern w:val="0"/>
                <w:sz w:val="24"/>
                <w:szCs w:val="24"/>
                <w:highlight w:val="none"/>
              </w:rPr>
              <w:t>以上证书提供原件扫描件并加盖公章，未提供或未加盖公章的不得分；以上证书人员需提供本公司6个月社保证明，不提供社保证明不得分。</w:t>
            </w:r>
          </w:p>
        </w:tc>
        <w:tc>
          <w:tcPr>
            <w:tcW w:w="694" w:type="dxa"/>
            <w:noWrap w:val="0"/>
            <w:tcMar>
              <w:top w:w="0" w:type="dxa"/>
              <w:left w:w="57" w:type="dxa"/>
              <w:bottom w:w="0" w:type="dxa"/>
              <w:right w:w="57" w:type="dxa"/>
            </w:tcMar>
            <w:vAlign w:val="center"/>
          </w:tcPr>
          <w:p w14:paraId="56165208">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r>
      <w:tr w14:paraId="59FF6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20D03825">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1247" w:type="dxa"/>
            <w:tcBorders>
              <w:left w:val="single" w:color="auto" w:sz="4" w:space="0"/>
            </w:tcBorders>
            <w:noWrap w:val="0"/>
            <w:tcMar>
              <w:top w:w="0" w:type="dxa"/>
              <w:left w:w="57" w:type="dxa"/>
              <w:bottom w:w="0" w:type="dxa"/>
              <w:right w:w="57" w:type="dxa"/>
            </w:tcMar>
            <w:vAlign w:val="center"/>
          </w:tcPr>
          <w:p w14:paraId="11308887">
            <w:pPr>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成功案例</w:t>
            </w:r>
          </w:p>
          <w:p w14:paraId="0CE2B979">
            <w:pPr>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b/>
                <w:bCs/>
                <w:color w:val="auto"/>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2</w:t>
            </w:r>
            <w:r>
              <w:rPr>
                <w:rFonts w:hint="eastAsia" w:ascii="宋体" w:hAnsi="宋体" w:cs="宋体"/>
                <w:b/>
                <w:bCs/>
                <w:color w:val="auto"/>
                <w:kern w:val="0"/>
                <w:sz w:val="24"/>
                <w:highlight w:val="none"/>
              </w:rPr>
              <w:t>分）</w:t>
            </w:r>
          </w:p>
        </w:tc>
        <w:tc>
          <w:tcPr>
            <w:tcW w:w="6122" w:type="dxa"/>
            <w:tcBorders>
              <w:left w:val="single" w:color="auto" w:sz="4" w:space="0"/>
            </w:tcBorders>
            <w:noWrap w:val="0"/>
            <w:tcMar>
              <w:top w:w="0" w:type="dxa"/>
              <w:left w:w="57" w:type="dxa"/>
              <w:bottom w:w="0" w:type="dxa"/>
              <w:right w:w="57" w:type="dxa"/>
            </w:tcMar>
            <w:vAlign w:val="center"/>
          </w:tcPr>
          <w:p w14:paraId="29A23073">
            <w:pPr>
              <w:pageBreakBefore w:val="0"/>
              <w:widowControl/>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kern w:val="0"/>
                <w:sz w:val="24"/>
                <w:highlight w:val="none"/>
              </w:rPr>
              <w:t>20</w:t>
            </w:r>
            <w:r>
              <w:rPr>
                <w:rFonts w:hint="eastAsia" w:ascii="宋体" w:hAnsi="宋体" w:cs="宋体"/>
                <w:color w:val="auto"/>
                <w:kern w:val="0"/>
                <w:sz w:val="24"/>
                <w:highlight w:val="none"/>
                <w:lang w:val="en-US" w:eastAsia="zh-CN"/>
              </w:rPr>
              <w:t>22</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月1日至今，投标人提供相关改造升级类案例合同，每个项目得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分，最多得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r>
              <w:rPr>
                <w:rFonts w:hint="eastAsia" w:ascii="宋体" w:hAnsi="宋体" w:cs="宋体"/>
                <w:color w:val="auto"/>
                <w:kern w:val="0"/>
                <w:sz w:val="24"/>
                <w:highlight w:val="none"/>
              </w:rPr>
              <w:br w:type="textWrapping"/>
            </w:r>
            <w:r>
              <w:rPr>
                <w:rFonts w:hint="eastAsia" w:ascii="宋体" w:hAnsi="宋体" w:cs="宋体"/>
                <w:b/>
                <w:bCs/>
                <w:color w:val="auto"/>
                <w:kern w:val="0"/>
                <w:sz w:val="24"/>
                <w:highlight w:val="none"/>
              </w:rPr>
              <w:t>以上案例需提供合同原件扫描件并加盖投标人公章，未提供或未加盖公章的不得分。</w:t>
            </w:r>
          </w:p>
        </w:tc>
        <w:tc>
          <w:tcPr>
            <w:tcW w:w="694" w:type="dxa"/>
            <w:noWrap w:val="0"/>
            <w:tcMar>
              <w:top w:w="0" w:type="dxa"/>
              <w:left w:w="57" w:type="dxa"/>
              <w:bottom w:w="0" w:type="dxa"/>
              <w:right w:w="57" w:type="dxa"/>
            </w:tcMar>
            <w:vAlign w:val="center"/>
          </w:tcPr>
          <w:p w14:paraId="377E1297">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w:t>
            </w:r>
          </w:p>
        </w:tc>
      </w:tr>
      <w:tr w14:paraId="218F2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2" w:type="dxa"/>
            <w:noWrap w:val="0"/>
            <w:tcMar>
              <w:top w:w="0" w:type="dxa"/>
              <w:left w:w="57" w:type="dxa"/>
              <w:bottom w:w="0" w:type="dxa"/>
              <w:right w:w="57" w:type="dxa"/>
            </w:tcMar>
            <w:vAlign w:val="center"/>
          </w:tcPr>
          <w:p w14:paraId="156614E9">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1247" w:type="dxa"/>
            <w:tcBorders>
              <w:left w:val="single" w:color="auto" w:sz="4" w:space="0"/>
            </w:tcBorders>
            <w:noWrap w:val="0"/>
            <w:tcMar>
              <w:top w:w="0" w:type="dxa"/>
              <w:left w:w="57" w:type="dxa"/>
              <w:bottom w:w="0" w:type="dxa"/>
              <w:right w:w="57" w:type="dxa"/>
            </w:tcMar>
            <w:vAlign w:val="center"/>
          </w:tcPr>
          <w:p w14:paraId="4D2D74B6">
            <w:pPr>
              <w:pageBreakBefore w:val="0"/>
              <w:kinsoku/>
              <w:wordWrap/>
              <w:overflowPunct/>
              <w:topLinePunct w:val="0"/>
              <w:autoSpaceDE/>
              <w:autoSpaceDN/>
              <w:bidi w:val="0"/>
              <w:adjustRightInd w:val="0"/>
              <w:snapToGrid w:val="0"/>
              <w:spacing w:line="360" w:lineRule="auto"/>
              <w:jc w:val="center"/>
              <w:textAlignment w:val="auto"/>
              <w:rPr>
                <w:rFonts w:ascii="宋体" w:hAnsi="宋体" w:cs="宋体"/>
                <w:b/>
                <w:bCs/>
                <w:color w:val="auto"/>
                <w:sz w:val="24"/>
                <w:highlight w:val="none"/>
              </w:rPr>
            </w:pPr>
            <w:r>
              <w:rPr>
                <w:rFonts w:hint="eastAsia" w:ascii="宋体" w:hAnsi="宋体" w:cs="宋体"/>
                <w:b/>
                <w:bCs/>
                <w:color w:val="auto"/>
                <w:sz w:val="24"/>
                <w:highlight w:val="none"/>
              </w:rPr>
              <w:t>价格</w:t>
            </w:r>
          </w:p>
          <w:p w14:paraId="2B130CA6">
            <w:pPr>
              <w:pageBreakBefore w:val="0"/>
              <w:kinsoku/>
              <w:wordWrap/>
              <w:overflowPunct/>
              <w:topLinePunct w:val="0"/>
              <w:autoSpaceDE/>
              <w:autoSpaceDN/>
              <w:bidi w:val="0"/>
              <w:adjustRightInd w:val="0"/>
              <w:snapToGrid w:val="0"/>
              <w:spacing w:line="360" w:lineRule="auto"/>
              <w:jc w:val="center"/>
              <w:textAlignment w:val="auto"/>
              <w:rPr>
                <w:rFonts w:ascii="宋体" w:hAnsi="宋体" w:cs="宋体"/>
                <w:color w:val="auto"/>
                <w:kern w:val="0"/>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0分）</w:t>
            </w:r>
          </w:p>
        </w:tc>
        <w:tc>
          <w:tcPr>
            <w:tcW w:w="6122" w:type="dxa"/>
            <w:tcBorders>
              <w:left w:val="single" w:color="auto" w:sz="4" w:space="0"/>
            </w:tcBorders>
            <w:noWrap w:val="0"/>
            <w:tcMar>
              <w:top w:w="0" w:type="dxa"/>
              <w:left w:w="57" w:type="dxa"/>
              <w:bottom w:w="0" w:type="dxa"/>
              <w:right w:w="57" w:type="dxa"/>
            </w:tcMar>
            <w:vAlign w:val="center"/>
          </w:tcPr>
          <w:p w14:paraId="07F3F10E">
            <w:pPr>
              <w:pStyle w:val="9"/>
              <w:pageBreakBefore w:val="0"/>
              <w:tabs>
                <w:tab w:val="left" w:pos="220"/>
              </w:tabs>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sz w:val="24"/>
                <w:highlight w:val="none"/>
              </w:rPr>
              <w:t>以合格投标人有效投标总报价中的最低价为基准价，基准价为</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0分。投标报价得分＝（评标基准价/投标报价）×</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0%</w:t>
            </w:r>
            <w:r>
              <w:rPr>
                <w:rFonts w:hint="eastAsia" w:ascii="宋体" w:hAnsi="宋体" w:cs="宋体"/>
                <w:color w:val="auto"/>
                <w:sz w:val="24"/>
                <w:highlight w:val="none"/>
              </w:rPr>
              <w:t>×</w:t>
            </w:r>
            <w:r>
              <w:rPr>
                <w:rFonts w:hint="eastAsia" w:ascii="宋体" w:hAnsi="宋体" w:cs="宋体"/>
                <w:color w:val="auto"/>
                <w:kern w:val="0"/>
                <w:sz w:val="24"/>
                <w:highlight w:val="none"/>
              </w:rPr>
              <w:t>100</w:t>
            </w:r>
            <w:r>
              <w:rPr>
                <w:rFonts w:hint="eastAsia" w:ascii="宋体" w:hAnsi="宋体" w:cs="宋体"/>
                <w:color w:val="auto"/>
                <w:sz w:val="24"/>
                <w:highlight w:val="none"/>
              </w:rPr>
              <w:t>（小数点后保留2位小数）。</w:t>
            </w:r>
          </w:p>
        </w:tc>
        <w:tc>
          <w:tcPr>
            <w:tcW w:w="694" w:type="dxa"/>
            <w:noWrap w:val="0"/>
            <w:tcMar>
              <w:top w:w="0" w:type="dxa"/>
              <w:left w:w="57" w:type="dxa"/>
              <w:bottom w:w="0" w:type="dxa"/>
              <w:right w:w="57" w:type="dxa"/>
            </w:tcMar>
            <w:vAlign w:val="center"/>
          </w:tcPr>
          <w:p w14:paraId="44191515">
            <w:pPr>
              <w:pageBreakBefore w:val="0"/>
              <w:widowControl/>
              <w:kinsoku/>
              <w:wordWrap/>
              <w:overflowPunct/>
              <w:topLinePunct w:val="0"/>
              <w:autoSpaceDE/>
              <w:autoSpaceDN/>
              <w:bidi w:val="0"/>
              <w:adjustRightInd w:val="0"/>
              <w:snapToGrid w:val="0"/>
              <w:spacing w:line="360" w:lineRule="auto"/>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0</w:t>
            </w:r>
          </w:p>
        </w:tc>
      </w:tr>
    </w:tbl>
    <w:p w14:paraId="54A036D8">
      <w:pPr>
        <w:rPr>
          <w:rFonts w:ascii="宋体" w:hAnsi="宋体" w:cs="宋体"/>
          <w:b/>
          <w:bCs/>
          <w:color w:val="auto"/>
          <w:sz w:val="36"/>
          <w:szCs w:val="44"/>
          <w:highlight w:val="none"/>
        </w:rPr>
      </w:pPr>
      <w:r>
        <w:rPr>
          <w:rFonts w:hint="eastAsia" w:ascii="宋体" w:hAnsi="宋体" w:cs="宋体"/>
          <w:b/>
          <w:bCs/>
          <w:color w:val="auto"/>
          <w:sz w:val="36"/>
          <w:szCs w:val="44"/>
          <w:highlight w:val="none"/>
        </w:rPr>
        <w:br w:type="page"/>
      </w:r>
    </w:p>
    <w:p w14:paraId="0B23E4CB">
      <w:pPr>
        <w:spacing w:line="360" w:lineRule="auto"/>
        <w:jc w:val="center"/>
        <w:outlineLvl w:val="0"/>
        <w:rPr>
          <w:rFonts w:ascii="宋体" w:hAnsi="宋体" w:cs="宋体"/>
          <w:b/>
          <w:bCs/>
          <w:color w:val="auto"/>
          <w:sz w:val="36"/>
          <w:szCs w:val="44"/>
          <w:highlight w:val="none"/>
        </w:rPr>
      </w:pPr>
      <w:r>
        <w:rPr>
          <w:rFonts w:hint="eastAsia" w:ascii="宋体" w:hAnsi="宋体" w:cs="宋体"/>
          <w:b/>
          <w:bCs/>
          <w:color w:val="auto"/>
          <w:sz w:val="36"/>
          <w:szCs w:val="44"/>
          <w:highlight w:val="none"/>
        </w:rPr>
        <w:t>第五部分 政府采购合同主要条款指引</w:t>
      </w:r>
    </w:p>
    <w:p w14:paraId="1382EE73">
      <w:pP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以下为成交后签定本项目合同的通用条款，成交供应商不得提出实质性的修改，关于专用条款将由采购人与成交供应商结合本项目具体情况协商后签订。</w:t>
      </w:r>
    </w:p>
    <w:p w14:paraId="58060930">
      <w:pPr>
        <w:spacing w:line="360" w:lineRule="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color w:val="auto"/>
          <w:sz w:val="24"/>
          <w:highlight w:val="none"/>
          <w:lang w:eastAsia="zh-CN"/>
        </w:rPr>
        <w:t>系统平台升级改造项目</w:t>
      </w:r>
    </w:p>
    <w:p w14:paraId="7886EF50">
      <w:pPr>
        <w:spacing w:line="360" w:lineRule="auto"/>
        <w:jc w:val="both"/>
        <w:textAlignment w:val="bottom"/>
        <w:rPr>
          <w:rFonts w:ascii="宋体" w:hAnsi="宋体" w:cs="宋体"/>
          <w:color w:val="auto"/>
          <w:sz w:val="24"/>
          <w:highlight w:val="none"/>
        </w:rPr>
      </w:pPr>
      <w:r>
        <w:rPr>
          <w:rFonts w:hint="eastAsia" w:ascii="宋体" w:hAnsi="宋体" w:cs="宋体"/>
          <w:b/>
          <w:bCs/>
          <w:color w:val="auto"/>
          <w:sz w:val="24"/>
          <w:highlight w:val="none"/>
        </w:rPr>
        <w:t>项目编号：</w:t>
      </w:r>
      <w:r>
        <w:rPr>
          <w:rFonts w:hint="eastAsia" w:ascii="宋体" w:hAnsi="宋体" w:cs="宋体"/>
          <w:color w:val="auto"/>
          <w:sz w:val="28"/>
          <w:szCs w:val="28"/>
          <w:highlight w:val="none"/>
          <w:lang w:val="en-US" w:eastAsia="zh-CN"/>
        </w:rPr>
        <w:t>ZJWS2025-JJ226</w:t>
      </w:r>
    </w:p>
    <w:p w14:paraId="55E14B6E">
      <w:pPr>
        <w:spacing w:line="360" w:lineRule="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标项内容：</w:t>
      </w:r>
    </w:p>
    <w:p w14:paraId="31BE9972">
      <w:pPr>
        <w:spacing w:line="360" w:lineRule="auto"/>
        <w:rPr>
          <w:rFonts w:ascii="宋体" w:hAnsi="宋体" w:cs="宋体"/>
          <w:color w:val="auto"/>
          <w:sz w:val="24"/>
          <w:highlight w:val="none"/>
        </w:rPr>
      </w:pPr>
      <w:r>
        <w:rPr>
          <w:rFonts w:hint="eastAsia" w:ascii="宋体" w:hAnsi="宋体" w:cs="宋体"/>
          <w:b/>
          <w:bCs/>
          <w:color w:val="auto"/>
          <w:sz w:val="24"/>
          <w:highlight w:val="none"/>
        </w:rPr>
        <w:t>甲方（采购方）：</w:t>
      </w:r>
      <w:r>
        <w:rPr>
          <w:rFonts w:hint="eastAsia" w:ascii="宋体" w:hAnsi="宋体" w:cs="宋体"/>
          <w:color w:val="auto"/>
          <w:sz w:val="24"/>
          <w:highlight w:val="none"/>
        </w:rPr>
        <w:t>中共台州市委政法委员会</w:t>
      </w:r>
    </w:p>
    <w:p w14:paraId="2E83CB00">
      <w:pPr>
        <w:spacing w:line="360" w:lineRule="auto"/>
        <w:rPr>
          <w:rFonts w:ascii="宋体" w:hAnsi="宋体" w:cs="宋体"/>
          <w:color w:val="auto"/>
          <w:sz w:val="24"/>
          <w:highlight w:val="none"/>
        </w:rPr>
      </w:pPr>
      <w:r>
        <w:rPr>
          <w:rFonts w:hint="eastAsia" w:ascii="宋体" w:hAnsi="宋体" w:cs="宋体"/>
          <w:b/>
          <w:bCs/>
          <w:color w:val="auto"/>
          <w:sz w:val="24"/>
          <w:highlight w:val="none"/>
        </w:rPr>
        <w:t>乙方（供应商）：</w:t>
      </w:r>
    </w:p>
    <w:p w14:paraId="4DE28A5A">
      <w:pPr>
        <w:spacing w:line="360" w:lineRule="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鉴证方（招标方）：</w:t>
      </w:r>
      <w:r>
        <w:rPr>
          <w:rFonts w:hint="eastAsia" w:ascii="宋体" w:hAnsi="宋体" w:cs="宋体"/>
          <w:color w:val="auto"/>
          <w:sz w:val="24"/>
          <w:highlight w:val="none"/>
          <w:lang w:eastAsia="zh-CN"/>
        </w:rPr>
        <w:t>浙江五石中正工程咨询有限公司</w:t>
      </w:r>
    </w:p>
    <w:p w14:paraId="01DF06DB">
      <w:pPr>
        <w:numPr>
          <w:ilvl w:val="0"/>
          <w:numId w:val="4"/>
        </w:numPr>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甲、乙双方根据中共台州市委政法委员会</w:t>
      </w:r>
      <w:r>
        <w:rPr>
          <w:rFonts w:hint="eastAsia" w:ascii="宋体" w:hAnsi="宋体" w:cs="宋体"/>
          <w:color w:val="auto"/>
          <w:sz w:val="24"/>
          <w:highlight w:val="none"/>
          <w:lang w:eastAsia="zh-CN"/>
        </w:rPr>
        <w:t>系统平台升级改造项目</w:t>
      </w:r>
      <w:r>
        <w:rPr>
          <w:rFonts w:hint="eastAsia" w:ascii="宋体" w:hAnsi="宋体" w:cs="宋体"/>
          <w:color w:val="auto"/>
          <w:sz w:val="24"/>
          <w:highlight w:val="none"/>
        </w:rPr>
        <w:t>公开招标的结果，签署本合同。</w:t>
      </w:r>
    </w:p>
    <w:p w14:paraId="02B0F939">
      <w:pPr>
        <w:pStyle w:val="27"/>
        <w:ind w:firstLine="0"/>
        <w:rPr>
          <w:b/>
          <w:bCs/>
          <w:color w:val="auto"/>
          <w:sz w:val="24"/>
          <w:highlight w:val="none"/>
        </w:rPr>
      </w:pPr>
      <w:r>
        <w:rPr>
          <w:rFonts w:hint="eastAsia" w:ascii="宋体" w:hAnsi="宋体" w:cs="宋体"/>
          <w:b/>
          <w:bCs/>
          <w:color w:val="auto"/>
          <w:sz w:val="24"/>
          <w:highlight w:val="none"/>
        </w:rPr>
        <w:t>一、合同文件</w:t>
      </w:r>
    </w:p>
    <w:p w14:paraId="6C210F4D">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1.合同条款。</w:t>
      </w:r>
    </w:p>
    <w:p w14:paraId="345E6821">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2.中标通知书。</w:t>
      </w:r>
    </w:p>
    <w:p w14:paraId="0A0B1630">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3.更正补充文件。</w:t>
      </w:r>
    </w:p>
    <w:p w14:paraId="28B11CEF">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4.招标文件。</w:t>
      </w:r>
    </w:p>
    <w:p w14:paraId="72E81E8D">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5.中标供应商投标文件。</w:t>
      </w:r>
    </w:p>
    <w:p w14:paraId="0AA85E1F">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6.其他。</w:t>
      </w:r>
    </w:p>
    <w:p w14:paraId="5BCC2ED9">
      <w:pPr>
        <w:spacing w:line="360" w:lineRule="auto"/>
        <w:ind w:firstLine="480" w:firstLineChars="200"/>
        <w:textAlignment w:val="baseline"/>
        <w:rPr>
          <w:rFonts w:ascii="宋体" w:hAnsi="宋体" w:cs="宋体"/>
          <w:color w:val="auto"/>
          <w:sz w:val="24"/>
          <w:highlight w:val="none"/>
          <w:lang w:val="zh-CN"/>
        </w:rPr>
      </w:pPr>
      <w:r>
        <w:rPr>
          <w:rFonts w:hint="eastAsia" w:ascii="宋体" w:hAnsi="宋体" w:cs="宋体"/>
          <w:color w:val="auto"/>
          <w:sz w:val="24"/>
          <w:highlight w:val="none"/>
          <w:lang w:val="zh-CN"/>
        </w:rPr>
        <w:t>上述所指合同文件应认为是互相补充和解释的，但是有模棱两可或互相矛盾之处，以其所列内容顺序为准。</w:t>
      </w:r>
    </w:p>
    <w:p w14:paraId="1D410661">
      <w:pPr>
        <w:numPr>
          <w:ilvl w:val="0"/>
          <w:numId w:val="5"/>
        </w:numPr>
        <w:adjustRightInd w:val="0"/>
        <w:snapToGrid w:val="0"/>
        <w:spacing w:line="360" w:lineRule="auto"/>
        <w:outlineLvl w:val="1"/>
        <w:rPr>
          <w:rFonts w:ascii="宋体" w:hAnsi="宋体" w:cs="宋体"/>
          <w:b/>
          <w:bCs/>
          <w:color w:val="auto"/>
          <w:sz w:val="24"/>
          <w:highlight w:val="none"/>
        </w:rPr>
      </w:pPr>
      <w:r>
        <w:rPr>
          <w:rFonts w:hint="eastAsia" w:ascii="宋体" w:hAnsi="宋体" w:cs="宋体"/>
          <w:b/>
          <w:bCs/>
          <w:color w:val="auto"/>
          <w:sz w:val="24"/>
          <w:highlight w:val="none"/>
        </w:rPr>
        <w:t>服务内容及金额</w:t>
      </w:r>
    </w:p>
    <w:p w14:paraId="37C6188B">
      <w:pP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lang w:val="zh-CN"/>
        </w:rPr>
        <w:t>____________元（￥____________元）人民币。</w:t>
      </w:r>
    </w:p>
    <w:p w14:paraId="60782845">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三、服务要求</w:t>
      </w:r>
    </w:p>
    <w:p w14:paraId="6A4C85D1">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（根据招标结果确定）</w:t>
      </w:r>
    </w:p>
    <w:p w14:paraId="7157E43B">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四、技术资料</w:t>
      </w:r>
    </w:p>
    <w:p w14:paraId="3EE91C4C">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1.乙方应按招标文件规定的时间向甲方提供有关技术资料。</w:t>
      </w:r>
    </w:p>
    <w:p w14:paraId="5DBE4C25">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81E77EF">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五、知识产权</w:t>
      </w:r>
    </w:p>
    <w:p w14:paraId="68C535AD">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乙方应保证提供服务过程中不会侵犯任何第三方的知识产权。</w:t>
      </w:r>
    </w:p>
    <w:p w14:paraId="3240E189">
      <w:pPr>
        <w:adjustRightInd w:val="0"/>
        <w:snapToGrid w:val="0"/>
        <w:spacing w:line="360" w:lineRule="auto"/>
        <w:ind w:firstLine="480" w:firstLineChars="200"/>
        <w:jc w:val="left"/>
        <w:outlineLvl w:val="2"/>
        <w:rPr>
          <w:color w:val="auto"/>
          <w:highlight w:val="none"/>
          <w:lang w:val="zh-CN"/>
        </w:rPr>
      </w:pPr>
      <w:r>
        <w:rPr>
          <w:rFonts w:hint="eastAsia" w:ascii="宋体" w:hAnsi="宋体" w:cs="宋体"/>
          <w:color w:val="auto"/>
          <w:sz w:val="24"/>
          <w:highlight w:val="none"/>
        </w:rPr>
        <w:t>本项目的定制软件开发部分所有权和知识产权归甲方所有。</w:t>
      </w:r>
    </w:p>
    <w:p w14:paraId="08DC3508">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六、履约保证金</w:t>
      </w:r>
    </w:p>
    <w:p w14:paraId="5029EF9B">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本项目无须履约保证金。</w:t>
      </w:r>
    </w:p>
    <w:p w14:paraId="35E50FA1">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七、付款方式</w:t>
      </w:r>
    </w:p>
    <w:p w14:paraId="3D0D49C3">
      <w:pPr>
        <w:tabs>
          <w:tab w:val="left" w:pos="567"/>
          <w:tab w:val="left" w:pos="709"/>
          <w:tab w:val="left" w:pos="900"/>
        </w:tabs>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本项目款项分三次支付：</w:t>
      </w:r>
    </w:p>
    <w:p w14:paraId="077AB952">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line="360" w:lineRule="auto"/>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（1）第一次支付为合同签订后、财政指标下达、乙方提交正式含税发票后20个工作日内，支付合同总金额的40%；</w:t>
      </w:r>
    </w:p>
    <w:p w14:paraId="65C14B70">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line="360" w:lineRule="auto"/>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（2）第二次支付为项目初验通过后、财政指标下达、乙方提交正式含税发票后20个工作日内，支付合同总金额的30%；</w:t>
      </w:r>
    </w:p>
    <w:p w14:paraId="7BC8182D">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val="0"/>
        <w:spacing w:line="360" w:lineRule="auto"/>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（3）第三次支付为项目终验通过后、财政指标下达、乙方提交正式含税发票后20个工作日内，支付合同总金额的30%。</w:t>
      </w:r>
    </w:p>
    <w:p w14:paraId="63327EC5">
      <w:pPr>
        <w:pStyle w:val="27"/>
        <w:rPr>
          <w:color w:val="auto"/>
          <w:highlight w:val="none"/>
        </w:rPr>
      </w:pPr>
      <w:r>
        <w:rPr>
          <w:rFonts w:hint="eastAsia" w:ascii="宋体" w:hAnsi="宋体" w:cs="宋体"/>
          <w:color w:val="auto"/>
          <w:sz w:val="24"/>
          <w:highlight w:val="none"/>
        </w:rPr>
        <w:t>以上款项支付期限为资金到甲方且收到乙方提交的正规等额含税发票后20个工作日内支付。</w:t>
      </w:r>
    </w:p>
    <w:p w14:paraId="08CA0CD2">
      <w:pPr>
        <w:spacing w:line="460" w:lineRule="exact"/>
        <w:rPr>
          <w:rFonts w:ascii="宋体" w:hAnsi="宋体" w:cs="宋体"/>
          <w:b/>
          <w:bCs/>
          <w:color w:val="auto"/>
          <w:sz w:val="24"/>
          <w:highlight w:val="none"/>
          <w:lang w:val="zh-CN"/>
        </w:rPr>
      </w:pPr>
      <w:r>
        <w:rPr>
          <w:rFonts w:hint="eastAsia" w:ascii="宋体" w:hAnsi="宋体" w:cs="宋体"/>
          <w:b/>
          <w:bCs/>
          <w:color w:val="auto"/>
          <w:sz w:val="24"/>
          <w:highlight w:val="none"/>
        </w:rPr>
        <w:t>八、</w:t>
      </w:r>
      <w:r>
        <w:rPr>
          <w:rFonts w:hint="eastAsia" w:ascii="宋体" w:hAnsi="宋体" w:cs="宋体"/>
          <w:b/>
          <w:bCs/>
          <w:color w:val="auto"/>
          <w:sz w:val="24"/>
          <w:highlight w:val="none"/>
          <w:lang w:val="zh-CN"/>
        </w:rPr>
        <w:t>税费</w:t>
      </w:r>
    </w:p>
    <w:p w14:paraId="3201A14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本合同执行中相关的一切税费均由乙方负担。 </w:t>
      </w:r>
    </w:p>
    <w:p w14:paraId="1544AB72">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九、分包</w:t>
      </w:r>
    </w:p>
    <w:p w14:paraId="4EE5B0C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1FE7F65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2.除非得到甲方的书面同意，乙方不得将本合同范围的服务全部或部分分包给他人供应；</w:t>
      </w:r>
    </w:p>
    <w:p w14:paraId="582085E4">
      <w:pPr>
        <w:spacing w:line="460" w:lineRule="exact"/>
        <w:ind w:firstLine="480" w:firstLineChars="200"/>
        <w:rPr>
          <w:color w:val="auto"/>
          <w:highlight w:val="none"/>
        </w:rPr>
      </w:pPr>
      <w:r>
        <w:rPr>
          <w:rFonts w:hint="eastAsia" w:ascii="宋体" w:hAnsi="宋体" w:cs="宋体"/>
          <w:color w:val="auto"/>
          <w:sz w:val="24"/>
          <w:highlight w:val="none"/>
        </w:rPr>
        <w:t>3.如有转让和未经甲方同意的分包行为，甲方有权解除合同，追究乙方的违约责任。</w:t>
      </w:r>
    </w:p>
    <w:p w14:paraId="3BA3BBFB">
      <w:pPr>
        <w:pStyle w:val="6"/>
        <w:spacing w:before="0" w:after="0"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十、保密承诺</w:t>
      </w:r>
    </w:p>
    <w:p w14:paraId="3D809CD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1.乙方承诺按照甲方要求，签订安全保密协议，根据项目需要完善内部安全管理制度，并向甲方提供制度文本；</w:t>
      </w:r>
    </w:p>
    <w:p w14:paraId="7FCD9FD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2.乙方承诺按照甲方要求，对参与项目人员做好背景审查；项目参与人员应与甲方签订保密工作责任书和数据安全承诺书；</w:t>
      </w:r>
    </w:p>
    <w:p w14:paraId="5030871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3.乙方承诺遵守《浙江省公共数据条例》等相关法律法规要求，并在台州市数字化改革（包括但不限于网络安全、数据安全、保密规定等方面）整体要求下开展工作，如有冲突承诺配合整改。</w:t>
      </w:r>
    </w:p>
    <w:p w14:paraId="2464108E">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十一、违约责任</w:t>
      </w:r>
    </w:p>
    <w:p w14:paraId="723C3421">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1.甲方无正当理由拒收服务的，甲方向乙方偿付拒收合同金额的万分之五违约金。</w:t>
      </w:r>
    </w:p>
    <w:p w14:paraId="020A6FC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2.甲方无故逾期验收和支付手续的,甲方应按逾期付款总额每日万分之五向乙方支付违约金。</w:t>
      </w:r>
    </w:p>
    <w:p w14:paraId="65D2D6A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29EA293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4.若发生纠纷，由违约方赔偿守约方因纠纷所支付的费用（包括但不限于律师费、差旅费、诉讼费、保全费、鉴定费、评估费等）；</w:t>
      </w:r>
    </w:p>
    <w:p w14:paraId="5639DD2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5.如果出现网络安全事件，尤其是基于乙方内部管理问题导致数据泄漏问题，由乙方承担；</w:t>
      </w:r>
    </w:p>
    <w:p w14:paraId="4F52E1A9">
      <w:pPr>
        <w:rPr>
          <w:color w:val="auto"/>
          <w:highlight w:val="none"/>
        </w:rPr>
      </w:pPr>
    </w:p>
    <w:p w14:paraId="60A0E7B8">
      <w:pPr>
        <w:spacing w:line="460" w:lineRule="exact"/>
        <w:rPr>
          <w:rFonts w:ascii="宋体" w:hAnsi="宋体" w:cs="宋体"/>
          <w:b/>
          <w:bCs/>
          <w:color w:val="auto"/>
          <w:sz w:val="24"/>
          <w:highlight w:val="none"/>
          <w:lang w:val="zh-CN"/>
        </w:rPr>
      </w:pPr>
      <w:r>
        <w:rPr>
          <w:rFonts w:hint="eastAsia" w:ascii="宋体" w:hAnsi="宋体" w:cs="宋体"/>
          <w:b/>
          <w:bCs/>
          <w:color w:val="auto"/>
          <w:sz w:val="24"/>
          <w:highlight w:val="none"/>
        </w:rPr>
        <w:t>十二、</w:t>
      </w:r>
      <w:r>
        <w:rPr>
          <w:rFonts w:hint="eastAsia" w:ascii="宋体" w:hAnsi="宋体" w:cs="宋体"/>
          <w:b/>
          <w:bCs/>
          <w:color w:val="auto"/>
          <w:sz w:val="24"/>
          <w:highlight w:val="none"/>
          <w:lang w:val="zh-CN"/>
        </w:rPr>
        <w:t>质量保证及后续服务</w:t>
      </w:r>
    </w:p>
    <w:p w14:paraId="2C99C64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1.乙方应按招标文件规定向甲方提供服务。</w:t>
      </w:r>
    </w:p>
    <w:p w14:paraId="69D3BE1D">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2.乙方提供的服务成果在服务期内出现问题，乙方应负责免费提供后续服务。对达不到要求者，根据实际情况，经双方协商，可按以下办法处理：</w:t>
      </w:r>
    </w:p>
    <w:p w14:paraId="4DD91D3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⑴重做：由乙方承担所发生的全部费用。</w:t>
      </w:r>
    </w:p>
    <w:p w14:paraId="7A44D3A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⑵贬值处理：由甲乙双方合议定价。</w:t>
      </w:r>
    </w:p>
    <w:p w14:paraId="09A103E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⑶解除合同。</w:t>
      </w:r>
    </w:p>
    <w:p w14:paraId="32EFE02E">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十三、不可抗力事件处理</w:t>
      </w:r>
    </w:p>
    <w:p w14:paraId="0219330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584127AC">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7381115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14:paraId="134DF2FC">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十四、解决争议的方法</w:t>
      </w:r>
    </w:p>
    <w:p w14:paraId="5C933B6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如双方在履行合同时发生纠纷，应协商解决；协商不成时，可依法向甲方所在地人民法院提起诉讼。 </w:t>
      </w:r>
    </w:p>
    <w:p w14:paraId="7F28AD3B">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十五、合同生效及其它</w:t>
      </w:r>
      <w:r>
        <w:rPr>
          <w:rFonts w:hint="eastAsia" w:ascii="宋体" w:hAnsi="宋体" w:cs="宋体"/>
          <w:b/>
          <w:bCs/>
          <w:color w:val="auto"/>
          <w:sz w:val="24"/>
          <w:highlight w:val="none"/>
        </w:rPr>
        <w:tab/>
      </w:r>
    </w:p>
    <w:p w14:paraId="1847DE0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72DF2381">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2.本合同未尽事宜，遵照《中华人民共和国民法典》有关条文执行。</w:t>
      </w:r>
    </w:p>
    <w:p w14:paraId="07828FD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3.本合同一式陆份。甲、乙双方各执贰份，采购组织机构及同级人民政府财政采购监管部门各执壹份。</w:t>
      </w:r>
    </w:p>
    <w:p w14:paraId="615BC91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4.本项目未尽事宜以招标文件、投标文件及澄清文件等为准，本合同中如有未尽事宜，由双方协商另行解决。</w:t>
      </w:r>
    </w:p>
    <w:p w14:paraId="336E646D">
      <w:pPr>
        <w:pStyle w:val="28"/>
        <w:rPr>
          <w:rFonts w:ascii="宋体" w:hAnsi="宋体" w:cs="宋体"/>
          <w:color w:val="auto"/>
          <w:highlight w:val="none"/>
        </w:rPr>
      </w:pPr>
    </w:p>
    <w:p w14:paraId="7A25894C">
      <w:pPr>
        <w:spacing w:line="360" w:lineRule="auto"/>
        <w:rPr>
          <w:rFonts w:ascii="宋体" w:hAnsi="宋体" w:cs="宋体"/>
          <w:color w:val="auto"/>
          <w:sz w:val="24"/>
          <w:highlight w:val="none"/>
        </w:rPr>
      </w:pPr>
      <w:r>
        <w:rPr>
          <w:rFonts w:hint="eastAsia" w:ascii="宋体" w:hAnsi="宋体" w:cs="宋体"/>
          <w:color w:val="auto"/>
          <w:sz w:val="24"/>
          <w:highlight w:val="none"/>
        </w:rPr>
        <w:t>甲方（公章）：                          乙方（公章）：</w:t>
      </w:r>
    </w:p>
    <w:p w14:paraId="2BB671C7">
      <w:pPr>
        <w:spacing w:line="360" w:lineRule="auto"/>
        <w:rPr>
          <w:rFonts w:ascii="宋体" w:hAnsi="宋体" w:cs="宋体"/>
          <w:color w:val="auto"/>
          <w:sz w:val="24"/>
          <w:highlight w:val="none"/>
        </w:rPr>
      </w:pPr>
      <w:r>
        <w:rPr>
          <w:rFonts w:hint="eastAsia" w:ascii="宋体" w:hAnsi="宋体" w:cs="宋体"/>
          <w:color w:val="auto"/>
          <w:sz w:val="24"/>
          <w:highlight w:val="none"/>
        </w:rPr>
        <w:t>法定代表人或委托代理人（签字）：          法定代表人或委托代理人（签字）：</w:t>
      </w:r>
    </w:p>
    <w:p w14:paraId="195EE8A5">
      <w:pPr>
        <w:spacing w:line="360" w:lineRule="auto"/>
        <w:rPr>
          <w:rFonts w:ascii="宋体" w:hAnsi="宋体" w:cs="宋体"/>
          <w:color w:val="auto"/>
          <w:sz w:val="24"/>
          <w:highlight w:val="none"/>
        </w:rPr>
      </w:pPr>
      <w:r>
        <w:rPr>
          <w:rFonts w:hint="eastAsia" w:ascii="宋体" w:hAnsi="宋体" w:cs="宋体"/>
          <w:color w:val="auto"/>
          <w:sz w:val="24"/>
          <w:highlight w:val="none"/>
        </w:rPr>
        <w:t>联系电话：                              联系电话：</w:t>
      </w:r>
    </w:p>
    <w:p w14:paraId="3A6AC1A4">
      <w:pPr>
        <w:spacing w:line="360" w:lineRule="auto"/>
        <w:rPr>
          <w:rFonts w:ascii="宋体" w:hAnsi="宋体" w:cs="宋体"/>
          <w:color w:val="auto"/>
          <w:sz w:val="24"/>
          <w:highlight w:val="none"/>
        </w:rPr>
      </w:pPr>
      <w:r>
        <w:rPr>
          <w:rFonts w:hint="eastAsia" w:ascii="宋体" w:hAnsi="宋体" w:cs="宋体"/>
          <w:color w:val="auto"/>
          <w:sz w:val="24"/>
          <w:highlight w:val="none"/>
        </w:rPr>
        <w:t>开户银行（必填）：                      开户银行（必填）：</w:t>
      </w:r>
    </w:p>
    <w:p w14:paraId="7DFB456C">
      <w:pPr>
        <w:spacing w:line="360" w:lineRule="auto"/>
        <w:rPr>
          <w:rFonts w:ascii="宋体" w:hAnsi="宋体" w:cs="宋体"/>
          <w:color w:val="auto"/>
          <w:sz w:val="24"/>
          <w:highlight w:val="none"/>
        </w:rPr>
      </w:pPr>
      <w:r>
        <w:rPr>
          <w:rFonts w:hint="eastAsia" w:ascii="宋体" w:hAnsi="宋体" w:cs="宋体"/>
          <w:color w:val="auto"/>
          <w:sz w:val="24"/>
          <w:highlight w:val="none"/>
        </w:rPr>
        <w:t>账号（必填）：                          账号（必填）：</w:t>
      </w:r>
    </w:p>
    <w:p w14:paraId="7D1F048B">
      <w:pPr>
        <w:spacing w:line="360" w:lineRule="auto"/>
        <w:rPr>
          <w:rFonts w:ascii="宋体" w:hAnsi="宋体" w:cs="宋体"/>
          <w:color w:val="auto"/>
          <w:sz w:val="24"/>
          <w:highlight w:val="none"/>
        </w:rPr>
      </w:pPr>
      <w:r>
        <w:rPr>
          <w:rFonts w:hint="eastAsia" w:ascii="宋体" w:hAnsi="宋体" w:cs="宋体"/>
          <w:color w:val="auto"/>
          <w:sz w:val="24"/>
          <w:highlight w:val="none"/>
        </w:rPr>
        <w:t>签订时间：年月日                        签订时间：年月日</w:t>
      </w:r>
    </w:p>
    <w:p w14:paraId="700F8F9B">
      <w:pPr>
        <w:spacing w:line="360" w:lineRule="auto"/>
        <w:rPr>
          <w:rFonts w:ascii="宋体" w:hAnsi="宋体" w:cs="宋体"/>
          <w:color w:val="auto"/>
          <w:sz w:val="24"/>
          <w:highlight w:val="none"/>
        </w:rPr>
      </w:pPr>
    </w:p>
    <w:p w14:paraId="5A379822">
      <w:pPr>
        <w:spacing w:line="360" w:lineRule="auto"/>
        <w:rPr>
          <w:rFonts w:ascii="宋体" w:hAnsi="宋体" w:cs="宋体"/>
          <w:color w:val="auto"/>
          <w:sz w:val="24"/>
          <w:highlight w:val="none"/>
        </w:rPr>
      </w:pPr>
      <w:r>
        <w:rPr>
          <w:rFonts w:hint="eastAsia" w:ascii="宋体" w:hAnsi="宋体" w:cs="宋体"/>
          <w:color w:val="auto"/>
          <w:sz w:val="24"/>
          <w:highlight w:val="none"/>
        </w:rPr>
        <w:t>鉴证方（鉴证章）：</w:t>
      </w:r>
    </w:p>
    <w:p w14:paraId="139BB5B4">
      <w:pPr>
        <w:spacing w:line="360" w:lineRule="auto"/>
        <w:rPr>
          <w:rFonts w:ascii="宋体" w:hAnsi="宋体" w:cs="宋体"/>
          <w:b/>
          <w:bCs/>
          <w:color w:val="auto"/>
          <w:sz w:val="36"/>
          <w:szCs w:val="44"/>
          <w:highlight w:val="none"/>
        </w:rPr>
      </w:pPr>
      <w:r>
        <w:rPr>
          <w:rFonts w:hint="eastAsia" w:ascii="宋体" w:hAnsi="宋体" w:cs="宋体"/>
          <w:color w:val="auto"/>
          <w:sz w:val="24"/>
          <w:highlight w:val="none"/>
        </w:rPr>
        <w:t>日期：年月日</w:t>
      </w:r>
    </w:p>
    <w:p w14:paraId="1D6F200B">
      <w:pPr>
        <w:spacing w:line="360" w:lineRule="auto"/>
        <w:jc w:val="center"/>
        <w:rPr>
          <w:rFonts w:ascii="宋体" w:hAnsi="宋体" w:cs="宋体"/>
          <w:b/>
          <w:bCs/>
          <w:color w:val="auto"/>
          <w:sz w:val="36"/>
          <w:szCs w:val="44"/>
          <w:highlight w:val="none"/>
        </w:rPr>
        <w:sectPr>
          <w:pgSz w:w="11906" w:h="16838"/>
          <w:pgMar w:top="1440" w:right="1803" w:bottom="1440" w:left="1803" w:header="851" w:footer="992" w:gutter="0"/>
          <w:pgNumType w:start="1"/>
          <w:cols w:space="0" w:num="1"/>
          <w:docGrid w:type="lines" w:linePitch="317" w:charSpace="0"/>
        </w:sectPr>
      </w:pPr>
    </w:p>
    <w:p w14:paraId="237EFF01">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第六部分 响应文件格式附件</w:t>
      </w:r>
    </w:p>
    <w:p w14:paraId="43579476">
      <w:pPr>
        <w:spacing w:line="360" w:lineRule="auto"/>
        <w:ind w:firstLine="482" w:firstLineChars="200"/>
        <w:rPr>
          <w:rFonts w:ascii="宋体" w:hAnsi="宋体" w:cs="宋体"/>
          <w:b/>
          <w:bCs/>
          <w:color w:val="auto"/>
          <w:sz w:val="24"/>
          <w:szCs w:val="32"/>
          <w:highlight w:val="none"/>
          <w:u w:val="single"/>
        </w:rPr>
      </w:pPr>
      <w:r>
        <w:rPr>
          <w:rFonts w:hint="eastAsia" w:ascii="宋体" w:hAnsi="宋体" w:cs="宋体"/>
          <w:b/>
          <w:bCs/>
          <w:color w:val="auto"/>
          <w:sz w:val="24"/>
          <w:szCs w:val="32"/>
          <w:highlight w:val="none"/>
        </w:rPr>
        <w:t>说明：对本章所有的投标书格式，投标方可根据自身情况进行补充和修改，但补充和修改不得造成与本格式内容有实质性的违背。</w:t>
      </w:r>
    </w:p>
    <w:p w14:paraId="042943FE">
      <w:pPr>
        <w:rPr>
          <w:rFonts w:hint="default" w:ascii="宋体" w:hAnsi="宋体" w:eastAsia="宋体" w:cs="宋体"/>
          <w:b/>
          <w:color w:val="auto"/>
          <w:sz w:val="30"/>
          <w:szCs w:val="30"/>
          <w:highlight w:val="none"/>
          <w:lang w:val="en-US" w:eastAsia="zh-CN"/>
        </w:rPr>
      </w:pPr>
      <w:r>
        <w:rPr>
          <w:rFonts w:hint="eastAsia" w:ascii="宋体" w:hAnsi="宋体" w:cs="宋体"/>
          <w:b/>
          <w:bCs/>
          <w:color w:val="auto"/>
          <w:sz w:val="28"/>
          <w:szCs w:val="36"/>
          <w:highlight w:val="none"/>
        </w:rPr>
        <w:t>附件1　</w:t>
      </w: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u w:val="single"/>
        </w:rPr>
        <w:t xml:space="preserve">   </w:t>
      </w:r>
      <w:r>
        <w:rPr>
          <w:rFonts w:hint="eastAsia" w:ascii="宋体" w:hAnsi="宋体" w:cs="宋体"/>
          <w:bCs/>
          <w:color w:val="auto"/>
          <w:sz w:val="24"/>
          <w:highlight w:val="none"/>
        </w:rPr>
        <w:t>本</w:t>
      </w:r>
    </w:p>
    <w:p w14:paraId="4EEACF06">
      <w:pPr>
        <w:spacing w:line="360" w:lineRule="auto"/>
        <w:ind w:firstLine="1800" w:firstLineChars="500"/>
        <w:rPr>
          <w:rFonts w:hint="eastAsia" w:ascii="宋体" w:hAnsi="宋体" w:cs="宋体"/>
          <w:color w:val="auto"/>
          <w:sz w:val="36"/>
          <w:szCs w:val="36"/>
          <w:highlight w:val="none"/>
          <w:lang w:val="en-US" w:eastAsia="zh-CN"/>
        </w:rPr>
      </w:pPr>
      <w:r>
        <w:rPr>
          <w:rFonts w:hint="eastAsia" w:ascii="宋体" w:hAnsi="宋体" w:cs="宋体"/>
          <w:color w:val="auto"/>
          <w:sz w:val="36"/>
          <w:szCs w:val="36"/>
          <w:highlight w:val="none"/>
          <w:lang w:val="en-US" w:eastAsia="zh-CN"/>
        </w:rPr>
        <w:t>项目名称：</w:t>
      </w:r>
      <w:r>
        <w:rPr>
          <w:rFonts w:hint="eastAsia" w:ascii="宋体" w:hAnsi="宋体" w:cs="宋体"/>
          <w:color w:val="auto"/>
          <w:sz w:val="36"/>
          <w:szCs w:val="36"/>
          <w:highlight w:val="none"/>
          <w:u w:val="single"/>
        </w:rPr>
        <w:t xml:space="preserve">            </w:t>
      </w:r>
    </w:p>
    <w:p w14:paraId="0DAC3765">
      <w:pPr>
        <w:spacing w:line="360" w:lineRule="auto"/>
        <w:ind w:firstLine="1800" w:firstLineChars="500"/>
        <w:rPr>
          <w:rFonts w:hint="eastAsia" w:ascii="宋体" w:hAnsi="宋体" w:eastAsia="宋体" w:cs="宋体"/>
          <w:color w:val="auto"/>
          <w:sz w:val="36"/>
          <w:szCs w:val="36"/>
          <w:highlight w:val="none"/>
          <w:lang w:val="en-US" w:eastAsia="zh-CN"/>
        </w:rPr>
      </w:pPr>
      <w:r>
        <w:rPr>
          <w:rFonts w:hint="eastAsia" w:ascii="宋体" w:hAnsi="宋体" w:cs="宋体"/>
          <w:color w:val="auto"/>
          <w:sz w:val="36"/>
          <w:szCs w:val="36"/>
          <w:highlight w:val="none"/>
          <w:lang w:val="en-US" w:eastAsia="zh-CN"/>
        </w:rPr>
        <w:t>标    项：</w:t>
      </w:r>
      <w:r>
        <w:rPr>
          <w:rFonts w:hint="eastAsia" w:ascii="宋体" w:hAnsi="宋体" w:cs="宋体"/>
          <w:color w:val="auto"/>
          <w:sz w:val="36"/>
          <w:szCs w:val="36"/>
          <w:highlight w:val="none"/>
          <w:u w:val="single"/>
        </w:rPr>
        <w:t xml:space="preserve">            </w:t>
      </w:r>
    </w:p>
    <w:p w14:paraId="002EB582">
      <w:pPr>
        <w:spacing w:line="360" w:lineRule="auto"/>
        <w:ind w:firstLine="1800" w:firstLineChars="500"/>
        <w:rPr>
          <w:rFonts w:ascii="宋体" w:hAnsi="宋体" w:cs="宋体"/>
          <w:color w:val="auto"/>
          <w:sz w:val="36"/>
          <w:szCs w:val="36"/>
          <w:highlight w:val="non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u w:val="single"/>
        </w:rPr>
        <w:t xml:space="preserve">            </w:t>
      </w:r>
    </w:p>
    <w:p w14:paraId="67A935A4">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磋</w:t>
      </w:r>
    </w:p>
    <w:p w14:paraId="4545D352">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商</w:t>
      </w:r>
    </w:p>
    <w:p w14:paraId="1301F97E">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响</w:t>
      </w:r>
    </w:p>
    <w:p w14:paraId="18A9FBDE">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应</w:t>
      </w:r>
    </w:p>
    <w:p w14:paraId="307CCF7A">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19124F6D">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00B99CB">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供应商全称（公章）：</w:t>
      </w:r>
    </w:p>
    <w:p w14:paraId="35C2B345">
      <w:pPr>
        <w:autoSpaceDE w:val="0"/>
        <w:autoSpaceDN w:val="0"/>
        <w:adjustRightInd w:val="0"/>
        <w:spacing w:line="360" w:lineRule="auto"/>
        <w:rPr>
          <w:rFonts w:ascii="宋体" w:hAnsi="宋体" w:cs="宋体"/>
          <w:color w:val="auto"/>
          <w:sz w:val="36"/>
          <w:szCs w:val="36"/>
          <w:highlight w:val="none"/>
        </w:rPr>
      </w:pPr>
      <w:r>
        <w:rPr>
          <w:rFonts w:hint="eastAsia" w:ascii="宋体" w:hAnsi="宋体" w:cs="宋体"/>
          <w:color w:val="auto"/>
          <w:sz w:val="36"/>
          <w:szCs w:val="36"/>
          <w:highlight w:val="none"/>
        </w:rPr>
        <w:t>地址：</w:t>
      </w:r>
    </w:p>
    <w:p w14:paraId="0C1BAE8C">
      <w:pPr>
        <w:autoSpaceDE w:val="0"/>
        <w:autoSpaceDN w:val="0"/>
        <w:adjustRightInd w:val="0"/>
        <w:spacing w:line="360" w:lineRule="auto"/>
        <w:rPr>
          <w:rFonts w:ascii="宋体" w:hAnsi="宋体" w:cs="宋体"/>
          <w:b/>
          <w:bCs/>
          <w:color w:val="auto"/>
          <w:sz w:val="36"/>
          <w:szCs w:val="44"/>
          <w:highlight w:val="none"/>
        </w:rPr>
      </w:pPr>
      <w:r>
        <w:rPr>
          <w:rFonts w:hint="eastAsia" w:ascii="宋体" w:hAnsi="宋体" w:cs="宋体"/>
          <w:color w:val="auto"/>
          <w:sz w:val="36"/>
          <w:szCs w:val="36"/>
          <w:highlight w:val="none"/>
        </w:rPr>
        <w:t>时间：</w:t>
      </w:r>
    </w:p>
    <w:p w14:paraId="6A1B4C99">
      <w:pP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资格证明文件目录</w:t>
      </w:r>
    </w:p>
    <w:p w14:paraId="1AD37A82">
      <w:pPr>
        <w:spacing w:line="360" w:lineRule="auto"/>
        <w:rPr>
          <w:rFonts w:ascii="宋体" w:hAnsi="宋体" w:cs="宋体"/>
          <w:color w:val="auto"/>
          <w:sz w:val="24"/>
          <w:szCs w:val="32"/>
          <w:highlight w:val="none"/>
        </w:rPr>
      </w:pPr>
    </w:p>
    <w:p w14:paraId="2DCEB8E4">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（1）磋商声明书；（附件2）</w:t>
      </w:r>
    </w:p>
    <w:p w14:paraId="70216C60">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（2）授权委托书（法定代表人（单位负责人）亲自办理磋商响应事宜的，则无需提交）；（附件3）</w:t>
      </w:r>
    </w:p>
    <w:p w14:paraId="44ED052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（3）法人或者其他组织的营业执照等证明文件，自然人的身份证明；（附件4）</w:t>
      </w:r>
    </w:p>
    <w:p w14:paraId="09451B05">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（4）具有良好的商业信誉和健全的财务会计制度的承诺；（附件5）</w:t>
      </w:r>
    </w:p>
    <w:p w14:paraId="7CCEA876">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（5）依法缴纳税收和社会保障资金的承诺；（附件6）</w:t>
      </w:r>
    </w:p>
    <w:p w14:paraId="5D10DA1C">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（6）具备履行合同所必需的设备和专业技术能力的承诺函；（附件7）</w:t>
      </w:r>
    </w:p>
    <w:p w14:paraId="77727C6A">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（7）参加政府采购活动前三年内，在经营活动中没有重大违法记录（承诺函）；（附件8）</w:t>
      </w:r>
    </w:p>
    <w:p w14:paraId="49CB7202">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（8）需要说明的其他资料；</w:t>
      </w:r>
    </w:p>
    <w:p w14:paraId="60716C63">
      <w:pPr>
        <w:pStyle w:val="2"/>
        <w:rPr>
          <w:color w:val="auto"/>
          <w:highlight w:val="none"/>
        </w:rPr>
      </w:pPr>
    </w:p>
    <w:p w14:paraId="58E5F2A7">
      <w:pPr>
        <w:pStyle w:val="27"/>
        <w:rPr>
          <w:color w:val="auto"/>
          <w:highlight w:val="none"/>
        </w:rPr>
      </w:pPr>
    </w:p>
    <w:p w14:paraId="73878AAD">
      <w:pPr>
        <w:pStyle w:val="22"/>
        <w:rPr>
          <w:color w:val="auto"/>
          <w:highlight w:val="none"/>
        </w:rPr>
      </w:pPr>
    </w:p>
    <w:p w14:paraId="6F994494">
      <w:pPr>
        <w:spacing w:line="360" w:lineRule="auto"/>
        <w:rPr>
          <w:rFonts w:ascii="宋体" w:hAnsi="宋体" w:cs="宋体"/>
          <w:color w:val="auto"/>
          <w:sz w:val="24"/>
          <w:szCs w:val="32"/>
          <w:highlight w:val="none"/>
        </w:rPr>
      </w:pPr>
    </w:p>
    <w:p w14:paraId="53E77DD9">
      <w:pPr>
        <w:spacing w:line="360" w:lineRule="auto"/>
        <w:rPr>
          <w:rFonts w:ascii="宋体" w:hAnsi="宋体" w:cs="宋体"/>
          <w:color w:val="auto"/>
          <w:sz w:val="24"/>
          <w:szCs w:val="32"/>
          <w:highlight w:val="none"/>
        </w:rPr>
      </w:pPr>
    </w:p>
    <w:p w14:paraId="14076DE3">
      <w:pPr>
        <w:spacing w:line="360" w:lineRule="auto"/>
        <w:rPr>
          <w:rFonts w:ascii="宋体" w:hAnsi="宋体" w:cs="宋体"/>
          <w:color w:val="auto"/>
          <w:sz w:val="24"/>
          <w:szCs w:val="32"/>
          <w:highlight w:val="none"/>
        </w:rPr>
      </w:pPr>
    </w:p>
    <w:p w14:paraId="01FE8199">
      <w:pPr>
        <w:spacing w:line="360" w:lineRule="auto"/>
        <w:rPr>
          <w:rFonts w:ascii="宋体" w:hAnsi="宋体" w:cs="宋体"/>
          <w:color w:val="auto"/>
          <w:sz w:val="24"/>
          <w:szCs w:val="32"/>
          <w:highlight w:val="none"/>
        </w:rPr>
      </w:pPr>
    </w:p>
    <w:p w14:paraId="19A65714">
      <w:pPr>
        <w:spacing w:line="360" w:lineRule="auto"/>
        <w:rPr>
          <w:rFonts w:ascii="宋体" w:hAnsi="宋体" w:cs="宋体"/>
          <w:color w:val="auto"/>
          <w:sz w:val="24"/>
          <w:szCs w:val="32"/>
          <w:highlight w:val="none"/>
        </w:rPr>
      </w:pPr>
    </w:p>
    <w:p w14:paraId="7027F1AC">
      <w:pPr>
        <w:spacing w:line="460" w:lineRule="exact"/>
        <w:rPr>
          <w:rFonts w:hint="eastAsia" w:ascii="宋体" w:hAnsi="宋体" w:cs="宋体"/>
          <w:b/>
          <w:color w:val="auto"/>
          <w:sz w:val="28"/>
          <w:highlight w:val="none"/>
        </w:rPr>
      </w:pPr>
    </w:p>
    <w:p w14:paraId="2172BC6E">
      <w:pPr>
        <w:spacing w:line="460" w:lineRule="exact"/>
        <w:rPr>
          <w:rFonts w:hint="eastAsia" w:ascii="宋体" w:hAnsi="宋体" w:cs="宋体"/>
          <w:b/>
          <w:color w:val="auto"/>
          <w:sz w:val="28"/>
          <w:highlight w:val="none"/>
        </w:rPr>
      </w:pPr>
    </w:p>
    <w:p w14:paraId="78ADE04A">
      <w:pPr>
        <w:spacing w:line="460" w:lineRule="exact"/>
        <w:rPr>
          <w:rFonts w:ascii="宋体" w:hAnsi="宋体" w:cs="宋体"/>
          <w:b/>
          <w:color w:val="auto"/>
          <w:kern w:val="0"/>
          <w:sz w:val="32"/>
          <w:szCs w:val="32"/>
          <w:highlight w:val="none"/>
          <w:lang w:val="zh-CN"/>
        </w:rPr>
      </w:pPr>
      <w:r>
        <w:rPr>
          <w:rFonts w:hint="eastAsia" w:ascii="宋体" w:hAnsi="宋体" w:cs="宋体"/>
          <w:b/>
          <w:color w:val="auto"/>
          <w:sz w:val="28"/>
          <w:highlight w:val="none"/>
        </w:rPr>
        <w:t xml:space="preserve">附件2                 </w:t>
      </w:r>
      <w:r>
        <w:rPr>
          <w:rFonts w:hint="eastAsia" w:ascii="宋体" w:hAnsi="宋体" w:cs="宋体"/>
          <w:b/>
          <w:color w:val="auto"/>
          <w:sz w:val="32"/>
          <w:szCs w:val="32"/>
          <w:highlight w:val="none"/>
        </w:rPr>
        <w:t xml:space="preserve"> 磋商</w:t>
      </w:r>
      <w:r>
        <w:rPr>
          <w:rFonts w:hint="eastAsia" w:ascii="宋体" w:hAnsi="宋体" w:cs="宋体"/>
          <w:b/>
          <w:color w:val="auto"/>
          <w:kern w:val="0"/>
          <w:sz w:val="32"/>
          <w:szCs w:val="32"/>
          <w:highlight w:val="none"/>
          <w:lang w:val="zh-CN"/>
        </w:rPr>
        <w:t>声明书</w:t>
      </w:r>
      <w:r>
        <w:rPr>
          <w:rFonts w:hint="eastAsia" w:ascii="宋体" w:hAnsi="宋体" w:cs="宋体"/>
          <w:b/>
          <w:color w:val="auto"/>
          <w:kern w:val="0"/>
          <w:sz w:val="32"/>
          <w:szCs w:val="32"/>
          <w:highlight w:val="none"/>
          <w:lang w:val="en-US" w:eastAsia="zh-CN"/>
        </w:rPr>
        <w:t xml:space="preserve">            </w:t>
      </w:r>
      <w:r>
        <w:rPr>
          <w:rFonts w:hint="eastAsia" w:ascii="宋体" w:hAnsi="宋体" w:cs="宋体"/>
          <w:b/>
          <w:bCs/>
          <w:color w:val="auto"/>
          <w:kern w:val="0"/>
          <w:sz w:val="32"/>
          <w:szCs w:val="32"/>
          <w:highlight w:val="none"/>
          <w:lang w:val="en-US" w:eastAsia="zh-CN"/>
        </w:rPr>
        <w:t>标项：</w:t>
      </w:r>
    </w:p>
    <w:p w14:paraId="26F0BBFF">
      <w:pPr>
        <w:spacing w:line="460" w:lineRule="exact"/>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（采购代理机构名称）：</w:t>
      </w:r>
    </w:p>
    <w:p w14:paraId="78A65531">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14:paraId="6F9DF5E3">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系统平台升级改造项目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）的磋商，为此，我公司就本次磋商有关事项郑重声明如下：</w:t>
      </w:r>
    </w:p>
    <w:p w14:paraId="1128C13F">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1、我公司声明截止磋商时间近三年以来：在参加政府采购活动过程中无重大违法记录（重大违法记录是指供应商因违法经营受到刑事处罚或者责令停产停业、吊销许可证或者执照、较大数额罚款等行政处罚）。</w:t>
      </w:r>
    </w:p>
    <w:p w14:paraId="55FD2D59">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13814BA9">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679E036B">
      <w:pPr>
        <w:spacing w:line="460" w:lineRule="exact"/>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4D5EF8B3">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19617FD3">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w:t>
      </w:r>
      <w:r>
        <w:rPr>
          <w:rFonts w:hint="eastAsia" w:ascii="宋体" w:hAnsi="宋体" w:cs="宋体"/>
          <w:color w:val="auto"/>
          <w:sz w:val="24"/>
          <w:szCs w:val="32"/>
          <w:highlight w:val="none"/>
          <w:lang w:val="af-ZA"/>
        </w:rPr>
        <w:t>除在投标文件中明确拒绝的之外，均接受招标文件的一切条件，</w:t>
      </w:r>
      <w:r>
        <w:rPr>
          <w:rFonts w:hint="eastAsia" w:ascii="宋体" w:hAnsi="宋体" w:cs="宋体"/>
          <w:color w:val="auto"/>
          <w:sz w:val="24"/>
          <w:szCs w:val="32"/>
          <w:highlight w:val="none"/>
        </w:rPr>
        <w:t>并不再寻求任何旨在减轻或免除法律责任的辩解。</w:t>
      </w:r>
    </w:p>
    <w:p w14:paraId="53BE138A">
      <w:pPr>
        <w:spacing w:line="46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14:paraId="146C3426">
      <w:pPr>
        <w:spacing w:line="460" w:lineRule="exact"/>
        <w:ind w:firstLine="3840" w:firstLineChars="16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供应商名称（公章）：</w:t>
      </w:r>
    </w:p>
    <w:p w14:paraId="1CDA1837">
      <w:pPr>
        <w:spacing w:line="460" w:lineRule="exact"/>
        <w:ind w:firstLine="3840" w:firstLineChars="16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法定代表人或授权委托代理人（签字）：</w:t>
      </w:r>
    </w:p>
    <w:p w14:paraId="4892F5E8">
      <w:pPr>
        <w:spacing w:line="460" w:lineRule="exact"/>
        <w:ind w:firstLine="3840" w:firstLineChars="16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6FA4B86D">
      <w:pP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附件3                   授权委托书</w:t>
      </w:r>
      <w:r>
        <w:rPr>
          <w:rFonts w:hint="eastAsia" w:ascii="宋体" w:hAnsi="宋体" w:cs="宋体"/>
          <w:b/>
          <w:color w:val="auto"/>
          <w:sz w:val="28"/>
          <w:highlight w:val="none"/>
          <w:lang w:val="en-US" w:eastAsia="zh-CN"/>
        </w:rPr>
        <w:t xml:space="preserve">        </w:t>
      </w:r>
      <w:r>
        <w:rPr>
          <w:rFonts w:hint="eastAsia" w:ascii="宋体" w:hAnsi="宋体" w:cs="宋体"/>
          <w:b/>
          <w:bCs/>
          <w:color w:val="auto"/>
          <w:kern w:val="0"/>
          <w:sz w:val="32"/>
          <w:szCs w:val="32"/>
          <w:highlight w:val="none"/>
          <w:lang w:val="en-US" w:eastAsia="zh-CN"/>
        </w:rPr>
        <w:t>标项：</w:t>
      </w:r>
    </w:p>
    <w:p w14:paraId="31C2F480">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中共台州市委政法委员会、</w:t>
      </w: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w:t>
      </w:r>
    </w:p>
    <w:p w14:paraId="7909E32D">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（供应商全称）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系统平台升级改造项目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的采购活动，并代表我方全权办理针对上述项目的磋商、签约等具体事务和签署相关文件。我方对授权委托代理人的签字事项负全部责任。</w:t>
      </w:r>
    </w:p>
    <w:p w14:paraId="44EBD04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344FA30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0290F182">
      <w:pPr>
        <w:spacing w:line="360" w:lineRule="auto"/>
        <w:ind w:firstLine="480" w:firstLineChars="200"/>
        <w:rPr>
          <w:rFonts w:ascii="宋体" w:hAnsi="宋体" w:cs="宋体"/>
          <w:color w:val="auto"/>
          <w:sz w:val="24"/>
          <w:szCs w:val="32"/>
          <w:highlight w:val="none"/>
        </w:rPr>
      </w:pPr>
    </w:p>
    <w:p w14:paraId="7B7AAB1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法定代表人（单位负责人）签字或盖章：</w:t>
      </w:r>
    </w:p>
    <w:p w14:paraId="2498B498">
      <w:pPr>
        <w:spacing w:line="360" w:lineRule="auto"/>
        <w:ind w:firstLine="480" w:firstLineChars="200"/>
        <w:rPr>
          <w:rFonts w:ascii="宋体" w:hAnsi="宋体" w:cs="宋体"/>
          <w:color w:val="auto"/>
          <w:sz w:val="24"/>
          <w:szCs w:val="32"/>
          <w:highlight w:val="none"/>
        </w:rPr>
      </w:pPr>
    </w:p>
    <w:p w14:paraId="1A19C10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供应商全称（公章）：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78895B22">
      <w:pPr>
        <w:spacing w:line="360" w:lineRule="auto"/>
        <w:ind w:firstLine="480" w:firstLineChars="200"/>
        <w:rPr>
          <w:rFonts w:ascii="宋体" w:hAnsi="宋体" w:cs="宋体"/>
          <w:color w:val="auto"/>
          <w:sz w:val="24"/>
          <w:szCs w:val="32"/>
          <w:highlight w:val="none"/>
        </w:rPr>
      </w:pPr>
    </w:p>
    <w:p w14:paraId="6373FE31">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BDF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A3716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14:paraId="40C705E2">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法定代表人（单位负责人）姓名：</w:t>
      </w:r>
    </w:p>
    <w:p w14:paraId="514EB36E">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471305AA">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571098BA">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05499C89">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6CB6586D">
      <w:pPr>
        <w:spacing w:line="360" w:lineRule="auto"/>
        <w:rPr>
          <w:rFonts w:ascii="宋体" w:hAnsi="宋体" w:cs="宋体"/>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39E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5DA080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14:paraId="44085E2B">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1B8779FB">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582CE9F8">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295F4FD0">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6DBCC9B3">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109DE718">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2B9E9C46">
      <w:pPr>
        <w:spacing w:line="360" w:lineRule="auto"/>
        <w:ind w:firstLine="480" w:firstLineChars="200"/>
        <w:rPr>
          <w:rFonts w:ascii="宋体" w:hAnsi="宋体" w:cs="宋体"/>
          <w:color w:val="auto"/>
          <w:sz w:val="24"/>
          <w:szCs w:val="32"/>
          <w:highlight w:val="none"/>
        </w:rPr>
      </w:pPr>
    </w:p>
    <w:p w14:paraId="774A56D1">
      <w:pPr>
        <w:spacing w:line="360" w:lineRule="auto"/>
        <w:rPr>
          <w:rFonts w:hint="eastAsia" w:ascii="宋体" w:hAnsi="宋体" w:cs="宋体"/>
          <w:b/>
          <w:color w:val="auto"/>
          <w:sz w:val="28"/>
          <w:highlight w:val="none"/>
        </w:rPr>
        <w:sectPr>
          <w:pgSz w:w="11906" w:h="16838"/>
          <w:pgMar w:top="1440" w:right="1803" w:bottom="1440" w:left="1803" w:header="851" w:footer="992" w:gutter="0"/>
          <w:pgNumType w:start="1"/>
          <w:cols w:space="0" w:num="1"/>
          <w:docGrid w:type="lines" w:linePitch="317" w:charSpace="0"/>
        </w:sectPr>
      </w:pPr>
    </w:p>
    <w:p w14:paraId="2D2A408C">
      <w:pPr>
        <w:spacing w:line="360" w:lineRule="auto"/>
        <w:rPr>
          <w:rFonts w:ascii="宋体" w:hAnsi="宋体" w:cs="宋体"/>
          <w:b/>
          <w:color w:val="auto"/>
          <w:sz w:val="28"/>
          <w:highlight w:val="none"/>
        </w:rPr>
      </w:pPr>
      <w:r>
        <w:rPr>
          <w:rFonts w:hint="eastAsia" w:ascii="宋体" w:hAnsi="宋体" w:cs="宋体"/>
          <w:b/>
          <w:color w:val="auto"/>
          <w:sz w:val="28"/>
          <w:highlight w:val="none"/>
        </w:rPr>
        <w:t>附件4</w:t>
      </w:r>
    </w:p>
    <w:p w14:paraId="645C2A50">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有效的法人或者其他组织的营业执照等证明文件（复印件），自然人的身份证明</w:t>
      </w:r>
    </w:p>
    <w:p w14:paraId="59FF1250">
      <w:pPr>
        <w:spacing w:line="360" w:lineRule="auto"/>
        <w:rPr>
          <w:rFonts w:ascii="宋体" w:hAnsi="宋体" w:cs="宋体"/>
          <w:color w:val="auto"/>
          <w:sz w:val="24"/>
          <w:szCs w:val="32"/>
          <w:highlight w:val="none"/>
        </w:rPr>
      </w:pPr>
    </w:p>
    <w:p w14:paraId="6C991BBB">
      <w:pPr>
        <w:spacing w:line="360" w:lineRule="auto"/>
        <w:rPr>
          <w:rFonts w:ascii="宋体" w:hAnsi="宋体" w:cs="宋体"/>
          <w:color w:val="auto"/>
          <w:sz w:val="24"/>
          <w:szCs w:val="32"/>
          <w:highlight w:val="none"/>
        </w:rPr>
      </w:pPr>
    </w:p>
    <w:p w14:paraId="258C8B68">
      <w:pPr>
        <w:spacing w:line="360" w:lineRule="auto"/>
        <w:rPr>
          <w:rFonts w:ascii="宋体" w:hAnsi="宋体" w:cs="宋体"/>
          <w:color w:val="auto"/>
          <w:sz w:val="24"/>
          <w:szCs w:val="32"/>
          <w:highlight w:val="none"/>
        </w:rPr>
      </w:pPr>
    </w:p>
    <w:p w14:paraId="3A164F7E">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说明：</w:t>
      </w:r>
    </w:p>
    <w:p w14:paraId="51A9DA04">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1.如供应商是企业（包括合伙企业），提供在工商部门注册的有效“企业法人营业执照”或“营业执照”；</w:t>
      </w:r>
    </w:p>
    <w:p w14:paraId="7F56DD8C">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2.如供应商是事业单位，提供有效的“事业单位法人证书”；</w:t>
      </w:r>
    </w:p>
    <w:p w14:paraId="6B7CD4B8">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3.如供应商是非企业专业服务机构的，提供执业许可证等证明文件；</w:t>
      </w:r>
    </w:p>
    <w:p w14:paraId="0713B2C8">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4.如供应商是个体工商户，提供有效的“个体工商户营业执照”；</w:t>
      </w:r>
    </w:p>
    <w:p w14:paraId="01AB2210">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5.如供应商是自然人，提供有效的自然人身份证明。</w:t>
      </w:r>
    </w:p>
    <w:p w14:paraId="31D4BE04">
      <w:pPr>
        <w:spacing w:line="360" w:lineRule="auto"/>
        <w:rPr>
          <w:rFonts w:ascii="宋体" w:hAnsi="宋体" w:cs="宋体"/>
          <w:color w:val="auto"/>
          <w:sz w:val="24"/>
          <w:szCs w:val="32"/>
          <w:highlight w:val="none"/>
        </w:rPr>
      </w:pPr>
    </w:p>
    <w:p w14:paraId="172AB7E2">
      <w:pPr>
        <w:spacing w:line="360" w:lineRule="auto"/>
        <w:rPr>
          <w:rFonts w:ascii="宋体" w:hAnsi="宋体" w:cs="宋体"/>
          <w:color w:val="auto"/>
          <w:sz w:val="24"/>
          <w:szCs w:val="32"/>
          <w:highlight w:val="none"/>
        </w:rPr>
      </w:pPr>
    </w:p>
    <w:p w14:paraId="138B8507">
      <w:pPr>
        <w:spacing w:line="360" w:lineRule="auto"/>
        <w:rPr>
          <w:rFonts w:ascii="宋体" w:hAnsi="宋体" w:cs="宋体"/>
          <w:color w:val="auto"/>
          <w:sz w:val="24"/>
          <w:szCs w:val="32"/>
          <w:highlight w:val="none"/>
        </w:rPr>
      </w:pPr>
    </w:p>
    <w:p w14:paraId="43C08E4B">
      <w:pPr>
        <w:spacing w:line="360" w:lineRule="auto"/>
        <w:rPr>
          <w:rFonts w:ascii="宋体" w:hAnsi="宋体" w:cs="宋体"/>
          <w:color w:val="auto"/>
          <w:sz w:val="24"/>
          <w:szCs w:val="32"/>
          <w:highlight w:val="none"/>
        </w:rPr>
      </w:pPr>
    </w:p>
    <w:p w14:paraId="15D57345">
      <w:pPr>
        <w:spacing w:line="360" w:lineRule="auto"/>
        <w:rPr>
          <w:rFonts w:ascii="宋体" w:hAnsi="宋体" w:cs="宋体"/>
          <w:color w:val="auto"/>
          <w:sz w:val="24"/>
          <w:szCs w:val="32"/>
          <w:highlight w:val="none"/>
        </w:rPr>
      </w:pPr>
    </w:p>
    <w:p w14:paraId="69AF4F0B">
      <w:pPr>
        <w:spacing w:line="360" w:lineRule="auto"/>
        <w:rPr>
          <w:rFonts w:ascii="宋体" w:hAnsi="宋体" w:cs="宋体"/>
          <w:color w:val="auto"/>
          <w:sz w:val="24"/>
          <w:szCs w:val="32"/>
          <w:highlight w:val="none"/>
        </w:rPr>
      </w:pPr>
    </w:p>
    <w:p w14:paraId="78CC6C05">
      <w:pPr>
        <w:spacing w:line="360" w:lineRule="auto"/>
        <w:rPr>
          <w:rFonts w:ascii="宋体" w:hAnsi="宋体" w:cs="宋体"/>
          <w:color w:val="auto"/>
          <w:sz w:val="24"/>
          <w:szCs w:val="32"/>
          <w:highlight w:val="none"/>
        </w:rPr>
      </w:pPr>
    </w:p>
    <w:p w14:paraId="65A67379">
      <w:pPr>
        <w:spacing w:line="360" w:lineRule="auto"/>
        <w:rPr>
          <w:rFonts w:ascii="宋体" w:hAnsi="宋体" w:cs="宋体"/>
          <w:color w:val="auto"/>
          <w:sz w:val="24"/>
          <w:szCs w:val="32"/>
          <w:highlight w:val="none"/>
        </w:rPr>
      </w:pPr>
    </w:p>
    <w:p w14:paraId="49CB9F46">
      <w:pPr>
        <w:spacing w:line="360" w:lineRule="auto"/>
        <w:rPr>
          <w:rFonts w:ascii="宋体" w:hAnsi="宋体" w:cs="宋体"/>
          <w:color w:val="auto"/>
          <w:sz w:val="24"/>
          <w:szCs w:val="32"/>
          <w:highlight w:val="none"/>
        </w:rPr>
      </w:pPr>
    </w:p>
    <w:p w14:paraId="4D4C1155">
      <w:pPr>
        <w:spacing w:line="360" w:lineRule="auto"/>
        <w:rPr>
          <w:rFonts w:hint="eastAsia" w:ascii="宋体" w:hAnsi="宋体" w:cs="宋体"/>
          <w:b/>
          <w:color w:val="auto"/>
          <w:sz w:val="28"/>
          <w:highlight w:val="none"/>
        </w:rPr>
      </w:pPr>
    </w:p>
    <w:p w14:paraId="6B98F47B">
      <w:pPr>
        <w:spacing w:line="360" w:lineRule="auto"/>
        <w:rPr>
          <w:rFonts w:hint="eastAsia" w:ascii="宋体" w:hAnsi="宋体" w:cs="宋体"/>
          <w:b/>
          <w:color w:val="auto"/>
          <w:sz w:val="28"/>
          <w:highlight w:val="none"/>
        </w:rPr>
      </w:pPr>
    </w:p>
    <w:p w14:paraId="5E68ACAE">
      <w:pPr>
        <w:spacing w:line="360" w:lineRule="auto"/>
        <w:rPr>
          <w:rFonts w:hint="eastAsia" w:ascii="宋体" w:hAnsi="宋体" w:cs="宋体"/>
          <w:b/>
          <w:color w:val="auto"/>
          <w:sz w:val="28"/>
          <w:highlight w:val="none"/>
        </w:rPr>
      </w:pPr>
    </w:p>
    <w:p w14:paraId="2D0F9F2A">
      <w:pPr>
        <w:spacing w:line="360" w:lineRule="auto"/>
        <w:rPr>
          <w:rFonts w:hint="eastAsia" w:ascii="宋体" w:hAnsi="宋体" w:cs="宋体"/>
          <w:b/>
          <w:color w:val="auto"/>
          <w:sz w:val="28"/>
          <w:highlight w:val="none"/>
        </w:rPr>
      </w:pPr>
    </w:p>
    <w:p w14:paraId="2A42E437">
      <w:pPr>
        <w:spacing w:line="360" w:lineRule="auto"/>
        <w:rPr>
          <w:rFonts w:hint="default" w:ascii="宋体" w:hAnsi="宋体" w:eastAsia="宋体" w:cs="宋体"/>
          <w:color w:val="auto"/>
          <w:sz w:val="24"/>
          <w:highlight w:val="none"/>
          <w:lang w:val="en-US" w:eastAsia="zh-CN"/>
        </w:rPr>
      </w:pPr>
      <w:r>
        <w:rPr>
          <w:rFonts w:hint="eastAsia" w:ascii="宋体" w:hAnsi="宋体" w:cs="宋体"/>
          <w:b/>
          <w:color w:val="auto"/>
          <w:sz w:val="28"/>
          <w:highlight w:val="none"/>
        </w:rPr>
        <w:t>附件5</w:t>
      </w:r>
      <w:r>
        <w:rPr>
          <w:rFonts w:hint="eastAsia" w:ascii="宋体" w:hAnsi="宋体" w:cs="宋体"/>
          <w:b/>
          <w:color w:val="auto"/>
          <w:sz w:val="28"/>
          <w:highlight w:val="none"/>
          <w:lang w:val="en-US" w:eastAsia="zh-CN"/>
        </w:rPr>
        <w:t xml:space="preserve">                                       标项：</w:t>
      </w:r>
    </w:p>
    <w:p w14:paraId="7077E62E">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依法缴纳税收和社会保障资金的承诺</w:t>
      </w:r>
    </w:p>
    <w:p w14:paraId="74E0CD17">
      <w:pPr>
        <w:spacing w:line="360" w:lineRule="auto"/>
        <w:rPr>
          <w:rFonts w:ascii="宋体" w:hAnsi="宋体" w:cs="宋体"/>
          <w:color w:val="auto"/>
          <w:sz w:val="24"/>
          <w:highlight w:val="none"/>
          <w:lang w:val="zh-CN"/>
        </w:rPr>
      </w:pPr>
    </w:p>
    <w:p w14:paraId="307B6AF2">
      <w:pPr>
        <w:spacing w:line="360" w:lineRule="auto"/>
        <w:rPr>
          <w:rFonts w:ascii="宋体" w:hAnsi="宋体" w:cs="宋体"/>
          <w:color w:val="auto"/>
          <w:sz w:val="24"/>
          <w:highlight w:val="none"/>
          <w:lang w:val="zh-CN"/>
        </w:rPr>
      </w:pPr>
    </w:p>
    <w:p w14:paraId="4D0184C2">
      <w:pPr>
        <w:spacing w:line="360" w:lineRule="auto"/>
        <w:rPr>
          <w:rFonts w:ascii="宋体" w:hAnsi="宋体" w:cs="宋体"/>
          <w:color w:val="auto"/>
          <w:sz w:val="24"/>
          <w:highlight w:val="none"/>
          <w:lang w:val="zh-CN"/>
        </w:rPr>
      </w:pPr>
    </w:p>
    <w:p w14:paraId="180BDA30">
      <w:pPr>
        <w:spacing w:line="360" w:lineRule="auto"/>
        <w:ind w:firstLine="480" w:firstLineChars="200"/>
        <w:rPr>
          <w:rFonts w:ascii="宋体" w:hAnsi="宋体" w:cs="宋体"/>
          <w:color w:val="auto"/>
          <w:sz w:val="24"/>
          <w:highlight w:val="none"/>
        </w:rPr>
      </w:pPr>
    </w:p>
    <w:p w14:paraId="6022DCC9">
      <w:pPr>
        <w:spacing w:line="360" w:lineRule="auto"/>
        <w:ind w:firstLine="480" w:firstLineChars="200"/>
        <w:rPr>
          <w:rFonts w:ascii="宋体" w:hAnsi="宋体" w:cs="宋体"/>
          <w:color w:val="auto"/>
          <w:sz w:val="24"/>
          <w:highlight w:val="none"/>
        </w:rPr>
      </w:pPr>
    </w:p>
    <w:p w14:paraId="2EC78492">
      <w:pPr>
        <w:spacing w:line="360" w:lineRule="auto"/>
        <w:ind w:firstLine="480" w:firstLineChars="200"/>
        <w:rPr>
          <w:rFonts w:ascii="宋体" w:hAnsi="宋体" w:cs="宋体"/>
          <w:color w:val="auto"/>
          <w:sz w:val="24"/>
          <w:highlight w:val="none"/>
        </w:rPr>
      </w:pPr>
    </w:p>
    <w:p w14:paraId="00C461B1">
      <w:pPr>
        <w:spacing w:line="360" w:lineRule="auto"/>
        <w:ind w:firstLine="480" w:firstLineChars="200"/>
        <w:rPr>
          <w:rFonts w:ascii="宋体" w:hAnsi="宋体" w:cs="宋体"/>
          <w:color w:val="auto"/>
          <w:sz w:val="24"/>
          <w:highlight w:val="none"/>
        </w:rPr>
      </w:pPr>
    </w:p>
    <w:p w14:paraId="76D91F89">
      <w:pPr>
        <w:spacing w:line="360" w:lineRule="auto"/>
        <w:ind w:firstLine="480" w:firstLineChars="200"/>
        <w:rPr>
          <w:rFonts w:ascii="宋体" w:hAnsi="宋体" w:cs="宋体"/>
          <w:color w:val="auto"/>
          <w:sz w:val="24"/>
          <w:highlight w:val="none"/>
        </w:rPr>
      </w:pPr>
    </w:p>
    <w:p w14:paraId="26D9E2BD">
      <w:pPr>
        <w:spacing w:line="360" w:lineRule="auto"/>
        <w:ind w:firstLine="480" w:firstLineChars="200"/>
        <w:rPr>
          <w:rFonts w:ascii="宋体" w:hAnsi="宋体" w:cs="宋体"/>
          <w:color w:val="auto"/>
          <w:sz w:val="24"/>
          <w:highlight w:val="none"/>
        </w:rPr>
      </w:pPr>
    </w:p>
    <w:p w14:paraId="75841ED5">
      <w:pPr>
        <w:spacing w:line="360" w:lineRule="auto"/>
        <w:ind w:firstLine="480" w:firstLineChars="200"/>
        <w:rPr>
          <w:rFonts w:ascii="宋体" w:hAnsi="宋体" w:cs="宋体"/>
          <w:color w:val="auto"/>
          <w:sz w:val="24"/>
          <w:highlight w:val="none"/>
        </w:rPr>
      </w:pPr>
    </w:p>
    <w:p w14:paraId="21E0B377">
      <w:pPr>
        <w:spacing w:line="360" w:lineRule="auto"/>
        <w:ind w:firstLine="480" w:firstLineChars="200"/>
        <w:rPr>
          <w:rFonts w:ascii="宋体" w:hAnsi="宋体" w:cs="宋体"/>
          <w:color w:val="auto"/>
          <w:sz w:val="24"/>
          <w:highlight w:val="none"/>
        </w:rPr>
      </w:pPr>
    </w:p>
    <w:p w14:paraId="4E37BE2B">
      <w:pPr>
        <w:spacing w:line="360" w:lineRule="auto"/>
        <w:ind w:firstLine="480" w:firstLineChars="200"/>
        <w:rPr>
          <w:rFonts w:ascii="宋体" w:hAnsi="宋体" w:cs="宋体"/>
          <w:color w:val="auto"/>
          <w:sz w:val="24"/>
          <w:highlight w:val="none"/>
        </w:rPr>
      </w:pPr>
    </w:p>
    <w:p w14:paraId="7A07D1A8">
      <w:pPr>
        <w:spacing w:line="360" w:lineRule="auto"/>
        <w:ind w:firstLine="480" w:firstLineChars="200"/>
        <w:rPr>
          <w:rFonts w:ascii="宋体" w:hAnsi="宋体" w:cs="宋体"/>
          <w:color w:val="auto"/>
          <w:sz w:val="24"/>
          <w:highlight w:val="none"/>
        </w:rPr>
      </w:pPr>
    </w:p>
    <w:p w14:paraId="7404EC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磋商供应商名称（公章）：             </w:t>
      </w:r>
    </w:p>
    <w:p w14:paraId="5E4D3308">
      <w:pPr>
        <w:spacing w:line="360" w:lineRule="auto"/>
        <w:ind w:firstLine="480" w:firstLineChars="200"/>
        <w:rPr>
          <w:rFonts w:ascii="宋体" w:hAnsi="宋体" w:cs="宋体"/>
          <w:color w:val="auto"/>
          <w:sz w:val="24"/>
          <w:highlight w:val="none"/>
        </w:rPr>
      </w:pPr>
    </w:p>
    <w:p w14:paraId="108DA0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法定代表人（签字或盖章）或授权委托代理人（签字）：</w:t>
      </w:r>
    </w:p>
    <w:p w14:paraId="56DC436A">
      <w:pPr>
        <w:spacing w:line="360" w:lineRule="auto"/>
        <w:ind w:firstLine="480" w:firstLineChars="200"/>
        <w:rPr>
          <w:rFonts w:ascii="宋体" w:hAnsi="宋体" w:cs="宋体"/>
          <w:color w:val="auto"/>
          <w:sz w:val="24"/>
          <w:highlight w:val="none"/>
        </w:rPr>
      </w:pPr>
    </w:p>
    <w:p w14:paraId="508366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日期：     </w:t>
      </w:r>
      <w:r>
        <w:rPr>
          <w:rFonts w:hint="eastAsia" w:ascii="宋体" w:hAnsi="宋体" w:cs="宋体"/>
          <w:color w:val="auto"/>
          <w:sz w:val="24"/>
          <w:highlight w:val="none"/>
          <w:lang w:val="zh-CN"/>
        </w:rPr>
        <w:t>年</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4ED83CFA">
      <w:pPr>
        <w:spacing w:line="360" w:lineRule="auto"/>
        <w:rPr>
          <w:rFonts w:ascii="宋体" w:hAnsi="宋体" w:cs="宋体"/>
          <w:color w:val="auto"/>
          <w:sz w:val="24"/>
          <w:szCs w:val="32"/>
          <w:highlight w:val="none"/>
        </w:rPr>
      </w:pPr>
    </w:p>
    <w:p w14:paraId="2CA40DAF">
      <w:pPr>
        <w:spacing w:line="360" w:lineRule="auto"/>
        <w:rPr>
          <w:rFonts w:ascii="宋体" w:hAnsi="宋体" w:cs="宋体"/>
          <w:color w:val="auto"/>
          <w:sz w:val="24"/>
          <w:szCs w:val="32"/>
          <w:highlight w:val="none"/>
        </w:rPr>
      </w:pPr>
    </w:p>
    <w:p w14:paraId="76E85827">
      <w:pPr>
        <w:spacing w:line="360" w:lineRule="auto"/>
        <w:rPr>
          <w:rFonts w:hint="eastAsia" w:ascii="宋体" w:hAnsi="宋体" w:cs="宋体"/>
          <w:b/>
          <w:color w:val="auto"/>
          <w:sz w:val="28"/>
          <w:highlight w:val="none"/>
        </w:rPr>
      </w:pPr>
    </w:p>
    <w:p w14:paraId="792D0B73">
      <w:pPr>
        <w:spacing w:line="360" w:lineRule="auto"/>
        <w:rPr>
          <w:rFonts w:hint="eastAsia" w:ascii="宋体" w:hAnsi="宋体" w:cs="宋体"/>
          <w:b/>
          <w:color w:val="auto"/>
          <w:sz w:val="28"/>
          <w:highlight w:val="none"/>
        </w:rPr>
      </w:pPr>
    </w:p>
    <w:p w14:paraId="02F88804">
      <w:pPr>
        <w:spacing w:line="360" w:lineRule="auto"/>
        <w:rPr>
          <w:rFonts w:hint="eastAsia" w:ascii="宋体" w:hAnsi="宋体" w:cs="宋体"/>
          <w:b/>
          <w:color w:val="auto"/>
          <w:sz w:val="28"/>
          <w:highlight w:val="none"/>
        </w:rPr>
      </w:pPr>
    </w:p>
    <w:p w14:paraId="1921E6C6">
      <w:pPr>
        <w:spacing w:line="360" w:lineRule="auto"/>
        <w:rPr>
          <w:rFonts w:hint="eastAsia" w:ascii="宋体" w:hAnsi="宋体" w:cs="宋体"/>
          <w:b/>
          <w:color w:val="auto"/>
          <w:sz w:val="28"/>
          <w:highlight w:val="none"/>
        </w:rPr>
      </w:pPr>
    </w:p>
    <w:p w14:paraId="5ABADEB1">
      <w:pPr>
        <w:spacing w:line="360" w:lineRule="auto"/>
        <w:rPr>
          <w:rFonts w:hint="eastAsia" w:ascii="宋体" w:hAnsi="宋体" w:cs="宋体"/>
          <w:b/>
          <w:color w:val="auto"/>
          <w:sz w:val="28"/>
          <w:highlight w:val="none"/>
        </w:rPr>
      </w:pPr>
    </w:p>
    <w:p w14:paraId="57E1EBE5">
      <w:pPr>
        <w:spacing w:line="360" w:lineRule="auto"/>
        <w:rPr>
          <w:rFonts w:ascii="宋体" w:hAnsi="宋体" w:cs="宋体"/>
          <w:color w:val="auto"/>
          <w:sz w:val="24"/>
          <w:highlight w:val="none"/>
        </w:rPr>
      </w:pPr>
      <w:r>
        <w:rPr>
          <w:rFonts w:hint="eastAsia" w:ascii="宋体" w:hAnsi="宋体" w:cs="宋体"/>
          <w:b/>
          <w:color w:val="auto"/>
          <w:sz w:val="28"/>
          <w:highlight w:val="none"/>
        </w:rPr>
        <w:t>附件6</w:t>
      </w:r>
    </w:p>
    <w:p w14:paraId="7DD6269F">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8"/>
          <w:szCs w:val="28"/>
          <w:highlight w:val="none"/>
          <w:lang w:val="en-US" w:eastAsia="zh-CN"/>
        </w:rPr>
        <w:t xml:space="preserve">  标项：</w:t>
      </w:r>
    </w:p>
    <w:p w14:paraId="05B8A8BF">
      <w:pPr>
        <w:spacing w:line="360" w:lineRule="auto"/>
        <w:jc w:val="center"/>
        <w:rPr>
          <w:rFonts w:ascii="宋体" w:hAnsi="宋体" w:cs="宋体"/>
          <w:b/>
          <w:bCs/>
          <w:color w:val="auto"/>
          <w:sz w:val="24"/>
          <w:highlight w:val="none"/>
          <w:lang w:val="zh-CN"/>
        </w:rPr>
      </w:pPr>
      <w:r>
        <w:rPr>
          <w:rFonts w:hint="eastAsia" w:ascii="宋体" w:hAnsi="宋体" w:cs="宋体"/>
          <w:b/>
          <w:bCs/>
          <w:color w:val="auto"/>
          <w:sz w:val="28"/>
          <w:szCs w:val="28"/>
          <w:highlight w:val="none"/>
        </w:rPr>
        <w:t>具有良好的商业信誉和健全的财务会计制度的承诺</w:t>
      </w:r>
    </w:p>
    <w:p w14:paraId="1489BC64">
      <w:pPr>
        <w:spacing w:line="360" w:lineRule="auto"/>
        <w:rPr>
          <w:rFonts w:ascii="宋体" w:hAnsi="宋体" w:cs="宋体"/>
          <w:color w:val="auto"/>
          <w:sz w:val="24"/>
          <w:highlight w:val="none"/>
          <w:lang w:val="zh-CN"/>
        </w:rPr>
      </w:pPr>
    </w:p>
    <w:p w14:paraId="6ED0DE41">
      <w:pPr>
        <w:spacing w:line="360" w:lineRule="auto"/>
        <w:rPr>
          <w:rFonts w:ascii="宋体" w:hAnsi="宋体" w:cs="宋体"/>
          <w:color w:val="auto"/>
          <w:sz w:val="24"/>
          <w:highlight w:val="none"/>
          <w:lang w:val="zh-CN"/>
        </w:rPr>
      </w:pPr>
    </w:p>
    <w:p w14:paraId="4ABE0AEC">
      <w:pPr>
        <w:pStyle w:val="8"/>
        <w:rPr>
          <w:rFonts w:ascii="宋体" w:hAnsi="宋体" w:cs="宋体"/>
          <w:color w:val="auto"/>
          <w:sz w:val="24"/>
          <w:szCs w:val="24"/>
          <w:highlight w:val="none"/>
          <w:lang w:val="zh-CN"/>
        </w:rPr>
      </w:pPr>
    </w:p>
    <w:p w14:paraId="17426978">
      <w:pPr>
        <w:pStyle w:val="20"/>
        <w:rPr>
          <w:rFonts w:ascii="宋体" w:hAnsi="宋体" w:cs="宋体"/>
          <w:color w:val="auto"/>
          <w:sz w:val="24"/>
          <w:szCs w:val="24"/>
          <w:highlight w:val="none"/>
          <w:lang w:val="zh-CN"/>
        </w:rPr>
      </w:pPr>
    </w:p>
    <w:p w14:paraId="5483527A">
      <w:pPr>
        <w:rPr>
          <w:rFonts w:ascii="宋体" w:hAnsi="宋体" w:cs="宋体"/>
          <w:color w:val="auto"/>
          <w:sz w:val="24"/>
          <w:highlight w:val="none"/>
          <w:lang w:val="zh-CN"/>
        </w:rPr>
      </w:pPr>
    </w:p>
    <w:p w14:paraId="3D0ADAEC">
      <w:pPr>
        <w:pStyle w:val="8"/>
        <w:rPr>
          <w:rFonts w:ascii="宋体" w:hAnsi="宋体" w:cs="宋体"/>
          <w:color w:val="auto"/>
          <w:sz w:val="24"/>
          <w:szCs w:val="24"/>
          <w:highlight w:val="none"/>
          <w:lang w:val="zh-CN"/>
        </w:rPr>
      </w:pPr>
    </w:p>
    <w:p w14:paraId="25181E86">
      <w:pPr>
        <w:pStyle w:val="20"/>
        <w:rPr>
          <w:rFonts w:ascii="宋体" w:hAnsi="宋体" w:cs="宋体"/>
          <w:color w:val="auto"/>
          <w:sz w:val="24"/>
          <w:szCs w:val="24"/>
          <w:highlight w:val="none"/>
          <w:lang w:val="zh-CN"/>
        </w:rPr>
      </w:pPr>
    </w:p>
    <w:p w14:paraId="77AD46AC">
      <w:pPr>
        <w:rPr>
          <w:rFonts w:ascii="宋体" w:hAnsi="宋体" w:cs="宋体"/>
          <w:color w:val="auto"/>
          <w:sz w:val="24"/>
          <w:highlight w:val="none"/>
          <w:lang w:val="zh-CN"/>
        </w:rPr>
      </w:pPr>
    </w:p>
    <w:p w14:paraId="033C08E4">
      <w:pPr>
        <w:pStyle w:val="8"/>
        <w:rPr>
          <w:rFonts w:ascii="宋体" w:hAnsi="宋体" w:cs="宋体"/>
          <w:color w:val="auto"/>
          <w:sz w:val="24"/>
          <w:szCs w:val="24"/>
          <w:highlight w:val="none"/>
          <w:lang w:val="zh-CN"/>
        </w:rPr>
      </w:pPr>
    </w:p>
    <w:p w14:paraId="0BC22D05">
      <w:pPr>
        <w:pStyle w:val="20"/>
        <w:rPr>
          <w:rFonts w:ascii="宋体" w:hAnsi="宋体" w:cs="宋体"/>
          <w:color w:val="auto"/>
          <w:sz w:val="24"/>
          <w:szCs w:val="24"/>
          <w:highlight w:val="none"/>
          <w:lang w:val="zh-CN"/>
        </w:rPr>
      </w:pPr>
    </w:p>
    <w:p w14:paraId="3EC60B89">
      <w:pPr>
        <w:rPr>
          <w:rFonts w:ascii="宋体" w:hAnsi="宋体" w:cs="宋体"/>
          <w:color w:val="auto"/>
          <w:sz w:val="24"/>
          <w:highlight w:val="none"/>
          <w:lang w:val="zh-CN"/>
        </w:rPr>
      </w:pPr>
    </w:p>
    <w:p w14:paraId="349F75E3">
      <w:pPr>
        <w:pStyle w:val="8"/>
        <w:rPr>
          <w:color w:val="auto"/>
          <w:highlight w:val="none"/>
          <w:lang w:val="zh-CN"/>
        </w:rPr>
      </w:pPr>
    </w:p>
    <w:p w14:paraId="41B2B4CE">
      <w:pPr>
        <w:spacing w:line="360" w:lineRule="auto"/>
        <w:ind w:firstLine="480" w:firstLineChars="200"/>
        <w:rPr>
          <w:rFonts w:ascii="宋体" w:hAnsi="宋体" w:cs="宋体"/>
          <w:color w:val="auto"/>
          <w:sz w:val="24"/>
          <w:highlight w:val="none"/>
        </w:rPr>
      </w:pPr>
    </w:p>
    <w:p w14:paraId="368510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磋商供应商名称（公章）：             </w:t>
      </w:r>
    </w:p>
    <w:p w14:paraId="008DFBD8">
      <w:pPr>
        <w:spacing w:line="360" w:lineRule="auto"/>
        <w:ind w:firstLine="480" w:firstLineChars="200"/>
        <w:rPr>
          <w:rFonts w:ascii="宋体" w:hAnsi="宋体" w:cs="宋体"/>
          <w:color w:val="auto"/>
          <w:sz w:val="24"/>
          <w:highlight w:val="none"/>
        </w:rPr>
      </w:pPr>
    </w:p>
    <w:p w14:paraId="5F0274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法定代表人（签字或盖章）或授权委托代理人（签字）：</w:t>
      </w:r>
    </w:p>
    <w:p w14:paraId="1A4FD044">
      <w:pPr>
        <w:spacing w:line="360" w:lineRule="auto"/>
        <w:ind w:firstLine="480" w:firstLineChars="200"/>
        <w:rPr>
          <w:rFonts w:ascii="宋体" w:hAnsi="宋体" w:cs="宋体"/>
          <w:color w:val="auto"/>
          <w:sz w:val="24"/>
          <w:highlight w:val="none"/>
        </w:rPr>
      </w:pPr>
    </w:p>
    <w:p w14:paraId="688A20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日期：     </w:t>
      </w:r>
      <w:r>
        <w:rPr>
          <w:rFonts w:hint="eastAsia" w:ascii="宋体" w:hAnsi="宋体" w:cs="宋体"/>
          <w:color w:val="auto"/>
          <w:sz w:val="24"/>
          <w:highlight w:val="none"/>
          <w:lang w:val="zh-CN"/>
        </w:rPr>
        <w:t>年</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66FDAB4D">
      <w:pPr>
        <w:spacing w:line="360" w:lineRule="auto"/>
        <w:ind w:firstLine="560" w:firstLineChars="200"/>
        <w:rPr>
          <w:rFonts w:ascii="宋体" w:hAnsi="宋体" w:cs="宋体"/>
          <w:color w:val="auto"/>
          <w:sz w:val="28"/>
          <w:szCs w:val="28"/>
          <w:highlight w:val="none"/>
        </w:rPr>
      </w:pPr>
    </w:p>
    <w:p w14:paraId="544C4512">
      <w:pPr>
        <w:spacing w:line="360" w:lineRule="auto"/>
        <w:rPr>
          <w:rFonts w:hint="eastAsia" w:ascii="宋体" w:hAnsi="宋体" w:cs="宋体"/>
          <w:b/>
          <w:color w:val="auto"/>
          <w:sz w:val="28"/>
          <w:highlight w:val="none"/>
        </w:rPr>
      </w:pPr>
    </w:p>
    <w:p w14:paraId="45903F4E">
      <w:pPr>
        <w:spacing w:line="360" w:lineRule="auto"/>
        <w:rPr>
          <w:rFonts w:hint="eastAsia" w:ascii="宋体" w:hAnsi="宋体" w:cs="宋体"/>
          <w:b/>
          <w:color w:val="auto"/>
          <w:sz w:val="28"/>
          <w:highlight w:val="none"/>
        </w:rPr>
      </w:pPr>
    </w:p>
    <w:p w14:paraId="140C2594">
      <w:pPr>
        <w:spacing w:line="360" w:lineRule="auto"/>
        <w:rPr>
          <w:rFonts w:hint="eastAsia" w:ascii="宋体" w:hAnsi="宋体" w:cs="宋体"/>
          <w:b/>
          <w:color w:val="auto"/>
          <w:sz w:val="28"/>
          <w:highlight w:val="none"/>
        </w:rPr>
      </w:pPr>
    </w:p>
    <w:p w14:paraId="75D73B45">
      <w:pPr>
        <w:spacing w:line="360" w:lineRule="auto"/>
        <w:rPr>
          <w:rFonts w:hint="eastAsia" w:ascii="宋体" w:hAnsi="宋体" w:cs="宋体"/>
          <w:b/>
          <w:color w:val="auto"/>
          <w:sz w:val="28"/>
          <w:highlight w:val="none"/>
        </w:rPr>
      </w:pPr>
    </w:p>
    <w:p w14:paraId="6BC273A6">
      <w:pPr>
        <w:spacing w:line="360" w:lineRule="auto"/>
        <w:rPr>
          <w:rFonts w:hint="eastAsia" w:ascii="宋体" w:hAnsi="宋体" w:cs="宋体"/>
          <w:b/>
          <w:color w:val="auto"/>
          <w:sz w:val="28"/>
          <w:highlight w:val="none"/>
        </w:rPr>
      </w:pPr>
    </w:p>
    <w:p w14:paraId="14FA39BE">
      <w:pPr>
        <w:spacing w:line="360" w:lineRule="auto"/>
        <w:rPr>
          <w:rFonts w:hint="eastAsia" w:ascii="宋体" w:hAnsi="宋体" w:cs="宋体"/>
          <w:b/>
          <w:color w:val="auto"/>
          <w:sz w:val="28"/>
          <w:highlight w:val="none"/>
        </w:rPr>
      </w:pPr>
    </w:p>
    <w:p w14:paraId="2CC48FD2">
      <w:pPr>
        <w:spacing w:line="360" w:lineRule="auto"/>
        <w:rPr>
          <w:rFonts w:hint="eastAsia" w:ascii="宋体" w:hAnsi="宋体" w:cs="宋体"/>
          <w:b/>
          <w:color w:val="auto"/>
          <w:sz w:val="28"/>
          <w:highlight w:val="none"/>
        </w:rPr>
      </w:pPr>
    </w:p>
    <w:p w14:paraId="3C4C230C">
      <w:pPr>
        <w:spacing w:line="360" w:lineRule="auto"/>
        <w:rPr>
          <w:rFonts w:ascii="宋体" w:hAnsi="宋体" w:cs="宋体"/>
          <w:color w:val="auto"/>
          <w:sz w:val="24"/>
          <w:szCs w:val="32"/>
          <w:highlight w:val="none"/>
        </w:rPr>
      </w:pPr>
      <w:r>
        <w:rPr>
          <w:rFonts w:hint="eastAsia" w:ascii="宋体" w:hAnsi="宋体" w:cs="宋体"/>
          <w:b/>
          <w:color w:val="auto"/>
          <w:sz w:val="28"/>
          <w:highlight w:val="none"/>
        </w:rPr>
        <w:t>附件7</w:t>
      </w:r>
    </w:p>
    <w:p w14:paraId="19930B8D">
      <w:pPr>
        <w:spacing w:line="360" w:lineRule="auto"/>
        <w:ind w:firstLine="6746" w:firstLineChars="2400"/>
        <w:jc w:val="left"/>
        <w:rPr>
          <w:rFonts w:ascii="宋体" w:hAnsi="宋体" w:cs="宋体"/>
          <w:color w:val="auto"/>
          <w:sz w:val="28"/>
          <w:szCs w:val="28"/>
          <w:highlight w:val="none"/>
        </w:rPr>
      </w:pPr>
      <w:r>
        <w:rPr>
          <w:rFonts w:hint="eastAsia" w:ascii="宋体" w:hAnsi="宋体" w:cs="宋体"/>
          <w:b/>
          <w:bCs/>
          <w:color w:val="auto"/>
          <w:kern w:val="0"/>
          <w:sz w:val="28"/>
          <w:szCs w:val="28"/>
          <w:highlight w:val="none"/>
          <w:lang w:val="en-US" w:eastAsia="zh-CN"/>
        </w:rPr>
        <w:t>标项：</w:t>
      </w:r>
    </w:p>
    <w:p w14:paraId="0EF6B32D">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具备履行合同所必需的设备和专业技术能力的承诺函；</w:t>
      </w:r>
    </w:p>
    <w:p w14:paraId="36141B01">
      <w:pPr>
        <w:spacing w:line="360" w:lineRule="auto"/>
        <w:rPr>
          <w:rFonts w:ascii="宋体" w:hAnsi="宋体" w:cs="宋体"/>
          <w:b/>
          <w:color w:val="auto"/>
          <w:sz w:val="28"/>
          <w:szCs w:val="28"/>
          <w:highlight w:val="none"/>
        </w:rPr>
      </w:pPr>
    </w:p>
    <w:p w14:paraId="3788134A">
      <w:pPr>
        <w:spacing w:line="360" w:lineRule="auto"/>
        <w:rPr>
          <w:rFonts w:ascii="宋体" w:hAnsi="宋体" w:cs="宋体"/>
          <w:b/>
          <w:color w:val="auto"/>
          <w:sz w:val="28"/>
          <w:highlight w:val="none"/>
        </w:rPr>
      </w:pPr>
    </w:p>
    <w:p w14:paraId="7664137D">
      <w:pPr>
        <w:spacing w:line="360" w:lineRule="auto"/>
        <w:rPr>
          <w:rFonts w:ascii="宋体" w:hAnsi="宋体" w:cs="宋体"/>
          <w:b/>
          <w:color w:val="auto"/>
          <w:sz w:val="28"/>
          <w:highlight w:val="none"/>
        </w:rPr>
      </w:pPr>
    </w:p>
    <w:p w14:paraId="250C2A55">
      <w:pPr>
        <w:spacing w:line="360" w:lineRule="auto"/>
        <w:rPr>
          <w:rFonts w:ascii="宋体" w:hAnsi="宋体" w:cs="宋体"/>
          <w:b/>
          <w:color w:val="auto"/>
          <w:sz w:val="28"/>
          <w:highlight w:val="none"/>
        </w:rPr>
      </w:pPr>
    </w:p>
    <w:p w14:paraId="75FDC0D6">
      <w:pPr>
        <w:spacing w:line="360" w:lineRule="auto"/>
        <w:rPr>
          <w:rFonts w:ascii="宋体" w:hAnsi="宋体" w:cs="宋体"/>
          <w:b/>
          <w:color w:val="auto"/>
          <w:sz w:val="28"/>
          <w:highlight w:val="none"/>
        </w:rPr>
      </w:pPr>
    </w:p>
    <w:p w14:paraId="245ABD3B">
      <w:pPr>
        <w:spacing w:line="360" w:lineRule="auto"/>
        <w:rPr>
          <w:rFonts w:ascii="宋体" w:hAnsi="宋体" w:cs="宋体"/>
          <w:b/>
          <w:color w:val="auto"/>
          <w:sz w:val="28"/>
          <w:highlight w:val="none"/>
        </w:rPr>
      </w:pPr>
    </w:p>
    <w:p w14:paraId="63C57FC1">
      <w:pPr>
        <w:spacing w:line="360" w:lineRule="auto"/>
        <w:rPr>
          <w:rFonts w:ascii="宋体" w:hAnsi="宋体" w:cs="宋体"/>
          <w:b/>
          <w:color w:val="auto"/>
          <w:sz w:val="28"/>
          <w:highlight w:val="none"/>
        </w:rPr>
      </w:pPr>
    </w:p>
    <w:p w14:paraId="2A0F516B">
      <w:pPr>
        <w:spacing w:line="360" w:lineRule="auto"/>
        <w:rPr>
          <w:rFonts w:ascii="宋体" w:hAnsi="宋体" w:cs="宋体"/>
          <w:b/>
          <w:color w:val="auto"/>
          <w:sz w:val="28"/>
          <w:highlight w:val="none"/>
        </w:rPr>
      </w:pPr>
    </w:p>
    <w:p w14:paraId="4CE4C7D8">
      <w:pPr>
        <w:spacing w:line="360" w:lineRule="auto"/>
        <w:ind w:firstLine="480" w:firstLineChars="200"/>
        <w:rPr>
          <w:rFonts w:ascii="宋体" w:hAnsi="宋体" w:cs="宋体"/>
          <w:color w:val="auto"/>
          <w:sz w:val="24"/>
          <w:highlight w:val="none"/>
        </w:rPr>
      </w:pPr>
    </w:p>
    <w:p w14:paraId="460D27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磋商供应商名称（公章）：             </w:t>
      </w:r>
    </w:p>
    <w:p w14:paraId="2BCA8EC9">
      <w:pPr>
        <w:spacing w:line="360" w:lineRule="auto"/>
        <w:ind w:firstLine="480" w:firstLineChars="200"/>
        <w:rPr>
          <w:rFonts w:ascii="宋体" w:hAnsi="宋体" w:cs="宋体"/>
          <w:color w:val="auto"/>
          <w:sz w:val="24"/>
          <w:highlight w:val="none"/>
        </w:rPr>
      </w:pPr>
    </w:p>
    <w:p w14:paraId="6AFD08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法定代表人（签字或盖章）或授权委托代理人（签字）：</w:t>
      </w:r>
    </w:p>
    <w:p w14:paraId="2F5146FA">
      <w:pPr>
        <w:spacing w:line="360" w:lineRule="auto"/>
        <w:ind w:firstLine="480" w:firstLineChars="200"/>
        <w:rPr>
          <w:rFonts w:ascii="宋体" w:hAnsi="宋体" w:cs="宋体"/>
          <w:color w:val="auto"/>
          <w:sz w:val="24"/>
          <w:highlight w:val="none"/>
        </w:rPr>
      </w:pPr>
    </w:p>
    <w:p w14:paraId="77406A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日期：     </w:t>
      </w:r>
      <w:r>
        <w:rPr>
          <w:rFonts w:hint="eastAsia" w:ascii="宋体" w:hAnsi="宋体" w:cs="宋体"/>
          <w:color w:val="auto"/>
          <w:sz w:val="24"/>
          <w:highlight w:val="none"/>
          <w:lang w:val="zh-CN"/>
        </w:rPr>
        <w:t>年</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日</w:t>
      </w:r>
    </w:p>
    <w:p w14:paraId="2F4E80B5">
      <w:pPr>
        <w:spacing w:line="360" w:lineRule="auto"/>
        <w:ind w:firstLine="560" w:firstLineChars="200"/>
        <w:rPr>
          <w:rFonts w:ascii="宋体" w:hAnsi="宋体" w:cs="宋体"/>
          <w:color w:val="auto"/>
          <w:sz w:val="28"/>
          <w:szCs w:val="28"/>
          <w:highlight w:val="none"/>
        </w:rPr>
      </w:pPr>
    </w:p>
    <w:p w14:paraId="622D83D7">
      <w:pPr>
        <w:spacing w:line="360" w:lineRule="auto"/>
        <w:rPr>
          <w:rFonts w:ascii="宋体" w:hAnsi="宋体" w:cs="宋体"/>
          <w:bCs/>
          <w:color w:val="auto"/>
          <w:sz w:val="28"/>
          <w:highlight w:val="none"/>
        </w:rPr>
      </w:pPr>
    </w:p>
    <w:p w14:paraId="63730DCC">
      <w:pPr>
        <w:spacing w:line="360" w:lineRule="auto"/>
        <w:rPr>
          <w:rFonts w:ascii="宋体" w:hAnsi="宋体" w:cs="宋体"/>
          <w:b/>
          <w:color w:val="auto"/>
          <w:sz w:val="28"/>
          <w:highlight w:val="none"/>
        </w:rPr>
      </w:pPr>
    </w:p>
    <w:p w14:paraId="720B35A1">
      <w:pPr>
        <w:spacing w:line="360" w:lineRule="auto"/>
        <w:rPr>
          <w:rFonts w:ascii="宋体" w:hAnsi="宋体" w:cs="宋体"/>
          <w:b/>
          <w:color w:val="auto"/>
          <w:sz w:val="28"/>
          <w:highlight w:val="none"/>
        </w:rPr>
      </w:pPr>
    </w:p>
    <w:p w14:paraId="4E2FBF0A">
      <w:pPr>
        <w:spacing w:line="360" w:lineRule="auto"/>
        <w:rPr>
          <w:rFonts w:ascii="宋体" w:hAnsi="宋体" w:cs="宋体"/>
          <w:b/>
          <w:color w:val="auto"/>
          <w:sz w:val="28"/>
          <w:highlight w:val="none"/>
        </w:rPr>
      </w:pPr>
    </w:p>
    <w:p w14:paraId="33A60946">
      <w:pPr>
        <w:spacing w:line="360" w:lineRule="auto"/>
        <w:rPr>
          <w:rFonts w:hint="eastAsia" w:ascii="宋体" w:hAnsi="宋体" w:cs="宋体"/>
          <w:b/>
          <w:color w:val="auto"/>
          <w:sz w:val="28"/>
          <w:highlight w:val="none"/>
        </w:rPr>
      </w:pPr>
    </w:p>
    <w:p w14:paraId="3814BC80">
      <w:pPr>
        <w:spacing w:line="360" w:lineRule="auto"/>
        <w:rPr>
          <w:rFonts w:ascii="宋体" w:hAnsi="宋体" w:cs="宋体"/>
          <w:color w:val="auto"/>
          <w:sz w:val="24"/>
          <w:szCs w:val="32"/>
          <w:highlight w:val="none"/>
        </w:rPr>
      </w:pPr>
      <w:r>
        <w:rPr>
          <w:rFonts w:hint="eastAsia" w:ascii="宋体" w:hAnsi="宋体" w:cs="宋体"/>
          <w:b/>
          <w:color w:val="auto"/>
          <w:sz w:val="28"/>
          <w:highlight w:val="none"/>
        </w:rPr>
        <w:t>附件8</w:t>
      </w:r>
    </w:p>
    <w:p w14:paraId="5F1598F7">
      <w:pPr>
        <w:spacing w:line="360" w:lineRule="auto"/>
        <w:jc w:val="center"/>
        <w:rPr>
          <w:rFonts w:ascii="宋体" w:hAnsi="宋体" w:cs="宋体"/>
          <w:b/>
          <w:bCs/>
          <w:color w:val="auto"/>
          <w:sz w:val="28"/>
          <w:szCs w:val="36"/>
          <w:highlight w:val="none"/>
        </w:rPr>
      </w:pPr>
    </w:p>
    <w:p w14:paraId="1FC0D48F">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参加政府采购活动前3年内在经营活动中没有重大违法记录的</w:t>
      </w:r>
    </w:p>
    <w:p w14:paraId="2F57727B">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书面声明</w:t>
      </w:r>
    </w:p>
    <w:p w14:paraId="1F139016">
      <w:pPr>
        <w:spacing w:line="360" w:lineRule="auto"/>
        <w:rPr>
          <w:rFonts w:ascii="宋体" w:hAnsi="宋体" w:cs="宋体"/>
          <w:color w:val="auto"/>
          <w:sz w:val="24"/>
          <w:szCs w:val="32"/>
          <w:highlight w:val="none"/>
        </w:rPr>
      </w:pPr>
    </w:p>
    <w:p w14:paraId="11435907">
      <w:pP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声明函</w:t>
      </w:r>
      <w:r>
        <w:rPr>
          <w:rFonts w:hint="eastAsia" w:ascii="宋体" w:hAnsi="宋体" w:cs="宋体"/>
          <w:b/>
          <w:bCs/>
          <w:color w:val="auto"/>
          <w:sz w:val="28"/>
          <w:szCs w:val="36"/>
          <w:highlight w:val="none"/>
          <w:lang w:val="en-US" w:eastAsia="zh-CN"/>
        </w:rPr>
        <w:t xml:space="preserve">   </w:t>
      </w:r>
      <w:r>
        <w:rPr>
          <w:rFonts w:hint="eastAsia" w:ascii="宋体" w:hAnsi="宋体" w:cs="宋体"/>
          <w:b/>
          <w:bCs/>
          <w:color w:val="auto"/>
          <w:kern w:val="0"/>
          <w:sz w:val="32"/>
          <w:szCs w:val="32"/>
          <w:highlight w:val="none"/>
          <w:lang w:val="en-US" w:eastAsia="zh-CN"/>
        </w:rPr>
        <w:t>标项：</w:t>
      </w:r>
    </w:p>
    <w:p w14:paraId="65648314">
      <w:pPr>
        <w:spacing w:line="360" w:lineRule="auto"/>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中共台州市委政法委员会、</w:t>
      </w:r>
      <w:r>
        <w:rPr>
          <w:rFonts w:hint="eastAsia" w:ascii="宋体" w:hAnsi="宋体" w:cs="宋体"/>
          <w:color w:val="auto"/>
          <w:sz w:val="24"/>
          <w:szCs w:val="32"/>
          <w:highlight w:val="none"/>
          <w:u w:val="single"/>
          <w:lang w:eastAsia="zh-CN"/>
        </w:rPr>
        <w:t>浙江五石中正工程咨询有限公司</w:t>
      </w:r>
    </w:p>
    <w:p w14:paraId="2533CE7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我公司郑重承诺在参加本项目政府采购活动前三年内，在经营活动中</w:t>
      </w:r>
    </w:p>
    <w:p w14:paraId="22BC2231">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b/>
          <w:bCs/>
          <w:color w:val="auto"/>
          <w:sz w:val="24"/>
          <w:szCs w:val="32"/>
          <w:highlight w:val="none"/>
        </w:rPr>
        <w:t>填写“有”或“没有”，如实填写，如不填写视同未提供本声明函</w:t>
      </w:r>
      <w:r>
        <w:rPr>
          <w:rFonts w:hint="eastAsia" w:ascii="宋体" w:hAnsi="宋体" w:cs="宋体"/>
          <w:color w:val="auto"/>
          <w:sz w:val="24"/>
          <w:szCs w:val="32"/>
          <w:highlight w:val="none"/>
        </w:rPr>
        <w:t>）重大违法记录，重大违法记录是指供应商因违法经营受到刑事处罚或者责令停产停业、吊销许可证或者执照、较大数额罚款等行政处罚。</w:t>
      </w:r>
    </w:p>
    <w:p w14:paraId="73C68686">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以上事项如有虚假或隐瞒，我方愿意承担一切后果和责任。</w:t>
      </w:r>
    </w:p>
    <w:p w14:paraId="36B3AF0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特此声明。</w:t>
      </w:r>
    </w:p>
    <w:p w14:paraId="7016A84C">
      <w:pPr>
        <w:spacing w:line="360" w:lineRule="auto"/>
        <w:rPr>
          <w:rFonts w:ascii="宋体" w:hAnsi="宋体" w:cs="宋体"/>
          <w:color w:val="auto"/>
          <w:sz w:val="24"/>
          <w:szCs w:val="32"/>
          <w:highlight w:val="none"/>
        </w:rPr>
      </w:pPr>
    </w:p>
    <w:p w14:paraId="5D6590C6">
      <w:pPr>
        <w:spacing w:line="360" w:lineRule="auto"/>
        <w:rPr>
          <w:rFonts w:ascii="宋体" w:hAnsi="宋体" w:cs="宋体"/>
          <w:color w:val="auto"/>
          <w:sz w:val="24"/>
          <w:szCs w:val="32"/>
          <w:highlight w:val="none"/>
        </w:rPr>
      </w:pPr>
    </w:p>
    <w:p w14:paraId="00876C50">
      <w:pPr>
        <w:spacing w:line="360" w:lineRule="auto"/>
        <w:rPr>
          <w:rFonts w:ascii="宋体" w:hAnsi="宋体" w:cs="宋体"/>
          <w:color w:val="auto"/>
          <w:sz w:val="24"/>
          <w:szCs w:val="32"/>
          <w:highlight w:val="none"/>
        </w:rPr>
      </w:pPr>
    </w:p>
    <w:p w14:paraId="047D8CB4">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磋商供应商名称（公章）：             </w:t>
      </w:r>
    </w:p>
    <w:p w14:paraId="37DC8C03">
      <w:pPr>
        <w:spacing w:line="360" w:lineRule="auto"/>
        <w:rPr>
          <w:rFonts w:ascii="宋体" w:hAnsi="宋体" w:cs="宋体"/>
          <w:color w:val="auto"/>
          <w:sz w:val="24"/>
          <w:szCs w:val="32"/>
          <w:highlight w:val="none"/>
        </w:rPr>
      </w:pPr>
    </w:p>
    <w:p w14:paraId="031A303C">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w:t>
      </w:r>
    </w:p>
    <w:p w14:paraId="14DB1D8D">
      <w:pPr>
        <w:spacing w:line="360" w:lineRule="auto"/>
        <w:rPr>
          <w:rFonts w:ascii="宋体" w:hAnsi="宋体" w:cs="宋体"/>
          <w:color w:val="auto"/>
          <w:sz w:val="24"/>
          <w:szCs w:val="32"/>
          <w:highlight w:val="none"/>
        </w:rPr>
      </w:pPr>
    </w:p>
    <w:p w14:paraId="276C4F8C">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日</w:t>
      </w:r>
    </w:p>
    <w:p w14:paraId="09B7BAB3">
      <w:pPr>
        <w:spacing w:line="360" w:lineRule="auto"/>
        <w:rPr>
          <w:rFonts w:ascii="宋体" w:hAnsi="宋体" w:cs="宋体"/>
          <w:color w:val="auto"/>
          <w:sz w:val="24"/>
          <w:szCs w:val="32"/>
          <w:highlight w:val="none"/>
        </w:rPr>
      </w:pPr>
    </w:p>
    <w:p w14:paraId="12F01841">
      <w:pPr>
        <w:spacing w:line="360" w:lineRule="auto"/>
        <w:jc w:val="center"/>
        <w:rPr>
          <w:rFonts w:hint="eastAsia" w:ascii="宋体" w:hAnsi="宋体" w:cs="宋体"/>
          <w:b/>
          <w:bCs/>
          <w:color w:val="auto"/>
          <w:sz w:val="36"/>
          <w:szCs w:val="44"/>
          <w:highlight w:val="none"/>
          <w:lang w:val="zh-CN"/>
        </w:rPr>
      </w:pPr>
    </w:p>
    <w:p w14:paraId="65C18D60">
      <w:pPr>
        <w:spacing w:line="360" w:lineRule="auto"/>
        <w:jc w:val="center"/>
        <w:rPr>
          <w:rFonts w:hint="eastAsia" w:ascii="宋体" w:hAnsi="宋体" w:cs="宋体"/>
          <w:b/>
          <w:bCs/>
          <w:color w:val="auto"/>
          <w:sz w:val="36"/>
          <w:szCs w:val="44"/>
          <w:highlight w:val="none"/>
          <w:lang w:val="zh-CN"/>
        </w:rPr>
      </w:pPr>
    </w:p>
    <w:p w14:paraId="22FDF994">
      <w:pPr>
        <w:spacing w:line="360" w:lineRule="auto"/>
        <w:jc w:val="center"/>
        <w:rPr>
          <w:rFonts w:hint="eastAsia" w:ascii="宋体" w:hAnsi="宋体" w:cs="宋体"/>
          <w:b/>
          <w:bCs/>
          <w:color w:val="auto"/>
          <w:sz w:val="36"/>
          <w:szCs w:val="44"/>
          <w:highlight w:val="none"/>
          <w:lang w:val="zh-CN"/>
        </w:rPr>
      </w:pPr>
    </w:p>
    <w:p w14:paraId="398D67D3">
      <w:pPr>
        <w:spacing w:line="360" w:lineRule="auto"/>
        <w:jc w:val="center"/>
        <w:rPr>
          <w:rFonts w:hint="eastAsia" w:ascii="宋体" w:hAnsi="宋体" w:cs="宋体"/>
          <w:b/>
          <w:bCs/>
          <w:color w:val="auto"/>
          <w:sz w:val="36"/>
          <w:szCs w:val="44"/>
          <w:highlight w:val="none"/>
          <w:lang w:val="zh-CN"/>
        </w:rPr>
      </w:pPr>
    </w:p>
    <w:p w14:paraId="4DC5786E">
      <w:pPr>
        <w:spacing w:line="360" w:lineRule="auto"/>
        <w:jc w:val="center"/>
        <w:rPr>
          <w:rFonts w:ascii="宋体" w:hAnsi="宋体" w:cs="宋体"/>
          <w:b/>
          <w:bCs/>
          <w:color w:val="auto"/>
          <w:sz w:val="36"/>
          <w:szCs w:val="44"/>
          <w:highlight w:val="none"/>
          <w:lang w:val="zh-CN"/>
        </w:rPr>
      </w:pPr>
      <w:r>
        <w:rPr>
          <w:rFonts w:hint="eastAsia" w:ascii="宋体" w:hAnsi="宋体" w:cs="宋体"/>
          <w:b/>
          <w:bCs/>
          <w:color w:val="auto"/>
          <w:sz w:val="36"/>
          <w:szCs w:val="44"/>
          <w:highlight w:val="none"/>
          <w:lang w:val="zh-CN"/>
        </w:rPr>
        <w:t>商务与技术文件目录</w:t>
      </w:r>
    </w:p>
    <w:p w14:paraId="58A53899">
      <w:pPr>
        <w:spacing w:line="360" w:lineRule="auto"/>
        <w:ind w:firstLine="560" w:firstLineChars="200"/>
        <w:rPr>
          <w:rFonts w:ascii="宋体" w:hAnsi="宋体" w:cs="宋体"/>
          <w:color w:val="auto"/>
          <w:sz w:val="28"/>
          <w:szCs w:val="36"/>
          <w:highlight w:val="none"/>
          <w:lang w:val="zh-CN"/>
        </w:rPr>
      </w:pPr>
      <w:r>
        <w:rPr>
          <w:rFonts w:hint="eastAsia" w:ascii="宋体" w:hAnsi="宋体" w:cs="宋体"/>
          <w:color w:val="auto"/>
          <w:sz w:val="28"/>
          <w:szCs w:val="36"/>
          <w:highlight w:val="none"/>
          <w:lang w:val="zh-CN"/>
        </w:rPr>
        <w:t>（1）供应商情况介绍。</w:t>
      </w:r>
    </w:p>
    <w:p w14:paraId="770670C1">
      <w:pPr>
        <w:spacing w:line="360" w:lineRule="auto"/>
        <w:ind w:firstLine="560" w:firstLineChars="200"/>
        <w:rPr>
          <w:rFonts w:ascii="宋体" w:hAnsi="宋体" w:cs="宋体"/>
          <w:color w:val="auto"/>
          <w:sz w:val="28"/>
          <w:szCs w:val="36"/>
          <w:highlight w:val="none"/>
          <w:lang w:val="zh-CN"/>
        </w:rPr>
      </w:pPr>
      <w:r>
        <w:rPr>
          <w:rFonts w:hint="eastAsia" w:ascii="宋体" w:hAnsi="宋体" w:cs="宋体"/>
          <w:color w:val="auto"/>
          <w:sz w:val="28"/>
          <w:szCs w:val="36"/>
          <w:highlight w:val="none"/>
          <w:lang w:val="zh-CN"/>
        </w:rPr>
        <w:t>（2）磋商响应方案描述：</w:t>
      </w:r>
    </w:p>
    <w:p w14:paraId="02CB59E0">
      <w:pPr>
        <w:spacing w:line="360" w:lineRule="auto"/>
        <w:ind w:firstLine="560" w:firstLineChars="200"/>
        <w:rPr>
          <w:rFonts w:ascii="宋体" w:hAnsi="宋体" w:cs="宋体"/>
          <w:color w:val="auto"/>
          <w:sz w:val="28"/>
          <w:szCs w:val="36"/>
          <w:highlight w:val="none"/>
          <w:lang w:val="zh-CN"/>
        </w:rPr>
      </w:pPr>
      <w:r>
        <w:rPr>
          <w:rFonts w:hint="eastAsia" w:ascii="宋体" w:hAnsi="宋体" w:cs="宋体"/>
          <w:color w:val="auto"/>
          <w:sz w:val="28"/>
          <w:szCs w:val="36"/>
          <w:highlight w:val="none"/>
          <w:lang w:val="zh-CN"/>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14:paraId="1E36DB7E">
      <w:pPr>
        <w:spacing w:line="360" w:lineRule="auto"/>
        <w:ind w:firstLine="560" w:firstLineChars="200"/>
        <w:rPr>
          <w:rFonts w:ascii="宋体" w:hAnsi="宋体" w:cs="宋体"/>
          <w:color w:val="auto"/>
          <w:sz w:val="28"/>
          <w:szCs w:val="36"/>
          <w:highlight w:val="none"/>
          <w:lang w:val="zh-CN"/>
        </w:rPr>
      </w:pPr>
      <w:r>
        <w:rPr>
          <w:rFonts w:hint="eastAsia" w:ascii="宋体" w:hAnsi="宋体" w:cs="宋体"/>
          <w:color w:val="auto"/>
          <w:sz w:val="28"/>
          <w:szCs w:val="36"/>
          <w:highlight w:val="none"/>
          <w:lang w:val="zh-CN"/>
        </w:rPr>
        <w:t>B.项目组织实施方案（包括项目工期、确保项目进行的措施或方案、项目实施进度安排、项目实施人员及项目负责人的资质、类似经验及社保证明等）。</w:t>
      </w:r>
    </w:p>
    <w:p w14:paraId="1A5F7844">
      <w:pPr>
        <w:spacing w:line="360" w:lineRule="auto"/>
        <w:ind w:firstLine="560" w:firstLineChars="200"/>
        <w:rPr>
          <w:rFonts w:ascii="宋体" w:hAnsi="宋体" w:cs="宋体"/>
          <w:color w:val="auto"/>
          <w:sz w:val="28"/>
          <w:szCs w:val="36"/>
          <w:highlight w:val="none"/>
          <w:lang w:val="zh-CN"/>
        </w:rPr>
      </w:pPr>
      <w:r>
        <w:rPr>
          <w:rFonts w:hint="eastAsia" w:ascii="宋体" w:hAnsi="宋体" w:cs="宋体"/>
          <w:color w:val="auto"/>
          <w:sz w:val="28"/>
          <w:szCs w:val="36"/>
          <w:highlight w:val="none"/>
          <w:lang w:val="zh-CN"/>
        </w:rPr>
        <w:t>C.验收方案（包括项目验收标准和验收方法等）和措施。</w:t>
      </w:r>
    </w:p>
    <w:p w14:paraId="2ED73EBC">
      <w:pPr>
        <w:spacing w:line="360" w:lineRule="auto"/>
        <w:ind w:firstLine="560" w:firstLineChars="200"/>
        <w:rPr>
          <w:rFonts w:hint="eastAsia" w:ascii="宋体" w:hAnsi="宋体" w:cs="宋体"/>
          <w:color w:val="auto"/>
          <w:sz w:val="28"/>
          <w:szCs w:val="36"/>
          <w:highlight w:val="none"/>
          <w:lang w:val="zh-CN"/>
        </w:rPr>
      </w:pPr>
      <w:r>
        <w:rPr>
          <w:rFonts w:hint="eastAsia" w:ascii="宋体" w:hAnsi="宋体" w:cs="宋体"/>
          <w:color w:val="auto"/>
          <w:sz w:val="28"/>
          <w:szCs w:val="36"/>
          <w:highlight w:val="none"/>
          <w:lang w:val="zh-CN"/>
        </w:rPr>
        <w:t>D.商务及技术响应表。</w:t>
      </w:r>
    </w:p>
    <w:p w14:paraId="24782C67">
      <w:pPr>
        <w:pStyle w:val="2"/>
        <w:rPr>
          <w:rFonts w:hint="default" w:eastAsia="宋体"/>
          <w:color w:val="auto"/>
          <w:highlight w:val="none"/>
          <w:lang w:val="en-US" w:eastAsia="zh-CN"/>
        </w:rPr>
      </w:pPr>
      <w:r>
        <w:rPr>
          <w:rFonts w:hint="eastAsia" w:ascii="宋体" w:hAnsi="宋体" w:cs="宋体"/>
          <w:color w:val="auto"/>
          <w:sz w:val="28"/>
          <w:szCs w:val="36"/>
          <w:highlight w:val="none"/>
          <w:lang w:val="en-US" w:eastAsia="zh-CN"/>
        </w:rPr>
        <w:t xml:space="preserve">    E.针对招标文件中★条款响应承诺函。</w:t>
      </w:r>
    </w:p>
    <w:p w14:paraId="5CAF9C9E">
      <w:pPr>
        <w:spacing w:line="360" w:lineRule="auto"/>
        <w:ind w:firstLine="560" w:firstLineChars="200"/>
        <w:rPr>
          <w:rFonts w:ascii="宋体" w:hAnsi="宋体" w:cs="宋体"/>
          <w:color w:val="auto"/>
          <w:sz w:val="28"/>
          <w:szCs w:val="36"/>
          <w:highlight w:val="none"/>
          <w:lang w:val="zh-CN"/>
        </w:rPr>
      </w:pPr>
      <w:r>
        <w:rPr>
          <w:rFonts w:hint="eastAsia" w:ascii="宋体" w:hAnsi="宋体" w:cs="宋体"/>
          <w:color w:val="auto"/>
          <w:sz w:val="28"/>
          <w:szCs w:val="36"/>
          <w:highlight w:val="none"/>
          <w:lang w:val="zh-CN"/>
        </w:rPr>
        <w:t>（4）近三年来类似项目的成功案例；</w:t>
      </w:r>
    </w:p>
    <w:p w14:paraId="58AAC4FD">
      <w:pPr>
        <w:spacing w:line="360" w:lineRule="auto"/>
        <w:ind w:firstLine="560" w:firstLineChars="200"/>
        <w:rPr>
          <w:rFonts w:ascii="宋体" w:hAnsi="宋体" w:cs="宋体"/>
          <w:color w:val="auto"/>
          <w:sz w:val="28"/>
          <w:szCs w:val="36"/>
          <w:highlight w:val="none"/>
          <w:lang w:val="zh-CN"/>
        </w:rPr>
      </w:pPr>
      <w:r>
        <w:rPr>
          <w:rFonts w:hint="eastAsia" w:ascii="宋体" w:hAnsi="宋体" w:cs="宋体"/>
          <w:color w:val="auto"/>
          <w:sz w:val="28"/>
          <w:szCs w:val="36"/>
          <w:highlight w:val="none"/>
          <w:lang w:val="zh-CN"/>
        </w:rPr>
        <w:t>（5）供应商认为需要提供的其他资料（包括可能影响供应商商务与技术内容评分的各类证明材料）。</w:t>
      </w:r>
    </w:p>
    <w:p w14:paraId="48E3FC04">
      <w:pPr>
        <w:spacing w:line="360" w:lineRule="auto"/>
        <w:ind w:firstLine="560" w:firstLineChars="200"/>
        <w:rPr>
          <w:rFonts w:ascii="宋体" w:hAnsi="宋体" w:cs="宋体"/>
          <w:color w:val="auto"/>
          <w:sz w:val="28"/>
          <w:szCs w:val="36"/>
          <w:highlight w:val="none"/>
          <w:lang w:val="zh-CN"/>
        </w:rPr>
      </w:pPr>
      <w:r>
        <w:rPr>
          <w:rFonts w:hint="eastAsia" w:ascii="宋体" w:hAnsi="宋体" w:cs="宋体"/>
          <w:color w:val="auto"/>
          <w:sz w:val="28"/>
          <w:szCs w:val="36"/>
          <w:highlight w:val="none"/>
          <w:lang w:val="zh-CN"/>
        </w:rPr>
        <w:t>（6）售后服务描述及承诺：</w:t>
      </w:r>
    </w:p>
    <w:p w14:paraId="5F55220F">
      <w:pPr>
        <w:spacing w:line="360" w:lineRule="auto"/>
        <w:ind w:firstLine="560" w:firstLineChars="200"/>
        <w:rPr>
          <w:rFonts w:ascii="宋体" w:hAnsi="宋体" w:cs="宋体"/>
          <w:color w:val="auto"/>
          <w:sz w:val="28"/>
          <w:szCs w:val="36"/>
          <w:highlight w:val="none"/>
          <w:lang w:val="zh-CN"/>
        </w:rPr>
      </w:pPr>
      <w:r>
        <w:rPr>
          <w:rFonts w:hint="eastAsia" w:ascii="宋体" w:hAnsi="宋体" w:cs="宋体"/>
          <w:color w:val="auto"/>
          <w:sz w:val="28"/>
          <w:szCs w:val="36"/>
          <w:highlight w:val="none"/>
          <w:lang w:val="zh-CN"/>
        </w:rPr>
        <w:t>A.距采购人最近的服务网点详细介绍（包括地理位置、资质资格、技术力量、工作业绩、服务内容及联系电话等）。</w:t>
      </w:r>
    </w:p>
    <w:p w14:paraId="7F23BCCD">
      <w:pPr>
        <w:spacing w:line="360" w:lineRule="auto"/>
        <w:ind w:firstLine="560" w:firstLineChars="200"/>
        <w:rPr>
          <w:rFonts w:hint="eastAsia" w:ascii="宋体" w:hAnsi="宋体" w:cs="宋体"/>
          <w:color w:val="auto"/>
          <w:sz w:val="28"/>
          <w:szCs w:val="36"/>
          <w:highlight w:val="none"/>
          <w:lang w:val="zh-CN"/>
        </w:rPr>
      </w:pPr>
      <w:r>
        <w:rPr>
          <w:rFonts w:hint="eastAsia" w:ascii="宋体" w:hAnsi="宋体" w:cs="宋体"/>
          <w:color w:val="auto"/>
          <w:sz w:val="28"/>
          <w:szCs w:val="36"/>
          <w:highlight w:val="none"/>
          <w:lang w:val="zh-CN"/>
        </w:rPr>
        <w:t>B.针对本项目的售后服务措施及承诺（售后技术服务方案、人员配备、故障响应时间、技术培训方案等）。</w:t>
      </w:r>
    </w:p>
    <w:p w14:paraId="75F0F70A">
      <w:pPr>
        <w:spacing w:line="360" w:lineRule="auto"/>
        <w:rPr>
          <w:rFonts w:hint="eastAsia" w:ascii="宋体" w:hAnsi="宋体" w:cs="宋体"/>
          <w:b/>
          <w:bCs/>
          <w:color w:val="auto"/>
          <w:sz w:val="28"/>
          <w:szCs w:val="36"/>
          <w:highlight w:val="none"/>
        </w:rPr>
        <w:sectPr>
          <w:pgSz w:w="11906" w:h="16838"/>
          <w:pgMar w:top="1440" w:right="1803" w:bottom="1440" w:left="1803" w:header="851" w:footer="992" w:gutter="0"/>
          <w:pgNumType w:start="1"/>
          <w:cols w:space="0" w:num="1"/>
          <w:docGrid w:type="lines" w:linePitch="317" w:charSpace="0"/>
        </w:sectPr>
      </w:pPr>
    </w:p>
    <w:p w14:paraId="77638DB0">
      <w:pP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附件10</w:t>
      </w:r>
    </w:p>
    <w:p w14:paraId="5E2217BB">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供应商基本情况表</w:t>
      </w:r>
      <w:r>
        <w:rPr>
          <w:rFonts w:hint="eastAsia" w:ascii="宋体" w:hAnsi="宋体" w:cs="宋体"/>
          <w:b/>
          <w:bCs/>
          <w:color w:val="auto"/>
          <w:sz w:val="32"/>
          <w:szCs w:val="40"/>
          <w:highlight w:val="none"/>
          <w:lang w:val="en-US" w:eastAsia="zh-CN"/>
        </w:rPr>
        <w:t xml:space="preserve">  </w:t>
      </w:r>
      <w:r>
        <w:rPr>
          <w:rFonts w:hint="eastAsia" w:ascii="宋体" w:hAnsi="宋体" w:cs="宋体"/>
          <w:b/>
          <w:bCs/>
          <w:color w:val="auto"/>
          <w:kern w:val="0"/>
          <w:sz w:val="32"/>
          <w:szCs w:val="32"/>
          <w:highlight w:val="none"/>
          <w:lang w:val="en-US" w:eastAsia="zh-CN"/>
        </w:rPr>
        <w:t>标项：</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2B6F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14:paraId="7E00B7CF">
            <w:pPr>
              <w:pStyle w:val="55"/>
              <w:spacing w:line="360" w:lineRule="auto"/>
              <w:jc w:val="both"/>
              <w:rPr>
                <w:bCs/>
                <w:color w:val="auto"/>
                <w:highlight w:val="none"/>
              </w:rPr>
            </w:pPr>
            <w:r>
              <w:rPr>
                <w:rFonts w:hint="eastAsia"/>
                <w:bCs/>
                <w:color w:val="auto"/>
                <w:spacing w:val="27"/>
                <w:highlight w:val="none"/>
              </w:rPr>
              <w:t>企业名称</w:t>
            </w:r>
          </w:p>
        </w:tc>
        <w:tc>
          <w:tcPr>
            <w:tcW w:w="3765" w:type="dxa"/>
            <w:gridSpan w:val="6"/>
            <w:shd w:val="clear" w:color="auto" w:fill="auto"/>
            <w:vAlign w:val="center"/>
          </w:tcPr>
          <w:p w14:paraId="13FFE515">
            <w:pPr>
              <w:pStyle w:val="55"/>
              <w:spacing w:line="360" w:lineRule="auto"/>
              <w:jc w:val="both"/>
              <w:rPr>
                <w:bCs/>
                <w:color w:val="auto"/>
                <w:highlight w:val="none"/>
              </w:rPr>
            </w:pPr>
          </w:p>
        </w:tc>
        <w:tc>
          <w:tcPr>
            <w:tcW w:w="1560" w:type="dxa"/>
            <w:shd w:val="clear" w:color="auto" w:fill="auto"/>
            <w:vAlign w:val="center"/>
          </w:tcPr>
          <w:p w14:paraId="2C4F57F1">
            <w:pPr>
              <w:pStyle w:val="55"/>
              <w:spacing w:line="360" w:lineRule="auto"/>
              <w:jc w:val="center"/>
              <w:rPr>
                <w:bCs/>
                <w:color w:val="auto"/>
                <w:highlight w:val="none"/>
              </w:rPr>
            </w:pPr>
            <w:r>
              <w:rPr>
                <w:rFonts w:hint="eastAsia"/>
                <w:bCs/>
                <w:color w:val="auto"/>
                <w:spacing w:val="16"/>
                <w:highlight w:val="none"/>
              </w:rPr>
              <w:t>法人代表</w:t>
            </w:r>
          </w:p>
        </w:tc>
        <w:tc>
          <w:tcPr>
            <w:tcW w:w="2608" w:type="dxa"/>
            <w:gridSpan w:val="3"/>
            <w:shd w:val="clear" w:color="auto" w:fill="auto"/>
            <w:vAlign w:val="center"/>
          </w:tcPr>
          <w:p w14:paraId="345C1C84">
            <w:pPr>
              <w:pStyle w:val="55"/>
              <w:spacing w:line="360" w:lineRule="auto"/>
              <w:jc w:val="both"/>
              <w:rPr>
                <w:bCs/>
                <w:color w:val="auto"/>
                <w:highlight w:val="none"/>
              </w:rPr>
            </w:pPr>
          </w:p>
        </w:tc>
      </w:tr>
      <w:tr w14:paraId="3316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shd w:val="clear" w:color="auto" w:fill="auto"/>
            <w:vAlign w:val="center"/>
          </w:tcPr>
          <w:p w14:paraId="0694C6DD">
            <w:pPr>
              <w:pStyle w:val="55"/>
              <w:spacing w:line="360" w:lineRule="auto"/>
              <w:jc w:val="both"/>
              <w:rPr>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shd w:val="clear" w:color="auto" w:fill="auto"/>
            <w:vAlign w:val="center"/>
          </w:tcPr>
          <w:p w14:paraId="67EDC9C2">
            <w:pPr>
              <w:pStyle w:val="55"/>
              <w:spacing w:line="360" w:lineRule="auto"/>
              <w:jc w:val="both"/>
              <w:rPr>
                <w:bCs/>
                <w:color w:val="auto"/>
                <w:spacing w:val="16"/>
                <w:highlight w:val="none"/>
              </w:rPr>
            </w:pPr>
          </w:p>
        </w:tc>
        <w:tc>
          <w:tcPr>
            <w:tcW w:w="1560" w:type="dxa"/>
            <w:shd w:val="clear" w:color="auto" w:fill="auto"/>
            <w:vAlign w:val="center"/>
          </w:tcPr>
          <w:p w14:paraId="3707A104">
            <w:pPr>
              <w:pStyle w:val="55"/>
              <w:spacing w:line="360" w:lineRule="auto"/>
              <w:jc w:val="center"/>
              <w:rPr>
                <w:bCs/>
                <w:color w:val="auto"/>
                <w:spacing w:val="16"/>
                <w:highlight w:val="none"/>
              </w:rPr>
            </w:pPr>
            <w:r>
              <w:rPr>
                <w:rFonts w:hint="eastAsia"/>
                <w:bCs/>
                <w:color w:val="auto"/>
                <w:spacing w:val="16"/>
                <w:highlight w:val="none"/>
              </w:rPr>
              <w:t>企业性质</w:t>
            </w:r>
          </w:p>
        </w:tc>
        <w:tc>
          <w:tcPr>
            <w:tcW w:w="2608" w:type="dxa"/>
            <w:gridSpan w:val="3"/>
            <w:shd w:val="clear" w:color="auto" w:fill="auto"/>
            <w:vAlign w:val="center"/>
          </w:tcPr>
          <w:p w14:paraId="5ACBCD7A">
            <w:pPr>
              <w:pStyle w:val="55"/>
              <w:spacing w:line="360" w:lineRule="auto"/>
              <w:jc w:val="both"/>
              <w:rPr>
                <w:bCs/>
                <w:color w:val="auto"/>
                <w:spacing w:val="16"/>
                <w:highlight w:val="none"/>
              </w:rPr>
            </w:pPr>
          </w:p>
        </w:tc>
      </w:tr>
      <w:tr w14:paraId="19E3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14:paraId="11BC9E10">
            <w:pPr>
              <w:pStyle w:val="55"/>
              <w:spacing w:line="360" w:lineRule="auto"/>
              <w:jc w:val="both"/>
              <w:rPr>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shd w:val="clear" w:color="auto" w:fill="auto"/>
            <w:vAlign w:val="center"/>
          </w:tcPr>
          <w:p w14:paraId="44F4A7CE">
            <w:pPr>
              <w:pStyle w:val="55"/>
              <w:spacing w:before="0" w:beforeAutospacing="0" w:after="0" w:afterAutospacing="0" w:line="360" w:lineRule="auto"/>
              <w:jc w:val="both"/>
              <w:rPr>
                <w:bCs/>
                <w:color w:val="auto"/>
                <w:spacing w:val="16"/>
                <w:highlight w:val="none"/>
              </w:rPr>
            </w:pPr>
          </w:p>
        </w:tc>
        <w:tc>
          <w:tcPr>
            <w:tcW w:w="960" w:type="dxa"/>
            <w:gridSpan w:val="2"/>
            <w:tcBorders>
              <w:bottom w:val="single" w:color="auto" w:sz="4" w:space="0"/>
            </w:tcBorders>
            <w:shd w:val="clear" w:color="auto" w:fill="auto"/>
            <w:vAlign w:val="center"/>
          </w:tcPr>
          <w:p w14:paraId="4214ED69">
            <w:pPr>
              <w:pStyle w:val="55"/>
              <w:spacing w:line="360" w:lineRule="auto"/>
              <w:jc w:val="both"/>
              <w:rPr>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shd w:val="clear" w:color="auto" w:fill="auto"/>
            <w:vAlign w:val="center"/>
          </w:tcPr>
          <w:p w14:paraId="54514F46">
            <w:pPr>
              <w:widowControl/>
              <w:spacing w:line="360" w:lineRule="auto"/>
              <w:rPr>
                <w:rFonts w:ascii="宋体" w:hAnsi="宋体" w:cs="宋体"/>
                <w:bCs/>
                <w:color w:val="auto"/>
                <w:spacing w:val="16"/>
                <w:kern w:val="0"/>
                <w:sz w:val="24"/>
                <w:highlight w:val="none"/>
              </w:rPr>
            </w:pPr>
          </w:p>
          <w:p w14:paraId="0BDE7E0E">
            <w:pPr>
              <w:pStyle w:val="55"/>
              <w:spacing w:line="360" w:lineRule="auto"/>
              <w:jc w:val="both"/>
              <w:rPr>
                <w:bCs/>
                <w:color w:val="auto"/>
                <w:spacing w:val="16"/>
                <w:highlight w:val="none"/>
              </w:rPr>
            </w:pPr>
          </w:p>
        </w:tc>
        <w:tc>
          <w:tcPr>
            <w:tcW w:w="1560" w:type="dxa"/>
            <w:shd w:val="clear" w:color="auto" w:fill="auto"/>
            <w:vAlign w:val="center"/>
          </w:tcPr>
          <w:p w14:paraId="649628DF">
            <w:pPr>
              <w:pStyle w:val="55"/>
              <w:spacing w:line="360" w:lineRule="auto"/>
              <w:ind w:left="107"/>
              <w:jc w:val="center"/>
              <w:rPr>
                <w:bCs/>
                <w:color w:val="auto"/>
                <w:spacing w:val="16"/>
                <w:highlight w:val="none"/>
              </w:rPr>
            </w:pPr>
            <w:r>
              <w:rPr>
                <w:rFonts w:hint="eastAsia"/>
                <w:bCs/>
                <w:color w:val="auto"/>
                <w:spacing w:val="16"/>
                <w:highlight w:val="none"/>
              </w:rPr>
              <w:t>股东关系</w:t>
            </w:r>
          </w:p>
        </w:tc>
        <w:tc>
          <w:tcPr>
            <w:tcW w:w="2608" w:type="dxa"/>
            <w:gridSpan w:val="3"/>
            <w:shd w:val="clear" w:color="auto" w:fill="auto"/>
            <w:vAlign w:val="center"/>
          </w:tcPr>
          <w:p w14:paraId="7AE24D14">
            <w:pPr>
              <w:pStyle w:val="55"/>
              <w:spacing w:line="360" w:lineRule="auto"/>
              <w:ind w:left="107"/>
              <w:jc w:val="both"/>
              <w:rPr>
                <w:bCs/>
                <w:color w:val="auto"/>
                <w:spacing w:val="16"/>
                <w:highlight w:val="none"/>
              </w:rPr>
            </w:pPr>
          </w:p>
        </w:tc>
      </w:tr>
      <w:tr w14:paraId="2E54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shd w:val="clear" w:color="auto" w:fill="auto"/>
            <w:vAlign w:val="center"/>
          </w:tcPr>
          <w:p w14:paraId="069D6C78">
            <w:pPr>
              <w:pStyle w:val="55"/>
              <w:spacing w:line="360" w:lineRule="auto"/>
              <w:jc w:val="both"/>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shd w:val="clear" w:color="auto" w:fill="auto"/>
            <w:vAlign w:val="center"/>
          </w:tcPr>
          <w:p w14:paraId="7F13448F">
            <w:pPr>
              <w:pStyle w:val="55"/>
              <w:spacing w:line="360" w:lineRule="auto"/>
              <w:jc w:val="both"/>
              <w:rPr>
                <w:bCs/>
                <w:color w:val="auto"/>
                <w:spacing w:val="16"/>
                <w:highlight w:val="none"/>
              </w:rPr>
            </w:pPr>
          </w:p>
        </w:tc>
        <w:tc>
          <w:tcPr>
            <w:tcW w:w="960" w:type="dxa"/>
            <w:gridSpan w:val="2"/>
            <w:tcBorders>
              <w:top w:val="nil"/>
              <w:bottom w:val="single" w:color="auto" w:sz="4" w:space="0"/>
            </w:tcBorders>
            <w:shd w:val="clear" w:color="auto" w:fill="auto"/>
            <w:vAlign w:val="center"/>
          </w:tcPr>
          <w:p w14:paraId="48DCEAC7">
            <w:pPr>
              <w:pStyle w:val="55"/>
              <w:spacing w:line="360" w:lineRule="auto"/>
              <w:jc w:val="both"/>
              <w:rPr>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shd w:val="clear" w:color="auto" w:fill="auto"/>
            <w:vAlign w:val="center"/>
          </w:tcPr>
          <w:p w14:paraId="0501036C">
            <w:pPr>
              <w:widowControl/>
              <w:spacing w:line="360" w:lineRule="auto"/>
              <w:rPr>
                <w:rFonts w:ascii="宋体" w:hAnsi="宋体" w:cs="宋体"/>
                <w:bCs/>
                <w:color w:val="auto"/>
                <w:spacing w:val="16"/>
                <w:kern w:val="0"/>
                <w:sz w:val="24"/>
                <w:highlight w:val="none"/>
              </w:rPr>
            </w:pPr>
          </w:p>
          <w:p w14:paraId="1F2F83BB">
            <w:pPr>
              <w:pStyle w:val="55"/>
              <w:spacing w:line="360" w:lineRule="auto"/>
              <w:jc w:val="both"/>
              <w:rPr>
                <w:bCs/>
                <w:color w:val="auto"/>
                <w:spacing w:val="16"/>
                <w:highlight w:val="none"/>
              </w:rPr>
            </w:pPr>
          </w:p>
        </w:tc>
        <w:tc>
          <w:tcPr>
            <w:tcW w:w="1560" w:type="dxa"/>
            <w:vMerge w:val="restart"/>
            <w:shd w:val="clear" w:color="auto" w:fill="auto"/>
            <w:vAlign w:val="center"/>
          </w:tcPr>
          <w:p w14:paraId="34E8E258">
            <w:pPr>
              <w:pStyle w:val="55"/>
              <w:spacing w:before="0" w:beforeAutospacing="0" w:after="0" w:afterAutospacing="0" w:line="360" w:lineRule="auto"/>
              <w:jc w:val="center"/>
              <w:rPr>
                <w:bCs/>
                <w:color w:val="auto"/>
                <w:spacing w:val="16"/>
                <w:highlight w:val="none"/>
              </w:rPr>
            </w:pPr>
            <w:r>
              <w:rPr>
                <w:rFonts w:hint="eastAsia"/>
                <w:bCs/>
                <w:color w:val="auto"/>
                <w:spacing w:val="16"/>
                <w:highlight w:val="none"/>
              </w:rPr>
              <w:t>传真</w:t>
            </w:r>
          </w:p>
        </w:tc>
        <w:tc>
          <w:tcPr>
            <w:tcW w:w="2608" w:type="dxa"/>
            <w:gridSpan w:val="3"/>
            <w:vMerge w:val="restart"/>
            <w:shd w:val="clear" w:color="auto" w:fill="auto"/>
            <w:vAlign w:val="center"/>
          </w:tcPr>
          <w:p w14:paraId="47E81D3A">
            <w:pPr>
              <w:pStyle w:val="55"/>
              <w:spacing w:line="360" w:lineRule="auto"/>
              <w:jc w:val="both"/>
              <w:rPr>
                <w:bCs/>
                <w:color w:val="auto"/>
                <w:spacing w:val="16"/>
                <w:highlight w:val="none"/>
              </w:rPr>
            </w:pPr>
          </w:p>
        </w:tc>
      </w:tr>
      <w:tr w14:paraId="1BF8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14:paraId="0B548769">
            <w:pPr>
              <w:pStyle w:val="55"/>
              <w:spacing w:line="360" w:lineRule="auto"/>
              <w:ind w:left="107"/>
              <w:jc w:val="both"/>
              <w:rPr>
                <w:bCs/>
                <w:color w:val="auto"/>
                <w:highlight w:val="none"/>
              </w:rPr>
            </w:pPr>
          </w:p>
        </w:tc>
        <w:tc>
          <w:tcPr>
            <w:tcW w:w="690" w:type="dxa"/>
            <w:vMerge w:val="continue"/>
            <w:tcBorders>
              <w:bottom w:val="single" w:color="auto" w:sz="4" w:space="0"/>
            </w:tcBorders>
            <w:shd w:val="clear" w:color="auto" w:fill="auto"/>
            <w:vAlign w:val="center"/>
          </w:tcPr>
          <w:p w14:paraId="2EE9DFBB">
            <w:pPr>
              <w:pStyle w:val="55"/>
              <w:spacing w:line="360" w:lineRule="auto"/>
              <w:jc w:val="both"/>
              <w:rPr>
                <w:bCs/>
                <w:color w:val="auto"/>
                <w:spacing w:val="16"/>
                <w:highlight w:val="none"/>
              </w:rPr>
            </w:pPr>
          </w:p>
        </w:tc>
        <w:tc>
          <w:tcPr>
            <w:tcW w:w="960" w:type="dxa"/>
            <w:gridSpan w:val="2"/>
            <w:tcBorders>
              <w:bottom w:val="single" w:color="auto" w:sz="4" w:space="0"/>
            </w:tcBorders>
            <w:shd w:val="clear" w:color="auto" w:fill="auto"/>
            <w:vAlign w:val="center"/>
          </w:tcPr>
          <w:p w14:paraId="15D32F7D">
            <w:pPr>
              <w:pStyle w:val="55"/>
              <w:spacing w:line="360" w:lineRule="auto"/>
              <w:jc w:val="both"/>
              <w:rPr>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shd w:val="clear" w:color="auto" w:fill="auto"/>
            <w:vAlign w:val="center"/>
          </w:tcPr>
          <w:p w14:paraId="7A4D719C">
            <w:pPr>
              <w:pStyle w:val="55"/>
              <w:spacing w:line="360" w:lineRule="auto"/>
              <w:jc w:val="both"/>
              <w:rPr>
                <w:bCs/>
                <w:color w:val="auto"/>
                <w:spacing w:val="16"/>
                <w:highlight w:val="none"/>
              </w:rPr>
            </w:pPr>
          </w:p>
        </w:tc>
        <w:tc>
          <w:tcPr>
            <w:tcW w:w="1560" w:type="dxa"/>
            <w:vMerge w:val="continue"/>
            <w:shd w:val="clear" w:color="auto" w:fill="auto"/>
            <w:vAlign w:val="center"/>
          </w:tcPr>
          <w:p w14:paraId="2203353D">
            <w:pPr>
              <w:pStyle w:val="55"/>
              <w:spacing w:line="360" w:lineRule="auto"/>
              <w:jc w:val="center"/>
              <w:rPr>
                <w:bCs/>
                <w:color w:val="auto"/>
                <w:spacing w:val="16"/>
                <w:highlight w:val="none"/>
              </w:rPr>
            </w:pPr>
          </w:p>
        </w:tc>
        <w:tc>
          <w:tcPr>
            <w:tcW w:w="2608" w:type="dxa"/>
            <w:gridSpan w:val="3"/>
            <w:vMerge w:val="continue"/>
            <w:shd w:val="clear" w:color="auto" w:fill="auto"/>
            <w:vAlign w:val="center"/>
          </w:tcPr>
          <w:p w14:paraId="780B4C90">
            <w:pPr>
              <w:pStyle w:val="55"/>
              <w:spacing w:line="360" w:lineRule="auto"/>
              <w:jc w:val="both"/>
              <w:rPr>
                <w:bCs/>
                <w:color w:val="auto"/>
                <w:spacing w:val="16"/>
                <w:highlight w:val="none"/>
              </w:rPr>
            </w:pPr>
          </w:p>
        </w:tc>
      </w:tr>
      <w:tr w14:paraId="79E2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14:paraId="43813F53">
            <w:pPr>
              <w:pStyle w:val="55"/>
              <w:spacing w:line="360" w:lineRule="auto"/>
              <w:ind w:left="107"/>
              <w:jc w:val="both"/>
              <w:rPr>
                <w:bCs/>
                <w:color w:val="auto"/>
                <w:highlight w:val="none"/>
              </w:rPr>
            </w:pPr>
            <w:r>
              <w:rPr>
                <w:rFonts w:hint="eastAsia"/>
                <w:bCs/>
                <w:color w:val="auto"/>
                <w:highlight w:val="none"/>
              </w:rPr>
              <w:t>1.</w:t>
            </w:r>
          </w:p>
          <w:p w14:paraId="4FC28B17">
            <w:pPr>
              <w:pStyle w:val="55"/>
              <w:spacing w:line="360" w:lineRule="auto"/>
              <w:ind w:left="107"/>
              <w:jc w:val="both"/>
              <w:rPr>
                <w:bCs/>
                <w:color w:val="auto"/>
                <w:highlight w:val="none"/>
              </w:rPr>
            </w:pPr>
            <w:r>
              <w:rPr>
                <w:rFonts w:hint="eastAsia"/>
                <w:bCs/>
                <w:color w:val="auto"/>
                <w:highlight w:val="none"/>
              </w:rPr>
              <w:t>企</w:t>
            </w:r>
          </w:p>
          <w:p w14:paraId="50D3AAEB">
            <w:pPr>
              <w:pStyle w:val="55"/>
              <w:spacing w:line="360" w:lineRule="auto"/>
              <w:ind w:left="107"/>
              <w:jc w:val="both"/>
              <w:rPr>
                <w:bCs/>
                <w:color w:val="auto"/>
                <w:highlight w:val="none"/>
              </w:rPr>
            </w:pPr>
            <w:r>
              <w:rPr>
                <w:rFonts w:hint="eastAsia"/>
                <w:bCs/>
                <w:color w:val="auto"/>
                <w:highlight w:val="none"/>
              </w:rPr>
              <w:t>业</w:t>
            </w:r>
          </w:p>
          <w:p w14:paraId="3720379F">
            <w:pPr>
              <w:pStyle w:val="55"/>
              <w:spacing w:line="360" w:lineRule="auto"/>
              <w:ind w:left="107"/>
              <w:jc w:val="both"/>
              <w:rPr>
                <w:bCs/>
                <w:color w:val="auto"/>
                <w:spacing w:val="27"/>
                <w:highlight w:val="none"/>
              </w:rPr>
            </w:pPr>
            <w:r>
              <w:rPr>
                <w:rFonts w:hint="eastAsia"/>
                <w:bCs/>
                <w:color w:val="auto"/>
                <w:spacing w:val="27"/>
                <w:highlight w:val="none"/>
              </w:rPr>
              <w:t>概</w:t>
            </w:r>
          </w:p>
          <w:p w14:paraId="6C063DD4">
            <w:pPr>
              <w:pStyle w:val="55"/>
              <w:spacing w:line="360" w:lineRule="auto"/>
              <w:ind w:left="107"/>
              <w:jc w:val="both"/>
              <w:rPr>
                <w:bCs/>
                <w:color w:val="auto"/>
                <w:highlight w:val="none"/>
              </w:rPr>
            </w:pPr>
            <w:r>
              <w:rPr>
                <w:rFonts w:hint="eastAsia"/>
                <w:bCs/>
                <w:color w:val="auto"/>
                <w:spacing w:val="27"/>
                <w:highlight w:val="none"/>
              </w:rPr>
              <w:t>况</w:t>
            </w:r>
          </w:p>
        </w:tc>
        <w:tc>
          <w:tcPr>
            <w:tcW w:w="690" w:type="dxa"/>
            <w:tcBorders>
              <w:top w:val="nil"/>
            </w:tcBorders>
            <w:shd w:val="clear" w:color="auto" w:fill="auto"/>
            <w:vAlign w:val="center"/>
          </w:tcPr>
          <w:p w14:paraId="636EC4A7">
            <w:pPr>
              <w:pStyle w:val="55"/>
              <w:spacing w:line="360" w:lineRule="auto"/>
              <w:jc w:val="both"/>
              <w:rPr>
                <w:bCs/>
                <w:color w:val="auto"/>
                <w:spacing w:val="16"/>
                <w:highlight w:val="none"/>
              </w:rPr>
            </w:pPr>
            <w:r>
              <w:rPr>
                <w:rFonts w:hint="eastAsia"/>
                <w:bCs/>
                <w:color w:val="auto"/>
                <w:spacing w:val="16"/>
                <w:highlight w:val="none"/>
              </w:rPr>
              <w:t>职工人数</w:t>
            </w:r>
          </w:p>
        </w:tc>
        <w:tc>
          <w:tcPr>
            <w:tcW w:w="960" w:type="dxa"/>
            <w:gridSpan w:val="2"/>
            <w:tcBorders>
              <w:top w:val="nil"/>
            </w:tcBorders>
            <w:shd w:val="clear" w:color="auto" w:fill="auto"/>
            <w:vAlign w:val="center"/>
          </w:tcPr>
          <w:p w14:paraId="28E80E75">
            <w:pPr>
              <w:pStyle w:val="55"/>
              <w:spacing w:line="360" w:lineRule="auto"/>
              <w:jc w:val="both"/>
              <w:rPr>
                <w:bCs/>
                <w:color w:val="auto"/>
                <w:spacing w:val="16"/>
                <w:highlight w:val="none"/>
              </w:rPr>
            </w:pPr>
          </w:p>
        </w:tc>
        <w:tc>
          <w:tcPr>
            <w:tcW w:w="926" w:type="dxa"/>
            <w:tcBorders>
              <w:top w:val="nil"/>
            </w:tcBorders>
            <w:shd w:val="clear" w:color="auto" w:fill="auto"/>
            <w:vAlign w:val="center"/>
          </w:tcPr>
          <w:p w14:paraId="4CF07022">
            <w:pPr>
              <w:pStyle w:val="55"/>
              <w:spacing w:before="0" w:beforeAutospacing="0" w:after="0" w:afterAutospacing="0" w:line="360" w:lineRule="auto"/>
              <w:jc w:val="both"/>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shd w:val="clear" w:color="auto" w:fill="auto"/>
            <w:vAlign w:val="center"/>
          </w:tcPr>
          <w:p w14:paraId="7A21F683">
            <w:pPr>
              <w:widowControl/>
              <w:spacing w:line="360" w:lineRule="auto"/>
              <w:rPr>
                <w:rFonts w:ascii="宋体" w:hAnsi="宋体" w:cs="宋体"/>
                <w:bCs/>
                <w:color w:val="auto"/>
                <w:spacing w:val="16"/>
                <w:kern w:val="0"/>
                <w:sz w:val="24"/>
                <w:highlight w:val="none"/>
              </w:rPr>
            </w:pPr>
          </w:p>
          <w:p w14:paraId="6691AA8C">
            <w:pPr>
              <w:widowControl/>
              <w:spacing w:line="360" w:lineRule="auto"/>
              <w:rPr>
                <w:rFonts w:ascii="宋体" w:hAnsi="宋体" w:cs="宋体"/>
                <w:bCs/>
                <w:color w:val="auto"/>
                <w:spacing w:val="16"/>
                <w:kern w:val="0"/>
                <w:sz w:val="24"/>
                <w:highlight w:val="none"/>
              </w:rPr>
            </w:pPr>
          </w:p>
          <w:p w14:paraId="37FA0B39">
            <w:pPr>
              <w:pStyle w:val="55"/>
              <w:spacing w:line="360" w:lineRule="auto"/>
              <w:jc w:val="both"/>
              <w:rPr>
                <w:bCs/>
                <w:color w:val="auto"/>
                <w:spacing w:val="16"/>
                <w:highlight w:val="none"/>
              </w:rPr>
            </w:pPr>
          </w:p>
        </w:tc>
        <w:tc>
          <w:tcPr>
            <w:tcW w:w="1560" w:type="dxa"/>
            <w:shd w:val="clear" w:color="auto" w:fill="auto"/>
            <w:vAlign w:val="center"/>
          </w:tcPr>
          <w:p w14:paraId="6912C50F">
            <w:pPr>
              <w:pStyle w:val="55"/>
              <w:spacing w:line="360" w:lineRule="auto"/>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shd w:val="clear" w:color="auto" w:fill="auto"/>
            <w:vAlign w:val="center"/>
          </w:tcPr>
          <w:p w14:paraId="40D8E700">
            <w:pPr>
              <w:widowControl/>
              <w:spacing w:line="360" w:lineRule="auto"/>
              <w:rPr>
                <w:rFonts w:ascii="宋体" w:hAnsi="宋体" w:cs="宋体"/>
                <w:bCs/>
                <w:color w:val="auto"/>
                <w:spacing w:val="16"/>
                <w:kern w:val="0"/>
                <w:sz w:val="24"/>
                <w:highlight w:val="none"/>
              </w:rPr>
            </w:pPr>
          </w:p>
          <w:p w14:paraId="02E6CA11">
            <w:pPr>
              <w:pStyle w:val="55"/>
              <w:spacing w:line="360" w:lineRule="auto"/>
              <w:jc w:val="both"/>
              <w:rPr>
                <w:bCs/>
                <w:color w:val="auto"/>
                <w:spacing w:val="16"/>
                <w:highlight w:val="none"/>
              </w:rPr>
            </w:pPr>
          </w:p>
        </w:tc>
      </w:tr>
      <w:tr w14:paraId="7F80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shd w:val="clear" w:color="auto" w:fill="auto"/>
            <w:vAlign w:val="center"/>
          </w:tcPr>
          <w:p w14:paraId="02BEF054">
            <w:pPr>
              <w:pStyle w:val="55"/>
              <w:spacing w:line="360" w:lineRule="auto"/>
              <w:ind w:left="107"/>
              <w:jc w:val="both"/>
              <w:rPr>
                <w:bCs/>
                <w:color w:val="auto"/>
                <w:highlight w:val="none"/>
              </w:rPr>
            </w:pPr>
          </w:p>
        </w:tc>
        <w:tc>
          <w:tcPr>
            <w:tcW w:w="690" w:type="dxa"/>
            <w:shd w:val="clear" w:color="auto" w:fill="auto"/>
            <w:vAlign w:val="center"/>
          </w:tcPr>
          <w:p w14:paraId="65E4C4AE">
            <w:pPr>
              <w:pStyle w:val="55"/>
              <w:spacing w:line="360" w:lineRule="auto"/>
              <w:jc w:val="both"/>
              <w:rPr>
                <w:bCs/>
                <w:color w:val="auto"/>
                <w:highlight w:val="none"/>
              </w:rPr>
            </w:pPr>
            <w:r>
              <w:rPr>
                <w:rFonts w:hint="eastAsia"/>
                <w:bCs/>
                <w:color w:val="auto"/>
                <w:spacing w:val="16"/>
                <w:highlight w:val="none"/>
              </w:rPr>
              <w:t>占地面积</w:t>
            </w:r>
          </w:p>
        </w:tc>
        <w:tc>
          <w:tcPr>
            <w:tcW w:w="960" w:type="dxa"/>
            <w:gridSpan w:val="2"/>
            <w:shd w:val="clear" w:color="auto" w:fill="auto"/>
            <w:vAlign w:val="center"/>
          </w:tcPr>
          <w:p w14:paraId="64DC8CDB">
            <w:pPr>
              <w:pStyle w:val="55"/>
              <w:spacing w:line="360" w:lineRule="auto"/>
              <w:jc w:val="both"/>
              <w:rPr>
                <w:bCs/>
                <w:color w:val="auto"/>
                <w:highlight w:val="none"/>
              </w:rPr>
            </w:pPr>
          </w:p>
        </w:tc>
        <w:tc>
          <w:tcPr>
            <w:tcW w:w="926" w:type="dxa"/>
            <w:shd w:val="clear" w:color="auto" w:fill="auto"/>
            <w:vAlign w:val="center"/>
          </w:tcPr>
          <w:p w14:paraId="3CC3F2D9">
            <w:pPr>
              <w:pStyle w:val="55"/>
              <w:spacing w:line="360" w:lineRule="auto"/>
              <w:jc w:val="both"/>
              <w:rPr>
                <w:bCs/>
                <w:color w:val="auto"/>
                <w:highlight w:val="none"/>
              </w:rPr>
            </w:pPr>
            <w:r>
              <w:rPr>
                <w:rFonts w:hint="eastAsia"/>
                <w:bCs/>
                <w:color w:val="auto"/>
                <w:spacing w:val="16"/>
                <w:highlight w:val="none"/>
              </w:rPr>
              <w:t>建筑面积</w:t>
            </w:r>
          </w:p>
        </w:tc>
        <w:tc>
          <w:tcPr>
            <w:tcW w:w="1189" w:type="dxa"/>
            <w:gridSpan w:val="2"/>
            <w:shd w:val="clear" w:color="auto" w:fill="auto"/>
            <w:vAlign w:val="center"/>
          </w:tcPr>
          <w:p w14:paraId="395152FD">
            <w:pPr>
              <w:pStyle w:val="55"/>
              <w:spacing w:line="360" w:lineRule="auto"/>
              <w:jc w:val="both"/>
              <w:rPr>
                <w:bCs/>
                <w:color w:val="auto"/>
                <w:highlight w:val="none"/>
              </w:rPr>
            </w:pPr>
            <w:r>
              <w:rPr>
                <w:rFonts w:hint="eastAsia"/>
                <w:bCs/>
                <w:color w:val="auto"/>
                <w:highlight w:val="none"/>
              </w:rPr>
              <w:t>平方米</w:t>
            </w:r>
          </w:p>
          <w:p w14:paraId="269E2DBB">
            <w:pPr>
              <w:pStyle w:val="55"/>
              <w:spacing w:line="360" w:lineRule="auto"/>
              <w:jc w:val="both"/>
              <w:rPr>
                <w:bCs/>
                <w:color w:val="auto"/>
                <w:highlight w:val="none"/>
              </w:rPr>
            </w:pPr>
            <w:r>
              <w:rPr>
                <w:rFonts w:hint="eastAsia"/>
                <w:bCs/>
                <w:color w:val="auto"/>
                <w:spacing w:val="16"/>
                <w:highlight w:val="none"/>
              </w:rPr>
              <w:t>□自有□租赁</w:t>
            </w:r>
          </w:p>
        </w:tc>
        <w:tc>
          <w:tcPr>
            <w:tcW w:w="1560" w:type="dxa"/>
            <w:shd w:val="clear" w:color="auto" w:fill="auto"/>
            <w:vAlign w:val="center"/>
          </w:tcPr>
          <w:p w14:paraId="6E02C904">
            <w:pPr>
              <w:pStyle w:val="55"/>
              <w:spacing w:line="360" w:lineRule="auto"/>
              <w:jc w:val="center"/>
              <w:rPr>
                <w:bCs/>
                <w:color w:val="auto"/>
                <w:highlight w:val="none"/>
              </w:rPr>
            </w:pPr>
            <w:r>
              <w:rPr>
                <w:rFonts w:hint="eastAsia"/>
                <w:bCs/>
                <w:color w:val="auto"/>
                <w:spacing w:val="16"/>
                <w:highlight w:val="none"/>
              </w:rPr>
              <w:t>生产经营场所及场所的设施与设备</w:t>
            </w:r>
          </w:p>
        </w:tc>
        <w:tc>
          <w:tcPr>
            <w:tcW w:w="2608" w:type="dxa"/>
            <w:gridSpan w:val="3"/>
            <w:shd w:val="clear" w:color="auto" w:fill="auto"/>
            <w:vAlign w:val="center"/>
          </w:tcPr>
          <w:p w14:paraId="3CCCC28C">
            <w:pPr>
              <w:pStyle w:val="55"/>
              <w:spacing w:before="0" w:beforeAutospacing="0" w:after="0" w:afterAutospacing="0" w:line="360" w:lineRule="auto"/>
              <w:jc w:val="both"/>
              <w:rPr>
                <w:bCs/>
                <w:color w:val="auto"/>
                <w:spacing w:val="16"/>
                <w:highlight w:val="none"/>
              </w:rPr>
            </w:pPr>
          </w:p>
        </w:tc>
      </w:tr>
      <w:tr w14:paraId="0E11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shd w:val="clear" w:color="auto" w:fill="auto"/>
            <w:vAlign w:val="center"/>
          </w:tcPr>
          <w:p w14:paraId="6433B6CC">
            <w:pPr>
              <w:pStyle w:val="55"/>
              <w:spacing w:line="360" w:lineRule="auto"/>
              <w:ind w:left="107"/>
              <w:jc w:val="both"/>
              <w:rPr>
                <w:bCs/>
                <w:color w:val="auto"/>
                <w:highlight w:val="none"/>
              </w:rPr>
            </w:pPr>
          </w:p>
        </w:tc>
        <w:tc>
          <w:tcPr>
            <w:tcW w:w="690" w:type="dxa"/>
            <w:shd w:val="clear" w:color="auto" w:fill="auto"/>
            <w:vAlign w:val="center"/>
          </w:tcPr>
          <w:p w14:paraId="6D32BEA7">
            <w:pPr>
              <w:pStyle w:val="55"/>
              <w:spacing w:line="360" w:lineRule="auto"/>
              <w:ind w:left="2"/>
              <w:jc w:val="both"/>
              <w:rPr>
                <w:bCs/>
                <w:color w:val="auto"/>
                <w:spacing w:val="16"/>
                <w:highlight w:val="none"/>
              </w:rPr>
            </w:pPr>
            <w:r>
              <w:rPr>
                <w:rFonts w:hint="eastAsia"/>
                <w:bCs/>
                <w:color w:val="auto"/>
                <w:spacing w:val="16"/>
                <w:highlight w:val="none"/>
              </w:rPr>
              <w:t>注册资金</w:t>
            </w:r>
          </w:p>
        </w:tc>
        <w:tc>
          <w:tcPr>
            <w:tcW w:w="960" w:type="dxa"/>
            <w:gridSpan w:val="2"/>
            <w:shd w:val="clear" w:color="auto" w:fill="auto"/>
            <w:vAlign w:val="center"/>
          </w:tcPr>
          <w:p w14:paraId="408FD1EE">
            <w:pPr>
              <w:pStyle w:val="55"/>
              <w:spacing w:line="360" w:lineRule="auto"/>
              <w:ind w:left="2"/>
              <w:jc w:val="both"/>
              <w:rPr>
                <w:bCs/>
                <w:color w:val="auto"/>
                <w:highlight w:val="none"/>
              </w:rPr>
            </w:pPr>
          </w:p>
        </w:tc>
        <w:tc>
          <w:tcPr>
            <w:tcW w:w="926" w:type="dxa"/>
            <w:shd w:val="clear" w:color="auto" w:fill="auto"/>
            <w:vAlign w:val="center"/>
          </w:tcPr>
          <w:p w14:paraId="7BF3AE55">
            <w:pPr>
              <w:pStyle w:val="55"/>
              <w:spacing w:line="360" w:lineRule="auto"/>
              <w:ind w:left="107"/>
              <w:jc w:val="both"/>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shd w:val="clear" w:color="auto" w:fill="auto"/>
            <w:vAlign w:val="center"/>
          </w:tcPr>
          <w:p w14:paraId="4B6B2200">
            <w:pPr>
              <w:widowControl/>
              <w:spacing w:line="360" w:lineRule="auto"/>
              <w:rPr>
                <w:rFonts w:ascii="宋体" w:hAnsi="宋体" w:cs="宋体"/>
                <w:bCs/>
                <w:color w:val="auto"/>
                <w:kern w:val="0"/>
                <w:sz w:val="24"/>
                <w:highlight w:val="none"/>
              </w:rPr>
            </w:pPr>
          </w:p>
          <w:p w14:paraId="7BB85016">
            <w:pPr>
              <w:pStyle w:val="55"/>
              <w:spacing w:line="360" w:lineRule="auto"/>
              <w:ind w:left="107"/>
              <w:jc w:val="both"/>
              <w:rPr>
                <w:bCs/>
                <w:color w:val="auto"/>
                <w:highlight w:val="none"/>
              </w:rPr>
            </w:pPr>
          </w:p>
        </w:tc>
        <w:tc>
          <w:tcPr>
            <w:tcW w:w="1675" w:type="dxa"/>
            <w:gridSpan w:val="2"/>
            <w:shd w:val="clear" w:color="auto" w:fill="auto"/>
            <w:vAlign w:val="center"/>
          </w:tcPr>
          <w:p w14:paraId="63B167BF">
            <w:pPr>
              <w:pStyle w:val="55"/>
              <w:spacing w:line="360" w:lineRule="auto"/>
              <w:ind w:left="107"/>
              <w:jc w:val="both"/>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shd w:val="clear" w:color="auto" w:fill="auto"/>
            <w:vAlign w:val="center"/>
          </w:tcPr>
          <w:p w14:paraId="167A2465">
            <w:pPr>
              <w:pStyle w:val="55"/>
              <w:spacing w:line="360" w:lineRule="auto"/>
              <w:ind w:left="107"/>
              <w:jc w:val="both"/>
              <w:rPr>
                <w:bCs/>
                <w:color w:val="auto"/>
                <w:highlight w:val="none"/>
              </w:rPr>
            </w:pPr>
          </w:p>
        </w:tc>
      </w:tr>
      <w:tr w14:paraId="6473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14:paraId="450732A7">
            <w:pPr>
              <w:pStyle w:val="55"/>
              <w:spacing w:line="360" w:lineRule="auto"/>
              <w:ind w:left="107"/>
              <w:jc w:val="both"/>
              <w:rPr>
                <w:bCs/>
                <w:color w:val="auto"/>
                <w:highlight w:val="none"/>
              </w:rPr>
            </w:pPr>
          </w:p>
        </w:tc>
        <w:tc>
          <w:tcPr>
            <w:tcW w:w="690" w:type="dxa"/>
            <w:shd w:val="clear" w:color="auto" w:fill="auto"/>
            <w:vAlign w:val="center"/>
          </w:tcPr>
          <w:p w14:paraId="7A293DC5">
            <w:pPr>
              <w:pStyle w:val="55"/>
              <w:spacing w:line="360" w:lineRule="auto"/>
              <w:ind w:left="2"/>
              <w:jc w:val="both"/>
              <w:rPr>
                <w:bCs/>
                <w:color w:val="auto"/>
                <w:highlight w:val="none"/>
              </w:rPr>
            </w:pPr>
            <w:r>
              <w:rPr>
                <w:rFonts w:hint="eastAsia"/>
                <w:bCs/>
                <w:color w:val="auto"/>
                <w:highlight w:val="none"/>
              </w:rPr>
              <w:t>核准经营范围</w:t>
            </w:r>
          </w:p>
        </w:tc>
        <w:tc>
          <w:tcPr>
            <w:tcW w:w="7243" w:type="dxa"/>
            <w:gridSpan w:val="9"/>
            <w:shd w:val="clear" w:color="auto" w:fill="auto"/>
            <w:vAlign w:val="center"/>
          </w:tcPr>
          <w:p w14:paraId="2FE04D27">
            <w:pPr>
              <w:pStyle w:val="55"/>
              <w:spacing w:line="360" w:lineRule="auto"/>
              <w:ind w:left="107"/>
              <w:jc w:val="both"/>
              <w:rPr>
                <w:bCs/>
                <w:color w:val="auto"/>
                <w:highlight w:val="none"/>
              </w:rPr>
            </w:pPr>
          </w:p>
        </w:tc>
      </w:tr>
      <w:tr w14:paraId="45F0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14:paraId="5B2A83EE">
            <w:pPr>
              <w:pStyle w:val="55"/>
              <w:spacing w:line="360" w:lineRule="auto"/>
              <w:ind w:left="107"/>
              <w:jc w:val="both"/>
              <w:rPr>
                <w:bCs/>
                <w:color w:val="auto"/>
                <w:highlight w:val="none"/>
              </w:rPr>
            </w:pPr>
          </w:p>
        </w:tc>
        <w:tc>
          <w:tcPr>
            <w:tcW w:w="7933" w:type="dxa"/>
            <w:gridSpan w:val="10"/>
            <w:shd w:val="clear" w:color="auto" w:fill="auto"/>
            <w:vAlign w:val="center"/>
          </w:tcPr>
          <w:p w14:paraId="412B154E">
            <w:pPr>
              <w:pStyle w:val="55"/>
              <w:spacing w:line="360" w:lineRule="auto"/>
              <w:jc w:val="both"/>
              <w:rPr>
                <w:bCs/>
                <w:color w:val="auto"/>
                <w:spacing w:val="13"/>
                <w:highlight w:val="none"/>
              </w:rPr>
            </w:pPr>
            <w:r>
              <w:rPr>
                <w:rFonts w:hint="eastAsia"/>
                <w:bCs/>
                <w:color w:val="auto"/>
                <w:spacing w:val="13"/>
                <w:highlight w:val="none"/>
              </w:rPr>
              <w:t>发展历程及主要荣誉：</w:t>
            </w:r>
          </w:p>
        </w:tc>
      </w:tr>
      <w:tr w14:paraId="47C9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14:paraId="0FFC6544">
            <w:pPr>
              <w:pStyle w:val="55"/>
              <w:spacing w:line="360" w:lineRule="auto"/>
              <w:ind w:left="107"/>
              <w:jc w:val="both"/>
              <w:rPr>
                <w:bCs/>
                <w:color w:val="auto"/>
                <w:highlight w:val="none"/>
              </w:rPr>
            </w:pPr>
            <w:r>
              <w:rPr>
                <w:rFonts w:hint="eastAsia"/>
                <w:bCs/>
                <w:color w:val="auto"/>
                <w:highlight w:val="none"/>
              </w:rPr>
              <w:t>2.</w:t>
            </w:r>
          </w:p>
          <w:p w14:paraId="34BDC350">
            <w:pPr>
              <w:pStyle w:val="55"/>
              <w:spacing w:line="360" w:lineRule="auto"/>
              <w:ind w:left="107"/>
              <w:jc w:val="both"/>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shd w:val="clear" w:color="auto" w:fill="auto"/>
            <w:vAlign w:val="center"/>
          </w:tcPr>
          <w:p w14:paraId="47A30F8A">
            <w:pPr>
              <w:pStyle w:val="55"/>
              <w:spacing w:before="0" w:beforeAutospacing="0" w:after="0" w:afterAutospacing="0" w:line="360" w:lineRule="auto"/>
              <w:jc w:val="both"/>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shd w:val="clear" w:color="auto" w:fill="auto"/>
            <w:vAlign w:val="center"/>
          </w:tcPr>
          <w:p w14:paraId="2273439D">
            <w:pPr>
              <w:pStyle w:val="55"/>
              <w:spacing w:line="360" w:lineRule="auto"/>
              <w:ind w:right="-78" w:rightChars="-37"/>
              <w:jc w:val="both"/>
              <w:rPr>
                <w:bCs/>
                <w:color w:val="auto"/>
                <w:spacing w:val="16"/>
                <w:highlight w:val="none"/>
              </w:rPr>
            </w:pPr>
            <w:r>
              <w:rPr>
                <w:rFonts w:hint="eastAsia"/>
                <w:bCs/>
                <w:color w:val="auto"/>
                <w:spacing w:val="16"/>
                <w:highlight w:val="none"/>
              </w:rPr>
              <w:t>产品名称</w:t>
            </w:r>
          </w:p>
        </w:tc>
        <w:tc>
          <w:tcPr>
            <w:tcW w:w="1077" w:type="dxa"/>
            <w:shd w:val="clear" w:color="auto" w:fill="auto"/>
            <w:vAlign w:val="center"/>
          </w:tcPr>
          <w:p w14:paraId="6F28B267">
            <w:pPr>
              <w:pStyle w:val="55"/>
              <w:spacing w:before="0" w:beforeAutospacing="0" w:after="0" w:afterAutospacing="0" w:line="360" w:lineRule="auto"/>
              <w:jc w:val="both"/>
              <w:rPr>
                <w:bCs/>
                <w:color w:val="auto"/>
                <w:highlight w:val="none"/>
              </w:rPr>
            </w:pPr>
            <w:r>
              <w:rPr>
                <w:rFonts w:hint="eastAsia"/>
                <w:bCs/>
                <w:color w:val="auto"/>
                <w:spacing w:val="16"/>
                <w:highlight w:val="none"/>
              </w:rPr>
              <w:t>发证机关</w:t>
            </w:r>
          </w:p>
        </w:tc>
        <w:tc>
          <w:tcPr>
            <w:tcW w:w="1617" w:type="dxa"/>
            <w:gridSpan w:val="2"/>
            <w:shd w:val="clear" w:color="auto" w:fill="auto"/>
            <w:vAlign w:val="center"/>
          </w:tcPr>
          <w:p w14:paraId="344B5B21">
            <w:pPr>
              <w:pStyle w:val="55"/>
              <w:spacing w:line="360" w:lineRule="auto"/>
              <w:jc w:val="both"/>
              <w:rPr>
                <w:bCs/>
                <w:color w:val="auto"/>
                <w:highlight w:val="none"/>
              </w:rPr>
            </w:pPr>
            <w:r>
              <w:rPr>
                <w:rFonts w:hint="eastAsia"/>
                <w:bCs/>
                <w:color w:val="auto"/>
                <w:spacing w:val="27"/>
                <w:highlight w:val="none"/>
              </w:rPr>
              <w:t>编号</w:t>
            </w:r>
          </w:p>
        </w:tc>
        <w:tc>
          <w:tcPr>
            <w:tcW w:w="1618" w:type="dxa"/>
            <w:shd w:val="clear" w:color="auto" w:fill="auto"/>
            <w:vAlign w:val="center"/>
          </w:tcPr>
          <w:p w14:paraId="7624E430">
            <w:pPr>
              <w:pStyle w:val="55"/>
              <w:spacing w:line="360" w:lineRule="auto"/>
              <w:jc w:val="both"/>
              <w:rPr>
                <w:bCs/>
                <w:color w:val="auto"/>
                <w:highlight w:val="none"/>
              </w:rPr>
            </w:pPr>
            <w:r>
              <w:rPr>
                <w:rFonts w:hint="eastAsia"/>
                <w:bCs/>
                <w:color w:val="auto"/>
                <w:spacing w:val="16"/>
                <w:highlight w:val="none"/>
              </w:rPr>
              <w:t>发证时间</w:t>
            </w:r>
          </w:p>
        </w:tc>
        <w:tc>
          <w:tcPr>
            <w:tcW w:w="933" w:type="dxa"/>
            <w:shd w:val="clear" w:color="auto" w:fill="auto"/>
            <w:vAlign w:val="center"/>
          </w:tcPr>
          <w:p w14:paraId="59220BC5">
            <w:pPr>
              <w:pStyle w:val="55"/>
              <w:spacing w:before="0" w:beforeAutospacing="0" w:after="0" w:afterAutospacing="0" w:line="360" w:lineRule="auto"/>
              <w:jc w:val="both"/>
              <w:rPr>
                <w:bCs/>
                <w:color w:val="auto"/>
                <w:highlight w:val="none"/>
              </w:rPr>
            </w:pPr>
            <w:r>
              <w:rPr>
                <w:rFonts w:hint="eastAsia"/>
                <w:bCs/>
                <w:color w:val="auto"/>
                <w:spacing w:val="27"/>
                <w:highlight w:val="none"/>
              </w:rPr>
              <w:t>期限</w:t>
            </w:r>
          </w:p>
        </w:tc>
      </w:tr>
      <w:tr w14:paraId="134E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14:paraId="6667D7EA">
            <w:pPr>
              <w:pStyle w:val="55"/>
              <w:spacing w:line="360" w:lineRule="auto"/>
              <w:ind w:left="107"/>
              <w:jc w:val="both"/>
              <w:rPr>
                <w:bCs/>
                <w:color w:val="auto"/>
                <w:highlight w:val="none"/>
              </w:rPr>
            </w:pPr>
          </w:p>
        </w:tc>
        <w:tc>
          <w:tcPr>
            <w:tcW w:w="1355" w:type="dxa"/>
            <w:gridSpan w:val="2"/>
            <w:vMerge w:val="continue"/>
            <w:shd w:val="clear" w:color="auto" w:fill="auto"/>
            <w:vAlign w:val="center"/>
          </w:tcPr>
          <w:p w14:paraId="47FA0549">
            <w:pPr>
              <w:pStyle w:val="55"/>
              <w:spacing w:line="360" w:lineRule="auto"/>
              <w:jc w:val="both"/>
              <w:rPr>
                <w:bCs/>
                <w:color w:val="auto"/>
                <w:highlight w:val="none"/>
              </w:rPr>
            </w:pPr>
          </w:p>
        </w:tc>
        <w:tc>
          <w:tcPr>
            <w:tcW w:w="1333" w:type="dxa"/>
            <w:gridSpan w:val="3"/>
            <w:shd w:val="clear" w:color="auto" w:fill="auto"/>
            <w:vAlign w:val="center"/>
          </w:tcPr>
          <w:p w14:paraId="0C83479F">
            <w:pPr>
              <w:pStyle w:val="55"/>
              <w:spacing w:line="360" w:lineRule="auto"/>
              <w:jc w:val="both"/>
              <w:rPr>
                <w:bCs/>
                <w:color w:val="auto"/>
                <w:highlight w:val="none"/>
              </w:rPr>
            </w:pPr>
          </w:p>
        </w:tc>
        <w:tc>
          <w:tcPr>
            <w:tcW w:w="1077" w:type="dxa"/>
            <w:shd w:val="clear" w:color="auto" w:fill="auto"/>
            <w:vAlign w:val="center"/>
          </w:tcPr>
          <w:p w14:paraId="00702953">
            <w:pPr>
              <w:pStyle w:val="55"/>
              <w:spacing w:line="360" w:lineRule="auto"/>
              <w:jc w:val="both"/>
              <w:rPr>
                <w:bCs/>
                <w:color w:val="auto"/>
                <w:highlight w:val="none"/>
              </w:rPr>
            </w:pPr>
          </w:p>
        </w:tc>
        <w:tc>
          <w:tcPr>
            <w:tcW w:w="1617" w:type="dxa"/>
            <w:gridSpan w:val="2"/>
            <w:shd w:val="clear" w:color="auto" w:fill="auto"/>
            <w:vAlign w:val="center"/>
          </w:tcPr>
          <w:p w14:paraId="78B0699D">
            <w:pPr>
              <w:pStyle w:val="55"/>
              <w:spacing w:line="360" w:lineRule="auto"/>
              <w:jc w:val="both"/>
              <w:rPr>
                <w:bCs/>
                <w:color w:val="auto"/>
                <w:highlight w:val="none"/>
              </w:rPr>
            </w:pPr>
          </w:p>
        </w:tc>
        <w:tc>
          <w:tcPr>
            <w:tcW w:w="2551" w:type="dxa"/>
            <w:gridSpan w:val="2"/>
            <w:shd w:val="clear" w:color="auto" w:fill="auto"/>
            <w:vAlign w:val="center"/>
          </w:tcPr>
          <w:p w14:paraId="12C30716">
            <w:pPr>
              <w:pStyle w:val="55"/>
              <w:spacing w:line="360" w:lineRule="auto"/>
              <w:jc w:val="both"/>
              <w:rPr>
                <w:bCs/>
                <w:color w:val="auto"/>
                <w:highlight w:val="none"/>
              </w:rPr>
            </w:pPr>
          </w:p>
        </w:tc>
      </w:tr>
      <w:tr w14:paraId="02F2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14:paraId="516D4177">
            <w:pPr>
              <w:pStyle w:val="55"/>
              <w:spacing w:line="360" w:lineRule="auto"/>
              <w:ind w:left="107"/>
              <w:jc w:val="both"/>
              <w:rPr>
                <w:bCs/>
                <w:color w:val="auto"/>
                <w:spacing w:val="16"/>
                <w:highlight w:val="none"/>
              </w:rPr>
            </w:pPr>
          </w:p>
        </w:tc>
        <w:tc>
          <w:tcPr>
            <w:tcW w:w="1355" w:type="dxa"/>
            <w:gridSpan w:val="2"/>
            <w:shd w:val="clear" w:color="auto" w:fill="auto"/>
            <w:vAlign w:val="center"/>
          </w:tcPr>
          <w:p w14:paraId="184B99E7">
            <w:pPr>
              <w:pStyle w:val="55"/>
              <w:spacing w:before="0" w:beforeAutospacing="0" w:after="0" w:afterAutospacing="0" w:line="360" w:lineRule="auto"/>
              <w:ind w:right="-107" w:rightChars="-51"/>
              <w:jc w:val="both"/>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shd w:val="clear" w:color="auto" w:fill="auto"/>
            <w:vAlign w:val="center"/>
          </w:tcPr>
          <w:p w14:paraId="6D09FD09">
            <w:pPr>
              <w:pStyle w:val="55"/>
              <w:spacing w:line="360" w:lineRule="auto"/>
              <w:jc w:val="both"/>
              <w:rPr>
                <w:bCs/>
                <w:color w:val="auto"/>
                <w:spacing w:val="16"/>
                <w:highlight w:val="none"/>
              </w:rPr>
            </w:pPr>
          </w:p>
        </w:tc>
      </w:tr>
      <w:tr w14:paraId="5C5F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shd w:val="clear" w:color="auto" w:fill="auto"/>
            <w:vAlign w:val="center"/>
          </w:tcPr>
          <w:p w14:paraId="62C46149">
            <w:pPr>
              <w:pStyle w:val="55"/>
              <w:spacing w:line="360" w:lineRule="auto"/>
              <w:ind w:left="107"/>
              <w:jc w:val="both"/>
              <w:rPr>
                <w:bCs/>
                <w:color w:val="auto"/>
                <w:spacing w:val="27"/>
                <w:highlight w:val="none"/>
              </w:rPr>
            </w:pPr>
          </w:p>
        </w:tc>
        <w:tc>
          <w:tcPr>
            <w:tcW w:w="1355" w:type="dxa"/>
            <w:gridSpan w:val="2"/>
            <w:shd w:val="clear" w:color="auto" w:fill="auto"/>
            <w:vAlign w:val="center"/>
          </w:tcPr>
          <w:p w14:paraId="0FC0E47A">
            <w:pPr>
              <w:pStyle w:val="55"/>
              <w:spacing w:line="360" w:lineRule="auto"/>
              <w:jc w:val="both"/>
              <w:rPr>
                <w:bCs/>
                <w:color w:val="auto"/>
                <w:spacing w:val="16"/>
                <w:highlight w:val="none"/>
              </w:rPr>
            </w:pPr>
            <w:r>
              <w:rPr>
                <w:rFonts w:hint="eastAsia"/>
                <w:bCs/>
                <w:color w:val="auto"/>
                <w:spacing w:val="10"/>
                <w:highlight w:val="none"/>
              </w:rPr>
              <w:t>企业获得专利情况</w:t>
            </w:r>
          </w:p>
        </w:tc>
        <w:tc>
          <w:tcPr>
            <w:tcW w:w="6578" w:type="dxa"/>
            <w:gridSpan w:val="8"/>
            <w:shd w:val="clear" w:color="auto" w:fill="auto"/>
            <w:vAlign w:val="center"/>
          </w:tcPr>
          <w:p w14:paraId="1295F5E1">
            <w:pPr>
              <w:pStyle w:val="55"/>
              <w:spacing w:line="360" w:lineRule="auto"/>
              <w:jc w:val="both"/>
              <w:rPr>
                <w:bCs/>
                <w:color w:val="auto"/>
                <w:spacing w:val="16"/>
                <w:highlight w:val="none"/>
              </w:rPr>
            </w:pPr>
          </w:p>
        </w:tc>
      </w:tr>
    </w:tbl>
    <w:p w14:paraId="069ED86B">
      <w:pPr>
        <w:spacing w:line="360" w:lineRule="auto"/>
        <w:rPr>
          <w:rFonts w:ascii="宋体" w:hAnsi="宋体" w:cs="宋体"/>
          <w:color w:val="auto"/>
          <w:sz w:val="24"/>
          <w:szCs w:val="32"/>
          <w:highlight w:val="none"/>
        </w:rPr>
      </w:pPr>
    </w:p>
    <w:p w14:paraId="37CEC04E">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9B98AA8">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30033E9B">
      <w:pPr>
        <w:spacing w:line="360" w:lineRule="auto"/>
        <w:rPr>
          <w:rFonts w:ascii="宋体" w:hAnsi="宋体" w:cs="宋体"/>
          <w:color w:val="auto"/>
          <w:sz w:val="24"/>
          <w:szCs w:val="32"/>
          <w:highlight w:val="none"/>
        </w:rPr>
      </w:pPr>
    </w:p>
    <w:p w14:paraId="04D9189C">
      <w:pP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3123A48A">
      <w:pPr>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086E370">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E240EDC">
      <w:pPr>
        <w:spacing w:line="360" w:lineRule="auto"/>
        <w:rPr>
          <w:rFonts w:ascii="宋体" w:hAnsi="宋体" w:cs="宋体"/>
          <w:color w:val="auto"/>
          <w:sz w:val="24"/>
          <w:szCs w:val="32"/>
          <w:highlight w:val="none"/>
        </w:rPr>
      </w:pPr>
    </w:p>
    <w:p w14:paraId="6B619AB8">
      <w:pPr>
        <w:spacing w:line="360" w:lineRule="auto"/>
        <w:rPr>
          <w:rFonts w:hint="eastAsia" w:ascii="宋体" w:hAnsi="宋体" w:cs="宋体"/>
          <w:b/>
          <w:color w:val="auto"/>
          <w:sz w:val="28"/>
          <w:highlight w:val="none"/>
        </w:rPr>
        <w:sectPr>
          <w:pgSz w:w="11906" w:h="16838"/>
          <w:pgMar w:top="1440" w:right="1803" w:bottom="1440" w:left="1803" w:header="851" w:footer="992" w:gutter="0"/>
          <w:pgNumType w:start="1"/>
          <w:cols w:space="0" w:num="1"/>
          <w:docGrid w:type="lines" w:linePitch="317" w:charSpace="0"/>
        </w:sectPr>
      </w:pPr>
    </w:p>
    <w:p w14:paraId="4A1EF4F4">
      <w:pPr>
        <w:spacing w:line="360" w:lineRule="auto"/>
        <w:rPr>
          <w:rFonts w:ascii="宋体" w:hAnsi="宋体" w:cs="宋体"/>
          <w:color w:val="auto"/>
          <w:sz w:val="24"/>
          <w:highlight w:val="none"/>
        </w:rPr>
      </w:pPr>
      <w:r>
        <w:rPr>
          <w:rFonts w:hint="eastAsia" w:ascii="宋体" w:hAnsi="宋体" w:cs="宋体"/>
          <w:b/>
          <w:color w:val="auto"/>
          <w:sz w:val="28"/>
          <w:highlight w:val="none"/>
        </w:rPr>
        <w:t>附件11</w:t>
      </w:r>
    </w:p>
    <w:p w14:paraId="4A7EEBBC">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r>
        <w:rPr>
          <w:rFonts w:hint="eastAsia" w:ascii="宋体" w:hAnsi="宋体" w:cs="宋体"/>
          <w:b/>
          <w:bCs/>
          <w:color w:val="auto"/>
          <w:sz w:val="32"/>
          <w:szCs w:val="40"/>
          <w:highlight w:val="none"/>
          <w:lang w:val="en-US" w:eastAsia="zh-CN"/>
        </w:rPr>
        <w:t xml:space="preserve">    </w:t>
      </w:r>
      <w:r>
        <w:rPr>
          <w:rFonts w:hint="eastAsia" w:ascii="宋体" w:hAnsi="宋体" w:cs="宋体"/>
          <w:b/>
          <w:bCs/>
          <w:color w:val="auto"/>
          <w:kern w:val="0"/>
          <w:sz w:val="32"/>
          <w:szCs w:val="32"/>
          <w:highlight w:val="none"/>
          <w:lang w:val="en-US" w:eastAsia="zh-CN"/>
        </w:rPr>
        <w:t>标项：</w:t>
      </w:r>
    </w:p>
    <w:p w14:paraId="1748E50D">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534D1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3A5498CF">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53E82E4">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EAA251F">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056573DC">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79C46172">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1C9BB7D0">
            <w:pPr>
              <w:snapToGrid w:val="0"/>
              <w:spacing w:before="158" w:beforeLines="50" w:after="50" w:line="360" w:lineRule="auto"/>
              <w:jc w:val="center"/>
              <w:rPr>
                <w:rFonts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2D2AC881">
            <w:pP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3D1CF5C1">
            <w:pPr>
              <w:snapToGrid w:val="0"/>
              <w:spacing w:before="158" w:beforeLines="50" w:after="50" w:line="360" w:lineRule="auto"/>
              <w:jc w:val="center"/>
              <w:rPr>
                <w:rFonts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5ABF7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26493F3">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43AC8A1">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BDA1C0C">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4AF340E">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39DDF0D">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6FEAF0B">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CB44A6A">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C5932C5">
            <w:pPr>
              <w:snapToGrid w:val="0"/>
              <w:spacing w:before="158" w:beforeLines="50" w:after="50" w:line="360" w:lineRule="auto"/>
              <w:rPr>
                <w:rFonts w:ascii="宋体" w:hAnsi="宋体" w:cs="宋体"/>
                <w:b/>
                <w:color w:val="auto"/>
                <w:kern w:val="44"/>
                <w:sz w:val="24"/>
                <w:szCs w:val="20"/>
                <w:highlight w:val="none"/>
              </w:rPr>
            </w:pPr>
          </w:p>
        </w:tc>
      </w:tr>
      <w:tr w14:paraId="315C5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713B198">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7DD511B">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894E330">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1080E7F">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4802353">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61A5427">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B962310">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26BA7D0">
            <w:pPr>
              <w:snapToGrid w:val="0"/>
              <w:spacing w:before="158" w:beforeLines="50" w:after="50" w:line="360" w:lineRule="auto"/>
              <w:rPr>
                <w:rFonts w:ascii="宋体" w:hAnsi="宋体" w:cs="宋体"/>
                <w:b/>
                <w:color w:val="auto"/>
                <w:kern w:val="44"/>
                <w:sz w:val="24"/>
                <w:szCs w:val="20"/>
                <w:highlight w:val="none"/>
              </w:rPr>
            </w:pPr>
          </w:p>
        </w:tc>
      </w:tr>
      <w:tr w14:paraId="3A3E4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E70F177">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F948A10">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8648812">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3273389">
            <w:pPr>
              <w:pStyle w:val="14"/>
              <w:snapToGrid w:val="0"/>
              <w:spacing w:before="158" w:beforeLines="50" w:after="50" w:line="360" w:lineRule="auto"/>
              <w:ind w:left="5250"/>
              <w:rPr>
                <w:rFonts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A8FA9E7">
            <w:pPr>
              <w:pStyle w:val="14"/>
              <w:snapToGrid w:val="0"/>
              <w:spacing w:before="158" w:beforeLines="50" w:after="50" w:line="360" w:lineRule="auto"/>
              <w:ind w:left="5250"/>
              <w:rPr>
                <w:rFonts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34305B5">
            <w:pPr>
              <w:pStyle w:val="14"/>
              <w:spacing w:line="360" w:lineRule="auto"/>
              <w:ind w:left="5250"/>
              <w:rPr>
                <w:rFonts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DF040CE">
            <w:pPr>
              <w:snapToGrid w:val="0"/>
              <w:spacing w:before="158" w:beforeLines="50" w:after="50" w:line="360" w:lineRule="auto"/>
              <w:rPr>
                <w:rFonts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24535C2">
            <w:pPr>
              <w:snapToGrid w:val="0"/>
              <w:spacing w:before="158" w:beforeLines="50" w:after="50" w:line="360" w:lineRule="auto"/>
              <w:rPr>
                <w:rFonts w:ascii="宋体" w:hAnsi="宋体" w:cs="宋体"/>
                <w:b/>
                <w:color w:val="auto"/>
                <w:kern w:val="44"/>
                <w:sz w:val="24"/>
                <w:szCs w:val="20"/>
                <w:highlight w:val="none"/>
              </w:rPr>
            </w:pPr>
          </w:p>
        </w:tc>
      </w:tr>
      <w:tr w14:paraId="49E82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8160031">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610CF4A">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7000512">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9AD431B">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93D9474">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FFEF43A">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64D97B9">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FB7F716">
            <w:pPr>
              <w:snapToGrid w:val="0"/>
              <w:spacing w:before="158" w:beforeLines="50" w:after="50" w:line="360" w:lineRule="auto"/>
              <w:rPr>
                <w:rFonts w:ascii="宋体" w:hAnsi="宋体" w:cs="宋体"/>
                <w:b/>
                <w:color w:val="auto"/>
                <w:kern w:val="44"/>
                <w:sz w:val="24"/>
                <w:szCs w:val="20"/>
                <w:highlight w:val="none"/>
              </w:rPr>
            </w:pPr>
          </w:p>
        </w:tc>
      </w:tr>
      <w:tr w14:paraId="78BDE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29276D1">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6DAC0A5">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F477843">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A1DA991">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427048C">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2AC2CE4">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A03E80A">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E744A10">
            <w:pPr>
              <w:snapToGrid w:val="0"/>
              <w:spacing w:before="158" w:beforeLines="50" w:after="50" w:line="360" w:lineRule="auto"/>
              <w:rPr>
                <w:rFonts w:ascii="宋体" w:hAnsi="宋体" w:cs="宋体"/>
                <w:b/>
                <w:color w:val="auto"/>
                <w:kern w:val="44"/>
                <w:sz w:val="24"/>
                <w:szCs w:val="20"/>
                <w:highlight w:val="none"/>
              </w:rPr>
            </w:pPr>
          </w:p>
        </w:tc>
      </w:tr>
      <w:tr w14:paraId="26FBD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CB0AF1C">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96A3B1A">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C4012D4">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0C8F279">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80D6DF0">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7610A2F">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FA02CB6">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B29B848">
            <w:pPr>
              <w:snapToGrid w:val="0"/>
              <w:spacing w:before="158" w:beforeLines="50" w:after="50" w:line="360" w:lineRule="auto"/>
              <w:rPr>
                <w:rFonts w:ascii="宋体" w:hAnsi="宋体" w:cs="宋体"/>
                <w:b/>
                <w:color w:val="auto"/>
                <w:kern w:val="44"/>
                <w:sz w:val="24"/>
                <w:szCs w:val="20"/>
                <w:highlight w:val="none"/>
              </w:rPr>
            </w:pPr>
          </w:p>
        </w:tc>
      </w:tr>
      <w:tr w14:paraId="09BF7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02F5428">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3C3E2A4">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C36446F">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D2607AD">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987EA4F">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C392178">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FDD1A0C">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597FEBB">
            <w:pPr>
              <w:snapToGrid w:val="0"/>
              <w:spacing w:before="158" w:beforeLines="50" w:after="50" w:line="360" w:lineRule="auto"/>
              <w:rPr>
                <w:rFonts w:ascii="宋体" w:hAnsi="宋体" w:cs="宋体"/>
                <w:b/>
                <w:color w:val="auto"/>
                <w:kern w:val="44"/>
                <w:sz w:val="24"/>
                <w:szCs w:val="20"/>
                <w:highlight w:val="none"/>
              </w:rPr>
            </w:pPr>
          </w:p>
        </w:tc>
      </w:tr>
      <w:tr w14:paraId="697CE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C66C546">
            <w:pPr>
              <w:snapToGrid w:val="0"/>
              <w:spacing w:before="158" w:beforeLines="50" w:after="50" w:line="360" w:lineRule="auto"/>
              <w:rPr>
                <w:rFonts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14D049A">
            <w:pPr>
              <w:snapToGrid w:val="0"/>
              <w:spacing w:before="158" w:beforeLines="50" w:after="50" w:line="360" w:lineRule="auto"/>
              <w:rPr>
                <w:rFonts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0099EBD">
            <w:pPr>
              <w:snapToGrid w:val="0"/>
              <w:spacing w:before="158" w:beforeLines="50" w:after="50" w:line="360" w:lineRule="auto"/>
              <w:rPr>
                <w:rFonts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30BFCA9">
            <w:pPr>
              <w:snapToGrid w:val="0"/>
              <w:spacing w:before="158" w:beforeLines="50" w:after="50" w:line="360" w:lineRule="auto"/>
              <w:rPr>
                <w:rFonts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FF142BD">
            <w:pPr>
              <w:snapToGrid w:val="0"/>
              <w:spacing w:before="158" w:beforeLines="50" w:after="50" w:line="360" w:lineRule="auto"/>
              <w:rPr>
                <w:rFonts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DDF8DBE">
            <w:pPr>
              <w:snapToGrid w:val="0"/>
              <w:spacing w:before="158" w:beforeLines="50" w:after="50" w:line="360" w:lineRule="auto"/>
              <w:rPr>
                <w:rFonts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496E16B">
            <w:pPr>
              <w:snapToGrid w:val="0"/>
              <w:spacing w:before="158" w:beforeLines="50" w:after="50" w:line="360" w:lineRule="auto"/>
              <w:rPr>
                <w:rFonts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12751A7">
            <w:pPr>
              <w:snapToGrid w:val="0"/>
              <w:spacing w:before="158" w:beforeLines="50" w:after="50" w:line="360" w:lineRule="auto"/>
              <w:rPr>
                <w:rFonts w:ascii="宋体" w:hAnsi="宋体" w:cs="宋体"/>
                <w:b/>
                <w:color w:val="auto"/>
                <w:kern w:val="44"/>
                <w:sz w:val="24"/>
                <w:szCs w:val="20"/>
                <w:highlight w:val="none"/>
              </w:rPr>
            </w:pPr>
          </w:p>
        </w:tc>
      </w:tr>
    </w:tbl>
    <w:p w14:paraId="4A276323">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58CBB0E2">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1.在填写时，如本表格不适合供应商的实际情况，可根据本表格式自行划表填写。</w:t>
      </w:r>
    </w:p>
    <w:p w14:paraId="3795A877">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1A7C518A">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3.出具上述人员在本单位服务的外部证明等。</w:t>
      </w:r>
    </w:p>
    <w:p w14:paraId="12710994">
      <w:pPr>
        <w:spacing w:line="360" w:lineRule="auto"/>
        <w:rPr>
          <w:rFonts w:ascii="宋体" w:hAnsi="宋体" w:cs="宋体"/>
          <w:color w:val="auto"/>
          <w:sz w:val="24"/>
          <w:szCs w:val="32"/>
          <w:highlight w:val="none"/>
        </w:rPr>
      </w:pPr>
    </w:p>
    <w:p w14:paraId="13960DDE">
      <w:pPr>
        <w:spacing w:line="36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0BA512CB">
      <w:pPr>
        <w:spacing w:line="36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9BF5695">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1937045">
      <w:pPr>
        <w:spacing w:line="360" w:lineRule="auto"/>
        <w:jc w:val="left"/>
        <w:rPr>
          <w:rFonts w:hint="eastAsia" w:ascii="宋体" w:hAnsi="宋体" w:cs="宋体"/>
          <w:b/>
          <w:bCs/>
          <w:color w:val="auto"/>
          <w:sz w:val="28"/>
          <w:szCs w:val="36"/>
          <w:highlight w:val="none"/>
          <w:lang w:val="zh-CN"/>
        </w:rPr>
      </w:pPr>
    </w:p>
    <w:p w14:paraId="65095B7F">
      <w:pPr>
        <w:spacing w:line="360" w:lineRule="auto"/>
        <w:jc w:val="left"/>
        <w:rPr>
          <w:rFonts w:hint="eastAsia" w:ascii="宋体" w:hAnsi="宋体" w:cs="宋体"/>
          <w:b/>
          <w:bCs/>
          <w:color w:val="auto"/>
          <w:sz w:val="28"/>
          <w:szCs w:val="36"/>
          <w:highlight w:val="none"/>
          <w:lang w:val="zh-CN"/>
        </w:rPr>
        <w:sectPr>
          <w:pgSz w:w="11906" w:h="16838"/>
          <w:pgMar w:top="1440" w:right="1803" w:bottom="1440" w:left="1803" w:header="851" w:footer="992" w:gutter="0"/>
          <w:pgNumType w:start="1"/>
          <w:cols w:space="0" w:num="1"/>
          <w:docGrid w:type="lines" w:linePitch="317" w:charSpace="0"/>
        </w:sectPr>
      </w:pPr>
    </w:p>
    <w:p w14:paraId="37394A22">
      <w:pPr>
        <w:spacing w:line="360" w:lineRule="auto"/>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12</w:t>
      </w:r>
    </w:p>
    <w:p w14:paraId="1A818586">
      <w:pPr>
        <w:spacing w:line="360" w:lineRule="auto"/>
        <w:jc w:val="center"/>
        <w:rPr>
          <w:rFonts w:hint="default" w:ascii="宋体" w:hAnsi="宋体" w:eastAsia="宋体" w:cs="宋体"/>
          <w:b/>
          <w:bCs/>
          <w:color w:val="auto"/>
          <w:sz w:val="32"/>
          <w:szCs w:val="40"/>
          <w:highlight w:val="none"/>
          <w:lang w:val="en-US" w:eastAsia="zh-CN"/>
        </w:rPr>
      </w:pPr>
      <w:r>
        <w:rPr>
          <w:rFonts w:hint="eastAsia" w:ascii="宋体" w:hAnsi="宋体" w:cs="宋体"/>
          <w:b/>
          <w:bCs/>
          <w:color w:val="auto"/>
          <w:sz w:val="32"/>
          <w:szCs w:val="40"/>
          <w:highlight w:val="none"/>
          <w:lang w:val="zh-CN"/>
        </w:rPr>
        <w:t>证书一览表</w:t>
      </w:r>
      <w:r>
        <w:rPr>
          <w:rFonts w:hint="eastAsia" w:ascii="宋体" w:hAnsi="宋体" w:cs="宋体"/>
          <w:b/>
          <w:bCs/>
          <w:color w:val="auto"/>
          <w:sz w:val="32"/>
          <w:szCs w:val="40"/>
          <w:highlight w:val="none"/>
          <w:lang w:val="en-US" w:eastAsia="zh-CN"/>
        </w:rPr>
        <w:t xml:space="preserve">   </w:t>
      </w:r>
      <w:r>
        <w:rPr>
          <w:rFonts w:hint="eastAsia" w:ascii="宋体" w:hAnsi="宋体" w:cs="宋体"/>
          <w:b/>
          <w:bCs/>
          <w:color w:val="auto"/>
          <w:kern w:val="0"/>
          <w:sz w:val="32"/>
          <w:szCs w:val="32"/>
          <w:highlight w:val="none"/>
          <w:lang w:val="en-US" w:eastAsia="zh-CN"/>
        </w:rPr>
        <w:t>标项：</w:t>
      </w:r>
    </w:p>
    <w:p w14:paraId="5575C91E">
      <w:pPr>
        <w:spacing w:line="360" w:lineRule="auto"/>
        <w:jc w:val="left"/>
        <w:rPr>
          <w:rFonts w:ascii="宋体" w:hAnsi="宋体" w:cs="宋体"/>
          <w:b/>
          <w:bCs/>
          <w:color w:val="auto"/>
          <w:sz w:val="24"/>
          <w:szCs w:val="32"/>
          <w:highlight w:val="none"/>
          <w:lang w:val="zh-CN"/>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212FBD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1C479E0F">
            <w:pPr>
              <w:pStyle w:val="59"/>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50DB68C8">
            <w:pPr>
              <w:pStyle w:val="59"/>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145C5AB8">
            <w:pPr>
              <w:pStyle w:val="59"/>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02F3E8B2">
            <w:pPr>
              <w:pStyle w:val="59"/>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15C227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3BB5622">
            <w:pPr>
              <w:pStyle w:val="59"/>
              <w:spacing w:line="360" w:lineRule="auto"/>
              <w:jc w:val="center"/>
              <w:rPr>
                <w:rFonts w:ascii="宋体" w:hAnsi="宋体" w:cs="宋体"/>
                <w:color w:val="auto"/>
                <w:szCs w:val="21"/>
                <w:highlight w:val="none"/>
              </w:rPr>
            </w:pPr>
          </w:p>
        </w:tc>
        <w:tc>
          <w:tcPr>
            <w:tcW w:w="2258" w:type="dxa"/>
          </w:tcPr>
          <w:p w14:paraId="7EBD4B3D">
            <w:pPr>
              <w:pStyle w:val="59"/>
              <w:spacing w:line="360" w:lineRule="auto"/>
              <w:jc w:val="center"/>
              <w:rPr>
                <w:rFonts w:ascii="宋体" w:hAnsi="宋体" w:cs="宋体"/>
                <w:color w:val="auto"/>
                <w:szCs w:val="21"/>
                <w:highlight w:val="none"/>
              </w:rPr>
            </w:pPr>
          </w:p>
        </w:tc>
        <w:tc>
          <w:tcPr>
            <w:tcW w:w="2260" w:type="dxa"/>
          </w:tcPr>
          <w:p w14:paraId="16C8F065">
            <w:pPr>
              <w:pStyle w:val="59"/>
              <w:spacing w:line="360" w:lineRule="auto"/>
              <w:jc w:val="center"/>
              <w:rPr>
                <w:rFonts w:ascii="宋体" w:hAnsi="宋体" w:cs="宋体"/>
                <w:color w:val="auto"/>
                <w:szCs w:val="21"/>
                <w:highlight w:val="none"/>
              </w:rPr>
            </w:pPr>
          </w:p>
        </w:tc>
        <w:tc>
          <w:tcPr>
            <w:tcW w:w="2047" w:type="dxa"/>
            <w:tcBorders>
              <w:right w:val="single" w:color="auto" w:sz="4" w:space="0"/>
            </w:tcBorders>
          </w:tcPr>
          <w:p w14:paraId="6A9688FC">
            <w:pPr>
              <w:pStyle w:val="59"/>
              <w:spacing w:line="360" w:lineRule="auto"/>
              <w:jc w:val="center"/>
              <w:rPr>
                <w:rFonts w:ascii="宋体" w:hAnsi="宋体" w:cs="宋体"/>
                <w:color w:val="auto"/>
                <w:szCs w:val="21"/>
                <w:highlight w:val="none"/>
              </w:rPr>
            </w:pPr>
          </w:p>
        </w:tc>
      </w:tr>
      <w:tr w14:paraId="02C115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A3B95BD">
            <w:pPr>
              <w:pStyle w:val="59"/>
              <w:spacing w:line="360" w:lineRule="auto"/>
              <w:jc w:val="center"/>
              <w:rPr>
                <w:rFonts w:ascii="宋体" w:hAnsi="宋体" w:cs="宋体"/>
                <w:color w:val="auto"/>
                <w:szCs w:val="21"/>
                <w:highlight w:val="none"/>
              </w:rPr>
            </w:pPr>
          </w:p>
        </w:tc>
        <w:tc>
          <w:tcPr>
            <w:tcW w:w="2258" w:type="dxa"/>
          </w:tcPr>
          <w:p w14:paraId="3164BE88">
            <w:pPr>
              <w:pStyle w:val="59"/>
              <w:spacing w:line="360" w:lineRule="auto"/>
              <w:jc w:val="center"/>
              <w:rPr>
                <w:rFonts w:ascii="宋体" w:hAnsi="宋体" w:cs="宋体"/>
                <w:color w:val="auto"/>
                <w:szCs w:val="21"/>
                <w:highlight w:val="none"/>
              </w:rPr>
            </w:pPr>
          </w:p>
        </w:tc>
        <w:tc>
          <w:tcPr>
            <w:tcW w:w="2260" w:type="dxa"/>
          </w:tcPr>
          <w:p w14:paraId="0FE2AB6D">
            <w:pPr>
              <w:pStyle w:val="59"/>
              <w:spacing w:line="360" w:lineRule="auto"/>
              <w:jc w:val="center"/>
              <w:rPr>
                <w:rFonts w:ascii="宋体" w:hAnsi="宋体" w:cs="宋体"/>
                <w:color w:val="auto"/>
                <w:szCs w:val="21"/>
                <w:highlight w:val="none"/>
              </w:rPr>
            </w:pPr>
          </w:p>
        </w:tc>
        <w:tc>
          <w:tcPr>
            <w:tcW w:w="2047" w:type="dxa"/>
            <w:tcBorders>
              <w:right w:val="single" w:color="auto" w:sz="4" w:space="0"/>
            </w:tcBorders>
          </w:tcPr>
          <w:p w14:paraId="7D31439C">
            <w:pPr>
              <w:pStyle w:val="59"/>
              <w:spacing w:line="360" w:lineRule="auto"/>
              <w:jc w:val="center"/>
              <w:rPr>
                <w:rFonts w:ascii="宋体" w:hAnsi="宋体" w:cs="宋体"/>
                <w:color w:val="auto"/>
                <w:szCs w:val="21"/>
                <w:highlight w:val="none"/>
              </w:rPr>
            </w:pPr>
          </w:p>
        </w:tc>
      </w:tr>
      <w:tr w14:paraId="78178E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EF1295A">
            <w:pPr>
              <w:pStyle w:val="59"/>
              <w:spacing w:line="360" w:lineRule="auto"/>
              <w:jc w:val="center"/>
              <w:rPr>
                <w:rFonts w:ascii="宋体" w:hAnsi="宋体" w:cs="宋体"/>
                <w:color w:val="auto"/>
                <w:szCs w:val="21"/>
                <w:highlight w:val="none"/>
              </w:rPr>
            </w:pPr>
          </w:p>
        </w:tc>
        <w:tc>
          <w:tcPr>
            <w:tcW w:w="2258" w:type="dxa"/>
          </w:tcPr>
          <w:p w14:paraId="271CA2A6">
            <w:pPr>
              <w:pStyle w:val="59"/>
              <w:spacing w:line="360" w:lineRule="auto"/>
              <w:jc w:val="center"/>
              <w:rPr>
                <w:rFonts w:ascii="宋体" w:hAnsi="宋体" w:cs="宋体"/>
                <w:color w:val="auto"/>
                <w:szCs w:val="21"/>
                <w:highlight w:val="none"/>
              </w:rPr>
            </w:pPr>
          </w:p>
        </w:tc>
        <w:tc>
          <w:tcPr>
            <w:tcW w:w="2260" w:type="dxa"/>
          </w:tcPr>
          <w:p w14:paraId="141C5667">
            <w:pPr>
              <w:pStyle w:val="59"/>
              <w:spacing w:line="360" w:lineRule="auto"/>
              <w:jc w:val="center"/>
              <w:rPr>
                <w:rFonts w:ascii="宋体" w:hAnsi="宋体" w:cs="宋体"/>
                <w:color w:val="auto"/>
                <w:szCs w:val="21"/>
                <w:highlight w:val="none"/>
              </w:rPr>
            </w:pPr>
          </w:p>
        </w:tc>
        <w:tc>
          <w:tcPr>
            <w:tcW w:w="2047" w:type="dxa"/>
            <w:tcBorders>
              <w:right w:val="single" w:color="auto" w:sz="4" w:space="0"/>
            </w:tcBorders>
          </w:tcPr>
          <w:p w14:paraId="671D4C36">
            <w:pPr>
              <w:pStyle w:val="59"/>
              <w:spacing w:line="360" w:lineRule="auto"/>
              <w:jc w:val="center"/>
              <w:rPr>
                <w:rFonts w:ascii="宋体" w:hAnsi="宋体" w:cs="宋体"/>
                <w:color w:val="auto"/>
                <w:szCs w:val="21"/>
                <w:highlight w:val="none"/>
              </w:rPr>
            </w:pPr>
          </w:p>
        </w:tc>
      </w:tr>
      <w:tr w14:paraId="4E95F4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D52BBE2">
            <w:pPr>
              <w:pStyle w:val="59"/>
              <w:spacing w:line="360" w:lineRule="auto"/>
              <w:jc w:val="center"/>
              <w:rPr>
                <w:rFonts w:ascii="宋体" w:hAnsi="宋体" w:cs="宋体"/>
                <w:color w:val="auto"/>
                <w:szCs w:val="21"/>
                <w:highlight w:val="none"/>
              </w:rPr>
            </w:pPr>
          </w:p>
        </w:tc>
        <w:tc>
          <w:tcPr>
            <w:tcW w:w="2258" w:type="dxa"/>
          </w:tcPr>
          <w:p w14:paraId="2808C586">
            <w:pPr>
              <w:pStyle w:val="59"/>
              <w:spacing w:line="360" w:lineRule="auto"/>
              <w:jc w:val="center"/>
              <w:rPr>
                <w:rFonts w:ascii="宋体" w:hAnsi="宋体" w:cs="宋体"/>
                <w:color w:val="auto"/>
                <w:szCs w:val="21"/>
                <w:highlight w:val="none"/>
              </w:rPr>
            </w:pPr>
          </w:p>
        </w:tc>
        <w:tc>
          <w:tcPr>
            <w:tcW w:w="2260" w:type="dxa"/>
          </w:tcPr>
          <w:p w14:paraId="643E25D6">
            <w:pPr>
              <w:pStyle w:val="59"/>
              <w:spacing w:line="360" w:lineRule="auto"/>
              <w:jc w:val="center"/>
              <w:rPr>
                <w:rFonts w:ascii="宋体" w:hAnsi="宋体" w:cs="宋体"/>
                <w:color w:val="auto"/>
                <w:szCs w:val="21"/>
                <w:highlight w:val="none"/>
              </w:rPr>
            </w:pPr>
          </w:p>
        </w:tc>
        <w:tc>
          <w:tcPr>
            <w:tcW w:w="2047" w:type="dxa"/>
            <w:tcBorders>
              <w:right w:val="single" w:color="auto" w:sz="4" w:space="0"/>
            </w:tcBorders>
          </w:tcPr>
          <w:p w14:paraId="63049EE6">
            <w:pPr>
              <w:pStyle w:val="59"/>
              <w:spacing w:line="360" w:lineRule="auto"/>
              <w:jc w:val="center"/>
              <w:rPr>
                <w:rFonts w:ascii="宋体" w:hAnsi="宋体" w:cs="宋体"/>
                <w:color w:val="auto"/>
                <w:szCs w:val="21"/>
                <w:highlight w:val="none"/>
              </w:rPr>
            </w:pPr>
          </w:p>
        </w:tc>
      </w:tr>
      <w:tr w14:paraId="28F2CA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32A7C5">
            <w:pPr>
              <w:pStyle w:val="59"/>
              <w:spacing w:line="360" w:lineRule="auto"/>
              <w:jc w:val="center"/>
              <w:rPr>
                <w:rFonts w:ascii="宋体" w:hAnsi="宋体" w:cs="宋体"/>
                <w:color w:val="auto"/>
                <w:szCs w:val="21"/>
                <w:highlight w:val="none"/>
              </w:rPr>
            </w:pPr>
          </w:p>
        </w:tc>
        <w:tc>
          <w:tcPr>
            <w:tcW w:w="2258" w:type="dxa"/>
          </w:tcPr>
          <w:p w14:paraId="5F89E6D0">
            <w:pPr>
              <w:pStyle w:val="59"/>
              <w:spacing w:line="360" w:lineRule="auto"/>
              <w:jc w:val="center"/>
              <w:rPr>
                <w:rFonts w:ascii="宋体" w:hAnsi="宋体" w:cs="宋体"/>
                <w:color w:val="auto"/>
                <w:szCs w:val="21"/>
                <w:highlight w:val="none"/>
              </w:rPr>
            </w:pPr>
          </w:p>
        </w:tc>
        <w:tc>
          <w:tcPr>
            <w:tcW w:w="2260" w:type="dxa"/>
          </w:tcPr>
          <w:p w14:paraId="42BFC8FE">
            <w:pPr>
              <w:pStyle w:val="59"/>
              <w:spacing w:line="360" w:lineRule="auto"/>
              <w:jc w:val="center"/>
              <w:rPr>
                <w:rFonts w:ascii="宋体" w:hAnsi="宋体" w:cs="宋体"/>
                <w:color w:val="auto"/>
                <w:szCs w:val="21"/>
                <w:highlight w:val="none"/>
              </w:rPr>
            </w:pPr>
          </w:p>
        </w:tc>
        <w:tc>
          <w:tcPr>
            <w:tcW w:w="2047" w:type="dxa"/>
            <w:tcBorders>
              <w:right w:val="single" w:color="auto" w:sz="4" w:space="0"/>
            </w:tcBorders>
          </w:tcPr>
          <w:p w14:paraId="13899952">
            <w:pPr>
              <w:pStyle w:val="59"/>
              <w:spacing w:line="360" w:lineRule="auto"/>
              <w:jc w:val="center"/>
              <w:rPr>
                <w:rFonts w:ascii="宋体" w:hAnsi="宋体" w:cs="宋体"/>
                <w:color w:val="auto"/>
                <w:szCs w:val="21"/>
                <w:highlight w:val="none"/>
              </w:rPr>
            </w:pPr>
          </w:p>
        </w:tc>
      </w:tr>
      <w:tr w14:paraId="46CFBD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FDF0D9C">
            <w:pPr>
              <w:pStyle w:val="59"/>
              <w:spacing w:line="360" w:lineRule="auto"/>
              <w:jc w:val="center"/>
              <w:rPr>
                <w:rFonts w:ascii="宋体" w:hAnsi="宋体" w:cs="宋体"/>
                <w:color w:val="auto"/>
                <w:szCs w:val="21"/>
                <w:highlight w:val="none"/>
              </w:rPr>
            </w:pPr>
          </w:p>
        </w:tc>
        <w:tc>
          <w:tcPr>
            <w:tcW w:w="2258" w:type="dxa"/>
          </w:tcPr>
          <w:p w14:paraId="7E08308E">
            <w:pPr>
              <w:pStyle w:val="59"/>
              <w:spacing w:line="360" w:lineRule="auto"/>
              <w:jc w:val="center"/>
              <w:rPr>
                <w:rFonts w:ascii="宋体" w:hAnsi="宋体" w:cs="宋体"/>
                <w:color w:val="auto"/>
                <w:szCs w:val="21"/>
                <w:highlight w:val="none"/>
              </w:rPr>
            </w:pPr>
          </w:p>
        </w:tc>
        <w:tc>
          <w:tcPr>
            <w:tcW w:w="2260" w:type="dxa"/>
          </w:tcPr>
          <w:p w14:paraId="55CA83E3">
            <w:pPr>
              <w:pStyle w:val="59"/>
              <w:spacing w:line="360" w:lineRule="auto"/>
              <w:jc w:val="center"/>
              <w:rPr>
                <w:rFonts w:ascii="宋体" w:hAnsi="宋体" w:cs="宋体"/>
                <w:color w:val="auto"/>
                <w:szCs w:val="21"/>
                <w:highlight w:val="none"/>
              </w:rPr>
            </w:pPr>
          </w:p>
        </w:tc>
        <w:tc>
          <w:tcPr>
            <w:tcW w:w="2047" w:type="dxa"/>
            <w:tcBorders>
              <w:right w:val="single" w:color="auto" w:sz="4" w:space="0"/>
            </w:tcBorders>
          </w:tcPr>
          <w:p w14:paraId="7933121F">
            <w:pPr>
              <w:pStyle w:val="59"/>
              <w:spacing w:line="360" w:lineRule="auto"/>
              <w:jc w:val="center"/>
              <w:rPr>
                <w:rFonts w:ascii="宋体" w:hAnsi="宋体" w:cs="宋体"/>
                <w:color w:val="auto"/>
                <w:szCs w:val="21"/>
                <w:highlight w:val="none"/>
              </w:rPr>
            </w:pPr>
          </w:p>
        </w:tc>
      </w:tr>
      <w:tr w14:paraId="0EB7FF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27663C06">
            <w:pPr>
              <w:pStyle w:val="59"/>
              <w:spacing w:line="360" w:lineRule="auto"/>
              <w:jc w:val="center"/>
              <w:rPr>
                <w:rFonts w:ascii="宋体" w:hAnsi="宋体" w:cs="宋体"/>
                <w:color w:val="auto"/>
                <w:szCs w:val="21"/>
                <w:highlight w:val="none"/>
              </w:rPr>
            </w:pPr>
          </w:p>
        </w:tc>
        <w:tc>
          <w:tcPr>
            <w:tcW w:w="2258" w:type="dxa"/>
            <w:tcBorders>
              <w:bottom w:val="double" w:color="auto" w:sz="4" w:space="0"/>
            </w:tcBorders>
          </w:tcPr>
          <w:p w14:paraId="535335F9">
            <w:pPr>
              <w:pStyle w:val="59"/>
              <w:spacing w:line="360" w:lineRule="auto"/>
              <w:jc w:val="center"/>
              <w:rPr>
                <w:rFonts w:ascii="宋体" w:hAnsi="宋体" w:cs="宋体"/>
                <w:color w:val="auto"/>
                <w:szCs w:val="21"/>
                <w:highlight w:val="none"/>
              </w:rPr>
            </w:pPr>
          </w:p>
        </w:tc>
        <w:tc>
          <w:tcPr>
            <w:tcW w:w="2260" w:type="dxa"/>
            <w:tcBorders>
              <w:bottom w:val="double" w:color="auto" w:sz="4" w:space="0"/>
            </w:tcBorders>
          </w:tcPr>
          <w:p w14:paraId="5B82C858">
            <w:pPr>
              <w:pStyle w:val="59"/>
              <w:spacing w:line="360" w:lineRule="auto"/>
              <w:jc w:val="center"/>
              <w:rPr>
                <w:rFonts w:ascii="宋体" w:hAnsi="宋体" w:cs="宋体"/>
                <w:color w:val="auto"/>
                <w:szCs w:val="21"/>
                <w:highlight w:val="none"/>
              </w:rPr>
            </w:pPr>
          </w:p>
        </w:tc>
        <w:tc>
          <w:tcPr>
            <w:tcW w:w="2047" w:type="dxa"/>
            <w:tcBorders>
              <w:bottom w:val="double" w:color="auto" w:sz="4" w:space="0"/>
              <w:right w:val="single" w:color="auto" w:sz="4" w:space="0"/>
            </w:tcBorders>
          </w:tcPr>
          <w:p w14:paraId="75A6FBE6">
            <w:pPr>
              <w:pStyle w:val="59"/>
              <w:spacing w:line="360" w:lineRule="auto"/>
              <w:jc w:val="center"/>
              <w:rPr>
                <w:rFonts w:ascii="宋体" w:hAnsi="宋体" w:cs="宋体"/>
                <w:color w:val="auto"/>
                <w:szCs w:val="21"/>
                <w:highlight w:val="none"/>
              </w:rPr>
            </w:pPr>
          </w:p>
        </w:tc>
      </w:tr>
    </w:tbl>
    <w:p w14:paraId="0A11ED14">
      <w:pPr>
        <w:spacing w:line="360" w:lineRule="auto"/>
        <w:jc w:val="left"/>
        <w:rPr>
          <w:rFonts w:ascii="宋体" w:hAnsi="宋体" w:cs="宋体"/>
          <w:b/>
          <w:bCs/>
          <w:color w:val="auto"/>
          <w:sz w:val="24"/>
          <w:szCs w:val="32"/>
          <w:highlight w:val="none"/>
          <w:lang w:val="zh-CN"/>
        </w:rPr>
      </w:pPr>
    </w:p>
    <w:p w14:paraId="06A47F5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05C28C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1.填写供应商获得资质、认证或企业信誉证书；</w:t>
      </w:r>
    </w:p>
    <w:p w14:paraId="64A3A5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4B30CD05">
      <w:pPr>
        <w:spacing w:line="360" w:lineRule="auto"/>
        <w:jc w:val="left"/>
        <w:rPr>
          <w:rFonts w:ascii="宋体" w:hAnsi="宋体" w:cs="宋体"/>
          <w:b/>
          <w:bCs/>
          <w:color w:val="auto"/>
          <w:sz w:val="24"/>
          <w:szCs w:val="32"/>
          <w:highlight w:val="none"/>
          <w:lang w:val="zh-CN"/>
        </w:rPr>
      </w:pPr>
    </w:p>
    <w:p w14:paraId="2AF5E0D8">
      <w:pPr>
        <w:spacing w:line="360" w:lineRule="auto"/>
        <w:jc w:val="left"/>
        <w:rPr>
          <w:rFonts w:ascii="宋体" w:hAnsi="宋体" w:cs="宋体"/>
          <w:b/>
          <w:bCs/>
          <w:color w:val="auto"/>
          <w:sz w:val="24"/>
          <w:szCs w:val="32"/>
          <w:highlight w:val="none"/>
          <w:lang w:val="zh-CN"/>
        </w:rPr>
      </w:pPr>
    </w:p>
    <w:p w14:paraId="30B8B88D">
      <w:pPr>
        <w:spacing w:line="360" w:lineRule="auto"/>
        <w:jc w:val="left"/>
        <w:rPr>
          <w:rFonts w:ascii="宋体" w:hAnsi="宋体" w:cs="宋体"/>
          <w:b/>
          <w:bCs/>
          <w:color w:val="auto"/>
          <w:sz w:val="24"/>
          <w:szCs w:val="32"/>
          <w:highlight w:val="none"/>
          <w:lang w:val="zh-CN"/>
        </w:rPr>
      </w:pPr>
    </w:p>
    <w:p w14:paraId="1EF68F83">
      <w:pP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41F3F9DA">
      <w:pPr>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01D4B12">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0654980">
      <w:pPr>
        <w:spacing w:line="360" w:lineRule="auto"/>
        <w:rPr>
          <w:rFonts w:ascii="宋体" w:hAnsi="宋体" w:cs="宋体"/>
          <w:b/>
          <w:bCs/>
          <w:color w:val="auto"/>
          <w:sz w:val="24"/>
          <w:highlight w:val="none"/>
        </w:rPr>
      </w:pPr>
    </w:p>
    <w:p w14:paraId="39042122">
      <w:pPr>
        <w:spacing w:line="360" w:lineRule="auto"/>
        <w:rPr>
          <w:rFonts w:ascii="宋体" w:hAnsi="宋体" w:cs="宋体"/>
          <w:b/>
          <w:bCs/>
          <w:color w:val="auto"/>
          <w:sz w:val="24"/>
          <w:highlight w:val="none"/>
        </w:rPr>
      </w:pPr>
    </w:p>
    <w:p w14:paraId="23276E53">
      <w:pPr>
        <w:spacing w:line="360" w:lineRule="auto"/>
        <w:rPr>
          <w:rFonts w:hint="eastAsia" w:ascii="宋体" w:hAnsi="宋体" w:cs="宋体"/>
          <w:b/>
          <w:color w:val="auto"/>
          <w:sz w:val="28"/>
          <w:highlight w:val="none"/>
        </w:rPr>
      </w:pPr>
    </w:p>
    <w:p w14:paraId="0AAE80C5">
      <w:pPr>
        <w:spacing w:line="360" w:lineRule="auto"/>
        <w:rPr>
          <w:rFonts w:hint="eastAsia" w:ascii="宋体" w:hAnsi="宋体" w:cs="宋体"/>
          <w:b/>
          <w:color w:val="auto"/>
          <w:sz w:val="28"/>
          <w:highlight w:val="none"/>
        </w:rPr>
      </w:pPr>
    </w:p>
    <w:p w14:paraId="51C0CE89">
      <w:pPr>
        <w:spacing w:line="360" w:lineRule="auto"/>
        <w:rPr>
          <w:rFonts w:hint="eastAsia" w:ascii="宋体" w:hAnsi="宋体" w:cs="宋体"/>
          <w:b/>
          <w:color w:val="auto"/>
          <w:sz w:val="28"/>
          <w:highlight w:val="none"/>
        </w:rPr>
      </w:pPr>
    </w:p>
    <w:p w14:paraId="3ED88187">
      <w:pPr>
        <w:spacing w:line="360" w:lineRule="auto"/>
        <w:rPr>
          <w:rFonts w:ascii="宋体" w:hAnsi="宋体" w:cs="宋体"/>
          <w:b/>
          <w:color w:val="auto"/>
          <w:sz w:val="28"/>
          <w:highlight w:val="none"/>
        </w:rPr>
      </w:pPr>
      <w:r>
        <w:rPr>
          <w:rFonts w:hint="eastAsia" w:ascii="宋体" w:hAnsi="宋体" w:cs="宋体"/>
          <w:b/>
          <w:color w:val="auto"/>
          <w:sz w:val="28"/>
          <w:highlight w:val="none"/>
        </w:rPr>
        <w:t>附件13</w:t>
      </w:r>
    </w:p>
    <w:p w14:paraId="06DC03D5">
      <w:pPr>
        <w:spacing w:before="158" w:beforeLines="50" w:after="158"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kern w:val="0"/>
          <w:sz w:val="32"/>
          <w:szCs w:val="32"/>
          <w:highlight w:val="none"/>
          <w:lang w:val="en-US" w:eastAsia="zh-CN"/>
        </w:rPr>
        <w:t>标项：</w:t>
      </w:r>
    </w:p>
    <w:p w14:paraId="654F8EA9">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采购项目：                                       </w:t>
      </w:r>
      <w:r>
        <w:rPr>
          <w:rFonts w:hint="eastAsia" w:ascii="宋体" w:hAnsi="宋体" w:cs="宋体"/>
          <w:color w:val="auto"/>
          <w:sz w:val="24"/>
          <w:szCs w:val="32"/>
          <w:highlight w:val="none"/>
          <w:lang w:val="en-US" w:eastAsia="zh-CN"/>
        </w:rPr>
        <w:t>项目</w:t>
      </w:r>
      <w:r>
        <w:rPr>
          <w:rFonts w:hint="eastAsia" w:ascii="宋体" w:hAnsi="宋体" w:cs="宋体"/>
          <w:color w:val="auto"/>
          <w:sz w:val="24"/>
          <w:szCs w:val="32"/>
          <w:highlight w:val="none"/>
        </w:rPr>
        <w:t>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537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3C99055A">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4F812B8B">
            <w:pPr>
              <w:jc w:val="center"/>
              <w:rPr>
                <w:rFonts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5EFAA836">
            <w:pPr>
              <w:jc w:val="center"/>
              <w:rPr>
                <w:rFonts w:ascii="宋体" w:hAnsi="宋体" w:cs="宋体"/>
                <w:b/>
                <w:bCs/>
                <w:color w:val="auto"/>
                <w:sz w:val="24"/>
                <w:highlight w:val="none"/>
              </w:rPr>
            </w:pPr>
            <w:r>
              <w:rPr>
                <w:rFonts w:hint="eastAsia" w:ascii="宋体" w:hAnsi="宋体" w:cs="宋体"/>
                <w:b/>
                <w:bCs/>
                <w:color w:val="auto"/>
                <w:sz w:val="24"/>
                <w:highlight w:val="none"/>
                <w:lang w:val="zh-CN"/>
              </w:rPr>
              <w:t>近年来主要工作</w:t>
            </w:r>
            <w:r>
              <w:rPr>
                <w:rFonts w:hint="eastAsia" w:ascii="宋体" w:hAnsi="宋体" w:cs="宋体"/>
                <w:b/>
                <w:bCs/>
                <w:color w:val="auto"/>
                <w:sz w:val="24"/>
                <w:highlight w:val="none"/>
              </w:rPr>
              <w:t>经验</w:t>
            </w:r>
          </w:p>
        </w:tc>
      </w:tr>
      <w:tr w14:paraId="4638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FD6D2DE">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7C78356C">
            <w:pPr>
              <w:jc w:val="center"/>
              <w:rPr>
                <w:rFonts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16CA93C3">
            <w:pPr>
              <w:jc w:val="center"/>
              <w:rPr>
                <w:rFonts w:ascii="宋体" w:hAnsi="宋体" w:cs="宋体"/>
                <w:b/>
                <w:bCs/>
                <w:color w:val="auto"/>
                <w:sz w:val="24"/>
                <w:highlight w:val="none"/>
                <w:lang w:val="zh-CN"/>
              </w:rPr>
            </w:pPr>
          </w:p>
        </w:tc>
      </w:tr>
      <w:tr w14:paraId="4594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3BF9BA0">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0A684035">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D041773">
            <w:pPr>
              <w:jc w:val="center"/>
              <w:rPr>
                <w:rFonts w:ascii="宋体" w:hAnsi="宋体" w:cs="宋体"/>
                <w:b/>
                <w:bCs/>
                <w:color w:val="auto"/>
                <w:sz w:val="24"/>
                <w:highlight w:val="none"/>
                <w:lang w:val="zh-CN"/>
              </w:rPr>
            </w:pPr>
          </w:p>
        </w:tc>
      </w:tr>
      <w:tr w14:paraId="505A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5F9E077">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1E59C244">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A7F517B">
            <w:pPr>
              <w:jc w:val="center"/>
              <w:rPr>
                <w:rFonts w:ascii="宋体" w:hAnsi="宋体" w:cs="宋体"/>
                <w:b/>
                <w:bCs/>
                <w:color w:val="auto"/>
                <w:sz w:val="24"/>
                <w:highlight w:val="none"/>
                <w:lang w:val="zh-CN"/>
              </w:rPr>
            </w:pPr>
          </w:p>
        </w:tc>
      </w:tr>
      <w:tr w14:paraId="3E69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F4EBA6D">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76C4A065">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FECE374">
            <w:pPr>
              <w:jc w:val="center"/>
              <w:rPr>
                <w:rFonts w:ascii="宋体" w:hAnsi="宋体" w:cs="宋体"/>
                <w:b/>
                <w:bCs/>
                <w:color w:val="auto"/>
                <w:sz w:val="24"/>
                <w:highlight w:val="none"/>
                <w:lang w:val="zh-CN"/>
              </w:rPr>
            </w:pPr>
          </w:p>
        </w:tc>
      </w:tr>
      <w:tr w14:paraId="1C47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BD8DCBC">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2CC24FBB">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A4AA964">
            <w:pPr>
              <w:jc w:val="center"/>
              <w:rPr>
                <w:rFonts w:ascii="宋体" w:hAnsi="宋体" w:cs="宋体"/>
                <w:b/>
                <w:bCs/>
                <w:color w:val="auto"/>
                <w:sz w:val="24"/>
                <w:highlight w:val="none"/>
                <w:lang w:val="zh-CN"/>
              </w:rPr>
            </w:pPr>
          </w:p>
        </w:tc>
      </w:tr>
      <w:tr w14:paraId="717B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FCAA0E9">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2C32777D">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93310ED">
            <w:pPr>
              <w:jc w:val="center"/>
              <w:rPr>
                <w:rFonts w:ascii="宋体" w:hAnsi="宋体" w:cs="宋体"/>
                <w:b/>
                <w:bCs/>
                <w:color w:val="auto"/>
                <w:sz w:val="24"/>
                <w:highlight w:val="none"/>
                <w:lang w:val="zh-CN"/>
              </w:rPr>
            </w:pPr>
          </w:p>
        </w:tc>
      </w:tr>
      <w:tr w14:paraId="0A03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7D22272">
            <w:pP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59843382">
            <w:pPr>
              <w:jc w:val="center"/>
              <w:rPr>
                <w:rFonts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7D7B6CB">
            <w:pPr>
              <w:jc w:val="center"/>
              <w:rPr>
                <w:rFonts w:ascii="宋体" w:hAnsi="宋体" w:cs="宋体"/>
                <w:b/>
                <w:bCs/>
                <w:color w:val="auto"/>
                <w:sz w:val="24"/>
                <w:highlight w:val="none"/>
                <w:lang w:val="zh-CN"/>
              </w:rPr>
            </w:pPr>
          </w:p>
        </w:tc>
      </w:tr>
      <w:tr w14:paraId="3591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095F3F02">
            <w:pP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0FBC1024">
            <w:pPr>
              <w:jc w:val="center"/>
              <w:rPr>
                <w:rFonts w:ascii="宋体" w:hAnsi="宋体" w:cs="宋体"/>
                <w:b/>
                <w:bCs/>
                <w:color w:val="auto"/>
                <w:sz w:val="24"/>
                <w:highlight w:val="none"/>
                <w:lang w:val="zh-CN"/>
              </w:rPr>
            </w:pPr>
          </w:p>
        </w:tc>
      </w:tr>
    </w:tbl>
    <w:p w14:paraId="50572743">
      <w:pPr>
        <w:spacing w:line="360" w:lineRule="auto"/>
        <w:rPr>
          <w:rFonts w:ascii="宋体" w:hAnsi="宋体" w:cs="宋体"/>
          <w:color w:val="auto"/>
          <w:sz w:val="24"/>
          <w:highlight w:val="none"/>
        </w:rPr>
      </w:pPr>
    </w:p>
    <w:p w14:paraId="1F326185">
      <w:pP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18517FCF">
      <w:pPr>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5B44C00">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0AFF93A">
      <w:pPr>
        <w:spacing w:line="360" w:lineRule="auto"/>
        <w:jc w:val="left"/>
        <w:rPr>
          <w:rFonts w:hint="eastAsia" w:ascii="宋体" w:hAnsi="宋体" w:cs="宋体"/>
          <w:b/>
          <w:bCs/>
          <w:color w:val="auto"/>
          <w:sz w:val="28"/>
          <w:szCs w:val="36"/>
          <w:highlight w:val="none"/>
          <w:lang w:val="zh-CN"/>
        </w:rPr>
      </w:pPr>
    </w:p>
    <w:p w14:paraId="676D59F7">
      <w:pPr>
        <w:spacing w:line="360" w:lineRule="auto"/>
        <w:jc w:val="left"/>
        <w:rPr>
          <w:rFonts w:hint="eastAsia" w:ascii="宋体" w:hAnsi="宋体" w:cs="宋体"/>
          <w:b/>
          <w:bCs/>
          <w:color w:val="auto"/>
          <w:sz w:val="28"/>
          <w:szCs w:val="36"/>
          <w:highlight w:val="none"/>
          <w:lang w:val="zh-CN"/>
        </w:rPr>
      </w:pPr>
    </w:p>
    <w:p w14:paraId="70195527">
      <w:pPr>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14</w:t>
      </w:r>
      <w:r>
        <w:rPr>
          <w:rFonts w:hint="eastAsia" w:ascii="宋体" w:hAnsi="宋体" w:cs="宋体"/>
          <w:b/>
          <w:bCs/>
          <w:color w:val="auto"/>
          <w:sz w:val="28"/>
          <w:szCs w:val="36"/>
          <w:highlight w:val="none"/>
          <w:lang w:val="en-US" w:eastAsia="zh-CN"/>
        </w:rPr>
        <w:t>-1</w:t>
      </w:r>
    </w:p>
    <w:p w14:paraId="608D097C">
      <w:pPr>
        <w:spacing w:line="360" w:lineRule="auto"/>
        <w:jc w:val="center"/>
        <w:rPr>
          <w:rFonts w:hint="default" w:ascii="宋体" w:hAnsi="宋体" w:eastAsia="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rPr>
        <w:t>商务及技术响应表</w:t>
      </w:r>
      <w:r>
        <w:rPr>
          <w:rFonts w:hint="eastAsia" w:ascii="宋体" w:hAnsi="宋体" w:cs="宋体"/>
          <w:b/>
          <w:bCs/>
          <w:color w:val="auto"/>
          <w:kern w:val="0"/>
          <w:sz w:val="32"/>
          <w:szCs w:val="32"/>
          <w:highlight w:val="none"/>
          <w:lang w:val="en-US" w:eastAsia="zh-CN"/>
        </w:rPr>
        <w:t xml:space="preserve">   标项：</w:t>
      </w:r>
    </w:p>
    <w:p w14:paraId="7C9D2A7C">
      <w:pPr>
        <w:spacing w:line="360" w:lineRule="auto"/>
        <w:rPr>
          <w:rFonts w:ascii="宋体" w:hAnsi="宋体" w:cs="宋体"/>
          <w:color w:val="auto"/>
          <w:sz w:val="24"/>
          <w:highlight w:val="none"/>
        </w:rPr>
      </w:pPr>
    </w:p>
    <w:tbl>
      <w:tblPr>
        <w:tblStyle w:val="29"/>
        <w:tblW w:w="0" w:type="auto"/>
        <w:jc w:val="center"/>
        <w:tblLayout w:type="fixed"/>
        <w:tblCellMar>
          <w:top w:w="0" w:type="dxa"/>
          <w:left w:w="108" w:type="dxa"/>
          <w:bottom w:w="0" w:type="dxa"/>
          <w:right w:w="108" w:type="dxa"/>
        </w:tblCellMar>
      </w:tblPr>
      <w:tblGrid>
        <w:gridCol w:w="1202"/>
        <w:gridCol w:w="1831"/>
        <w:gridCol w:w="2160"/>
        <w:gridCol w:w="2127"/>
        <w:gridCol w:w="1472"/>
      </w:tblGrid>
      <w:tr w14:paraId="76413914">
        <w:tblPrEx>
          <w:tblCellMar>
            <w:top w:w="0" w:type="dxa"/>
            <w:left w:w="108" w:type="dxa"/>
            <w:bottom w:w="0" w:type="dxa"/>
            <w:right w:w="108" w:type="dxa"/>
          </w:tblCellMar>
        </w:tblPrEx>
        <w:trPr>
          <w:jc w:val="center"/>
        </w:trPr>
        <w:tc>
          <w:tcPr>
            <w:tcW w:w="1202" w:type="dxa"/>
            <w:tcBorders>
              <w:top w:val="single" w:color="auto" w:sz="4" w:space="0"/>
              <w:left w:val="single" w:color="auto" w:sz="4" w:space="0"/>
              <w:bottom w:val="single" w:color="auto" w:sz="4" w:space="0"/>
              <w:right w:val="single" w:color="auto" w:sz="4" w:space="0"/>
            </w:tcBorders>
            <w:vAlign w:val="center"/>
          </w:tcPr>
          <w:p w14:paraId="64CF13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50E862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0D66C6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14:paraId="560BC26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磋商响应文件响应</w:t>
            </w:r>
          </w:p>
        </w:tc>
        <w:tc>
          <w:tcPr>
            <w:tcW w:w="1472" w:type="dxa"/>
            <w:tcBorders>
              <w:top w:val="single" w:color="auto" w:sz="4" w:space="0"/>
              <w:left w:val="single" w:color="auto" w:sz="4" w:space="0"/>
              <w:bottom w:val="single" w:color="auto" w:sz="4" w:space="0"/>
              <w:right w:val="single" w:color="auto" w:sz="4" w:space="0"/>
            </w:tcBorders>
            <w:vAlign w:val="center"/>
          </w:tcPr>
          <w:p w14:paraId="4B6A62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偏离情况</w:t>
            </w:r>
          </w:p>
        </w:tc>
      </w:tr>
      <w:tr w14:paraId="561DF7C0">
        <w:tblPrEx>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right w:val="single" w:color="auto" w:sz="4" w:space="0"/>
            </w:tcBorders>
            <w:vAlign w:val="center"/>
          </w:tcPr>
          <w:p w14:paraId="14A42A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1CEEE5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项目工期</w:t>
            </w:r>
          </w:p>
        </w:tc>
        <w:tc>
          <w:tcPr>
            <w:tcW w:w="2160" w:type="dxa"/>
            <w:tcBorders>
              <w:top w:val="single" w:color="auto" w:sz="4" w:space="0"/>
              <w:left w:val="single" w:color="auto" w:sz="4" w:space="0"/>
              <w:bottom w:val="single" w:color="auto" w:sz="4" w:space="0"/>
              <w:right w:val="single" w:color="auto" w:sz="4" w:space="0"/>
            </w:tcBorders>
            <w:vAlign w:val="center"/>
          </w:tcPr>
          <w:p w14:paraId="567FC890">
            <w:pP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DE18E1F">
            <w:pP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41C7C88">
            <w:pPr>
              <w:spacing w:line="360" w:lineRule="auto"/>
              <w:jc w:val="center"/>
              <w:rPr>
                <w:rFonts w:ascii="宋体" w:hAnsi="宋体" w:cs="宋体"/>
                <w:color w:val="auto"/>
                <w:sz w:val="24"/>
                <w:highlight w:val="none"/>
              </w:rPr>
            </w:pPr>
          </w:p>
        </w:tc>
      </w:tr>
      <w:tr w14:paraId="2DBB0064">
        <w:tblPrEx>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07D49524">
            <w:pP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8723F0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2160" w:type="dxa"/>
            <w:tcBorders>
              <w:top w:val="single" w:color="auto" w:sz="4" w:space="0"/>
              <w:left w:val="single" w:color="auto" w:sz="4" w:space="0"/>
              <w:bottom w:val="single" w:color="auto" w:sz="4" w:space="0"/>
              <w:right w:val="single" w:color="auto" w:sz="4" w:space="0"/>
            </w:tcBorders>
            <w:vAlign w:val="center"/>
          </w:tcPr>
          <w:p w14:paraId="0A68DB19">
            <w:pP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D93D303">
            <w:pP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5CFD256">
            <w:pPr>
              <w:spacing w:line="360" w:lineRule="auto"/>
              <w:jc w:val="center"/>
              <w:rPr>
                <w:rFonts w:ascii="宋体" w:hAnsi="宋体" w:cs="宋体"/>
                <w:color w:val="auto"/>
                <w:sz w:val="24"/>
                <w:highlight w:val="none"/>
              </w:rPr>
            </w:pPr>
          </w:p>
        </w:tc>
      </w:tr>
      <w:tr w14:paraId="42535B3A">
        <w:tblPrEx>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4D8F7C45">
            <w:pP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7BD92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14:paraId="389B55F0">
            <w:pP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10BCA5D">
            <w:pP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95D8E66">
            <w:pPr>
              <w:spacing w:line="360" w:lineRule="auto"/>
              <w:jc w:val="center"/>
              <w:rPr>
                <w:rFonts w:ascii="宋体" w:hAnsi="宋体" w:cs="宋体"/>
                <w:color w:val="auto"/>
                <w:sz w:val="24"/>
                <w:highlight w:val="none"/>
              </w:rPr>
            </w:pPr>
          </w:p>
        </w:tc>
      </w:tr>
      <w:tr w14:paraId="5BCF3603">
        <w:tblPrEx>
          <w:tblCellMar>
            <w:top w:w="0" w:type="dxa"/>
            <w:left w:w="108" w:type="dxa"/>
            <w:bottom w:w="0" w:type="dxa"/>
            <w:right w:w="108" w:type="dxa"/>
          </w:tblCellMar>
        </w:tblPrEx>
        <w:trPr>
          <w:jc w:val="center"/>
        </w:trPr>
        <w:tc>
          <w:tcPr>
            <w:tcW w:w="1202" w:type="dxa"/>
            <w:vMerge w:val="continue"/>
            <w:tcBorders>
              <w:left w:val="single" w:color="auto" w:sz="4" w:space="0"/>
              <w:bottom w:val="single" w:color="auto" w:sz="4" w:space="0"/>
              <w:right w:val="single" w:color="auto" w:sz="4" w:space="0"/>
            </w:tcBorders>
            <w:vAlign w:val="center"/>
          </w:tcPr>
          <w:p w14:paraId="3FE3B8E4">
            <w:pP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A192C5B">
            <w:pP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34E7C53">
            <w:pP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1B67C86">
            <w:pP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B994A71">
            <w:pPr>
              <w:spacing w:line="360" w:lineRule="auto"/>
              <w:jc w:val="center"/>
              <w:rPr>
                <w:rFonts w:ascii="宋体" w:hAnsi="宋体" w:cs="宋体"/>
                <w:color w:val="auto"/>
                <w:sz w:val="24"/>
                <w:highlight w:val="none"/>
              </w:rPr>
            </w:pPr>
          </w:p>
        </w:tc>
      </w:tr>
      <w:tr w14:paraId="3343A976">
        <w:tblPrEx>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749F28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7D5CA1F8">
            <w:pP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DA31C9F">
            <w:pP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A4CFDB4">
            <w:pP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09C5036">
            <w:pPr>
              <w:spacing w:line="360" w:lineRule="auto"/>
              <w:jc w:val="center"/>
              <w:rPr>
                <w:rFonts w:ascii="宋体" w:hAnsi="宋体" w:cs="宋体"/>
                <w:color w:val="auto"/>
                <w:sz w:val="24"/>
                <w:highlight w:val="none"/>
              </w:rPr>
            </w:pPr>
          </w:p>
        </w:tc>
      </w:tr>
      <w:tr w14:paraId="75FC83CE">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3BD8DD4">
            <w:pP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1A57574">
            <w:pP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7E336A4">
            <w:pP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436F91D">
            <w:pP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53C3DF60">
            <w:pPr>
              <w:spacing w:line="360" w:lineRule="auto"/>
              <w:jc w:val="center"/>
              <w:rPr>
                <w:rFonts w:ascii="宋体" w:hAnsi="宋体" w:cs="宋体"/>
                <w:color w:val="auto"/>
                <w:sz w:val="24"/>
                <w:highlight w:val="none"/>
              </w:rPr>
            </w:pPr>
          </w:p>
        </w:tc>
      </w:tr>
      <w:tr w14:paraId="7601894A">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C095168">
            <w:pP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756AFE45">
            <w:pP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5BD8E8B7">
            <w:pP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553CF26">
            <w:pP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49F7EF04">
            <w:pPr>
              <w:spacing w:line="360" w:lineRule="auto"/>
              <w:jc w:val="center"/>
              <w:rPr>
                <w:rFonts w:ascii="宋体" w:hAnsi="宋体" w:cs="宋体"/>
                <w:color w:val="auto"/>
                <w:sz w:val="24"/>
                <w:highlight w:val="none"/>
              </w:rPr>
            </w:pPr>
          </w:p>
        </w:tc>
      </w:tr>
      <w:tr w14:paraId="24771127">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3C05CA8F">
            <w:pP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138F0AB">
            <w:pP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94FD6A8">
            <w:pP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8BC8179">
            <w:pP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A986627">
            <w:pPr>
              <w:spacing w:line="360" w:lineRule="auto"/>
              <w:jc w:val="center"/>
              <w:rPr>
                <w:rFonts w:ascii="宋体" w:hAnsi="宋体" w:cs="宋体"/>
                <w:color w:val="auto"/>
                <w:sz w:val="24"/>
                <w:highlight w:val="none"/>
              </w:rPr>
            </w:pPr>
          </w:p>
        </w:tc>
      </w:tr>
      <w:tr w14:paraId="323EB8E3">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339018CC">
            <w:pP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3A1CB9F">
            <w:pP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B69B63A">
            <w:pP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8930AD1">
            <w:pP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39F45488">
            <w:pPr>
              <w:spacing w:line="360" w:lineRule="auto"/>
              <w:jc w:val="center"/>
              <w:rPr>
                <w:rFonts w:ascii="宋体" w:hAnsi="宋体" w:cs="宋体"/>
                <w:color w:val="auto"/>
                <w:sz w:val="24"/>
                <w:highlight w:val="none"/>
              </w:rPr>
            </w:pPr>
          </w:p>
        </w:tc>
      </w:tr>
      <w:tr w14:paraId="08A24544">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48B6B84">
            <w:pP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76412DE">
            <w:pP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C92166E">
            <w:pP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F160615">
            <w:pP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20E9FC38">
            <w:pPr>
              <w:spacing w:line="360" w:lineRule="auto"/>
              <w:jc w:val="center"/>
              <w:rPr>
                <w:rFonts w:ascii="宋体" w:hAnsi="宋体" w:cs="宋体"/>
                <w:color w:val="auto"/>
                <w:sz w:val="24"/>
                <w:highlight w:val="none"/>
              </w:rPr>
            </w:pPr>
          </w:p>
        </w:tc>
      </w:tr>
      <w:tr w14:paraId="53B9C41A">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39F3F30">
            <w:pPr>
              <w:spacing w:line="360" w:lineRule="auto"/>
              <w:jc w:val="center"/>
              <w:rPr>
                <w:rFonts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1BFD8034">
            <w:pPr>
              <w:spacing w:line="360" w:lineRule="auto"/>
              <w:jc w:val="center"/>
              <w:rPr>
                <w:rFonts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A62AD6A">
            <w:pPr>
              <w:spacing w:line="360" w:lineRule="auto"/>
              <w:jc w:val="center"/>
              <w:rPr>
                <w:rFonts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046BB69">
            <w:pPr>
              <w:spacing w:line="360" w:lineRule="auto"/>
              <w:jc w:val="center"/>
              <w:rPr>
                <w:rFonts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224B1AE">
            <w:pPr>
              <w:spacing w:line="360" w:lineRule="auto"/>
              <w:jc w:val="center"/>
              <w:rPr>
                <w:rFonts w:ascii="宋体" w:hAnsi="宋体" w:cs="宋体"/>
                <w:color w:val="auto"/>
                <w:sz w:val="24"/>
                <w:highlight w:val="none"/>
              </w:rPr>
            </w:pPr>
          </w:p>
        </w:tc>
      </w:tr>
    </w:tbl>
    <w:p w14:paraId="084EC6B0">
      <w:pPr>
        <w:spacing w:line="360" w:lineRule="auto"/>
        <w:rPr>
          <w:rFonts w:ascii="宋体" w:hAnsi="宋体" w:cs="宋体"/>
          <w:color w:val="auto"/>
          <w:sz w:val="24"/>
          <w:highlight w:val="none"/>
        </w:rPr>
      </w:pPr>
    </w:p>
    <w:p w14:paraId="13EB4FA8">
      <w:pPr>
        <w:spacing w:line="360" w:lineRule="auto"/>
        <w:rPr>
          <w:rFonts w:ascii="宋体" w:hAnsi="宋体" w:cs="宋体"/>
          <w:color w:val="auto"/>
          <w:sz w:val="24"/>
          <w:highlight w:val="none"/>
        </w:rPr>
      </w:pPr>
    </w:p>
    <w:p w14:paraId="699FD29F">
      <w:pP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08A1F7B0">
      <w:pPr>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4875321">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0B64DA4">
      <w:pPr>
        <w:spacing w:line="360" w:lineRule="auto"/>
        <w:rPr>
          <w:rFonts w:ascii="宋体" w:hAnsi="宋体" w:cs="宋体"/>
          <w:color w:val="auto"/>
          <w:sz w:val="24"/>
          <w:highlight w:val="none"/>
        </w:rPr>
      </w:pPr>
    </w:p>
    <w:p w14:paraId="79E36D2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cs="宋体"/>
          <w:b/>
          <w:bCs/>
          <w:color w:val="auto"/>
          <w:sz w:val="28"/>
          <w:szCs w:val="36"/>
          <w:highlight w:val="none"/>
          <w:lang w:val="zh-CN"/>
        </w:rPr>
      </w:pPr>
    </w:p>
    <w:p w14:paraId="394D6FD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cs="宋体"/>
          <w:b/>
          <w:bCs/>
          <w:color w:val="auto"/>
          <w:sz w:val="28"/>
          <w:szCs w:val="36"/>
          <w:highlight w:val="none"/>
          <w:lang w:val="zh-CN"/>
        </w:rPr>
      </w:pPr>
    </w:p>
    <w:p w14:paraId="57453E1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cs="宋体"/>
          <w:b/>
          <w:bCs/>
          <w:color w:val="auto"/>
          <w:sz w:val="28"/>
          <w:szCs w:val="36"/>
          <w:highlight w:val="none"/>
          <w:lang w:val="zh-CN"/>
        </w:rPr>
      </w:pPr>
    </w:p>
    <w:p w14:paraId="46AEC6E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cs="宋体"/>
          <w:b/>
          <w:bCs/>
          <w:color w:val="auto"/>
          <w:sz w:val="28"/>
          <w:szCs w:val="36"/>
          <w:highlight w:val="none"/>
          <w:lang w:val="zh-CN"/>
        </w:rPr>
      </w:pPr>
    </w:p>
    <w:p w14:paraId="3FDE055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14</w:t>
      </w:r>
      <w:r>
        <w:rPr>
          <w:rFonts w:hint="eastAsia" w:ascii="宋体" w:hAnsi="宋体" w:cs="宋体"/>
          <w:b/>
          <w:bCs/>
          <w:color w:val="auto"/>
          <w:sz w:val="28"/>
          <w:szCs w:val="36"/>
          <w:highlight w:val="none"/>
          <w:lang w:val="en-US" w:eastAsia="zh-CN"/>
        </w:rPr>
        <w:t>-2</w:t>
      </w:r>
    </w:p>
    <w:p w14:paraId="1F9B095B">
      <w:pPr>
        <w:spacing w:line="360" w:lineRule="auto"/>
        <w:ind w:firstLine="642"/>
        <w:jc w:val="center"/>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承诺函           标项：</w:t>
      </w:r>
    </w:p>
    <w:p w14:paraId="6452E215">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color w:val="auto"/>
          <w:sz w:val="24"/>
          <w:szCs w:val="24"/>
          <w:highlight w:val="none"/>
          <w:lang w:val="en-US" w:eastAsia="zh-CN"/>
        </w:rPr>
      </w:pPr>
    </w:p>
    <w:p w14:paraId="4378C388">
      <w:pPr>
        <w:spacing w:line="360" w:lineRule="auto"/>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u w:val="single"/>
        </w:rPr>
        <w:t>中共台州市委政法委员会</w:t>
      </w:r>
      <w:r>
        <w:rPr>
          <w:rFonts w:hint="eastAsia" w:ascii="宋体" w:hAnsi="宋体" w:cs="宋体"/>
          <w:color w:val="auto"/>
          <w:sz w:val="24"/>
          <w:szCs w:val="32"/>
          <w:highlight w:val="none"/>
          <w:u w:val="single"/>
          <w:lang w:eastAsia="zh-CN"/>
        </w:rPr>
        <w:t>：</w:t>
      </w:r>
    </w:p>
    <w:p w14:paraId="79DBECAF">
      <w:pP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我公司郑重承诺</w:t>
      </w:r>
      <w:r>
        <w:rPr>
          <w:rFonts w:hint="eastAsia" w:ascii="宋体" w:hAnsi="宋体" w:cs="宋体"/>
          <w:color w:val="auto"/>
          <w:sz w:val="24"/>
          <w:szCs w:val="32"/>
          <w:highlight w:val="none"/>
          <w:lang w:eastAsia="zh-CN"/>
        </w:rPr>
        <w:t>，严格遵守《中华人民共和国网络安全法》</w:t>
      </w:r>
      <w:r>
        <w:rPr>
          <w:rFonts w:hint="eastAsia" w:ascii="宋体" w:hAnsi="宋体" w:eastAsia="宋体" w:cs="宋体"/>
          <w:b w:val="0"/>
          <w:bCs w:val="0"/>
          <w:color w:val="auto"/>
          <w:kern w:val="2"/>
          <w:sz w:val="24"/>
          <w:szCs w:val="32"/>
          <w:highlight w:val="none"/>
          <w:lang w:val="en-US" w:eastAsia="zh-CN" w:bidi="ar-SA"/>
        </w:rPr>
        <w:t>《中华人民共和国数据安全法》《中华人民共和国个人信息保护法》</w:t>
      </w:r>
      <w:r>
        <w:rPr>
          <w:rFonts w:hint="eastAsia" w:ascii="宋体" w:hAnsi="宋体" w:eastAsia="宋体" w:cs="宋体"/>
          <w:color w:val="auto"/>
          <w:sz w:val="24"/>
          <w:szCs w:val="24"/>
          <w:highlight w:val="none"/>
        </w:rPr>
        <w:t>《浙江省公共数据条例》等相关法律法规要求，并在台州市数字化改革（包括但不限于网络安全、数据安全、保密规定等方面）整体要求下开展工作</w:t>
      </w:r>
      <w:r>
        <w:rPr>
          <w:rFonts w:hint="eastAsia" w:ascii="宋体" w:hAnsi="宋体" w:cs="宋体"/>
          <w:color w:val="auto"/>
          <w:sz w:val="24"/>
          <w:szCs w:val="24"/>
          <w:highlight w:val="none"/>
          <w:lang w:eastAsia="zh-CN"/>
        </w:rPr>
        <w:t>。如有违反上述</w:t>
      </w:r>
      <w:r>
        <w:rPr>
          <w:rFonts w:hint="eastAsia" w:ascii="宋体" w:hAnsi="宋体" w:eastAsia="宋体" w:cs="宋体"/>
          <w:color w:val="auto"/>
          <w:sz w:val="24"/>
          <w:szCs w:val="24"/>
          <w:highlight w:val="none"/>
        </w:rPr>
        <w:t>法律法规</w:t>
      </w:r>
      <w:r>
        <w:rPr>
          <w:rFonts w:hint="eastAsia" w:ascii="宋体" w:hAnsi="宋体" w:cs="宋体"/>
          <w:color w:val="auto"/>
          <w:sz w:val="24"/>
          <w:szCs w:val="24"/>
          <w:highlight w:val="none"/>
          <w:lang w:eastAsia="zh-CN"/>
        </w:rPr>
        <w:t>和工作要求的行为，依法承担相关的责任。</w:t>
      </w:r>
    </w:p>
    <w:p w14:paraId="75BC3575">
      <w:pPr>
        <w:pStyle w:val="2"/>
        <w:rPr>
          <w:rFonts w:hint="eastAsia"/>
          <w:color w:val="auto"/>
          <w:sz w:val="24"/>
          <w:szCs w:val="24"/>
          <w:highlight w:val="none"/>
          <w:lang w:val="en-US" w:eastAsia="zh-CN"/>
        </w:rPr>
      </w:pPr>
    </w:p>
    <w:p w14:paraId="12ACED7F">
      <w:pPr>
        <w:spacing w:line="360" w:lineRule="auto"/>
        <w:jc w:val="left"/>
        <w:rPr>
          <w:rFonts w:hint="eastAsia" w:ascii="宋体" w:hAnsi="宋体" w:cs="宋体"/>
          <w:b/>
          <w:bCs/>
          <w:color w:val="auto"/>
          <w:sz w:val="28"/>
          <w:szCs w:val="36"/>
          <w:highlight w:val="none"/>
          <w:lang w:val="zh-CN"/>
        </w:rPr>
      </w:pPr>
    </w:p>
    <w:p w14:paraId="46C37A95">
      <w:pPr>
        <w:spacing w:line="360" w:lineRule="auto"/>
        <w:jc w:val="left"/>
        <w:rPr>
          <w:rFonts w:hint="eastAsia" w:ascii="宋体" w:hAnsi="宋体" w:cs="宋体"/>
          <w:b/>
          <w:bCs/>
          <w:color w:val="auto"/>
          <w:sz w:val="28"/>
          <w:szCs w:val="36"/>
          <w:highlight w:val="none"/>
          <w:lang w:val="zh-CN"/>
        </w:rPr>
      </w:pPr>
    </w:p>
    <w:p w14:paraId="1FD7726F">
      <w:pPr>
        <w:spacing w:line="360" w:lineRule="auto"/>
        <w:jc w:val="left"/>
        <w:rPr>
          <w:rFonts w:hint="eastAsia" w:ascii="宋体" w:hAnsi="宋体" w:cs="宋体"/>
          <w:b/>
          <w:bCs/>
          <w:color w:val="auto"/>
          <w:sz w:val="28"/>
          <w:szCs w:val="36"/>
          <w:highlight w:val="none"/>
          <w:lang w:val="zh-CN"/>
        </w:rPr>
      </w:pPr>
    </w:p>
    <w:p w14:paraId="4FABEB41">
      <w:pPr>
        <w:spacing w:line="360" w:lineRule="auto"/>
        <w:jc w:val="left"/>
        <w:rPr>
          <w:rFonts w:hint="eastAsia" w:ascii="宋体" w:hAnsi="宋体" w:cs="宋体"/>
          <w:b/>
          <w:bCs/>
          <w:color w:val="auto"/>
          <w:sz w:val="28"/>
          <w:szCs w:val="36"/>
          <w:highlight w:val="none"/>
          <w:lang w:val="zh-CN"/>
        </w:rPr>
      </w:pPr>
    </w:p>
    <w:p w14:paraId="02956EDE">
      <w:pP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0B2AABE7">
      <w:pPr>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B3FB4C4">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3CF232A">
      <w:pPr>
        <w:spacing w:line="360" w:lineRule="auto"/>
        <w:jc w:val="left"/>
        <w:rPr>
          <w:rFonts w:hint="eastAsia" w:ascii="宋体" w:hAnsi="宋体" w:cs="宋体"/>
          <w:b/>
          <w:bCs/>
          <w:color w:val="auto"/>
          <w:sz w:val="28"/>
          <w:szCs w:val="36"/>
          <w:highlight w:val="none"/>
          <w:lang w:val="zh-CN"/>
        </w:rPr>
      </w:pPr>
    </w:p>
    <w:p w14:paraId="572370A0">
      <w:pPr>
        <w:spacing w:line="360" w:lineRule="auto"/>
        <w:jc w:val="left"/>
        <w:rPr>
          <w:rFonts w:hint="eastAsia" w:ascii="宋体" w:hAnsi="宋体" w:cs="宋体"/>
          <w:b/>
          <w:bCs/>
          <w:color w:val="auto"/>
          <w:sz w:val="28"/>
          <w:szCs w:val="36"/>
          <w:highlight w:val="none"/>
          <w:lang w:val="zh-CN"/>
        </w:rPr>
      </w:pPr>
    </w:p>
    <w:p w14:paraId="529062CA">
      <w:pPr>
        <w:spacing w:line="360" w:lineRule="auto"/>
        <w:jc w:val="left"/>
        <w:rPr>
          <w:rFonts w:hint="eastAsia" w:ascii="宋体" w:hAnsi="宋体" w:cs="宋体"/>
          <w:b/>
          <w:bCs/>
          <w:color w:val="auto"/>
          <w:sz w:val="28"/>
          <w:szCs w:val="36"/>
          <w:highlight w:val="none"/>
          <w:lang w:val="zh-CN"/>
        </w:rPr>
        <w:sectPr>
          <w:pgSz w:w="11906" w:h="16838"/>
          <w:pgMar w:top="1440" w:right="1803" w:bottom="1440" w:left="1803" w:header="851" w:footer="992" w:gutter="0"/>
          <w:pgNumType w:start="1"/>
          <w:cols w:space="0" w:num="1"/>
          <w:docGrid w:type="lines" w:linePitch="317" w:charSpace="0"/>
        </w:sectPr>
      </w:pPr>
    </w:p>
    <w:p w14:paraId="18EFF9C1">
      <w:pPr>
        <w:spacing w:line="360" w:lineRule="auto"/>
        <w:jc w:val="left"/>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15</w:t>
      </w:r>
    </w:p>
    <w:p w14:paraId="1D13DED2">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售后服务情况表</w:t>
      </w:r>
    </w:p>
    <w:p w14:paraId="78D7AFEC">
      <w:pPr>
        <w:spacing w:line="360" w:lineRule="auto"/>
        <w:rPr>
          <w:rFonts w:ascii="宋体" w:hAnsi="宋体" w:cs="宋体"/>
          <w:b/>
          <w:color w:val="auto"/>
          <w:sz w:val="24"/>
          <w:highlight w:val="none"/>
        </w:rPr>
      </w:pP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5046DC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0E56C9C7">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355" w:type="dxa"/>
            <w:vAlign w:val="center"/>
          </w:tcPr>
          <w:p w14:paraId="44E5ECD2">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w:t>
            </w:r>
          </w:p>
        </w:tc>
        <w:tc>
          <w:tcPr>
            <w:tcW w:w="4061" w:type="dxa"/>
            <w:vAlign w:val="center"/>
          </w:tcPr>
          <w:p w14:paraId="2091273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磋商供应商承诺</w:t>
            </w:r>
          </w:p>
        </w:tc>
        <w:tc>
          <w:tcPr>
            <w:tcW w:w="1373" w:type="dxa"/>
            <w:vAlign w:val="center"/>
          </w:tcPr>
          <w:p w14:paraId="5E3DC225">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1DA274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2" w:hRule="atLeast"/>
          <w:jc w:val="center"/>
        </w:trPr>
        <w:tc>
          <w:tcPr>
            <w:tcW w:w="739" w:type="dxa"/>
            <w:vAlign w:val="center"/>
          </w:tcPr>
          <w:p w14:paraId="490C80F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355" w:type="dxa"/>
            <w:vAlign w:val="center"/>
          </w:tcPr>
          <w:p w14:paraId="55DD17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售后服务情况（服务方式、服务网点、售后服务的内容和措施等等，可用附页和宣传材料）</w:t>
            </w:r>
          </w:p>
        </w:tc>
        <w:tc>
          <w:tcPr>
            <w:tcW w:w="4061" w:type="dxa"/>
            <w:vAlign w:val="center"/>
          </w:tcPr>
          <w:p w14:paraId="161E38CE">
            <w:pPr>
              <w:spacing w:line="360" w:lineRule="auto"/>
              <w:jc w:val="center"/>
              <w:rPr>
                <w:rFonts w:ascii="宋体" w:hAnsi="宋体" w:cs="宋体"/>
                <w:color w:val="auto"/>
                <w:sz w:val="24"/>
                <w:highlight w:val="none"/>
              </w:rPr>
            </w:pPr>
          </w:p>
        </w:tc>
        <w:tc>
          <w:tcPr>
            <w:tcW w:w="1373" w:type="dxa"/>
            <w:vAlign w:val="center"/>
          </w:tcPr>
          <w:p w14:paraId="6A63FE69">
            <w:pPr>
              <w:spacing w:line="360" w:lineRule="auto"/>
              <w:jc w:val="center"/>
              <w:rPr>
                <w:rFonts w:ascii="宋体" w:hAnsi="宋体" w:cs="宋体"/>
                <w:color w:val="auto"/>
                <w:sz w:val="24"/>
                <w:highlight w:val="none"/>
              </w:rPr>
            </w:pPr>
          </w:p>
        </w:tc>
      </w:tr>
      <w:tr w14:paraId="26DF07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22AFC1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355" w:type="dxa"/>
            <w:vAlign w:val="center"/>
          </w:tcPr>
          <w:p w14:paraId="5626ECAA">
            <w:pPr>
              <w:spacing w:line="360" w:lineRule="auto"/>
              <w:jc w:val="center"/>
              <w:rPr>
                <w:rFonts w:ascii="宋体" w:hAnsi="宋体" w:cs="宋体"/>
                <w:color w:val="auto"/>
                <w:sz w:val="24"/>
                <w:highlight w:val="none"/>
              </w:rPr>
            </w:pPr>
          </w:p>
        </w:tc>
        <w:tc>
          <w:tcPr>
            <w:tcW w:w="4061" w:type="dxa"/>
            <w:vAlign w:val="center"/>
          </w:tcPr>
          <w:p w14:paraId="0254337E">
            <w:pPr>
              <w:spacing w:line="360" w:lineRule="auto"/>
              <w:jc w:val="center"/>
              <w:rPr>
                <w:rFonts w:ascii="宋体" w:hAnsi="宋体" w:cs="宋体"/>
                <w:color w:val="auto"/>
                <w:sz w:val="24"/>
                <w:highlight w:val="none"/>
              </w:rPr>
            </w:pPr>
          </w:p>
          <w:p w14:paraId="094C856D">
            <w:pPr>
              <w:spacing w:line="360" w:lineRule="auto"/>
              <w:jc w:val="center"/>
              <w:rPr>
                <w:rFonts w:ascii="宋体" w:hAnsi="宋体" w:cs="宋体"/>
                <w:color w:val="auto"/>
                <w:sz w:val="24"/>
                <w:highlight w:val="none"/>
              </w:rPr>
            </w:pPr>
          </w:p>
          <w:p w14:paraId="28E677DE">
            <w:pPr>
              <w:spacing w:line="360" w:lineRule="auto"/>
              <w:jc w:val="center"/>
              <w:rPr>
                <w:rFonts w:ascii="宋体" w:hAnsi="宋体" w:cs="宋体"/>
                <w:color w:val="auto"/>
                <w:sz w:val="24"/>
                <w:highlight w:val="none"/>
              </w:rPr>
            </w:pPr>
          </w:p>
        </w:tc>
        <w:tc>
          <w:tcPr>
            <w:tcW w:w="1373" w:type="dxa"/>
            <w:vAlign w:val="center"/>
          </w:tcPr>
          <w:p w14:paraId="378DC4C4">
            <w:pPr>
              <w:spacing w:line="360" w:lineRule="auto"/>
              <w:jc w:val="center"/>
              <w:rPr>
                <w:rFonts w:ascii="宋体" w:hAnsi="宋体" w:cs="宋体"/>
                <w:color w:val="auto"/>
                <w:sz w:val="24"/>
                <w:highlight w:val="none"/>
              </w:rPr>
            </w:pPr>
          </w:p>
          <w:p w14:paraId="4C482E55">
            <w:pPr>
              <w:spacing w:line="360" w:lineRule="auto"/>
              <w:jc w:val="center"/>
              <w:rPr>
                <w:rFonts w:ascii="宋体" w:hAnsi="宋体" w:cs="宋体"/>
                <w:color w:val="auto"/>
                <w:sz w:val="24"/>
                <w:highlight w:val="none"/>
              </w:rPr>
            </w:pPr>
          </w:p>
          <w:p w14:paraId="479ADDF1">
            <w:pPr>
              <w:spacing w:line="360" w:lineRule="auto"/>
              <w:jc w:val="center"/>
              <w:rPr>
                <w:rFonts w:ascii="宋体" w:hAnsi="宋体" w:cs="宋体"/>
                <w:color w:val="auto"/>
                <w:sz w:val="24"/>
                <w:highlight w:val="none"/>
              </w:rPr>
            </w:pPr>
          </w:p>
        </w:tc>
      </w:tr>
      <w:tr w14:paraId="134050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4FC1068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355" w:type="dxa"/>
            <w:vAlign w:val="center"/>
          </w:tcPr>
          <w:p w14:paraId="579DBF7E">
            <w:pPr>
              <w:spacing w:line="360" w:lineRule="auto"/>
              <w:jc w:val="center"/>
              <w:rPr>
                <w:rFonts w:ascii="宋体" w:hAnsi="宋体" w:cs="宋体"/>
                <w:color w:val="auto"/>
                <w:sz w:val="24"/>
                <w:highlight w:val="none"/>
              </w:rPr>
            </w:pPr>
          </w:p>
        </w:tc>
        <w:tc>
          <w:tcPr>
            <w:tcW w:w="4061" w:type="dxa"/>
            <w:vAlign w:val="center"/>
          </w:tcPr>
          <w:p w14:paraId="69608CDF">
            <w:pPr>
              <w:spacing w:line="360" w:lineRule="auto"/>
              <w:jc w:val="center"/>
              <w:rPr>
                <w:rFonts w:ascii="宋体" w:hAnsi="宋体" w:cs="宋体"/>
                <w:color w:val="auto"/>
                <w:sz w:val="24"/>
                <w:highlight w:val="none"/>
              </w:rPr>
            </w:pPr>
          </w:p>
          <w:p w14:paraId="6B477F8C">
            <w:pPr>
              <w:spacing w:line="360" w:lineRule="auto"/>
              <w:jc w:val="center"/>
              <w:rPr>
                <w:rFonts w:ascii="宋体" w:hAnsi="宋体" w:cs="宋体"/>
                <w:color w:val="auto"/>
                <w:sz w:val="24"/>
                <w:highlight w:val="none"/>
              </w:rPr>
            </w:pPr>
          </w:p>
        </w:tc>
        <w:tc>
          <w:tcPr>
            <w:tcW w:w="1373" w:type="dxa"/>
            <w:vAlign w:val="center"/>
          </w:tcPr>
          <w:p w14:paraId="4C193082">
            <w:pPr>
              <w:spacing w:line="360" w:lineRule="auto"/>
              <w:jc w:val="center"/>
              <w:rPr>
                <w:rFonts w:ascii="宋体" w:hAnsi="宋体" w:cs="宋体"/>
                <w:color w:val="auto"/>
                <w:sz w:val="24"/>
                <w:highlight w:val="none"/>
              </w:rPr>
            </w:pPr>
          </w:p>
          <w:p w14:paraId="3E5B0D1B">
            <w:pPr>
              <w:spacing w:line="360" w:lineRule="auto"/>
              <w:jc w:val="center"/>
              <w:rPr>
                <w:rFonts w:ascii="宋体" w:hAnsi="宋体" w:cs="宋体"/>
                <w:color w:val="auto"/>
                <w:sz w:val="24"/>
                <w:highlight w:val="none"/>
              </w:rPr>
            </w:pPr>
          </w:p>
          <w:p w14:paraId="3F2D4C06">
            <w:pPr>
              <w:spacing w:line="360" w:lineRule="auto"/>
              <w:jc w:val="center"/>
              <w:rPr>
                <w:rFonts w:ascii="宋体" w:hAnsi="宋体" w:cs="宋体"/>
                <w:color w:val="auto"/>
                <w:sz w:val="24"/>
                <w:highlight w:val="none"/>
              </w:rPr>
            </w:pPr>
          </w:p>
        </w:tc>
      </w:tr>
      <w:tr w14:paraId="1AF575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14:paraId="45315A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355" w:type="dxa"/>
            <w:vAlign w:val="center"/>
          </w:tcPr>
          <w:p w14:paraId="5698396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4061" w:type="dxa"/>
            <w:vAlign w:val="center"/>
          </w:tcPr>
          <w:p w14:paraId="3CEB0CDC">
            <w:pPr>
              <w:spacing w:line="360" w:lineRule="auto"/>
              <w:jc w:val="center"/>
              <w:rPr>
                <w:rFonts w:ascii="宋体" w:hAnsi="宋体" w:cs="宋体"/>
                <w:color w:val="auto"/>
                <w:sz w:val="24"/>
                <w:highlight w:val="none"/>
              </w:rPr>
            </w:pPr>
          </w:p>
        </w:tc>
        <w:tc>
          <w:tcPr>
            <w:tcW w:w="1373" w:type="dxa"/>
            <w:vAlign w:val="center"/>
          </w:tcPr>
          <w:p w14:paraId="7520AE74">
            <w:pPr>
              <w:spacing w:line="360" w:lineRule="auto"/>
              <w:jc w:val="center"/>
              <w:rPr>
                <w:rFonts w:ascii="宋体" w:hAnsi="宋体" w:cs="宋体"/>
                <w:color w:val="auto"/>
                <w:sz w:val="24"/>
                <w:highlight w:val="none"/>
              </w:rPr>
            </w:pPr>
          </w:p>
        </w:tc>
      </w:tr>
    </w:tbl>
    <w:p w14:paraId="71B4C39F">
      <w:pPr>
        <w:spacing w:line="360" w:lineRule="auto"/>
        <w:rPr>
          <w:rFonts w:ascii="宋体" w:hAnsi="宋体" w:cs="宋体"/>
          <w:b/>
          <w:color w:val="auto"/>
          <w:sz w:val="24"/>
          <w:highlight w:val="none"/>
        </w:rPr>
      </w:pPr>
    </w:p>
    <w:p w14:paraId="49B4A25F">
      <w:pP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071AAB56">
      <w:pPr>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A043E65">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F9A0642">
      <w:pPr>
        <w:spacing w:line="360" w:lineRule="auto"/>
        <w:rPr>
          <w:rFonts w:ascii="宋体" w:hAnsi="宋体" w:cs="宋体"/>
          <w:b/>
          <w:color w:val="auto"/>
          <w:sz w:val="24"/>
          <w:highlight w:val="none"/>
        </w:rPr>
      </w:pPr>
    </w:p>
    <w:p w14:paraId="62AA1B68">
      <w:pPr>
        <w:spacing w:line="360" w:lineRule="auto"/>
        <w:rPr>
          <w:rFonts w:ascii="宋体" w:hAnsi="宋体" w:cs="宋体"/>
          <w:b/>
          <w:color w:val="auto"/>
          <w:sz w:val="24"/>
          <w:highlight w:val="none"/>
        </w:rPr>
      </w:pPr>
    </w:p>
    <w:p w14:paraId="15ECF12E">
      <w:pPr>
        <w:spacing w:line="360" w:lineRule="auto"/>
        <w:jc w:val="center"/>
        <w:rPr>
          <w:rFonts w:hint="eastAsia" w:ascii="宋体" w:hAnsi="宋体" w:cs="宋体"/>
          <w:b/>
          <w:bCs/>
          <w:color w:val="auto"/>
          <w:sz w:val="32"/>
          <w:szCs w:val="40"/>
          <w:highlight w:val="none"/>
          <w:lang w:val="zh-CN"/>
        </w:rPr>
      </w:pPr>
    </w:p>
    <w:p w14:paraId="1B12B09D">
      <w:pPr>
        <w:spacing w:line="360" w:lineRule="auto"/>
        <w:jc w:val="center"/>
        <w:rPr>
          <w:rFonts w:hint="eastAsia" w:ascii="宋体" w:hAnsi="宋体" w:cs="宋体"/>
          <w:b/>
          <w:bCs/>
          <w:color w:val="auto"/>
          <w:sz w:val="32"/>
          <w:szCs w:val="40"/>
          <w:highlight w:val="none"/>
          <w:lang w:val="zh-CN"/>
        </w:rPr>
      </w:pPr>
    </w:p>
    <w:p w14:paraId="3DC45C9E">
      <w:pPr>
        <w:spacing w:line="360" w:lineRule="auto"/>
        <w:jc w:val="center"/>
        <w:rPr>
          <w:rFonts w:hint="eastAsia" w:ascii="宋体" w:hAnsi="宋体" w:cs="宋体"/>
          <w:b/>
          <w:bCs/>
          <w:color w:val="auto"/>
          <w:sz w:val="32"/>
          <w:szCs w:val="40"/>
          <w:highlight w:val="none"/>
          <w:lang w:val="zh-CN"/>
        </w:rPr>
      </w:pPr>
    </w:p>
    <w:p w14:paraId="379005D5">
      <w:pPr>
        <w:spacing w:line="360" w:lineRule="auto"/>
        <w:jc w:val="center"/>
        <w:rPr>
          <w:rFonts w:hint="eastAsia" w:ascii="宋体" w:hAnsi="宋体" w:cs="宋体"/>
          <w:b/>
          <w:bCs/>
          <w:color w:val="auto"/>
          <w:sz w:val="32"/>
          <w:szCs w:val="40"/>
          <w:highlight w:val="none"/>
          <w:lang w:val="zh-CN"/>
        </w:rPr>
      </w:pPr>
    </w:p>
    <w:p w14:paraId="654F462B">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5ABA4153">
      <w:pPr>
        <w:spacing w:line="360" w:lineRule="auto"/>
        <w:rPr>
          <w:rFonts w:ascii="宋体" w:hAnsi="宋体" w:cs="宋体"/>
          <w:color w:val="auto"/>
          <w:sz w:val="24"/>
          <w:highlight w:val="none"/>
        </w:rPr>
      </w:pPr>
    </w:p>
    <w:p w14:paraId="02BDE71D">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1、开标一览表（附件16）；</w:t>
      </w:r>
    </w:p>
    <w:p w14:paraId="3B431378">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2、针对报价磋商供应商认为其他需要说明的；</w:t>
      </w:r>
    </w:p>
    <w:p w14:paraId="652E8B8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3、报价明细表（附件17）；</w:t>
      </w:r>
    </w:p>
    <w:p w14:paraId="0F1F2A43">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3、中小企业等声明函（附件18）。（如有需提供）</w:t>
      </w:r>
    </w:p>
    <w:p w14:paraId="0A498D28">
      <w:pPr>
        <w:spacing w:line="360" w:lineRule="auto"/>
        <w:ind w:firstLine="560" w:firstLineChars="200"/>
        <w:rPr>
          <w:rFonts w:ascii="宋体" w:hAnsi="宋体" w:cs="宋体"/>
          <w:color w:val="auto"/>
          <w:sz w:val="28"/>
          <w:szCs w:val="28"/>
          <w:highlight w:val="none"/>
        </w:rPr>
      </w:pPr>
    </w:p>
    <w:p w14:paraId="4E793D29">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小微企业等声明函填表说明：</w:t>
      </w:r>
    </w:p>
    <w:p w14:paraId="4E2BD47A">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1、标的设备分别由不同制造商制造的，请按序号填写齐全所有标的货物制造商的信息。</w:t>
      </w:r>
    </w:p>
    <w:p w14:paraId="09F2CB01">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2、从业人员、营业收入、资产总额填报上一年度数据，无上一年度数据的新成立企业可不填报。</w:t>
      </w:r>
    </w:p>
    <w:p w14:paraId="419B1D68">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3、为了更加准确判定制造商是否为小微企业，请供应商根据工业和信息化部官方网站---中小企业规模类型自测小程序来辨别制造商企业规模类型，中小企业规模类型自测小程序链接网址为</w:t>
      </w:r>
    </w:p>
    <w:p w14:paraId="2402D31F">
      <w:pPr>
        <w:spacing w:line="360" w:lineRule="auto"/>
        <w:ind w:firstLine="420" w:firstLineChars="20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"http://202.106.120.146/baosong/appweb/orgScale.html" </w:instrText>
      </w:r>
      <w:r>
        <w:rPr>
          <w:color w:val="auto"/>
          <w:highlight w:val="none"/>
        </w:rPr>
        <w:fldChar w:fldCharType="separate"/>
      </w:r>
      <w:r>
        <w:rPr>
          <w:rStyle w:val="33"/>
          <w:rFonts w:hint="eastAsia" w:ascii="宋体" w:hAnsi="宋体" w:cs="宋体"/>
          <w:color w:val="auto"/>
          <w:sz w:val="28"/>
          <w:szCs w:val="28"/>
          <w:highlight w:val="none"/>
        </w:rPr>
        <w:t>http://202.106.120.146/baosong/appweb/orgScale.html</w:t>
      </w:r>
      <w:r>
        <w:rPr>
          <w:rStyle w:val="33"/>
          <w:rFonts w:hint="eastAsia" w:ascii="宋体" w:hAnsi="宋体" w:cs="宋体"/>
          <w:color w:val="auto"/>
          <w:sz w:val="28"/>
          <w:szCs w:val="28"/>
          <w:highlight w:val="none"/>
        </w:rPr>
        <w:fldChar w:fldCharType="end"/>
      </w:r>
    </w:p>
    <w:p w14:paraId="476CA12F">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4、供应商未提供《中小企业声明函》的、《中小企业声明函》中内容应填写而未进行填写或未如实填写的，将不给予供应商小微企业报价优惠扣除。</w:t>
      </w:r>
    </w:p>
    <w:p w14:paraId="06D0001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预成交供应商享受小微企业报价优惠扣除的，将按规定公开预成交供应商的《中小企业声明函》。</w:t>
      </w:r>
    </w:p>
    <w:p w14:paraId="01A95EE5">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5、如国家对中小企业划型标准有新的规定的，从其规定。 </w:t>
      </w:r>
    </w:p>
    <w:p w14:paraId="74864E8F">
      <w:pPr>
        <w:spacing w:line="360" w:lineRule="auto"/>
        <w:rPr>
          <w:rFonts w:ascii="宋体" w:hAnsi="宋体" w:cs="宋体"/>
          <w:b/>
          <w:color w:val="auto"/>
          <w:sz w:val="28"/>
          <w:highlight w:val="none"/>
        </w:rPr>
      </w:pPr>
      <w:r>
        <w:rPr>
          <w:rFonts w:hint="eastAsia" w:ascii="宋体" w:hAnsi="宋体" w:cs="宋体"/>
          <w:b/>
          <w:color w:val="auto"/>
          <w:sz w:val="28"/>
          <w:highlight w:val="none"/>
        </w:rPr>
        <w:t>附件16</w:t>
      </w:r>
    </w:p>
    <w:p w14:paraId="760F4392">
      <w:pPr>
        <w:spacing w:line="360" w:lineRule="auto"/>
        <w:ind w:firstLine="2249" w:firstLineChars="700"/>
        <w:rPr>
          <w:rFonts w:hint="default" w:ascii="宋体" w:hAnsi="宋体" w:eastAsia="宋体" w:cs="宋体"/>
          <w:color w:val="auto"/>
          <w:sz w:val="36"/>
          <w:szCs w:val="36"/>
          <w:highlight w:val="none"/>
          <w:lang w:val="en-US" w:eastAsia="zh-CN"/>
        </w:rPr>
      </w:pPr>
      <w:r>
        <w:rPr>
          <w:rFonts w:hint="eastAsia" w:ascii="宋体" w:hAnsi="宋体" w:cs="宋体"/>
          <w:b/>
          <w:bCs/>
          <w:color w:val="auto"/>
          <w:sz w:val="32"/>
          <w:szCs w:val="40"/>
          <w:highlight w:val="none"/>
          <w:lang w:val="zh-CN"/>
        </w:rPr>
        <w:t>首次报价一览表</w:t>
      </w:r>
      <w:r>
        <w:rPr>
          <w:rFonts w:hint="eastAsia" w:ascii="宋体" w:hAnsi="宋体" w:cs="宋体"/>
          <w:b/>
          <w:bCs/>
          <w:color w:val="auto"/>
          <w:sz w:val="32"/>
          <w:szCs w:val="40"/>
          <w:highlight w:val="none"/>
          <w:lang w:val="en-US" w:eastAsia="zh-CN"/>
        </w:rPr>
        <w:t xml:space="preserve">       标项：</w:t>
      </w:r>
    </w:p>
    <w:p w14:paraId="12184CF8">
      <w:pPr>
        <w:spacing w:line="360" w:lineRule="auto"/>
        <w:jc w:val="center"/>
        <w:rPr>
          <w:rFonts w:hint="default" w:ascii="宋体" w:hAnsi="宋体" w:eastAsia="宋体" w:cs="宋体"/>
          <w:b/>
          <w:bCs/>
          <w:color w:val="auto"/>
          <w:sz w:val="32"/>
          <w:szCs w:val="40"/>
          <w:highlight w:val="none"/>
          <w:lang w:val="en-US" w:eastAsia="zh-CN"/>
        </w:rPr>
      </w:pPr>
    </w:p>
    <w:p w14:paraId="33D53D2B">
      <w:pPr>
        <w:spacing w:line="360" w:lineRule="auto"/>
        <w:jc w:val="left"/>
        <w:rPr>
          <w:rFonts w:ascii="宋体" w:hAnsi="宋体" w:cs="宋体"/>
          <w:color w:val="auto"/>
          <w:sz w:val="24"/>
          <w:szCs w:val="32"/>
          <w:highlight w:val="none"/>
        </w:rPr>
      </w:pPr>
    </w:p>
    <w:p w14:paraId="7CBAF2A5">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项目编号：</w:t>
      </w:r>
    </w:p>
    <w:p w14:paraId="389AD65C">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项目名称：</w:t>
      </w:r>
      <w:r>
        <w:rPr>
          <w:rFonts w:hint="eastAsia" w:ascii="宋体" w:hAnsi="宋体" w:cs="宋体"/>
          <w:color w:val="auto"/>
          <w:sz w:val="24"/>
          <w:szCs w:val="32"/>
          <w:highlight w:val="none"/>
        </w:rPr>
        <w:t xml:space="preserve">                                      [货币单位：人民币/元]</w:t>
      </w:r>
    </w:p>
    <w:tbl>
      <w:tblPr>
        <w:tblStyle w:val="2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2877C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4" w:space="0"/>
              <w:left w:val="single" w:color="auto" w:sz="4" w:space="0"/>
              <w:bottom w:val="single" w:color="auto" w:sz="4" w:space="0"/>
              <w:right w:val="single" w:color="auto" w:sz="4" w:space="0"/>
            </w:tcBorders>
            <w:vAlign w:val="center"/>
          </w:tcPr>
          <w:p w14:paraId="31EE3F89">
            <w:pP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w:t>
            </w:r>
          </w:p>
          <w:p w14:paraId="53A301B4">
            <w:pP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(人民币元)</w:t>
            </w:r>
          </w:p>
        </w:tc>
        <w:tc>
          <w:tcPr>
            <w:tcW w:w="1349" w:type="dxa"/>
            <w:tcBorders>
              <w:top w:val="single" w:color="auto" w:sz="4" w:space="0"/>
              <w:left w:val="single" w:color="auto" w:sz="4" w:space="0"/>
              <w:bottom w:val="single" w:color="auto" w:sz="4" w:space="0"/>
              <w:right w:val="single" w:color="auto" w:sz="4" w:space="0"/>
            </w:tcBorders>
            <w:vAlign w:val="center"/>
          </w:tcPr>
          <w:p w14:paraId="308A6115">
            <w:pP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4" w:space="0"/>
              <w:left w:val="single" w:color="auto" w:sz="4" w:space="0"/>
              <w:bottom w:val="single" w:color="auto" w:sz="4" w:space="0"/>
              <w:right w:val="single" w:color="auto" w:sz="4" w:space="0"/>
            </w:tcBorders>
            <w:vAlign w:val="center"/>
          </w:tcPr>
          <w:p w14:paraId="3F4B9BD8">
            <w:pPr>
              <w:autoSpaceDE w:val="0"/>
              <w:autoSpaceDN w:val="0"/>
              <w:spacing w:line="360" w:lineRule="auto"/>
              <w:jc w:val="center"/>
              <w:textAlignment w:val="bottom"/>
              <w:rPr>
                <w:rFonts w:ascii="宋体" w:hAnsi="宋体" w:cs="宋体"/>
                <w:color w:val="auto"/>
                <w:sz w:val="24"/>
                <w:highlight w:val="none"/>
              </w:rPr>
            </w:pPr>
          </w:p>
        </w:tc>
      </w:tr>
      <w:tr w14:paraId="3ED7A75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4" w:space="0"/>
              <w:left w:val="single" w:color="auto" w:sz="4" w:space="0"/>
              <w:bottom w:val="single" w:color="auto" w:sz="4" w:space="0"/>
              <w:right w:val="single" w:color="auto" w:sz="4" w:space="0"/>
            </w:tcBorders>
            <w:vAlign w:val="center"/>
          </w:tcPr>
          <w:p w14:paraId="7A78E34D">
            <w:pPr>
              <w:spacing w:line="360" w:lineRule="auto"/>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1D53C8A9">
            <w:pP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4" w:space="0"/>
            </w:tcBorders>
            <w:vAlign w:val="center"/>
          </w:tcPr>
          <w:p w14:paraId="712AFE74">
            <w:pPr>
              <w:autoSpaceDE w:val="0"/>
              <w:autoSpaceDN w:val="0"/>
              <w:spacing w:line="360" w:lineRule="auto"/>
              <w:jc w:val="center"/>
              <w:textAlignment w:val="bottom"/>
              <w:rPr>
                <w:rFonts w:ascii="宋体" w:hAnsi="宋体" w:cs="宋体"/>
                <w:color w:val="auto"/>
                <w:sz w:val="24"/>
                <w:highlight w:val="none"/>
              </w:rPr>
            </w:pPr>
          </w:p>
        </w:tc>
      </w:tr>
    </w:tbl>
    <w:p w14:paraId="6C4A7D07">
      <w:pPr>
        <w:spacing w:line="360" w:lineRule="auto"/>
        <w:jc w:val="left"/>
        <w:rPr>
          <w:rFonts w:ascii="宋体" w:hAnsi="宋体" w:cs="宋体"/>
          <w:b/>
          <w:bCs/>
          <w:color w:val="auto"/>
          <w:sz w:val="24"/>
          <w:szCs w:val="32"/>
          <w:highlight w:val="none"/>
        </w:rPr>
      </w:pPr>
    </w:p>
    <w:p w14:paraId="3E7AAA31">
      <w:pPr>
        <w:spacing w:line="360" w:lineRule="auto"/>
        <w:jc w:val="left"/>
        <w:rPr>
          <w:rFonts w:ascii="宋体" w:hAnsi="宋体" w:cs="宋体"/>
          <w:b/>
          <w:bCs/>
          <w:color w:val="auto"/>
          <w:sz w:val="24"/>
          <w:szCs w:val="32"/>
          <w:highlight w:val="none"/>
        </w:rPr>
      </w:pPr>
    </w:p>
    <w:p w14:paraId="6BA8D0A4">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14:paraId="43244B10">
      <w:pPr>
        <w:spacing w:line="360" w:lineRule="auto"/>
        <w:ind w:firstLine="480" w:firstLineChars="200"/>
        <w:jc w:val="left"/>
        <w:rPr>
          <w:color w:val="auto"/>
          <w:highlight w:val="none"/>
        </w:rPr>
      </w:pPr>
      <w:r>
        <w:rPr>
          <w:rFonts w:hint="eastAsia" w:ascii="宋体" w:hAnsi="宋体" w:cs="宋体"/>
          <w:color w:val="auto"/>
          <w:sz w:val="24"/>
          <w:szCs w:val="32"/>
          <w:highlight w:val="none"/>
        </w:rPr>
        <w:t>1.投标总报价</w:t>
      </w:r>
      <w:r>
        <w:rPr>
          <w:rFonts w:hint="eastAsia" w:ascii="宋体" w:hAnsi="宋体" w:cs="宋体"/>
          <w:color w:val="auto"/>
          <w:kern w:val="0"/>
          <w:sz w:val="24"/>
          <w:highlight w:val="none"/>
        </w:rPr>
        <w:t>包括必备的附件、服务费、人工费、技术支持、招标代理费、税金、完成本项目的其它费用和政策性文件规定及合同包含的所有风险、责任等所有费用，所有</w:t>
      </w:r>
      <w:r>
        <w:rPr>
          <w:rFonts w:hint="eastAsia" w:ascii="宋体" w:hAnsi="宋体" w:cs="宋体"/>
          <w:color w:val="auto"/>
          <w:kern w:val="0"/>
          <w:sz w:val="24"/>
          <w:highlight w:val="none"/>
          <w:lang w:val="zh-CN"/>
        </w:rPr>
        <w:t>费用已包含在投标报价中。</w:t>
      </w:r>
    </w:p>
    <w:p w14:paraId="365B45C5">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14:paraId="68B7826C">
      <w:pPr>
        <w:spacing w:line="360" w:lineRule="auto"/>
        <w:jc w:val="left"/>
        <w:rPr>
          <w:rFonts w:ascii="宋体" w:hAnsi="宋体" w:cs="宋体"/>
          <w:color w:val="auto"/>
          <w:sz w:val="24"/>
          <w:szCs w:val="32"/>
          <w:highlight w:val="none"/>
        </w:rPr>
      </w:pPr>
    </w:p>
    <w:p w14:paraId="61F23C76">
      <w:pPr>
        <w:spacing w:line="360" w:lineRule="auto"/>
        <w:jc w:val="left"/>
        <w:rPr>
          <w:rFonts w:ascii="宋体" w:hAnsi="宋体" w:cs="宋体"/>
          <w:color w:val="auto"/>
          <w:sz w:val="24"/>
          <w:szCs w:val="32"/>
          <w:highlight w:val="none"/>
        </w:rPr>
      </w:pPr>
    </w:p>
    <w:p w14:paraId="48EA204A">
      <w:pP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3FC538CC">
      <w:pPr>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1CA0305">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DAFB9B4">
      <w:pPr>
        <w:spacing w:line="360" w:lineRule="auto"/>
        <w:jc w:val="left"/>
        <w:rPr>
          <w:rFonts w:ascii="宋体" w:hAnsi="宋体" w:cs="宋体"/>
          <w:color w:val="auto"/>
          <w:sz w:val="24"/>
          <w:szCs w:val="32"/>
          <w:highlight w:val="none"/>
        </w:rPr>
      </w:pPr>
    </w:p>
    <w:p w14:paraId="135836B7">
      <w:pPr>
        <w:spacing w:line="360" w:lineRule="auto"/>
        <w:jc w:val="left"/>
        <w:rPr>
          <w:rFonts w:ascii="宋体" w:hAnsi="宋体" w:cs="宋体"/>
          <w:color w:val="auto"/>
          <w:sz w:val="24"/>
          <w:szCs w:val="32"/>
          <w:highlight w:val="none"/>
        </w:rPr>
      </w:pPr>
    </w:p>
    <w:p w14:paraId="1C79504D">
      <w:pPr>
        <w:pStyle w:val="8"/>
        <w:rPr>
          <w:color w:val="auto"/>
          <w:highlight w:val="none"/>
        </w:rPr>
      </w:pPr>
    </w:p>
    <w:p w14:paraId="3D8AB0D0">
      <w:pP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附件17</w:t>
      </w:r>
      <w:r>
        <w:rPr>
          <w:rFonts w:hint="eastAsia" w:ascii="宋体" w:hAnsi="宋体" w:cs="宋体"/>
          <w:b/>
          <w:color w:val="auto"/>
          <w:sz w:val="28"/>
          <w:highlight w:val="none"/>
          <w:lang w:val="en-US" w:eastAsia="zh-CN"/>
        </w:rPr>
        <w:t xml:space="preserve">                                            标项：</w:t>
      </w:r>
    </w:p>
    <w:p w14:paraId="6495D297">
      <w:pP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14:paraId="73809625">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743367AD">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9"/>
        <w:tblW w:w="821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10"/>
        <w:gridCol w:w="2955"/>
        <w:gridCol w:w="1698"/>
        <w:gridCol w:w="1290"/>
        <w:gridCol w:w="1260"/>
      </w:tblGrid>
      <w:tr w14:paraId="11D774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32181F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955" w:type="dxa"/>
            <w:tcBorders>
              <w:top w:val="single" w:color="auto" w:sz="4" w:space="0"/>
              <w:left w:val="single" w:color="auto" w:sz="4" w:space="0"/>
              <w:bottom w:val="single" w:color="auto" w:sz="4" w:space="0"/>
              <w:right w:val="single" w:color="auto" w:sz="4" w:space="0"/>
            </w:tcBorders>
            <w:vAlign w:val="center"/>
          </w:tcPr>
          <w:p w14:paraId="277CF02A">
            <w:pP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1698" w:type="dxa"/>
            <w:tcBorders>
              <w:top w:val="single" w:color="auto" w:sz="4" w:space="0"/>
              <w:left w:val="single" w:color="auto" w:sz="4" w:space="0"/>
              <w:bottom w:val="single" w:color="auto" w:sz="4" w:space="0"/>
              <w:right w:val="single" w:color="auto" w:sz="4" w:space="0"/>
            </w:tcBorders>
            <w:vAlign w:val="center"/>
          </w:tcPr>
          <w:p w14:paraId="49C05D22">
            <w:pPr>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1290" w:type="dxa"/>
            <w:tcBorders>
              <w:top w:val="single" w:color="auto" w:sz="4" w:space="0"/>
              <w:left w:val="single" w:color="auto" w:sz="4" w:space="0"/>
              <w:bottom w:val="single" w:color="auto" w:sz="4" w:space="0"/>
              <w:right w:val="single" w:color="auto" w:sz="4" w:space="0"/>
            </w:tcBorders>
            <w:vAlign w:val="center"/>
          </w:tcPr>
          <w:p w14:paraId="60848C36">
            <w:pPr>
              <w:jc w:val="center"/>
              <w:rPr>
                <w:rFonts w:ascii="宋体" w:hAnsi="宋体" w:cs="宋体"/>
                <w:b/>
                <w:bCs/>
                <w:color w:val="auto"/>
                <w:sz w:val="24"/>
                <w:highlight w:val="none"/>
              </w:rPr>
            </w:pPr>
            <w:r>
              <w:rPr>
                <w:rFonts w:hint="eastAsia" w:ascii="宋体" w:hAnsi="宋体" w:cs="宋体"/>
                <w:b/>
                <w:bCs/>
                <w:color w:val="auto"/>
                <w:sz w:val="24"/>
                <w:highlight w:val="none"/>
              </w:rPr>
              <w:t>单价</w:t>
            </w:r>
          </w:p>
        </w:tc>
        <w:tc>
          <w:tcPr>
            <w:tcW w:w="1260" w:type="dxa"/>
            <w:tcBorders>
              <w:top w:val="single" w:color="auto" w:sz="4" w:space="0"/>
              <w:left w:val="single" w:color="auto" w:sz="4" w:space="0"/>
              <w:bottom w:val="single" w:color="auto" w:sz="4" w:space="0"/>
              <w:right w:val="single" w:color="auto" w:sz="4" w:space="0"/>
            </w:tcBorders>
            <w:vAlign w:val="center"/>
          </w:tcPr>
          <w:p w14:paraId="026419F3">
            <w:pPr>
              <w:jc w:val="center"/>
              <w:rPr>
                <w:rFonts w:ascii="宋体" w:hAnsi="宋体" w:cs="宋体"/>
                <w:b/>
                <w:bCs/>
                <w:color w:val="auto"/>
                <w:sz w:val="24"/>
                <w:highlight w:val="none"/>
              </w:rPr>
            </w:pPr>
            <w:r>
              <w:rPr>
                <w:rFonts w:hint="eastAsia" w:ascii="宋体" w:hAnsi="宋体" w:cs="宋体"/>
                <w:b/>
                <w:bCs/>
                <w:color w:val="auto"/>
                <w:sz w:val="24"/>
                <w:highlight w:val="none"/>
              </w:rPr>
              <w:t>小计</w:t>
            </w:r>
          </w:p>
        </w:tc>
      </w:tr>
      <w:tr w14:paraId="677F5D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right w:val="single" w:color="auto" w:sz="4" w:space="0"/>
            </w:tcBorders>
            <w:vAlign w:val="center"/>
          </w:tcPr>
          <w:p w14:paraId="496CBCA7">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1</w:t>
            </w:r>
          </w:p>
        </w:tc>
        <w:tc>
          <w:tcPr>
            <w:tcW w:w="2955" w:type="dxa"/>
            <w:tcBorders>
              <w:top w:val="single" w:color="auto" w:sz="4" w:space="0"/>
              <w:left w:val="single" w:color="auto" w:sz="4" w:space="0"/>
              <w:right w:val="single" w:color="auto" w:sz="4" w:space="0"/>
            </w:tcBorders>
            <w:vAlign w:val="center"/>
          </w:tcPr>
          <w:p w14:paraId="616E13F8">
            <w:pPr>
              <w:pStyle w:val="24"/>
              <w:snapToGrid w:val="0"/>
              <w:spacing w:beforeAutospacing="0" w:afterAutospacing="0"/>
              <w:jc w:val="center"/>
              <w:rPr>
                <w:rFonts w:cs="宋体"/>
                <w:color w:val="auto"/>
                <w:highlight w:val="none"/>
              </w:rPr>
            </w:pPr>
          </w:p>
        </w:tc>
        <w:tc>
          <w:tcPr>
            <w:tcW w:w="1698" w:type="dxa"/>
            <w:tcBorders>
              <w:top w:val="single" w:color="auto" w:sz="4" w:space="0"/>
              <w:left w:val="single" w:color="auto" w:sz="4" w:space="0"/>
              <w:right w:val="single" w:color="auto" w:sz="4" w:space="0"/>
            </w:tcBorders>
            <w:vAlign w:val="center"/>
          </w:tcPr>
          <w:p w14:paraId="4AE505D8">
            <w:pPr>
              <w:pStyle w:val="24"/>
              <w:snapToGrid w:val="0"/>
              <w:spacing w:beforeAutospacing="0" w:afterAutospacing="0"/>
              <w:jc w:val="center"/>
              <w:rPr>
                <w:rFonts w:cs="宋体"/>
                <w:color w:val="auto"/>
                <w:highlight w:val="none"/>
              </w:rPr>
            </w:pPr>
          </w:p>
        </w:tc>
        <w:tc>
          <w:tcPr>
            <w:tcW w:w="1290" w:type="dxa"/>
            <w:tcBorders>
              <w:top w:val="single" w:color="auto" w:sz="4" w:space="0"/>
              <w:left w:val="single" w:color="auto" w:sz="4" w:space="0"/>
              <w:right w:val="single" w:color="auto" w:sz="4" w:space="0"/>
            </w:tcBorders>
            <w:vAlign w:val="center"/>
          </w:tcPr>
          <w:p w14:paraId="40D5A5B2">
            <w:pPr>
              <w:pStyle w:val="24"/>
              <w:snapToGrid w:val="0"/>
              <w:spacing w:beforeAutospacing="0" w:afterAutospacing="0"/>
              <w:rPr>
                <w:rFonts w:cs="宋体"/>
                <w:color w:val="auto"/>
                <w:highlight w:val="none"/>
              </w:rPr>
            </w:pPr>
          </w:p>
        </w:tc>
        <w:tc>
          <w:tcPr>
            <w:tcW w:w="1260" w:type="dxa"/>
            <w:tcBorders>
              <w:top w:val="single" w:color="auto" w:sz="4" w:space="0"/>
              <w:left w:val="single" w:color="auto" w:sz="4" w:space="0"/>
              <w:right w:val="single" w:color="auto" w:sz="4" w:space="0"/>
            </w:tcBorders>
            <w:vAlign w:val="center"/>
          </w:tcPr>
          <w:p w14:paraId="3B5F9F09">
            <w:pPr>
              <w:pStyle w:val="24"/>
              <w:snapToGrid w:val="0"/>
              <w:spacing w:beforeAutospacing="0" w:afterAutospacing="0"/>
              <w:rPr>
                <w:rFonts w:cs="宋体"/>
                <w:color w:val="auto"/>
                <w:highlight w:val="none"/>
              </w:rPr>
            </w:pPr>
          </w:p>
        </w:tc>
      </w:tr>
      <w:tr w14:paraId="092133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right w:val="single" w:color="auto" w:sz="4" w:space="0"/>
            </w:tcBorders>
            <w:vAlign w:val="center"/>
          </w:tcPr>
          <w:p w14:paraId="5491F8AA">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2</w:t>
            </w:r>
          </w:p>
        </w:tc>
        <w:tc>
          <w:tcPr>
            <w:tcW w:w="2955" w:type="dxa"/>
            <w:tcBorders>
              <w:top w:val="single" w:color="auto" w:sz="4" w:space="0"/>
              <w:left w:val="single" w:color="auto" w:sz="4" w:space="0"/>
              <w:right w:val="single" w:color="auto" w:sz="4" w:space="0"/>
            </w:tcBorders>
            <w:vAlign w:val="center"/>
          </w:tcPr>
          <w:p w14:paraId="50D70ADD">
            <w:pPr>
              <w:pStyle w:val="24"/>
              <w:snapToGrid w:val="0"/>
              <w:spacing w:beforeAutospacing="0" w:afterAutospacing="0"/>
              <w:jc w:val="center"/>
              <w:rPr>
                <w:rFonts w:cs="宋体"/>
                <w:color w:val="auto"/>
                <w:highlight w:val="none"/>
              </w:rPr>
            </w:pPr>
          </w:p>
        </w:tc>
        <w:tc>
          <w:tcPr>
            <w:tcW w:w="1698" w:type="dxa"/>
            <w:tcBorders>
              <w:top w:val="single" w:color="auto" w:sz="4" w:space="0"/>
              <w:left w:val="single" w:color="auto" w:sz="4" w:space="0"/>
              <w:right w:val="single" w:color="auto" w:sz="4" w:space="0"/>
            </w:tcBorders>
            <w:vAlign w:val="center"/>
          </w:tcPr>
          <w:p w14:paraId="280F3F06">
            <w:pPr>
              <w:pStyle w:val="24"/>
              <w:snapToGrid w:val="0"/>
              <w:spacing w:beforeAutospacing="0" w:afterAutospacing="0"/>
              <w:jc w:val="center"/>
              <w:rPr>
                <w:rFonts w:cs="宋体"/>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74CFC6C4">
            <w:pPr>
              <w:pStyle w:val="24"/>
              <w:snapToGrid w:val="0"/>
              <w:spacing w:beforeAutospacing="0" w:afterAutospacing="0"/>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82A7AB">
            <w:pPr>
              <w:pStyle w:val="24"/>
              <w:snapToGrid w:val="0"/>
              <w:spacing w:beforeAutospacing="0" w:afterAutospacing="0"/>
              <w:rPr>
                <w:rFonts w:cs="宋体"/>
                <w:color w:val="auto"/>
                <w:highlight w:val="none"/>
              </w:rPr>
            </w:pPr>
          </w:p>
        </w:tc>
      </w:tr>
      <w:tr w14:paraId="63DF03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right w:val="single" w:color="auto" w:sz="4" w:space="0"/>
            </w:tcBorders>
            <w:vAlign w:val="center"/>
          </w:tcPr>
          <w:p w14:paraId="669D1057">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3</w:t>
            </w:r>
          </w:p>
        </w:tc>
        <w:tc>
          <w:tcPr>
            <w:tcW w:w="2955" w:type="dxa"/>
            <w:tcBorders>
              <w:top w:val="single" w:color="auto" w:sz="4" w:space="0"/>
              <w:left w:val="single" w:color="auto" w:sz="4" w:space="0"/>
              <w:right w:val="single" w:color="auto" w:sz="4" w:space="0"/>
            </w:tcBorders>
            <w:vAlign w:val="center"/>
          </w:tcPr>
          <w:p w14:paraId="2E0F38D8">
            <w:pPr>
              <w:pStyle w:val="24"/>
              <w:snapToGrid w:val="0"/>
              <w:spacing w:beforeAutospacing="0" w:afterAutospacing="0"/>
              <w:jc w:val="center"/>
              <w:rPr>
                <w:rFonts w:cs="宋体"/>
                <w:color w:val="auto"/>
                <w:highlight w:val="none"/>
              </w:rPr>
            </w:pPr>
          </w:p>
        </w:tc>
        <w:tc>
          <w:tcPr>
            <w:tcW w:w="1698" w:type="dxa"/>
            <w:tcBorders>
              <w:top w:val="single" w:color="auto" w:sz="4" w:space="0"/>
              <w:left w:val="single" w:color="auto" w:sz="4" w:space="0"/>
              <w:right w:val="single" w:color="auto" w:sz="4" w:space="0"/>
            </w:tcBorders>
            <w:vAlign w:val="center"/>
          </w:tcPr>
          <w:p w14:paraId="2C782B62">
            <w:pPr>
              <w:pStyle w:val="24"/>
              <w:snapToGrid w:val="0"/>
              <w:spacing w:beforeAutospacing="0" w:afterAutospacing="0"/>
              <w:jc w:val="center"/>
              <w:rPr>
                <w:rFonts w:cs="宋体"/>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7AEEF4AF">
            <w:pPr>
              <w:pStyle w:val="24"/>
              <w:snapToGrid w:val="0"/>
              <w:spacing w:beforeAutospacing="0" w:afterAutospacing="0"/>
              <w:rPr>
                <w:rFonts w:cs="宋体"/>
                <w:color w:val="auto"/>
                <w:highlight w:val="none"/>
                <w:shd w:val="clear" w:color="auto" w:fill="FFFFFF"/>
              </w:rPr>
            </w:pPr>
          </w:p>
        </w:tc>
        <w:tc>
          <w:tcPr>
            <w:tcW w:w="1260" w:type="dxa"/>
            <w:tcBorders>
              <w:top w:val="single" w:color="auto" w:sz="4" w:space="0"/>
              <w:left w:val="single" w:color="auto" w:sz="4" w:space="0"/>
              <w:bottom w:val="single" w:color="auto" w:sz="4" w:space="0"/>
              <w:right w:val="single" w:color="auto" w:sz="4" w:space="0"/>
            </w:tcBorders>
            <w:vAlign w:val="center"/>
          </w:tcPr>
          <w:p w14:paraId="269461FF">
            <w:pPr>
              <w:pStyle w:val="24"/>
              <w:snapToGrid w:val="0"/>
              <w:spacing w:beforeAutospacing="0" w:afterAutospacing="0"/>
              <w:rPr>
                <w:rFonts w:cs="宋体"/>
                <w:color w:val="auto"/>
                <w:highlight w:val="none"/>
                <w:shd w:val="clear" w:color="auto" w:fill="FFFFFF"/>
              </w:rPr>
            </w:pPr>
          </w:p>
        </w:tc>
      </w:tr>
      <w:tr w14:paraId="06F6F9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1A5F2FC9">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4</w:t>
            </w:r>
          </w:p>
        </w:tc>
        <w:tc>
          <w:tcPr>
            <w:tcW w:w="2955" w:type="dxa"/>
            <w:tcBorders>
              <w:top w:val="single" w:color="auto" w:sz="4" w:space="0"/>
              <w:left w:val="single" w:color="auto" w:sz="4" w:space="0"/>
              <w:bottom w:val="single" w:color="auto" w:sz="4" w:space="0"/>
              <w:right w:val="single" w:color="auto" w:sz="4" w:space="0"/>
            </w:tcBorders>
            <w:vAlign w:val="center"/>
          </w:tcPr>
          <w:p w14:paraId="1F1C0BCD">
            <w:pPr>
              <w:pStyle w:val="24"/>
              <w:snapToGrid w:val="0"/>
              <w:spacing w:beforeAutospacing="0" w:afterAutospacing="0"/>
              <w:jc w:val="center"/>
              <w:rPr>
                <w:rFonts w:cs="宋体"/>
                <w:color w:val="auto"/>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5783A861">
            <w:pPr>
              <w:pStyle w:val="24"/>
              <w:snapToGrid w:val="0"/>
              <w:spacing w:beforeAutospacing="0" w:afterAutospacing="0"/>
              <w:jc w:val="center"/>
              <w:rPr>
                <w:rFonts w:cs="宋体"/>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30064335">
            <w:pPr>
              <w:pStyle w:val="24"/>
              <w:snapToGrid w:val="0"/>
              <w:spacing w:beforeAutospacing="0" w:afterAutospacing="0"/>
              <w:rPr>
                <w:rFonts w:cs="宋体"/>
                <w:color w:val="auto"/>
                <w:highlight w:val="none"/>
                <w:shd w:val="clear" w:color="auto" w:fill="FFFFFF"/>
              </w:rPr>
            </w:pPr>
          </w:p>
        </w:tc>
        <w:tc>
          <w:tcPr>
            <w:tcW w:w="1260" w:type="dxa"/>
            <w:tcBorders>
              <w:top w:val="single" w:color="auto" w:sz="4" w:space="0"/>
              <w:left w:val="single" w:color="auto" w:sz="4" w:space="0"/>
              <w:bottom w:val="single" w:color="auto" w:sz="4" w:space="0"/>
              <w:right w:val="single" w:color="auto" w:sz="4" w:space="0"/>
            </w:tcBorders>
            <w:vAlign w:val="center"/>
          </w:tcPr>
          <w:p w14:paraId="56048D64">
            <w:pPr>
              <w:pStyle w:val="24"/>
              <w:snapToGrid w:val="0"/>
              <w:spacing w:beforeAutospacing="0" w:afterAutospacing="0"/>
              <w:rPr>
                <w:rFonts w:cs="宋体"/>
                <w:color w:val="auto"/>
                <w:highlight w:val="none"/>
                <w:shd w:val="clear" w:color="auto" w:fill="FFFFFF"/>
              </w:rPr>
            </w:pPr>
          </w:p>
        </w:tc>
      </w:tr>
      <w:tr w14:paraId="0E3291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7519D792">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5</w:t>
            </w:r>
          </w:p>
        </w:tc>
        <w:tc>
          <w:tcPr>
            <w:tcW w:w="2955" w:type="dxa"/>
            <w:tcBorders>
              <w:top w:val="single" w:color="auto" w:sz="4" w:space="0"/>
              <w:left w:val="single" w:color="auto" w:sz="4" w:space="0"/>
              <w:bottom w:val="single" w:color="auto" w:sz="4" w:space="0"/>
              <w:right w:val="single" w:color="auto" w:sz="4" w:space="0"/>
            </w:tcBorders>
            <w:vAlign w:val="center"/>
          </w:tcPr>
          <w:p w14:paraId="695666B4">
            <w:pPr>
              <w:pStyle w:val="24"/>
              <w:snapToGrid w:val="0"/>
              <w:spacing w:beforeAutospacing="0" w:afterAutospacing="0"/>
              <w:jc w:val="center"/>
              <w:rPr>
                <w:rFonts w:cs="宋体"/>
                <w:color w:val="auto"/>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24F6622C">
            <w:pPr>
              <w:pStyle w:val="24"/>
              <w:snapToGrid w:val="0"/>
              <w:spacing w:beforeAutospacing="0" w:afterAutospacing="0"/>
              <w:jc w:val="center"/>
              <w:rPr>
                <w:rFonts w:cs="宋体"/>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2EE982DC">
            <w:pPr>
              <w:pStyle w:val="24"/>
              <w:snapToGrid w:val="0"/>
              <w:spacing w:beforeAutospacing="0" w:afterAutospacing="0"/>
              <w:rPr>
                <w:rFonts w:cs="宋体"/>
                <w:color w:val="auto"/>
                <w:highlight w:val="none"/>
                <w:shd w:val="clear" w:color="auto" w:fill="FFFFFF"/>
              </w:rPr>
            </w:pPr>
          </w:p>
        </w:tc>
        <w:tc>
          <w:tcPr>
            <w:tcW w:w="1260" w:type="dxa"/>
            <w:tcBorders>
              <w:top w:val="single" w:color="auto" w:sz="4" w:space="0"/>
              <w:left w:val="single" w:color="auto" w:sz="4" w:space="0"/>
              <w:bottom w:val="single" w:color="auto" w:sz="4" w:space="0"/>
              <w:right w:val="single" w:color="auto" w:sz="4" w:space="0"/>
            </w:tcBorders>
            <w:vAlign w:val="center"/>
          </w:tcPr>
          <w:p w14:paraId="37DC3BBD">
            <w:pPr>
              <w:pStyle w:val="24"/>
              <w:snapToGrid w:val="0"/>
              <w:spacing w:beforeAutospacing="0" w:afterAutospacing="0"/>
              <w:rPr>
                <w:rFonts w:cs="宋体"/>
                <w:color w:val="auto"/>
                <w:highlight w:val="none"/>
                <w:shd w:val="clear" w:color="auto" w:fill="FFFFFF"/>
              </w:rPr>
            </w:pPr>
          </w:p>
        </w:tc>
      </w:tr>
      <w:tr w14:paraId="141E08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32D49AE0">
            <w:pPr>
              <w:pStyle w:val="24"/>
              <w:snapToGrid w:val="0"/>
              <w:spacing w:beforeAutospacing="0" w:afterAutospacing="0"/>
              <w:jc w:val="center"/>
              <w:rPr>
                <w:rFonts w:cs="宋体"/>
                <w:color w:val="auto"/>
                <w:highlight w:val="none"/>
              </w:rPr>
            </w:pPr>
            <w:r>
              <w:rPr>
                <w:rFonts w:hint="eastAsia" w:cs="宋体"/>
                <w:color w:val="auto"/>
                <w:highlight w:val="none"/>
                <w:shd w:val="clear" w:color="auto" w:fill="FFFFFF"/>
              </w:rPr>
              <w:t>6</w:t>
            </w:r>
          </w:p>
        </w:tc>
        <w:tc>
          <w:tcPr>
            <w:tcW w:w="2955" w:type="dxa"/>
            <w:tcBorders>
              <w:top w:val="single" w:color="auto" w:sz="4" w:space="0"/>
              <w:left w:val="single" w:color="auto" w:sz="4" w:space="0"/>
              <w:bottom w:val="single" w:color="auto" w:sz="4" w:space="0"/>
              <w:right w:val="single" w:color="auto" w:sz="4" w:space="0"/>
            </w:tcBorders>
            <w:vAlign w:val="center"/>
          </w:tcPr>
          <w:p w14:paraId="2FDC73FB">
            <w:pPr>
              <w:pStyle w:val="24"/>
              <w:snapToGrid w:val="0"/>
              <w:spacing w:beforeAutospacing="0" w:afterAutospacing="0"/>
              <w:jc w:val="center"/>
              <w:rPr>
                <w:rFonts w:cs="宋体"/>
                <w:color w:val="auto"/>
                <w:highlight w:val="none"/>
              </w:rPr>
            </w:pPr>
          </w:p>
        </w:tc>
        <w:tc>
          <w:tcPr>
            <w:tcW w:w="1698" w:type="dxa"/>
            <w:tcBorders>
              <w:top w:val="single" w:color="auto" w:sz="4" w:space="0"/>
              <w:left w:val="single" w:color="auto" w:sz="4" w:space="0"/>
              <w:bottom w:val="single" w:color="auto" w:sz="4" w:space="0"/>
              <w:right w:val="single" w:color="auto" w:sz="4" w:space="0"/>
            </w:tcBorders>
            <w:vAlign w:val="center"/>
          </w:tcPr>
          <w:p w14:paraId="38B82643">
            <w:pPr>
              <w:pStyle w:val="24"/>
              <w:snapToGrid w:val="0"/>
              <w:spacing w:beforeAutospacing="0" w:afterAutospacing="0"/>
              <w:jc w:val="center"/>
              <w:rPr>
                <w:rFonts w:cs="宋体"/>
                <w:color w:val="auto"/>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4D8A4177">
            <w:pPr>
              <w:pStyle w:val="24"/>
              <w:snapToGrid w:val="0"/>
              <w:spacing w:beforeAutospacing="0" w:afterAutospacing="0"/>
              <w:rPr>
                <w:rFonts w:cs="宋体"/>
                <w:color w:val="auto"/>
                <w:highlight w:val="none"/>
                <w:shd w:val="clear" w:color="auto" w:fill="FFFFFF"/>
              </w:rPr>
            </w:pPr>
          </w:p>
        </w:tc>
        <w:tc>
          <w:tcPr>
            <w:tcW w:w="1260" w:type="dxa"/>
            <w:tcBorders>
              <w:top w:val="single" w:color="auto" w:sz="4" w:space="0"/>
              <w:left w:val="single" w:color="auto" w:sz="4" w:space="0"/>
              <w:bottom w:val="single" w:color="auto" w:sz="4" w:space="0"/>
              <w:right w:val="single" w:color="auto" w:sz="4" w:space="0"/>
            </w:tcBorders>
            <w:vAlign w:val="center"/>
          </w:tcPr>
          <w:p w14:paraId="4F237C09">
            <w:pPr>
              <w:pStyle w:val="24"/>
              <w:snapToGrid w:val="0"/>
              <w:spacing w:beforeAutospacing="0" w:afterAutospacing="0"/>
              <w:rPr>
                <w:rFonts w:cs="宋体"/>
                <w:color w:val="auto"/>
                <w:highlight w:val="none"/>
                <w:shd w:val="clear" w:color="auto" w:fill="FFFFFF"/>
              </w:rPr>
            </w:pPr>
          </w:p>
        </w:tc>
      </w:tr>
    </w:tbl>
    <w:p w14:paraId="4794E45E">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7E77C556">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1.本表为《开标一览表》的报价明细表，如有缺项、漏项，视为投标报价中已包含相关费用，采购单位无需另外支付任何费用。</w:t>
      </w:r>
    </w:p>
    <w:p w14:paraId="200D4C4F">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投标报价明细表所填内容按</w:t>
      </w:r>
      <w:r>
        <w:rPr>
          <w:rFonts w:hint="eastAsia" w:ascii="宋体" w:hAnsi="宋体" w:cs="宋体"/>
          <w:color w:val="auto"/>
          <w:sz w:val="24"/>
          <w:szCs w:val="32"/>
          <w:highlight w:val="none"/>
        </w:rPr>
        <w:t>磋商</w:t>
      </w:r>
      <w:r>
        <w:rPr>
          <w:rFonts w:hint="eastAsia" w:ascii="宋体" w:hAnsi="宋体" w:cs="宋体"/>
          <w:color w:val="auto"/>
          <w:sz w:val="24"/>
          <w:szCs w:val="32"/>
          <w:highlight w:val="none"/>
          <w:lang w:val="zh-CN"/>
        </w:rPr>
        <w:t>文件采购要求为准。如有漏报的，视同已包含在投标总价内或已作优惠处理。有重大缺项的将作无效标处理。</w:t>
      </w:r>
    </w:p>
    <w:p w14:paraId="7A586E25">
      <w:pPr>
        <w:spacing w:line="480" w:lineRule="auto"/>
        <w:rPr>
          <w:rFonts w:ascii="宋体" w:hAnsi="宋体" w:cs="宋体"/>
          <w:color w:val="auto"/>
          <w:sz w:val="24"/>
          <w:highlight w:val="none"/>
        </w:rPr>
      </w:pPr>
    </w:p>
    <w:p w14:paraId="720ECDF2">
      <w:pP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2250EC07">
      <w:pPr>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35B0B85">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34F458D6">
      <w:pPr>
        <w:spacing w:line="480" w:lineRule="auto"/>
        <w:rPr>
          <w:rFonts w:ascii="宋体" w:hAnsi="宋体" w:cs="宋体"/>
          <w:color w:val="auto"/>
          <w:sz w:val="24"/>
          <w:highlight w:val="none"/>
        </w:rPr>
      </w:pPr>
    </w:p>
    <w:p w14:paraId="4CC6E2F9">
      <w:pPr>
        <w:spacing w:line="480" w:lineRule="auto"/>
        <w:rPr>
          <w:rFonts w:ascii="宋体" w:hAnsi="宋体" w:cs="宋体"/>
          <w:color w:val="auto"/>
          <w:sz w:val="24"/>
          <w:highlight w:val="none"/>
        </w:rPr>
      </w:pPr>
    </w:p>
    <w:p w14:paraId="5CA715E8">
      <w:pPr>
        <w:spacing w:line="360" w:lineRule="auto"/>
        <w:rPr>
          <w:rFonts w:hint="eastAsia" w:ascii="宋体" w:hAnsi="宋体" w:cs="宋体"/>
          <w:b/>
          <w:color w:val="auto"/>
          <w:sz w:val="28"/>
          <w:highlight w:val="none"/>
        </w:rPr>
      </w:pPr>
    </w:p>
    <w:p w14:paraId="021025CE">
      <w:pPr>
        <w:spacing w:line="360" w:lineRule="auto"/>
        <w:rPr>
          <w:rFonts w:hint="eastAsia" w:ascii="宋体" w:hAnsi="宋体" w:cs="宋体"/>
          <w:b/>
          <w:color w:val="auto"/>
          <w:sz w:val="28"/>
          <w:highlight w:val="none"/>
        </w:rPr>
      </w:pPr>
    </w:p>
    <w:p w14:paraId="467B3F56">
      <w:pP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附件18</w:t>
      </w:r>
      <w:r>
        <w:rPr>
          <w:rFonts w:hint="eastAsia" w:ascii="宋体" w:hAnsi="宋体" w:cs="宋体"/>
          <w:b/>
          <w:color w:val="auto"/>
          <w:sz w:val="28"/>
          <w:highlight w:val="none"/>
          <w:lang w:val="en-US" w:eastAsia="zh-CN"/>
        </w:rPr>
        <w:t xml:space="preserve">                                           标项：</w:t>
      </w:r>
    </w:p>
    <w:p w14:paraId="7B65E85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446FAE11">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rPr>
        <w:t>（单位名称）</w:t>
      </w:r>
      <w:r>
        <w:rPr>
          <w:rFonts w:hint="eastAsia" w:ascii="宋体" w:hAnsi="宋体" w:cs="宋体"/>
          <w:bCs/>
          <w:color w:val="auto"/>
          <w:sz w:val="24"/>
          <w:highlight w:val="none"/>
        </w:rPr>
        <w:t>的</w:t>
      </w:r>
      <w:r>
        <w:rPr>
          <w:rFonts w:hint="eastAsia" w:ascii="宋体" w:hAnsi="宋体" w:cs="宋体"/>
          <w:bCs/>
          <w:color w:val="auto"/>
          <w:sz w:val="24"/>
          <w:highlight w:val="none"/>
          <w:u w:val="single"/>
        </w:rPr>
        <w:t>（项目名称）</w:t>
      </w:r>
      <w:r>
        <w:rPr>
          <w:rFonts w:hint="eastAsia" w:ascii="宋体" w:hAnsi="宋体" w:cs="宋体"/>
          <w:bCs/>
          <w:color w:val="auto"/>
          <w:sz w:val="24"/>
          <w:highlight w:val="none"/>
        </w:rPr>
        <w:t>采购活动，工程的施工单位全部为符合政策要求的中小企业（或者：服务全部由符合政策要求的中小企业承接）。相关企业的具体情况如下：</w:t>
      </w:r>
    </w:p>
    <w:p w14:paraId="4C967EB1">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5"/>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18F031C9">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3FB1F437">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w:t>
      </w:r>
    </w:p>
    <w:p w14:paraId="2EBBA218">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24FA7620">
      <w:p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2CA8CC47">
      <w:pPr>
        <w:spacing w:line="360" w:lineRule="auto"/>
        <w:jc w:val="left"/>
        <w:rPr>
          <w:rFonts w:ascii="宋体" w:hAnsi="宋体" w:cs="宋体"/>
          <w:bCs/>
          <w:color w:val="auto"/>
          <w:sz w:val="24"/>
          <w:highlight w:val="none"/>
        </w:rPr>
      </w:pPr>
    </w:p>
    <w:p w14:paraId="5CF762E3">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企业名称（盖章）：</w:t>
      </w:r>
    </w:p>
    <w:p w14:paraId="2BDD97E8">
      <w:pPr>
        <w:spacing w:line="360" w:lineRule="auto"/>
        <w:ind w:firstLine="4800" w:firstLineChars="2000"/>
        <w:jc w:val="left"/>
        <w:rPr>
          <w:rFonts w:ascii="宋体" w:hAnsi="宋体" w:cs="宋体"/>
          <w:bCs/>
          <w:color w:val="auto"/>
          <w:sz w:val="24"/>
          <w:highlight w:val="none"/>
        </w:rPr>
      </w:pPr>
      <w:r>
        <w:rPr>
          <w:rFonts w:hint="eastAsia" w:ascii="宋体" w:hAnsi="宋体" w:cs="宋体"/>
          <w:bCs/>
          <w:color w:val="auto"/>
          <w:sz w:val="24"/>
          <w:highlight w:val="none"/>
        </w:rPr>
        <w:t>日 期：</w:t>
      </w:r>
    </w:p>
    <w:p w14:paraId="3A229880">
      <w:pPr>
        <w:spacing w:line="360" w:lineRule="auto"/>
        <w:jc w:val="left"/>
        <w:rPr>
          <w:rFonts w:ascii="宋体" w:hAnsi="宋体" w:cs="宋体"/>
          <w:bCs/>
          <w:color w:val="auto"/>
          <w:sz w:val="24"/>
          <w:highlight w:val="none"/>
        </w:rPr>
      </w:pPr>
    </w:p>
    <w:p w14:paraId="7B234ABE">
      <w:pPr>
        <w:pStyle w:val="13"/>
        <w:spacing w:line="360" w:lineRule="auto"/>
        <w:jc w:val="center"/>
        <w:outlineLvl w:val="1"/>
        <w:rPr>
          <w:rFonts w:hint="eastAsia" w:hAnsi="宋体" w:cs="宋体"/>
          <w:b/>
          <w:color w:val="auto"/>
          <w:sz w:val="32"/>
          <w:szCs w:val="32"/>
          <w:highlight w:val="none"/>
          <w:lang w:val="en-GB"/>
        </w:rPr>
      </w:pPr>
    </w:p>
    <w:p w14:paraId="3FEF9DE7">
      <w:pPr>
        <w:pStyle w:val="13"/>
        <w:spacing w:line="360" w:lineRule="auto"/>
        <w:jc w:val="center"/>
        <w:outlineLvl w:val="1"/>
        <w:rPr>
          <w:rFonts w:hint="eastAsia" w:hAnsi="宋体" w:cs="宋体"/>
          <w:b/>
          <w:color w:val="auto"/>
          <w:sz w:val="32"/>
          <w:szCs w:val="32"/>
          <w:highlight w:val="none"/>
          <w:lang w:val="en-GB"/>
        </w:rPr>
      </w:pPr>
    </w:p>
    <w:p w14:paraId="02CCBC65">
      <w:pPr>
        <w:pStyle w:val="13"/>
        <w:spacing w:line="360" w:lineRule="auto"/>
        <w:jc w:val="center"/>
        <w:outlineLvl w:val="1"/>
        <w:rPr>
          <w:rFonts w:hint="eastAsia" w:hAnsi="宋体" w:cs="宋体"/>
          <w:b/>
          <w:color w:val="auto"/>
          <w:sz w:val="32"/>
          <w:szCs w:val="32"/>
          <w:highlight w:val="none"/>
          <w:lang w:val="en-GB"/>
        </w:rPr>
      </w:pPr>
    </w:p>
    <w:p w14:paraId="494DF7D9">
      <w:pPr>
        <w:pStyle w:val="13"/>
        <w:spacing w:line="360" w:lineRule="auto"/>
        <w:jc w:val="center"/>
        <w:outlineLvl w:val="1"/>
        <w:rPr>
          <w:rFonts w:hint="eastAsia" w:hAnsi="宋体" w:cs="宋体"/>
          <w:b/>
          <w:color w:val="auto"/>
          <w:sz w:val="32"/>
          <w:szCs w:val="32"/>
          <w:highlight w:val="none"/>
          <w:lang w:val="en-GB"/>
        </w:rPr>
      </w:pPr>
    </w:p>
    <w:p w14:paraId="0D73A587">
      <w:pPr>
        <w:pStyle w:val="13"/>
        <w:spacing w:line="360" w:lineRule="auto"/>
        <w:jc w:val="center"/>
        <w:outlineLvl w:val="1"/>
        <w:rPr>
          <w:rFonts w:hint="eastAsia" w:hAnsi="宋体" w:cs="宋体"/>
          <w:b/>
          <w:color w:val="auto"/>
          <w:sz w:val="32"/>
          <w:szCs w:val="32"/>
          <w:highlight w:val="none"/>
          <w:lang w:val="en-GB"/>
        </w:rPr>
      </w:pPr>
    </w:p>
    <w:p w14:paraId="03B5EED1">
      <w:pPr>
        <w:pStyle w:val="13"/>
        <w:spacing w:line="360" w:lineRule="auto"/>
        <w:jc w:val="center"/>
        <w:outlineLvl w:val="1"/>
        <w:rPr>
          <w:rFonts w:hint="eastAsia" w:hAnsi="宋体" w:cs="宋体"/>
          <w:b/>
          <w:color w:val="auto"/>
          <w:sz w:val="32"/>
          <w:szCs w:val="32"/>
          <w:highlight w:val="none"/>
          <w:lang w:val="en-GB"/>
        </w:rPr>
      </w:pPr>
    </w:p>
    <w:p w14:paraId="13DCA22D">
      <w:pPr>
        <w:pStyle w:val="13"/>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14:paraId="0F6F18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347C9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723FA00">
      <w:pPr>
        <w:spacing w:line="360" w:lineRule="auto"/>
        <w:ind w:firstLine="480" w:firstLineChars="200"/>
        <w:rPr>
          <w:rFonts w:ascii="宋体" w:hAnsi="宋体" w:cs="宋体"/>
          <w:color w:val="auto"/>
          <w:sz w:val="24"/>
          <w:highlight w:val="none"/>
        </w:rPr>
      </w:pPr>
    </w:p>
    <w:p w14:paraId="6917B4D9">
      <w:pPr>
        <w:spacing w:line="360" w:lineRule="auto"/>
        <w:ind w:firstLine="2880" w:firstLineChars="1200"/>
        <w:rPr>
          <w:rFonts w:ascii="宋体" w:hAnsi="宋体" w:cs="宋体"/>
          <w:color w:val="auto"/>
          <w:sz w:val="24"/>
          <w:szCs w:val="32"/>
          <w:highlight w:val="none"/>
        </w:rPr>
      </w:pPr>
      <w:r>
        <w:rPr>
          <w:rFonts w:hint="eastAsia" w:ascii="宋体" w:hAnsi="宋体" w:cs="宋体"/>
          <w:color w:val="auto"/>
          <w:sz w:val="24"/>
          <w:szCs w:val="32"/>
          <w:highlight w:val="none"/>
        </w:rPr>
        <w:t>单位名称（单位公章）：</w:t>
      </w:r>
    </w:p>
    <w:p w14:paraId="4D7FA446">
      <w:pPr>
        <w:pStyle w:val="65"/>
        <w:spacing w:line="360" w:lineRule="auto"/>
        <w:ind w:left="4253" w:leftChars="2025" w:right="360"/>
        <w:jc w:val="right"/>
        <w:rPr>
          <w:rFonts w:ascii="宋体" w:hAnsi="宋体" w:cs="宋体"/>
          <w:color w:val="auto"/>
          <w:sz w:val="24"/>
          <w:highlight w:val="none"/>
        </w:rPr>
      </w:pPr>
      <w:r>
        <w:rPr>
          <w:rFonts w:hint="eastAsia" w:ascii="宋体" w:hAnsi="宋体" w:cs="宋体"/>
          <w:color w:val="auto"/>
          <w:sz w:val="24"/>
          <w:szCs w:val="32"/>
          <w:highlight w:val="none"/>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highlight w:val="none"/>
        </w:rPr>
        <w:t>日</w:t>
      </w:r>
    </w:p>
    <w:p w14:paraId="35C2AE3F">
      <w:pPr>
        <w:pStyle w:val="65"/>
        <w:spacing w:line="360" w:lineRule="auto"/>
        <w:ind w:left="4253" w:leftChars="2025" w:right="360"/>
        <w:jc w:val="right"/>
        <w:rPr>
          <w:rFonts w:ascii="宋体" w:hAnsi="宋体" w:cs="宋体"/>
          <w:color w:val="auto"/>
          <w:sz w:val="24"/>
          <w:highlight w:val="none"/>
        </w:rPr>
      </w:pPr>
    </w:p>
    <w:p w14:paraId="1CBAB551">
      <w:pPr>
        <w:pStyle w:val="65"/>
        <w:spacing w:line="360" w:lineRule="auto"/>
        <w:ind w:left="4253" w:leftChars="2025" w:right="360"/>
        <w:jc w:val="right"/>
        <w:rPr>
          <w:rFonts w:ascii="宋体" w:hAnsi="宋体" w:cs="宋体"/>
          <w:color w:val="auto"/>
          <w:sz w:val="24"/>
          <w:highlight w:val="none"/>
        </w:rPr>
      </w:pPr>
    </w:p>
    <w:p w14:paraId="1722F7FC">
      <w:pPr>
        <w:pStyle w:val="65"/>
        <w:spacing w:line="360" w:lineRule="auto"/>
        <w:ind w:left="4253" w:leftChars="2025" w:right="360"/>
        <w:jc w:val="right"/>
        <w:rPr>
          <w:rFonts w:ascii="宋体" w:hAnsi="宋体" w:cs="宋体"/>
          <w:color w:val="auto"/>
          <w:sz w:val="24"/>
          <w:highlight w:val="none"/>
        </w:rPr>
      </w:pPr>
    </w:p>
    <w:p w14:paraId="28AACE62">
      <w:pPr>
        <w:pStyle w:val="65"/>
        <w:spacing w:line="360" w:lineRule="auto"/>
        <w:ind w:left="4253" w:leftChars="2025" w:right="360"/>
        <w:jc w:val="right"/>
        <w:rPr>
          <w:rFonts w:ascii="宋体" w:hAnsi="宋体" w:cs="宋体"/>
          <w:color w:val="auto"/>
          <w:sz w:val="24"/>
          <w:highlight w:val="none"/>
        </w:rPr>
      </w:pPr>
    </w:p>
    <w:p w14:paraId="318F2B11">
      <w:pPr>
        <w:pStyle w:val="65"/>
        <w:spacing w:line="360" w:lineRule="auto"/>
        <w:ind w:left="4253" w:leftChars="2025" w:right="360"/>
        <w:jc w:val="right"/>
        <w:rPr>
          <w:rFonts w:ascii="宋体" w:hAnsi="宋体" w:cs="宋体"/>
          <w:color w:val="auto"/>
          <w:sz w:val="24"/>
          <w:highlight w:val="none"/>
        </w:rPr>
      </w:pPr>
    </w:p>
    <w:p w14:paraId="7EC7A7F7">
      <w:pPr>
        <w:pStyle w:val="65"/>
        <w:spacing w:line="360" w:lineRule="auto"/>
        <w:ind w:left="4253" w:leftChars="2025" w:right="360"/>
        <w:jc w:val="right"/>
        <w:rPr>
          <w:rFonts w:ascii="宋体" w:hAnsi="宋体" w:cs="宋体"/>
          <w:color w:val="auto"/>
          <w:sz w:val="24"/>
          <w:highlight w:val="none"/>
        </w:rPr>
      </w:pPr>
    </w:p>
    <w:p w14:paraId="487BD616">
      <w:pPr>
        <w:pStyle w:val="65"/>
        <w:spacing w:line="360" w:lineRule="auto"/>
        <w:ind w:left="4253" w:leftChars="2025" w:right="360"/>
        <w:jc w:val="right"/>
        <w:rPr>
          <w:rFonts w:ascii="宋体" w:hAnsi="宋体" w:cs="宋体"/>
          <w:color w:val="auto"/>
          <w:sz w:val="24"/>
          <w:highlight w:val="none"/>
        </w:rPr>
      </w:pPr>
    </w:p>
    <w:p w14:paraId="72E68605">
      <w:pPr>
        <w:pStyle w:val="65"/>
        <w:spacing w:line="360" w:lineRule="auto"/>
        <w:ind w:left="4253" w:leftChars="2025" w:right="360"/>
        <w:jc w:val="right"/>
        <w:rPr>
          <w:rFonts w:ascii="宋体" w:hAnsi="宋体" w:cs="宋体"/>
          <w:color w:val="auto"/>
          <w:sz w:val="24"/>
          <w:highlight w:val="none"/>
        </w:rPr>
      </w:pPr>
    </w:p>
    <w:p w14:paraId="762DB6D6">
      <w:pPr>
        <w:pStyle w:val="65"/>
        <w:spacing w:line="360" w:lineRule="auto"/>
        <w:ind w:left="4253" w:leftChars="2025" w:right="360"/>
        <w:jc w:val="right"/>
        <w:rPr>
          <w:rFonts w:ascii="宋体" w:hAnsi="宋体" w:cs="宋体"/>
          <w:color w:val="auto"/>
          <w:sz w:val="24"/>
          <w:highlight w:val="none"/>
        </w:rPr>
      </w:pPr>
    </w:p>
    <w:p w14:paraId="169C9E4D">
      <w:pPr>
        <w:pStyle w:val="65"/>
        <w:spacing w:line="360" w:lineRule="auto"/>
        <w:ind w:left="4253" w:leftChars="2025" w:right="360"/>
        <w:jc w:val="right"/>
        <w:rPr>
          <w:rFonts w:ascii="宋体" w:hAnsi="宋体" w:cs="宋体"/>
          <w:color w:val="auto"/>
          <w:sz w:val="24"/>
          <w:highlight w:val="none"/>
        </w:rPr>
      </w:pPr>
    </w:p>
    <w:p w14:paraId="761EFB10">
      <w:pPr>
        <w:pStyle w:val="65"/>
        <w:spacing w:line="360" w:lineRule="auto"/>
        <w:ind w:left="4253" w:leftChars="2025" w:right="360"/>
        <w:jc w:val="right"/>
        <w:rPr>
          <w:rFonts w:ascii="宋体" w:hAnsi="宋体" w:cs="宋体"/>
          <w:color w:val="auto"/>
          <w:sz w:val="24"/>
          <w:highlight w:val="none"/>
        </w:rPr>
      </w:pPr>
    </w:p>
    <w:p w14:paraId="65F8D1F0">
      <w:pPr>
        <w:pStyle w:val="65"/>
        <w:spacing w:line="360" w:lineRule="auto"/>
        <w:ind w:left="4253" w:leftChars="2025" w:right="360"/>
        <w:jc w:val="right"/>
        <w:rPr>
          <w:rFonts w:ascii="宋体" w:hAnsi="宋体" w:cs="宋体"/>
          <w:color w:val="auto"/>
          <w:sz w:val="24"/>
          <w:highlight w:val="none"/>
        </w:rPr>
      </w:pPr>
    </w:p>
    <w:p w14:paraId="5998A1F0">
      <w:pPr>
        <w:spacing w:line="420" w:lineRule="exact"/>
        <w:rPr>
          <w:rFonts w:hint="eastAsia" w:ascii="宋体" w:hAnsi="宋体" w:cs="宋体"/>
          <w:b/>
          <w:bCs/>
          <w:color w:val="auto"/>
          <w:sz w:val="28"/>
          <w:szCs w:val="36"/>
          <w:highlight w:val="none"/>
          <w:lang w:val="en-GB"/>
        </w:rPr>
      </w:pPr>
    </w:p>
    <w:p w14:paraId="405F0B76">
      <w:pPr>
        <w:spacing w:line="420" w:lineRule="exact"/>
        <w:rPr>
          <w:rFonts w:hint="eastAsia" w:ascii="宋体" w:hAnsi="宋体" w:cs="宋体"/>
          <w:b/>
          <w:bCs/>
          <w:color w:val="auto"/>
          <w:sz w:val="28"/>
          <w:szCs w:val="36"/>
          <w:highlight w:val="none"/>
          <w:lang w:val="en-GB"/>
        </w:rPr>
      </w:pPr>
    </w:p>
    <w:p w14:paraId="7C1DACD2">
      <w:pPr>
        <w:spacing w:line="420" w:lineRule="exact"/>
        <w:rPr>
          <w:rFonts w:hint="eastAsia" w:ascii="宋体" w:hAnsi="宋体" w:cs="宋体"/>
          <w:b/>
          <w:bCs/>
          <w:color w:val="auto"/>
          <w:sz w:val="28"/>
          <w:szCs w:val="36"/>
          <w:highlight w:val="none"/>
          <w:lang w:val="en-GB"/>
        </w:rPr>
      </w:pPr>
    </w:p>
    <w:p w14:paraId="12057027">
      <w:pPr>
        <w:spacing w:line="420" w:lineRule="exact"/>
        <w:rPr>
          <w:rFonts w:hint="eastAsia" w:ascii="宋体" w:hAnsi="宋体" w:cs="宋体"/>
          <w:b/>
          <w:bCs/>
          <w:color w:val="auto"/>
          <w:sz w:val="28"/>
          <w:szCs w:val="36"/>
          <w:highlight w:val="none"/>
          <w:lang w:val="en-GB"/>
        </w:rPr>
      </w:pPr>
    </w:p>
    <w:p w14:paraId="45F52D45">
      <w:pPr>
        <w:spacing w:line="420" w:lineRule="exact"/>
        <w:rPr>
          <w:rFonts w:hint="eastAsia" w:ascii="宋体" w:hAnsi="宋体" w:cs="宋体"/>
          <w:b/>
          <w:bCs/>
          <w:color w:val="auto"/>
          <w:sz w:val="28"/>
          <w:szCs w:val="36"/>
          <w:highlight w:val="none"/>
          <w:lang w:val="en-GB"/>
        </w:rPr>
      </w:pPr>
    </w:p>
    <w:p w14:paraId="6EEA84E8">
      <w:pPr>
        <w:spacing w:line="420" w:lineRule="exact"/>
        <w:rPr>
          <w:rFonts w:hint="eastAsia" w:ascii="宋体" w:hAnsi="宋体" w:cs="宋体"/>
          <w:b/>
          <w:bCs/>
          <w:color w:val="auto"/>
          <w:sz w:val="28"/>
          <w:szCs w:val="36"/>
          <w:highlight w:val="none"/>
          <w:lang w:val="en-GB"/>
        </w:rPr>
      </w:pPr>
    </w:p>
    <w:p w14:paraId="480E947D">
      <w:pPr>
        <w:spacing w:line="420" w:lineRule="exact"/>
        <w:rPr>
          <w:rFonts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20305E1E">
      <w:pPr>
        <w:spacing w:line="420" w:lineRule="exact"/>
        <w:rPr>
          <w:rFonts w:ascii="宋体" w:hAnsi="宋体" w:cs="宋体"/>
          <w:color w:val="auto"/>
          <w:sz w:val="24"/>
          <w:highlight w:val="none"/>
        </w:rPr>
      </w:pPr>
      <w:r>
        <w:rPr>
          <w:rFonts w:hint="eastAsia" w:ascii="宋体" w:hAnsi="宋体" w:cs="宋体"/>
          <w:color w:val="auto"/>
          <w:sz w:val="24"/>
          <w:highlight w:val="none"/>
          <w:u w:val="single"/>
          <w:lang w:eastAsia="zh-CN"/>
        </w:rPr>
        <w:t>浙江五石中正工程咨询有限公司</w:t>
      </w:r>
      <w:r>
        <w:rPr>
          <w:rFonts w:hint="eastAsia" w:ascii="宋体" w:hAnsi="宋体" w:cs="宋体"/>
          <w:color w:val="auto"/>
          <w:sz w:val="24"/>
          <w:highlight w:val="none"/>
        </w:rPr>
        <w:t>（采购组织机构名称）：</w:t>
      </w:r>
    </w:p>
    <w:p w14:paraId="49AF2A90">
      <w:pPr>
        <w:spacing w:line="42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系统平台升级改造项目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color w:val="auto"/>
          <w:sz w:val="24"/>
          <w:highlight w:val="none"/>
          <w:u w:val="single"/>
          <w:lang w:val="en-US" w:eastAsia="zh-CN"/>
        </w:rPr>
        <w:t>ZJWS2025-JJ226</w:t>
      </w:r>
      <w:r>
        <w:rPr>
          <w:rFonts w:hint="eastAsia" w:ascii="宋体" w:hAnsi="宋体" w:cs="宋体"/>
          <w:color w:val="auto"/>
          <w:sz w:val="24"/>
          <w:highlight w:val="none"/>
          <w:lang w:val="zh-CN"/>
        </w:rPr>
        <w:t>）政府采购活动，经与本单位法人代表（负责人）联系确认，现就有关公平竞争事项郑重声明如下：</w:t>
      </w:r>
    </w:p>
    <w:p w14:paraId="1B524AAE">
      <w:pPr>
        <w:spacing w:line="420" w:lineRule="exact"/>
        <w:rPr>
          <w:rFonts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C6992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4540512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5D33830">
      <w:pPr>
        <w:spacing w:line="420" w:lineRule="exact"/>
        <w:rPr>
          <w:rFonts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F65AC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582EB2C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0684D86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0C46DA5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12FEA4C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55417FE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7BF7196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0B2BAF6B">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4CEA2FB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4746E4">
      <w:pPr>
        <w:spacing w:line="420" w:lineRule="exact"/>
        <w:rPr>
          <w:rFonts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555EF84C">
      <w:pPr>
        <w:spacing w:line="420" w:lineRule="exact"/>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0668F72D">
      <w:pPr>
        <w:spacing w:line="420" w:lineRule="exact"/>
        <w:rPr>
          <w:rFonts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0ED8258A">
      <w:pPr>
        <w:spacing w:line="420" w:lineRule="exact"/>
        <w:ind w:firstLine="4819" w:firstLineChars="2000"/>
        <w:rPr>
          <w:rFonts w:ascii="宋体" w:hAnsi="宋体" w:cs="宋体"/>
          <w:b/>
          <w:bCs/>
          <w:color w:val="auto"/>
          <w:sz w:val="24"/>
          <w:highlight w:val="none"/>
        </w:rPr>
      </w:pPr>
      <w:r>
        <w:rPr>
          <w:rFonts w:hint="eastAsia" w:ascii="宋体" w:hAnsi="宋体" w:cs="宋体"/>
          <w:b/>
          <w:bCs/>
          <w:color w:val="auto"/>
          <w:sz w:val="24"/>
          <w:highlight w:val="none"/>
        </w:rPr>
        <w:t>供应商代表签名：</w:t>
      </w:r>
    </w:p>
    <w:p w14:paraId="3465D458">
      <w:pPr>
        <w:spacing w:line="420" w:lineRule="exact"/>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45131641">
      <w:pPr>
        <w:spacing w:line="42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说明：资格及商务技术文件开启后30分钟内，供应商通过邮件形式将经授权代表签署的《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pgSz w:w="11906" w:h="16838"/>
      <w:pgMar w:top="1440" w:right="1803" w:bottom="1440" w:left="1803" w:header="851" w:footer="992"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叶叶相思体简">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F76A8">
    <w:pPr>
      <w:pStyle w:val="17"/>
      <w:framePr w:wrap="auto" w:vAnchor="text" w:hAnchor="margin" w:xAlign="center" w:y="1"/>
      <w:rPr>
        <w:rStyle w:val="32"/>
      </w:rPr>
    </w:pPr>
    <w:r>
      <w:rPr>
        <w:rStyle w:val="32"/>
      </w:rPr>
      <w:fldChar w:fldCharType="begin"/>
    </w:r>
    <w:r>
      <w:rPr>
        <w:rStyle w:val="32"/>
      </w:rPr>
      <w:instrText xml:space="preserve"> PAGE </w:instrText>
    </w:r>
    <w:r>
      <w:rPr>
        <w:rStyle w:val="32"/>
      </w:rPr>
      <w:fldChar w:fldCharType="end"/>
    </w:r>
  </w:p>
  <w:p w14:paraId="3C5512D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A2E1B">
    <w:pPr>
      <w:pStyle w:val="17"/>
      <w:framePr w:wrap="auto" w:vAnchor="text" w:hAnchor="margin" w:xAlign="center" w:y="1"/>
      <w:rPr>
        <w:rStyle w:val="32"/>
      </w:rPr>
    </w:pPr>
    <w:r>
      <w:rPr>
        <w:rStyle w:val="32"/>
      </w:rPr>
      <w:fldChar w:fldCharType="begin"/>
    </w:r>
    <w:r>
      <w:rPr>
        <w:rStyle w:val="32"/>
      </w:rPr>
      <w:instrText xml:space="preserve"> PAGE </w:instrText>
    </w:r>
    <w:r>
      <w:rPr>
        <w:rStyle w:val="32"/>
      </w:rPr>
      <w:fldChar w:fldCharType="separate"/>
    </w:r>
    <w:r>
      <w:rPr>
        <w:rStyle w:val="32"/>
      </w:rPr>
      <w:t>1</w:t>
    </w:r>
    <w:r>
      <w:rPr>
        <w:rStyle w:val="32"/>
      </w:rPr>
      <w:fldChar w:fldCharType="end"/>
    </w:r>
  </w:p>
  <w:p w14:paraId="6C828849">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CD68629">
      <w:pPr>
        <w:pStyle w:val="21"/>
      </w:pPr>
      <w:r>
        <w:rPr>
          <w:rStyle w:val="35"/>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2C7E8">
    <w:pPr>
      <w:spacing w:line="20" w:lineRule="atLeast"/>
      <w:rPr>
        <w:b/>
        <w:color w:val="000000"/>
        <w:sz w:val="10"/>
        <w:u w:val="single"/>
        <w:lang w:val="en"/>
      </w:rPr>
    </w:pPr>
    <w:r>
      <w:rPr>
        <w:rFonts w:hint="eastAsia"/>
        <w:b/>
        <w:iCs/>
        <w:color w:val="000000"/>
        <w:kern w:val="0"/>
        <w:sz w:val="18"/>
        <w:u w:val="single"/>
      </w:rPr>
      <w:t>台州市政府采购电子竞争性磋商文件</w:t>
    </w:r>
    <w:r>
      <w:rPr>
        <w:b/>
        <w:iCs/>
        <w:color w:val="000000"/>
        <w:kern w:val="0"/>
        <w:sz w:val="18"/>
        <w:u w:val="single"/>
      </w:rPr>
      <w:t xml:space="preserve">   </w:t>
    </w:r>
    <w:r>
      <w:rPr>
        <w:rFonts w:hint="eastAsia"/>
        <w:b/>
        <w:iCs/>
        <w:color w:val="000000"/>
        <w:kern w:val="0"/>
        <w:sz w:val="18"/>
        <w:u w:val="single"/>
      </w:rPr>
      <w:t xml:space="preserve">       </w:t>
    </w:r>
    <w:r>
      <w:rPr>
        <w:b/>
        <w:iCs/>
        <w:color w:val="000000"/>
        <w:kern w:val="0"/>
        <w:sz w:val="18"/>
        <w:u w:val="single"/>
      </w:rPr>
      <w:t xml:space="preserve">                                     </w:t>
    </w:r>
    <w:r>
      <w:rPr>
        <w:b/>
        <w:iCs/>
        <w:color w:val="000000"/>
        <w:kern w:val="0"/>
        <w:sz w:val="18"/>
        <w:u w:val="single"/>
        <w:lang w:val="en"/>
      </w:rPr>
      <w:t xml:space="preserve"> </w:t>
    </w:r>
    <w:r>
      <w:rPr>
        <w:rFonts w:hint="eastAsia"/>
        <w:b/>
        <w:iCs/>
        <w:color w:val="000000"/>
        <w:kern w:val="0"/>
        <w:sz w:val="18"/>
        <w:u w:val="single"/>
      </w:rPr>
      <w:t xml:space="preserve"> </w:t>
    </w:r>
    <w:r>
      <w:rPr>
        <w:rFonts w:hint="eastAsia"/>
        <w:b/>
        <w:iCs/>
        <w:color w:val="000000"/>
        <w:spacing w:val="-20"/>
        <w:kern w:val="0"/>
        <w:sz w:val="18"/>
        <w:u w:val="single"/>
      </w:rPr>
      <w:t>第</w:t>
    </w:r>
    <w:r>
      <w:rPr>
        <w:b/>
        <w:iCs/>
        <w:color w:val="000000"/>
        <w:spacing w:val="-20"/>
        <w:kern w:val="0"/>
        <w:sz w:val="18"/>
        <w:u w:val="single"/>
      </w:rPr>
      <w:fldChar w:fldCharType="begin"/>
    </w:r>
    <w:r>
      <w:rPr>
        <w:b/>
        <w:iCs/>
        <w:color w:val="000000"/>
        <w:spacing w:val="-20"/>
        <w:kern w:val="0"/>
        <w:sz w:val="18"/>
        <w:u w:val="single"/>
      </w:rPr>
      <w:instrText xml:space="preserve"> PAGE </w:instrText>
    </w:r>
    <w:r>
      <w:rPr>
        <w:b/>
        <w:iCs/>
        <w:color w:val="000000"/>
        <w:spacing w:val="-20"/>
        <w:kern w:val="0"/>
        <w:sz w:val="18"/>
        <w:u w:val="single"/>
      </w:rPr>
      <w:fldChar w:fldCharType="separate"/>
    </w:r>
    <w:r>
      <w:rPr>
        <w:b/>
        <w:iCs/>
        <w:color w:val="000000"/>
        <w:spacing w:val="-20"/>
        <w:kern w:val="0"/>
        <w:sz w:val="18"/>
        <w:u w:val="single"/>
      </w:rPr>
      <w:t>1</w:t>
    </w:r>
    <w:r>
      <w:rPr>
        <w:b/>
        <w:iCs/>
        <w:color w:val="000000"/>
        <w:spacing w:val="-20"/>
        <w:kern w:val="0"/>
        <w:sz w:val="18"/>
        <w:u w:val="single"/>
      </w:rPr>
      <w:fldChar w:fldCharType="end"/>
    </w:r>
    <w:r>
      <w:rPr>
        <w:rFonts w:hint="eastAsia"/>
        <w:b/>
        <w:iCs/>
        <w:color w:val="000000"/>
        <w:spacing w:val="-20"/>
        <w:kern w:val="0"/>
        <w:sz w:val="18"/>
        <w:u w:val="single"/>
      </w:rPr>
      <w:t>页共</w:t>
    </w:r>
    <w:r>
      <w:rPr>
        <w:b/>
        <w:iCs/>
        <w:color w:val="000000"/>
        <w:spacing w:val="-20"/>
        <w:kern w:val="0"/>
        <w:sz w:val="18"/>
        <w:u w:val="single"/>
      </w:rPr>
      <w:fldChar w:fldCharType="begin"/>
    </w:r>
    <w:r>
      <w:rPr>
        <w:b/>
        <w:iCs/>
        <w:color w:val="000000"/>
        <w:spacing w:val="-20"/>
        <w:kern w:val="0"/>
        <w:sz w:val="18"/>
        <w:u w:val="single"/>
      </w:rPr>
      <w:instrText xml:space="preserve"> NUMPAGES </w:instrText>
    </w:r>
    <w:r>
      <w:rPr>
        <w:b/>
        <w:iCs/>
        <w:color w:val="000000"/>
        <w:spacing w:val="-20"/>
        <w:kern w:val="0"/>
        <w:sz w:val="18"/>
        <w:u w:val="single"/>
      </w:rPr>
      <w:fldChar w:fldCharType="separate"/>
    </w:r>
    <w:r>
      <w:rPr>
        <w:b/>
        <w:iCs/>
        <w:color w:val="000000"/>
        <w:spacing w:val="-20"/>
        <w:kern w:val="0"/>
        <w:sz w:val="18"/>
        <w:u w:val="single"/>
      </w:rPr>
      <w:t>61</w:t>
    </w:r>
    <w:r>
      <w:rPr>
        <w:b/>
        <w:iCs/>
        <w:color w:val="000000"/>
        <w:spacing w:val="-20"/>
        <w:kern w:val="0"/>
        <w:sz w:val="18"/>
        <w:u w:val="single"/>
      </w:rPr>
      <w:fldChar w:fldCharType="end"/>
    </w:r>
    <w:r>
      <w:rPr>
        <w:rFonts w:hint="eastAsia"/>
        <w:b/>
        <w:iCs/>
        <w:color w:val="000000"/>
        <w:spacing w:val="-20"/>
        <w:kern w:val="0"/>
        <w:sz w:val="18"/>
        <w:u w:val="single"/>
      </w:rPr>
      <w:t>页</w:t>
    </w:r>
    <w:r>
      <w:rPr>
        <w:b/>
        <w:iCs/>
        <w:color w:val="000000"/>
        <w:spacing w:val="-20"/>
        <w:kern w:val="0"/>
        <w:sz w:val="18"/>
        <w:u w:val="single"/>
        <w:lang w:val="en"/>
      </w:rPr>
      <w:t xml:space="preserve"> </w:t>
    </w:r>
  </w:p>
  <w:p w14:paraId="56C13349">
    <w:pPr>
      <w:spacing w:line="20" w:lineRule="atLeast"/>
      <w:rPr>
        <w:b/>
        <w:color w:val="000000"/>
        <w:sz w:val="10"/>
        <w:u w:val="single"/>
      </w:rPr>
    </w:pPr>
  </w:p>
  <w:p w14:paraId="01A0DBDF">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51421"/>
    <w:multiLevelType w:val="singleLevel"/>
    <w:tmpl w:val="82151421"/>
    <w:lvl w:ilvl="0" w:tentative="0">
      <w:start w:val="1"/>
      <w:numFmt w:val="ideographTraditional"/>
      <w:suff w:val="nothing"/>
      <w:lvlText w:val="%1、"/>
      <w:lvlJc w:val="left"/>
      <w:rPr>
        <w:rFonts w:hint="eastAsia"/>
      </w:rPr>
    </w:lvl>
  </w:abstractNum>
  <w:abstractNum w:abstractNumId="1">
    <w:nsid w:val="AE2D8F7B"/>
    <w:multiLevelType w:val="singleLevel"/>
    <w:tmpl w:val="AE2D8F7B"/>
    <w:lvl w:ilvl="0" w:tentative="0">
      <w:start w:val="1"/>
      <w:numFmt w:val="decimal"/>
      <w:pStyle w:val="7"/>
      <w:lvlText w:val="%1."/>
      <w:lvlJc w:val="left"/>
      <w:pPr>
        <w:tabs>
          <w:tab w:val="left" w:pos="360"/>
        </w:tabs>
        <w:ind w:left="360" w:hanging="360"/>
      </w:pPr>
      <w:rPr>
        <w:rFonts w:cs="Times New Roman"/>
      </w:rPr>
    </w:lvl>
  </w:abstractNum>
  <w:abstractNum w:abstractNumId="2">
    <w:nsid w:val="D9C269DE"/>
    <w:multiLevelType w:val="singleLevel"/>
    <w:tmpl w:val="D9C269DE"/>
    <w:lvl w:ilvl="0" w:tentative="0">
      <w:start w:val="3"/>
      <w:numFmt w:val="decimal"/>
      <w:lvlText w:val="%1."/>
      <w:lvlJc w:val="left"/>
      <w:pPr>
        <w:tabs>
          <w:tab w:val="left" w:pos="312"/>
        </w:tabs>
      </w:pPr>
    </w:lvl>
  </w:abstractNum>
  <w:abstractNum w:abstractNumId="3">
    <w:nsid w:val="E68F24E4"/>
    <w:multiLevelType w:val="singleLevel"/>
    <w:tmpl w:val="E68F24E4"/>
    <w:lvl w:ilvl="0" w:tentative="0">
      <w:start w:val="3"/>
      <w:numFmt w:val="decimal"/>
      <w:lvlText w:val="%1."/>
      <w:lvlJc w:val="left"/>
      <w:pPr>
        <w:tabs>
          <w:tab w:val="left" w:pos="312"/>
        </w:tabs>
      </w:pPr>
    </w:lvl>
  </w:abstractNum>
  <w:abstractNum w:abstractNumId="4">
    <w:nsid w:val="7C3D0FDE"/>
    <w:multiLevelType w:val="singleLevel"/>
    <w:tmpl w:val="7C3D0FDE"/>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420"/>
  <w:drawingGridVerticalSpacing w:val="159"/>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WEwNWIyYzc2YjVlZWQyM2NiZGFlYWZhMTMwYzQifQ=="/>
  </w:docVars>
  <w:rsids>
    <w:rsidRoot w:val="0E970358"/>
    <w:rsid w:val="00016260"/>
    <w:rsid w:val="0002035B"/>
    <w:rsid w:val="000403F7"/>
    <w:rsid w:val="0006294D"/>
    <w:rsid w:val="00062AB3"/>
    <w:rsid w:val="00062CD7"/>
    <w:rsid w:val="000630DA"/>
    <w:rsid w:val="000B7A21"/>
    <w:rsid w:val="00107BF6"/>
    <w:rsid w:val="001334F2"/>
    <w:rsid w:val="001358F3"/>
    <w:rsid w:val="00146339"/>
    <w:rsid w:val="00165F2A"/>
    <w:rsid w:val="00170681"/>
    <w:rsid w:val="00180836"/>
    <w:rsid w:val="001B220F"/>
    <w:rsid w:val="001D53B2"/>
    <w:rsid w:val="001F4742"/>
    <w:rsid w:val="00201D2F"/>
    <w:rsid w:val="00201D62"/>
    <w:rsid w:val="00203C2F"/>
    <w:rsid w:val="0021318F"/>
    <w:rsid w:val="00241352"/>
    <w:rsid w:val="002528E0"/>
    <w:rsid w:val="002851D8"/>
    <w:rsid w:val="002A1620"/>
    <w:rsid w:val="002A6E2D"/>
    <w:rsid w:val="00303378"/>
    <w:rsid w:val="003102FB"/>
    <w:rsid w:val="0033011F"/>
    <w:rsid w:val="00332E30"/>
    <w:rsid w:val="00353DAF"/>
    <w:rsid w:val="003877E8"/>
    <w:rsid w:val="00394F4B"/>
    <w:rsid w:val="003C020E"/>
    <w:rsid w:val="003C3E4D"/>
    <w:rsid w:val="003C5E00"/>
    <w:rsid w:val="003E6DE1"/>
    <w:rsid w:val="003F595C"/>
    <w:rsid w:val="003F78E0"/>
    <w:rsid w:val="00441FAE"/>
    <w:rsid w:val="00446CEF"/>
    <w:rsid w:val="0045292E"/>
    <w:rsid w:val="00453F21"/>
    <w:rsid w:val="00460AC9"/>
    <w:rsid w:val="00482DAE"/>
    <w:rsid w:val="00491BDF"/>
    <w:rsid w:val="004B4165"/>
    <w:rsid w:val="004E5F05"/>
    <w:rsid w:val="00501A00"/>
    <w:rsid w:val="00531666"/>
    <w:rsid w:val="00542F87"/>
    <w:rsid w:val="0061298F"/>
    <w:rsid w:val="00616E31"/>
    <w:rsid w:val="00636172"/>
    <w:rsid w:val="00646CA0"/>
    <w:rsid w:val="006540F3"/>
    <w:rsid w:val="00655E3C"/>
    <w:rsid w:val="00673F31"/>
    <w:rsid w:val="00674C42"/>
    <w:rsid w:val="006A6F44"/>
    <w:rsid w:val="006D1C26"/>
    <w:rsid w:val="006E5A80"/>
    <w:rsid w:val="006F4DFE"/>
    <w:rsid w:val="0075349E"/>
    <w:rsid w:val="00756F66"/>
    <w:rsid w:val="00783370"/>
    <w:rsid w:val="00793C81"/>
    <w:rsid w:val="00795A3E"/>
    <w:rsid w:val="007A2629"/>
    <w:rsid w:val="007C1005"/>
    <w:rsid w:val="007F5FAF"/>
    <w:rsid w:val="00802325"/>
    <w:rsid w:val="008154BD"/>
    <w:rsid w:val="00823978"/>
    <w:rsid w:val="008427F9"/>
    <w:rsid w:val="00847BE5"/>
    <w:rsid w:val="00870177"/>
    <w:rsid w:val="0088066B"/>
    <w:rsid w:val="00883046"/>
    <w:rsid w:val="008A4030"/>
    <w:rsid w:val="008E781F"/>
    <w:rsid w:val="00912983"/>
    <w:rsid w:val="00943AA2"/>
    <w:rsid w:val="00944004"/>
    <w:rsid w:val="00953621"/>
    <w:rsid w:val="0097400E"/>
    <w:rsid w:val="009A62F8"/>
    <w:rsid w:val="009B3E22"/>
    <w:rsid w:val="009E2499"/>
    <w:rsid w:val="009F3459"/>
    <w:rsid w:val="009F36F6"/>
    <w:rsid w:val="00A0777A"/>
    <w:rsid w:val="00A12F71"/>
    <w:rsid w:val="00A17880"/>
    <w:rsid w:val="00A30B75"/>
    <w:rsid w:val="00A730CA"/>
    <w:rsid w:val="00AB093B"/>
    <w:rsid w:val="00AE379E"/>
    <w:rsid w:val="00AF276E"/>
    <w:rsid w:val="00B00544"/>
    <w:rsid w:val="00B0420E"/>
    <w:rsid w:val="00BD2147"/>
    <w:rsid w:val="00BE0ADF"/>
    <w:rsid w:val="00BE44C6"/>
    <w:rsid w:val="00BF7B5C"/>
    <w:rsid w:val="00C44AFB"/>
    <w:rsid w:val="00C477B1"/>
    <w:rsid w:val="00C52E14"/>
    <w:rsid w:val="00C767D4"/>
    <w:rsid w:val="00CB0437"/>
    <w:rsid w:val="00CC232E"/>
    <w:rsid w:val="00CD1804"/>
    <w:rsid w:val="00D264AC"/>
    <w:rsid w:val="00D5269F"/>
    <w:rsid w:val="00D60FE9"/>
    <w:rsid w:val="00D65F48"/>
    <w:rsid w:val="00D803A3"/>
    <w:rsid w:val="00D81DC6"/>
    <w:rsid w:val="00DA25C4"/>
    <w:rsid w:val="00DA2BCE"/>
    <w:rsid w:val="00DB2B95"/>
    <w:rsid w:val="00DB6334"/>
    <w:rsid w:val="00E319E7"/>
    <w:rsid w:val="00E36FF6"/>
    <w:rsid w:val="00E372BC"/>
    <w:rsid w:val="00E74688"/>
    <w:rsid w:val="00EF2797"/>
    <w:rsid w:val="00F127FF"/>
    <w:rsid w:val="00F42B93"/>
    <w:rsid w:val="00F52FAD"/>
    <w:rsid w:val="00F64E95"/>
    <w:rsid w:val="00F74D1E"/>
    <w:rsid w:val="00F835F4"/>
    <w:rsid w:val="00F94869"/>
    <w:rsid w:val="00FC1CF3"/>
    <w:rsid w:val="00FE2D65"/>
    <w:rsid w:val="01253AED"/>
    <w:rsid w:val="0162067B"/>
    <w:rsid w:val="01935887"/>
    <w:rsid w:val="01EF47C7"/>
    <w:rsid w:val="02083730"/>
    <w:rsid w:val="021D41A0"/>
    <w:rsid w:val="022F3D89"/>
    <w:rsid w:val="025F5180"/>
    <w:rsid w:val="026B5F45"/>
    <w:rsid w:val="027E51C2"/>
    <w:rsid w:val="02A15484"/>
    <w:rsid w:val="035C3E5A"/>
    <w:rsid w:val="03887300"/>
    <w:rsid w:val="03B709D9"/>
    <w:rsid w:val="049A551A"/>
    <w:rsid w:val="04A439B0"/>
    <w:rsid w:val="04AD3DAA"/>
    <w:rsid w:val="04B769D7"/>
    <w:rsid w:val="04C64E6C"/>
    <w:rsid w:val="04CC341D"/>
    <w:rsid w:val="04F6096A"/>
    <w:rsid w:val="05137CD7"/>
    <w:rsid w:val="051E0E24"/>
    <w:rsid w:val="054E4A32"/>
    <w:rsid w:val="057B0E7B"/>
    <w:rsid w:val="05B3687C"/>
    <w:rsid w:val="060B26E0"/>
    <w:rsid w:val="06233455"/>
    <w:rsid w:val="06474318"/>
    <w:rsid w:val="0664091F"/>
    <w:rsid w:val="069714AC"/>
    <w:rsid w:val="06AB5698"/>
    <w:rsid w:val="06BB3465"/>
    <w:rsid w:val="06CD389C"/>
    <w:rsid w:val="06F00765"/>
    <w:rsid w:val="070B6C54"/>
    <w:rsid w:val="074F3556"/>
    <w:rsid w:val="07856E7B"/>
    <w:rsid w:val="07AD073D"/>
    <w:rsid w:val="07DA0EEE"/>
    <w:rsid w:val="07F12200"/>
    <w:rsid w:val="08536C8B"/>
    <w:rsid w:val="08BE0ECD"/>
    <w:rsid w:val="08C369E2"/>
    <w:rsid w:val="08F6426D"/>
    <w:rsid w:val="09137F54"/>
    <w:rsid w:val="0959363E"/>
    <w:rsid w:val="096F639D"/>
    <w:rsid w:val="09CA5DC8"/>
    <w:rsid w:val="09EE6060"/>
    <w:rsid w:val="0A015A18"/>
    <w:rsid w:val="0A17382F"/>
    <w:rsid w:val="0A1842A2"/>
    <w:rsid w:val="0A2C00D6"/>
    <w:rsid w:val="0A604790"/>
    <w:rsid w:val="0AA03A6A"/>
    <w:rsid w:val="0ABF18F4"/>
    <w:rsid w:val="0AD32091"/>
    <w:rsid w:val="0ADB4F19"/>
    <w:rsid w:val="0B274334"/>
    <w:rsid w:val="0B306DAA"/>
    <w:rsid w:val="0B9B72A4"/>
    <w:rsid w:val="0BA600D3"/>
    <w:rsid w:val="0BC639A4"/>
    <w:rsid w:val="0C1E2BA0"/>
    <w:rsid w:val="0C5E2491"/>
    <w:rsid w:val="0C765CB2"/>
    <w:rsid w:val="0D0D122B"/>
    <w:rsid w:val="0D2D5B08"/>
    <w:rsid w:val="0D457F3A"/>
    <w:rsid w:val="0D9B72F9"/>
    <w:rsid w:val="0DA350F5"/>
    <w:rsid w:val="0DCE1AD7"/>
    <w:rsid w:val="0DFE6915"/>
    <w:rsid w:val="0E3A7CB3"/>
    <w:rsid w:val="0E769C6C"/>
    <w:rsid w:val="0E970358"/>
    <w:rsid w:val="0EA878BE"/>
    <w:rsid w:val="0EBF70D8"/>
    <w:rsid w:val="0ED136A5"/>
    <w:rsid w:val="0ED20405"/>
    <w:rsid w:val="0EE9914D"/>
    <w:rsid w:val="0F0F5E27"/>
    <w:rsid w:val="0F792006"/>
    <w:rsid w:val="0F9B1DDF"/>
    <w:rsid w:val="0FD7AC68"/>
    <w:rsid w:val="0FFE9B20"/>
    <w:rsid w:val="10053DFB"/>
    <w:rsid w:val="10392EAE"/>
    <w:rsid w:val="103F136E"/>
    <w:rsid w:val="10706EC2"/>
    <w:rsid w:val="11170C73"/>
    <w:rsid w:val="112C7626"/>
    <w:rsid w:val="114D620F"/>
    <w:rsid w:val="117FE79B"/>
    <w:rsid w:val="11893766"/>
    <w:rsid w:val="11C45F7F"/>
    <w:rsid w:val="11C65A1E"/>
    <w:rsid w:val="11D209CC"/>
    <w:rsid w:val="12487EF7"/>
    <w:rsid w:val="12506352"/>
    <w:rsid w:val="12807280"/>
    <w:rsid w:val="128F6ED4"/>
    <w:rsid w:val="1312189C"/>
    <w:rsid w:val="133236CD"/>
    <w:rsid w:val="136B3AE2"/>
    <w:rsid w:val="136E7999"/>
    <w:rsid w:val="13763D70"/>
    <w:rsid w:val="138272CC"/>
    <w:rsid w:val="13D21C0B"/>
    <w:rsid w:val="13FC1BC3"/>
    <w:rsid w:val="140A1ADF"/>
    <w:rsid w:val="148463E6"/>
    <w:rsid w:val="148E20BD"/>
    <w:rsid w:val="14D20D9B"/>
    <w:rsid w:val="153A4993"/>
    <w:rsid w:val="15753D78"/>
    <w:rsid w:val="1585042C"/>
    <w:rsid w:val="15A72BED"/>
    <w:rsid w:val="15E50ECA"/>
    <w:rsid w:val="1621170E"/>
    <w:rsid w:val="162E373E"/>
    <w:rsid w:val="164D719B"/>
    <w:rsid w:val="166A6500"/>
    <w:rsid w:val="16FD1105"/>
    <w:rsid w:val="16FF29E9"/>
    <w:rsid w:val="1787CB9D"/>
    <w:rsid w:val="17F42B6E"/>
    <w:rsid w:val="186635F9"/>
    <w:rsid w:val="18806B3E"/>
    <w:rsid w:val="18820ED2"/>
    <w:rsid w:val="189E654A"/>
    <w:rsid w:val="18B91D2B"/>
    <w:rsid w:val="18C40414"/>
    <w:rsid w:val="18E11A7C"/>
    <w:rsid w:val="190532C3"/>
    <w:rsid w:val="1998648C"/>
    <w:rsid w:val="19C35AD4"/>
    <w:rsid w:val="1A6A6D44"/>
    <w:rsid w:val="1A817123"/>
    <w:rsid w:val="1A8564E4"/>
    <w:rsid w:val="1A9E2BBC"/>
    <w:rsid w:val="1ADF9757"/>
    <w:rsid w:val="1B032894"/>
    <w:rsid w:val="1B073F33"/>
    <w:rsid w:val="1B095FBA"/>
    <w:rsid w:val="1B180D50"/>
    <w:rsid w:val="1B674FFA"/>
    <w:rsid w:val="1B6A3C46"/>
    <w:rsid w:val="1B7215AD"/>
    <w:rsid w:val="1B9451B8"/>
    <w:rsid w:val="1BBD31CA"/>
    <w:rsid w:val="1BFE9A15"/>
    <w:rsid w:val="1C093ECB"/>
    <w:rsid w:val="1C2A1FDB"/>
    <w:rsid w:val="1C3061FD"/>
    <w:rsid w:val="1C4C0D70"/>
    <w:rsid w:val="1C75176F"/>
    <w:rsid w:val="1C7F878B"/>
    <w:rsid w:val="1CAA536C"/>
    <w:rsid w:val="1CD5A517"/>
    <w:rsid w:val="1CE4433A"/>
    <w:rsid w:val="1D0A52C3"/>
    <w:rsid w:val="1D192F6E"/>
    <w:rsid w:val="1D512695"/>
    <w:rsid w:val="1D5F02A6"/>
    <w:rsid w:val="1DA83B7B"/>
    <w:rsid w:val="1DC530BD"/>
    <w:rsid w:val="1DDCE19F"/>
    <w:rsid w:val="1DEBA40C"/>
    <w:rsid w:val="1DFF8E9A"/>
    <w:rsid w:val="1E0A60B3"/>
    <w:rsid w:val="1E5463EB"/>
    <w:rsid w:val="1E58234F"/>
    <w:rsid w:val="1E711D26"/>
    <w:rsid w:val="1E8C26F5"/>
    <w:rsid w:val="1E8E6B85"/>
    <w:rsid w:val="1ED44C27"/>
    <w:rsid w:val="1EE84AA8"/>
    <w:rsid w:val="1F470500"/>
    <w:rsid w:val="1F541AA3"/>
    <w:rsid w:val="1F7042C9"/>
    <w:rsid w:val="1F811C64"/>
    <w:rsid w:val="1FA9374C"/>
    <w:rsid w:val="1FCF1F06"/>
    <w:rsid w:val="1FDB6B8D"/>
    <w:rsid w:val="1FF58265"/>
    <w:rsid w:val="1FFEF1A0"/>
    <w:rsid w:val="1FFFF301"/>
    <w:rsid w:val="2046155B"/>
    <w:rsid w:val="205D447F"/>
    <w:rsid w:val="207922E0"/>
    <w:rsid w:val="207B2B57"/>
    <w:rsid w:val="20A75A13"/>
    <w:rsid w:val="20C452C0"/>
    <w:rsid w:val="20D109DF"/>
    <w:rsid w:val="212B0E86"/>
    <w:rsid w:val="21D931F9"/>
    <w:rsid w:val="226FEA4A"/>
    <w:rsid w:val="228447E5"/>
    <w:rsid w:val="22CFAD76"/>
    <w:rsid w:val="23050EF6"/>
    <w:rsid w:val="23424F53"/>
    <w:rsid w:val="236E14E2"/>
    <w:rsid w:val="23852E6E"/>
    <w:rsid w:val="23883265"/>
    <w:rsid w:val="23931F66"/>
    <w:rsid w:val="23974322"/>
    <w:rsid w:val="23B9363D"/>
    <w:rsid w:val="23C9608E"/>
    <w:rsid w:val="244E63D4"/>
    <w:rsid w:val="24575F1F"/>
    <w:rsid w:val="24810A4B"/>
    <w:rsid w:val="24B51776"/>
    <w:rsid w:val="24E84B0D"/>
    <w:rsid w:val="24EA31B9"/>
    <w:rsid w:val="24FE2F42"/>
    <w:rsid w:val="252740D4"/>
    <w:rsid w:val="252C4420"/>
    <w:rsid w:val="256F27E9"/>
    <w:rsid w:val="2578159C"/>
    <w:rsid w:val="25AD3383"/>
    <w:rsid w:val="25C11B38"/>
    <w:rsid w:val="25DD4677"/>
    <w:rsid w:val="267B5FC9"/>
    <w:rsid w:val="268A132E"/>
    <w:rsid w:val="26FE003E"/>
    <w:rsid w:val="270A2825"/>
    <w:rsid w:val="2738166B"/>
    <w:rsid w:val="27386368"/>
    <w:rsid w:val="27557AEE"/>
    <w:rsid w:val="27567236"/>
    <w:rsid w:val="275B2D95"/>
    <w:rsid w:val="275E6234"/>
    <w:rsid w:val="276670F2"/>
    <w:rsid w:val="276B1A0F"/>
    <w:rsid w:val="276D2C54"/>
    <w:rsid w:val="27937F49"/>
    <w:rsid w:val="27FBCD4E"/>
    <w:rsid w:val="28215C9F"/>
    <w:rsid w:val="284D6884"/>
    <w:rsid w:val="287A4D93"/>
    <w:rsid w:val="287E673F"/>
    <w:rsid w:val="28E64005"/>
    <w:rsid w:val="2941725C"/>
    <w:rsid w:val="296D58E9"/>
    <w:rsid w:val="29701F89"/>
    <w:rsid w:val="29744295"/>
    <w:rsid w:val="29D148D0"/>
    <w:rsid w:val="29F85425"/>
    <w:rsid w:val="2A4665A4"/>
    <w:rsid w:val="2A7D2A1B"/>
    <w:rsid w:val="2AAE5C87"/>
    <w:rsid w:val="2AC803DC"/>
    <w:rsid w:val="2AD464A0"/>
    <w:rsid w:val="2AF71430"/>
    <w:rsid w:val="2AFA3FDD"/>
    <w:rsid w:val="2AFDC4F3"/>
    <w:rsid w:val="2B366876"/>
    <w:rsid w:val="2B520C88"/>
    <w:rsid w:val="2B601866"/>
    <w:rsid w:val="2B67284F"/>
    <w:rsid w:val="2BA73E69"/>
    <w:rsid w:val="2BB82A63"/>
    <w:rsid w:val="2BF526F9"/>
    <w:rsid w:val="2C107117"/>
    <w:rsid w:val="2C541C4C"/>
    <w:rsid w:val="2C5A2F4C"/>
    <w:rsid w:val="2C902330"/>
    <w:rsid w:val="2D2F71A3"/>
    <w:rsid w:val="2D3D647D"/>
    <w:rsid w:val="2DB7E393"/>
    <w:rsid w:val="2DCC054E"/>
    <w:rsid w:val="2DDF2977"/>
    <w:rsid w:val="2DFB960A"/>
    <w:rsid w:val="2E043D63"/>
    <w:rsid w:val="2E524504"/>
    <w:rsid w:val="2E7048DA"/>
    <w:rsid w:val="2EBBC512"/>
    <w:rsid w:val="2EDF3642"/>
    <w:rsid w:val="2F034443"/>
    <w:rsid w:val="2F24655E"/>
    <w:rsid w:val="2F402F53"/>
    <w:rsid w:val="2F523692"/>
    <w:rsid w:val="2F9A59E0"/>
    <w:rsid w:val="2FBFD295"/>
    <w:rsid w:val="2FCFC4AE"/>
    <w:rsid w:val="2FED6FDD"/>
    <w:rsid w:val="2FF6A29C"/>
    <w:rsid w:val="30143D85"/>
    <w:rsid w:val="30172DDB"/>
    <w:rsid w:val="3095556F"/>
    <w:rsid w:val="30FC24AA"/>
    <w:rsid w:val="30FE1366"/>
    <w:rsid w:val="31192A64"/>
    <w:rsid w:val="316C3324"/>
    <w:rsid w:val="31752B09"/>
    <w:rsid w:val="31873055"/>
    <w:rsid w:val="31F759E6"/>
    <w:rsid w:val="31F830A6"/>
    <w:rsid w:val="322C660D"/>
    <w:rsid w:val="323C7A49"/>
    <w:rsid w:val="3277331A"/>
    <w:rsid w:val="3297CB50"/>
    <w:rsid w:val="32D7B2D5"/>
    <w:rsid w:val="32DC114B"/>
    <w:rsid w:val="32DD4DE9"/>
    <w:rsid w:val="33317E97"/>
    <w:rsid w:val="338F6098"/>
    <w:rsid w:val="33BD6F09"/>
    <w:rsid w:val="33CC15D2"/>
    <w:rsid w:val="34060532"/>
    <w:rsid w:val="341018E5"/>
    <w:rsid w:val="341548E3"/>
    <w:rsid w:val="34922F8F"/>
    <w:rsid w:val="34D20525"/>
    <w:rsid w:val="34D71A9B"/>
    <w:rsid w:val="3514745D"/>
    <w:rsid w:val="352A5E7F"/>
    <w:rsid w:val="357905B7"/>
    <w:rsid w:val="359B739A"/>
    <w:rsid w:val="35DFF4B6"/>
    <w:rsid w:val="362F748A"/>
    <w:rsid w:val="36623E0E"/>
    <w:rsid w:val="366B5374"/>
    <w:rsid w:val="36767BF1"/>
    <w:rsid w:val="3763770E"/>
    <w:rsid w:val="376D7D76"/>
    <w:rsid w:val="377038A1"/>
    <w:rsid w:val="37712A39"/>
    <w:rsid w:val="377B1C39"/>
    <w:rsid w:val="379365E1"/>
    <w:rsid w:val="3796579E"/>
    <w:rsid w:val="3796BD50"/>
    <w:rsid w:val="37AD13F0"/>
    <w:rsid w:val="37AEFA95"/>
    <w:rsid w:val="37B130D1"/>
    <w:rsid w:val="37FBC7C5"/>
    <w:rsid w:val="37FF9F02"/>
    <w:rsid w:val="382A2A30"/>
    <w:rsid w:val="388E7F8D"/>
    <w:rsid w:val="38A354A8"/>
    <w:rsid w:val="38D95C50"/>
    <w:rsid w:val="38FCA4F9"/>
    <w:rsid w:val="38FF0528"/>
    <w:rsid w:val="39200F62"/>
    <w:rsid w:val="39331ED0"/>
    <w:rsid w:val="39355981"/>
    <w:rsid w:val="393D5F49"/>
    <w:rsid w:val="39403611"/>
    <w:rsid w:val="39563D30"/>
    <w:rsid w:val="39767679"/>
    <w:rsid w:val="39C61A05"/>
    <w:rsid w:val="39D6FFF8"/>
    <w:rsid w:val="39DF7B4D"/>
    <w:rsid w:val="39FFD3C2"/>
    <w:rsid w:val="3A114061"/>
    <w:rsid w:val="3A1264A7"/>
    <w:rsid w:val="3A160918"/>
    <w:rsid w:val="3A5D617C"/>
    <w:rsid w:val="3A777905"/>
    <w:rsid w:val="3A7CCAEB"/>
    <w:rsid w:val="3AB91CC8"/>
    <w:rsid w:val="3AE50133"/>
    <w:rsid w:val="3AF7BC26"/>
    <w:rsid w:val="3B345EA5"/>
    <w:rsid w:val="3BBFFFCC"/>
    <w:rsid w:val="3BC37CBA"/>
    <w:rsid w:val="3BC92571"/>
    <w:rsid w:val="3BEFA927"/>
    <w:rsid w:val="3BFF043A"/>
    <w:rsid w:val="3BFF0A90"/>
    <w:rsid w:val="3C0832CB"/>
    <w:rsid w:val="3C3C1F04"/>
    <w:rsid w:val="3CA03988"/>
    <w:rsid w:val="3CF2C285"/>
    <w:rsid w:val="3D027CAA"/>
    <w:rsid w:val="3D032A61"/>
    <w:rsid w:val="3D1275D3"/>
    <w:rsid w:val="3D74E678"/>
    <w:rsid w:val="3D820C29"/>
    <w:rsid w:val="3DB531EC"/>
    <w:rsid w:val="3DBB71E5"/>
    <w:rsid w:val="3DBF10AC"/>
    <w:rsid w:val="3DDFDA91"/>
    <w:rsid w:val="3DEEDCA5"/>
    <w:rsid w:val="3DF11051"/>
    <w:rsid w:val="3DF84242"/>
    <w:rsid w:val="3DF91BCB"/>
    <w:rsid w:val="3DFE7880"/>
    <w:rsid w:val="3DFF5F1F"/>
    <w:rsid w:val="3E364BE8"/>
    <w:rsid w:val="3E643C63"/>
    <w:rsid w:val="3E649C8F"/>
    <w:rsid w:val="3EC1F842"/>
    <w:rsid w:val="3ED32A90"/>
    <w:rsid w:val="3EE05462"/>
    <w:rsid w:val="3EEE351D"/>
    <w:rsid w:val="3EFF3694"/>
    <w:rsid w:val="3F1737E6"/>
    <w:rsid w:val="3F1EF4EF"/>
    <w:rsid w:val="3F321F93"/>
    <w:rsid w:val="3F3ECB5C"/>
    <w:rsid w:val="3F3FAA78"/>
    <w:rsid w:val="3F47B34C"/>
    <w:rsid w:val="3F5D044A"/>
    <w:rsid w:val="3F7BF865"/>
    <w:rsid w:val="3F7F9732"/>
    <w:rsid w:val="3F993AE3"/>
    <w:rsid w:val="3FBDF7AB"/>
    <w:rsid w:val="3FC70530"/>
    <w:rsid w:val="3FD40256"/>
    <w:rsid w:val="3FEB62EC"/>
    <w:rsid w:val="3FFBC93B"/>
    <w:rsid w:val="400224F5"/>
    <w:rsid w:val="403747A2"/>
    <w:rsid w:val="406C26A5"/>
    <w:rsid w:val="40913811"/>
    <w:rsid w:val="40D83598"/>
    <w:rsid w:val="41287EE2"/>
    <w:rsid w:val="41971E11"/>
    <w:rsid w:val="41B81226"/>
    <w:rsid w:val="41D94C5C"/>
    <w:rsid w:val="420358DF"/>
    <w:rsid w:val="421A1E7F"/>
    <w:rsid w:val="426BCB3C"/>
    <w:rsid w:val="427B09F3"/>
    <w:rsid w:val="42FF6E26"/>
    <w:rsid w:val="43036342"/>
    <w:rsid w:val="43592B19"/>
    <w:rsid w:val="43636125"/>
    <w:rsid w:val="436D18F1"/>
    <w:rsid w:val="43BE2796"/>
    <w:rsid w:val="43D911A2"/>
    <w:rsid w:val="43DF9B15"/>
    <w:rsid w:val="449E1735"/>
    <w:rsid w:val="44B806F0"/>
    <w:rsid w:val="44C71617"/>
    <w:rsid w:val="44E23928"/>
    <w:rsid w:val="4563730C"/>
    <w:rsid w:val="456B496E"/>
    <w:rsid w:val="46051B84"/>
    <w:rsid w:val="460E3911"/>
    <w:rsid w:val="462A63DE"/>
    <w:rsid w:val="464E0179"/>
    <w:rsid w:val="46D85656"/>
    <w:rsid w:val="47433E6B"/>
    <w:rsid w:val="47B65BC3"/>
    <w:rsid w:val="47BF7910"/>
    <w:rsid w:val="47EF5A01"/>
    <w:rsid w:val="47F04B43"/>
    <w:rsid w:val="47FFB5E7"/>
    <w:rsid w:val="48030BB8"/>
    <w:rsid w:val="485B7B51"/>
    <w:rsid w:val="48694FA0"/>
    <w:rsid w:val="48861F15"/>
    <w:rsid w:val="488E768B"/>
    <w:rsid w:val="48A77906"/>
    <w:rsid w:val="48E64A08"/>
    <w:rsid w:val="48F716A1"/>
    <w:rsid w:val="490D6193"/>
    <w:rsid w:val="493E5A27"/>
    <w:rsid w:val="49434B1A"/>
    <w:rsid w:val="49456BA1"/>
    <w:rsid w:val="49600FA8"/>
    <w:rsid w:val="49663AF5"/>
    <w:rsid w:val="4977185E"/>
    <w:rsid w:val="49881FB8"/>
    <w:rsid w:val="49F41D5E"/>
    <w:rsid w:val="4A0977B8"/>
    <w:rsid w:val="4A3239D7"/>
    <w:rsid w:val="4AA258AA"/>
    <w:rsid w:val="4AC1512B"/>
    <w:rsid w:val="4ACC4B7A"/>
    <w:rsid w:val="4AE118AE"/>
    <w:rsid w:val="4AE465BB"/>
    <w:rsid w:val="4AE86C91"/>
    <w:rsid w:val="4AEB4CA9"/>
    <w:rsid w:val="4B1E31F7"/>
    <w:rsid w:val="4B2C46F6"/>
    <w:rsid w:val="4B3ADEC2"/>
    <w:rsid w:val="4B4433DD"/>
    <w:rsid w:val="4B5F4B3F"/>
    <w:rsid w:val="4B5FAA25"/>
    <w:rsid w:val="4B81398C"/>
    <w:rsid w:val="4BCB3573"/>
    <w:rsid w:val="4BE63BE0"/>
    <w:rsid w:val="4BFA7F3B"/>
    <w:rsid w:val="4C0258CC"/>
    <w:rsid w:val="4C175E70"/>
    <w:rsid w:val="4C33168B"/>
    <w:rsid w:val="4C4FA298"/>
    <w:rsid w:val="4C5F7771"/>
    <w:rsid w:val="4C7F67BA"/>
    <w:rsid w:val="4CA00943"/>
    <w:rsid w:val="4CA35026"/>
    <w:rsid w:val="4CAC59BB"/>
    <w:rsid w:val="4CE75373"/>
    <w:rsid w:val="4CF512D3"/>
    <w:rsid w:val="4D0E5E7C"/>
    <w:rsid w:val="4D2402CC"/>
    <w:rsid w:val="4D3A0C37"/>
    <w:rsid w:val="4D5934CA"/>
    <w:rsid w:val="4DAB4BAF"/>
    <w:rsid w:val="4DB02421"/>
    <w:rsid w:val="4DBA747C"/>
    <w:rsid w:val="4DDF1FC0"/>
    <w:rsid w:val="4DE905D0"/>
    <w:rsid w:val="4E056A63"/>
    <w:rsid w:val="4E0713AF"/>
    <w:rsid w:val="4E361CE8"/>
    <w:rsid w:val="4E6505CD"/>
    <w:rsid w:val="4E802EF3"/>
    <w:rsid w:val="4EA478DF"/>
    <w:rsid w:val="4EAC01FC"/>
    <w:rsid w:val="4EAC0FF4"/>
    <w:rsid w:val="4EEA47BA"/>
    <w:rsid w:val="4EFBA738"/>
    <w:rsid w:val="4F075432"/>
    <w:rsid w:val="4F3FF872"/>
    <w:rsid w:val="4F5491FB"/>
    <w:rsid w:val="4F5C4906"/>
    <w:rsid w:val="4FAAF0F3"/>
    <w:rsid w:val="4FAC7D88"/>
    <w:rsid w:val="4FDE643E"/>
    <w:rsid w:val="4FEF7378"/>
    <w:rsid w:val="4FF355E6"/>
    <w:rsid w:val="4FF9B3D9"/>
    <w:rsid w:val="4FFA2457"/>
    <w:rsid w:val="50100CBD"/>
    <w:rsid w:val="508B0928"/>
    <w:rsid w:val="512F6184"/>
    <w:rsid w:val="5144137A"/>
    <w:rsid w:val="51716D54"/>
    <w:rsid w:val="517A2D7F"/>
    <w:rsid w:val="51A55210"/>
    <w:rsid w:val="522536D8"/>
    <w:rsid w:val="525C3563"/>
    <w:rsid w:val="52992899"/>
    <w:rsid w:val="52E825E3"/>
    <w:rsid w:val="52ED6418"/>
    <w:rsid w:val="52F94BEA"/>
    <w:rsid w:val="530A0097"/>
    <w:rsid w:val="53B405F1"/>
    <w:rsid w:val="53D5501F"/>
    <w:rsid w:val="53FA674F"/>
    <w:rsid w:val="5446575D"/>
    <w:rsid w:val="545A6B19"/>
    <w:rsid w:val="54EC36EB"/>
    <w:rsid w:val="550F77F0"/>
    <w:rsid w:val="553F2A57"/>
    <w:rsid w:val="557D34CF"/>
    <w:rsid w:val="55AFD177"/>
    <w:rsid w:val="55BA4166"/>
    <w:rsid w:val="55C56C32"/>
    <w:rsid w:val="56547E4D"/>
    <w:rsid w:val="566645B1"/>
    <w:rsid w:val="566D4B95"/>
    <w:rsid w:val="56824003"/>
    <w:rsid w:val="5682580A"/>
    <w:rsid w:val="56D80DA4"/>
    <w:rsid w:val="571A353E"/>
    <w:rsid w:val="572533A1"/>
    <w:rsid w:val="572656D4"/>
    <w:rsid w:val="57711953"/>
    <w:rsid w:val="5776F3AD"/>
    <w:rsid w:val="578671EF"/>
    <w:rsid w:val="578F43D7"/>
    <w:rsid w:val="57933416"/>
    <w:rsid w:val="57AF4A5A"/>
    <w:rsid w:val="57EF645F"/>
    <w:rsid w:val="57EF8262"/>
    <w:rsid w:val="57F3C421"/>
    <w:rsid w:val="57FFF694"/>
    <w:rsid w:val="587D44C8"/>
    <w:rsid w:val="58FFA578"/>
    <w:rsid w:val="59234CED"/>
    <w:rsid w:val="599B22AB"/>
    <w:rsid w:val="59AD06A4"/>
    <w:rsid w:val="59D80F8D"/>
    <w:rsid w:val="59FF387B"/>
    <w:rsid w:val="59FFCF5E"/>
    <w:rsid w:val="5A083D3D"/>
    <w:rsid w:val="5A1E7A7E"/>
    <w:rsid w:val="5A464241"/>
    <w:rsid w:val="5A4D586D"/>
    <w:rsid w:val="5A6249B0"/>
    <w:rsid w:val="5A681E72"/>
    <w:rsid w:val="5B0C077A"/>
    <w:rsid w:val="5B612C4C"/>
    <w:rsid w:val="5B6F760A"/>
    <w:rsid w:val="5B7761BB"/>
    <w:rsid w:val="5B7F8C2C"/>
    <w:rsid w:val="5B7FE637"/>
    <w:rsid w:val="5B8B6B10"/>
    <w:rsid w:val="5BBF770B"/>
    <w:rsid w:val="5BF1CEFB"/>
    <w:rsid w:val="5BFDE351"/>
    <w:rsid w:val="5BFFD0CF"/>
    <w:rsid w:val="5C832CB4"/>
    <w:rsid w:val="5CD52266"/>
    <w:rsid w:val="5CDF66D2"/>
    <w:rsid w:val="5CF66D6A"/>
    <w:rsid w:val="5CF75660"/>
    <w:rsid w:val="5CFD35A5"/>
    <w:rsid w:val="5D3F4364"/>
    <w:rsid w:val="5D677F7F"/>
    <w:rsid w:val="5D6B96C8"/>
    <w:rsid w:val="5D7B59E0"/>
    <w:rsid w:val="5DB140B1"/>
    <w:rsid w:val="5DDF04E6"/>
    <w:rsid w:val="5DEF9648"/>
    <w:rsid w:val="5E304CEC"/>
    <w:rsid w:val="5E5EC905"/>
    <w:rsid w:val="5E6E0915"/>
    <w:rsid w:val="5E730A32"/>
    <w:rsid w:val="5EA13F9A"/>
    <w:rsid w:val="5EA2C880"/>
    <w:rsid w:val="5EB76D34"/>
    <w:rsid w:val="5EE84C68"/>
    <w:rsid w:val="5EEDF614"/>
    <w:rsid w:val="5EFFE6B3"/>
    <w:rsid w:val="5F1E6109"/>
    <w:rsid w:val="5F5A19DF"/>
    <w:rsid w:val="5F7E609F"/>
    <w:rsid w:val="5F8FC811"/>
    <w:rsid w:val="5F9EF14F"/>
    <w:rsid w:val="5FA703FC"/>
    <w:rsid w:val="5FB50D1E"/>
    <w:rsid w:val="5FB75900"/>
    <w:rsid w:val="5FB7FB2A"/>
    <w:rsid w:val="5FBB73BB"/>
    <w:rsid w:val="5FD64872"/>
    <w:rsid w:val="5FD71C14"/>
    <w:rsid w:val="5FDBA202"/>
    <w:rsid w:val="5FDF8FB2"/>
    <w:rsid w:val="5FE5BE91"/>
    <w:rsid w:val="5FE7A965"/>
    <w:rsid w:val="5FF6BDF8"/>
    <w:rsid w:val="5FFDD09E"/>
    <w:rsid w:val="5FFE8BF8"/>
    <w:rsid w:val="5FFF8997"/>
    <w:rsid w:val="60155BC9"/>
    <w:rsid w:val="602463B0"/>
    <w:rsid w:val="6026592A"/>
    <w:rsid w:val="602947A1"/>
    <w:rsid w:val="60434F7A"/>
    <w:rsid w:val="605342C8"/>
    <w:rsid w:val="608E4840"/>
    <w:rsid w:val="60A06904"/>
    <w:rsid w:val="60A0712D"/>
    <w:rsid w:val="60B64168"/>
    <w:rsid w:val="60C10E4E"/>
    <w:rsid w:val="60E07B05"/>
    <w:rsid w:val="60FA64A9"/>
    <w:rsid w:val="615A5895"/>
    <w:rsid w:val="617C4B80"/>
    <w:rsid w:val="617FD07E"/>
    <w:rsid w:val="61980E77"/>
    <w:rsid w:val="621D5BA4"/>
    <w:rsid w:val="624D267E"/>
    <w:rsid w:val="627C7994"/>
    <w:rsid w:val="62BD3EAB"/>
    <w:rsid w:val="62F3A3EE"/>
    <w:rsid w:val="631559F0"/>
    <w:rsid w:val="63197EAF"/>
    <w:rsid w:val="635A36A1"/>
    <w:rsid w:val="635B6748"/>
    <w:rsid w:val="638D2F58"/>
    <w:rsid w:val="63947A95"/>
    <w:rsid w:val="639A641D"/>
    <w:rsid w:val="63CE2FB9"/>
    <w:rsid w:val="6401505A"/>
    <w:rsid w:val="641D6FC0"/>
    <w:rsid w:val="648954F6"/>
    <w:rsid w:val="64934078"/>
    <w:rsid w:val="64EE6AF5"/>
    <w:rsid w:val="64EFA016"/>
    <w:rsid w:val="65155B50"/>
    <w:rsid w:val="659E230B"/>
    <w:rsid w:val="65A022F7"/>
    <w:rsid w:val="65AE97E0"/>
    <w:rsid w:val="65BF607C"/>
    <w:rsid w:val="65F8446C"/>
    <w:rsid w:val="65FAEA1A"/>
    <w:rsid w:val="65FFB095"/>
    <w:rsid w:val="66091E07"/>
    <w:rsid w:val="665F64FD"/>
    <w:rsid w:val="669E1D96"/>
    <w:rsid w:val="66DD6D69"/>
    <w:rsid w:val="66F760B0"/>
    <w:rsid w:val="676F49FF"/>
    <w:rsid w:val="6777D053"/>
    <w:rsid w:val="67941899"/>
    <w:rsid w:val="67974D69"/>
    <w:rsid w:val="67AB6E4B"/>
    <w:rsid w:val="67B05ABC"/>
    <w:rsid w:val="67B167D1"/>
    <w:rsid w:val="67C93E95"/>
    <w:rsid w:val="67D2A970"/>
    <w:rsid w:val="67DB0789"/>
    <w:rsid w:val="67E17416"/>
    <w:rsid w:val="67E9853C"/>
    <w:rsid w:val="67FC0415"/>
    <w:rsid w:val="67FE86FA"/>
    <w:rsid w:val="681418DD"/>
    <w:rsid w:val="683603CF"/>
    <w:rsid w:val="685F1C50"/>
    <w:rsid w:val="687068E0"/>
    <w:rsid w:val="68CB2597"/>
    <w:rsid w:val="68E349D8"/>
    <w:rsid w:val="68EFEC3F"/>
    <w:rsid w:val="693409D5"/>
    <w:rsid w:val="699022E9"/>
    <w:rsid w:val="69BD44D6"/>
    <w:rsid w:val="6A2FD157"/>
    <w:rsid w:val="6A3F7126"/>
    <w:rsid w:val="6A4B221F"/>
    <w:rsid w:val="6A4F0D8A"/>
    <w:rsid w:val="6A5792D7"/>
    <w:rsid w:val="6A714498"/>
    <w:rsid w:val="6A813BE7"/>
    <w:rsid w:val="6AB13810"/>
    <w:rsid w:val="6ABF55FF"/>
    <w:rsid w:val="6AE33468"/>
    <w:rsid w:val="6AFDC26F"/>
    <w:rsid w:val="6B0C0BA6"/>
    <w:rsid w:val="6B1BAA04"/>
    <w:rsid w:val="6B2B0956"/>
    <w:rsid w:val="6B862194"/>
    <w:rsid w:val="6B99448D"/>
    <w:rsid w:val="6B9F2130"/>
    <w:rsid w:val="6BBD7CE7"/>
    <w:rsid w:val="6BBDABF4"/>
    <w:rsid w:val="6BBE1BFC"/>
    <w:rsid w:val="6BD10A8C"/>
    <w:rsid w:val="6BDFA1DD"/>
    <w:rsid w:val="6BEE61FC"/>
    <w:rsid w:val="6BF5B814"/>
    <w:rsid w:val="6BFFDD76"/>
    <w:rsid w:val="6BFFE3A7"/>
    <w:rsid w:val="6BFFF96B"/>
    <w:rsid w:val="6C016D70"/>
    <w:rsid w:val="6C0322D7"/>
    <w:rsid w:val="6CBA7F7A"/>
    <w:rsid w:val="6D4E25C6"/>
    <w:rsid w:val="6D7AC0EE"/>
    <w:rsid w:val="6D7BE8F7"/>
    <w:rsid w:val="6D84162C"/>
    <w:rsid w:val="6DA36734"/>
    <w:rsid w:val="6DBFF071"/>
    <w:rsid w:val="6DC1278F"/>
    <w:rsid w:val="6DD03641"/>
    <w:rsid w:val="6DD6185B"/>
    <w:rsid w:val="6DE54014"/>
    <w:rsid w:val="6DFD6E6A"/>
    <w:rsid w:val="6DFFDE9C"/>
    <w:rsid w:val="6ECF101B"/>
    <w:rsid w:val="6EDFA0EB"/>
    <w:rsid w:val="6EE7ECE5"/>
    <w:rsid w:val="6EFD0FAB"/>
    <w:rsid w:val="6F1E75BC"/>
    <w:rsid w:val="6F1F2508"/>
    <w:rsid w:val="6F3B82B8"/>
    <w:rsid w:val="6F3E7A0E"/>
    <w:rsid w:val="6F5E9C9C"/>
    <w:rsid w:val="6F5EC6A1"/>
    <w:rsid w:val="6F6434C5"/>
    <w:rsid w:val="6F6A589C"/>
    <w:rsid w:val="6F77F38C"/>
    <w:rsid w:val="6F7A7E66"/>
    <w:rsid w:val="6F7BCD8B"/>
    <w:rsid w:val="6FA06C83"/>
    <w:rsid w:val="6FAB550E"/>
    <w:rsid w:val="6FBADB2E"/>
    <w:rsid w:val="6FC330B5"/>
    <w:rsid w:val="6FDD6197"/>
    <w:rsid w:val="6FDEFE76"/>
    <w:rsid w:val="6FDF9A56"/>
    <w:rsid w:val="6FE95DE3"/>
    <w:rsid w:val="6FEF3012"/>
    <w:rsid w:val="6FFB6132"/>
    <w:rsid w:val="6FFBF7B8"/>
    <w:rsid w:val="6FFEDF62"/>
    <w:rsid w:val="6FFF41F7"/>
    <w:rsid w:val="6FFFBCB3"/>
    <w:rsid w:val="70A3465F"/>
    <w:rsid w:val="70C037D9"/>
    <w:rsid w:val="70F467DE"/>
    <w:rsid w:val="714C78AC"/>
    <w:rsid w:val="71BD344F"/>
    <w:rsid w:val="71CD4280"/>
    <w:rsid w:val="71E9F2F8"/>
    <w:rsid w:val="71ED9A2D"/>
    <w:rsid w:val="71FA1C15"/>
    <w:rsid w:val="72114941"/>
    <w:rsid w:val="724C433E"/>
    <w:rsid w:val="725D7780"/>
    <w:rsid w:val="727151E7"/>
    <w:rsid w:val="72774D3F"/>
    <w:rsid w:val="7287E459"/>
    <w:rsid w:val="728A0265"/>
    <w:rsid w:val="72C60D24"/>
    <w:rsid w:val="72F06EE8"/>
    <w:rsid w:val="72FE4EAC"/>
    <w:rsid w:val="731A7EAB"/>
    <w:rsid w:val="734D0852"/>
    <w:rsid w:val="7377EE7A"/>
    <w:rsid w:val="738F5AD0"/>
    <w:rsid w:val="73AAACAD"/>
    <w:rsid w:val="73BD0AD0"/>
    <w:rsid w:val="73C17351"/>
    <w:rsid w:val="73ED765E"/>
    <w:rsid w:val="73EFC6E2"/>
    <w:rsid w:val="73F283FB"/>
    <w:rsid w:val="73F95B19"/>
    <w:rsid w:val="73FF1218"/>
    <w:rsid w:val="74011CBD"/>
    <w:rsid w:val="7415191F"/>
    <w:rsid w:val="74324EAC"/>
    <w:rsid w:val="7444613E"/>
    <w:rsid w:val="745919C6"/>
    <w:rsid w:val="746278CC"/>
    <w:rsid w:val="74702A9A"/>
    <w:rsid w:val="74821217"/>
    <w:rsid w:val="749D4192"/>
    <w:rsid w:val="74AD1538"/>
    <w:rsid w:val="74BDBBBB"/>
    <w:rsid w:val="75200E60"/>
    <w:rsid w:val="75485619"/>
    <w:rsid w:val="754E5AAC"/>
    <w:rsid w:val="75581C94"/>
    <w:rsid w:val="755B4283"/>
    <w:rsid w:val="7572072A"/>
    <w:rsid w:val="75745308"/>
    <w:rsid w:val="757EA655"/>
    <w:rsid w:val="757F90D4"/>
    <w:rsid w:val="75E3F91B"/>
    <w:rsid w:val="75F70A8E"/>
    <w:rsid w:val="75FB302F"/>
    <w:rsid w:val="75FB5F1A"/>
    <w:rsid w:val="75FD748C"/>
    <w:rsid w:val="761C2BBB"/>
    <w:rsid w:val="765F943E"/>
    <w:rsid w:val="7671701C"/>
    <w:rsid w:val="76727B5B"/>
    <w:rsid w:val="769A2EC1"/>
    <w:rsid w:val="76AF9E02"/>
    <w:rsid w:val="76BE6D39"/>
    <w:rsid w:val="76DB341D"/>
    <w:rsid w:val="76ED4B63"/>
    <w:rsid w:val="772628C0"/>
    <w:rsid w:val="773F27C4"/>
    <w:rsid w:val="774065EE"/>
    <w:rsid w:val="775B2F55"/>
    <w:rsid w:val="776A1DE8"/>
    <w:rsid w:val="777F0131"/>
    <w:rsid w:val="777F94ED"/>
    <w:rsid w:val="778D1E85"/>
    <w:rsid w:val="778FC79A"/>
    <w:rsid w:val="779F3503"/>
    <w:rsid w:val="77AA3947"/>
    <w:rsid w:val="77AA6501"/>
    <w:rsid w:val="77B71700"/>
    <w:rsid w:val="77BBE9DB"/>
    <w:rsid w:val="77BDF3BE"/>
    <w:rsid w:val="77CE5104"/>
    <w:rsid w:val="77DD7F43"/>
    <w:rsid w:val="77E107FE"/>
    <w:rsid w:val="77E2AE40"/>
    <w:rsid w:val="77ED98E5"/>
    <w:rsid w:val="77F97E55"/>
    <w:rsid w:val="77FA42FF"/>
    <w:rsid w:val="77FD11E0"/>
    <w:rsid w:val="77FFBC81"/>
    <w:rsid w:val="7827495D"/>
    <w:rsid w:val="785D00CA"/>
    <w:rsid w:val="78D02752"/>
    <w:rsid w:val="78FF492E"/>
    <w:rsid w:val="79332C43"/>
    <w:rsid w:val="79440EAD"/>
    <w:rsid w:val="79761BF0"/>
    <w:rsid w:val="797FE4A3"/>
    <w:rsid w:val="79FC6C9F"/>
    <w:rsid w:val="79FF006B"/>
    <w:rsid w:val="79FF8795"/>
    <w:rsid w:val="7A095C81"/>
    <w:rsid w:val="7A350C22"/>
    <w:rsid w:val="7A3D9C72"/>
    <w:rsid w:val="7A717DF2"/>
    <w:rsid w:val="7A911757"/>
    <w:rsid w:val="7AC16313"/>
    <w:rsid w:val="7AF05BE9"/>
    <w:rsid w:val="7AFF1DF9"/>
    <w:rsid w:val="7B1642C0"/>
    <w:rsid w:val="7B800798"/>
    <w:rsid w:val="7BB74DD8"/>
    <w:rsid w:val="7BBC4DB9"/>
    <w:rsid w:val="7BBF321E"/>
    <w:rsid w:val="7BBFE019"/>
    <w:rsid w:val="7BD20980"/>
    <w:rsid w:val="7BD81D81"/>
    <w:rsid w:val="7BE758C8"/>
    <w:rsid w:val="7BEE7B01"/>
    <w:rsid w:val="7BF7545E"/>
    <w:rsid w:val="7BFDE219"/>
    <w:rsid w:val="7BFE0A52"/>
    <w:rsid w:val="7BFF2FEE"/>
    <w:rsid w:val="7BFF4144"/>
    <w:rsid w:val="7BFF93C0"/>
    <w:rsid w:val="7BFFA761"/>
    <w:rsid w:val="7BFFC4BE"/>
    <w:rsid w:val="7BFFE2C3"/>
    <w:rsid w:val="7C1F4795"/>
    <w:rsid w:val="7C37B3AE"/>
    <w:rsid w:val="7C5EC286"/>
    <w:rsid w:val="7C6CDF94"/>
    <w:rsid w:val="7C775736"/>
    <w:rsid w:val="7C964103"/>
    <w:rsid w:val="7C9717B2"/>
    <w:rsid w:val="7CB3E645"/>
    <w:rsid w:val="7CB64E72"/>
    <w:rsid w:val="7CBC429C"/>
    <w:rsid w:val="7CBF3E14"/>
    <w:rsid w:val="7CF7C12E"/>
    <w:rsid w:val="7CFD4AAE"/>
    <w:rsid w:val="7CFDE807"/>
    <w:rsid w:val="7CFFF401"/>
    <w:rsid w:val="7D37421A"/>
    <w:rsid w:val="7D3A197E"/>
    <w:rsid w:val="7D576EF2"/>
    <w:rsid w:val="7D6E784A"/>
    <w:rsid w:val="7D7A106D"/>
    <w:rsid w:val="7D7F753C"/>
    <w:rsid w:val="7D9C11DF"/>
    <w:rsid w:val="7DA3E097"/>
    <w:rsid w:val="7DAB4750"/>
    <w:rsid w:val="7DAD9B06"/>
    <w:rsid w:val="7DD685D3"/>
    <w:rsid w:val="7DDB468D"/>
    <w:rsid w:val="7DDD6CEA"/>
    <w:rsid w:val="7DED0920"/>
    <w:rsid w:val="7DEF0D54"/>
    <w:rsid w:val="7DF06890"/>
    <w:rsid w:val="7DFBDCA6"/>
    <w:rsid w:val="7DFDE92E"/>
    <w:rsid w:val="7DFE0875"/>
    <w:rsid w:val="7DFED1D2"/>
    <w:rsid w:val="7E2C7F89"/>
    <w:rsid w:val="7E56063E"/>
    <w:rsid w:val="7E5F6FD3"/>
    <w:rsid w:val="7E5FD14D"/>
    <w:rsid w:val="7E636E14"/>
    <w:rsid w:val="7E6CB1DD"/>
    <w:rsid w:val="7E7F7154"/>
    <w:rsid w:val="7E7F764A"/>
    <w:rsid w:val="7E853970"/>
    <w:rsid w:val="7E867634"/>
    <w:rsid w:val="7E984FF7"/>
    <w:rsid w:val="7E9B66C1"/>
    <w:rsid w:val="7EACD1E0"/>
    <w:rsid w:val="7EB73B71"/>
    <w:rsid w:val="7EBE4402"/>
    <w:rsid w:val="7EC81C39"/>
    <w:rsid w:val="7ECE2239"/>
    <w:rsid w:val="7ECF47CE"/>
    <w:rsid w:val="7ED7C9C0"/>
    <w:rsid w:val="7EDB895D"/>
    <w:rsid w:val="7EDF8B42"/>
    <w:rsid w:val="7EE55109"/>
    <w:rsid w:val="7EEA922B"/>
    <w:rsid w:val="7EEB99EE"/>
    <w:rsid w:val="7EEF0BD6"/>
    <w:rsid w:val="7EF90BB5"/>
    <w:rsid w:val="7EFB16B1"/>
    <w:rsid w:val="7EFBB296"/>
    <w:rsid w:val="7EFF77B1"/>
    <w:rsid w:val="7F1B4439"/>
    <w:rsid w:val="7F1E0EF4"/>
    <w:rsid w:val="7F2E8031"/>
    <w:rsid w:val="7F32693E"/>
    <w:rsid w:val="7F373E32"/>
    <w:rsid w:val="7F4F1972"/>
    <w:rsid w:val="7F5A3E5D"/>
    <w:rsid w:val="7F5B10BF"/>
    <w:rsid w:val="7F6D9D47"/>
    <w:rsid w:val="7F6F06E3"/>
    <w:rsid w:val="7F6F37F1"/>
    <w:rsid w:val="7F6FE5BB"/>
    <w:rsid w:val="7F7410B7"/>
    <w:rsid w:val="7F785326"/>
    <w:rsid w:val="7F7A82F0"/>
    <w:rsid w:val="7F7A8CB0"/>
    <w:rsid w:val="7F7B4F3B"/>
    <w:rsid w:val="7F7B8BFB"/>
    <w:rsid w:val="7F7C30FA"/>
    <w:rsid w:val="7F7D1CF8"/>
    <w:rsid w:val="7F7F3BA5"/>
    <w:rsid w:val="7F7F41A2"/>
    <w:rsid w:val="7F7FBCF7"/>
    <w:rsid w:val="7F83F33A"/>
    <w:rsid w:val="7F865F8F"/>
    <w:rsid w:val="7FA75ACE"/>
    <w:rsid w:val="7FAD0DA7"/>
    <w:rsid w:val="7FAD199B"/>
    <w:rsid w:val="7FAD857C"/>
    <w:rsid w:val="7FBC153B"/>
    <w:rsid w:val="7FBF590A"/>
    <w:rsid w:val="7FBFA45C"/>
    <w:rsid w:val="7FBFB826"/>
    <w:rsid w:val="7FBFF45C"/>
    <w:rsid w:val="7FC4C676"/>
    <w:rsid w:val="7FC7F090"/>
    <w:rsid w:val="7FCB35FA"/>
    <w:rsid w:val="7FCFA84C"/>
    <w:rsid w:val="7FD337FE"/>
    <w:rsid w:val="7FD41750"/>
    <w:rsid w:val="7FD772AD"/>
    <w:rsid w:val="7FDB3A8C"/>
    <w:rsid w:val="7FDBEC16"/>
    <w:rsid w:val="7FDC002E"/>
    <w:rsid w:val="7FDC273D"/>
    <w:rsid w:val="7FDF5BAE"/>
    <w:rsid w:val="7FDF8756"/>
    <w:rsid w:val="7FEA44EC"/>
    <w:rsid w:val="7FED8D9F"/>
    <w:rsid w:val="7FEF65D2"/>
    <w:rsid w:val="7FF649C9"/>
    <w:rsid w:val="7FF74AD2"/>
    <w:rsid w:val="7FF7ACD1"/>
    <w:rsid w:val="7FF7E400"/>
    <w:rsid w:val="7FF87D07"/>
    <w:rsid w:val="7FF9D968"/>
    <w:rsid w:val="7FFBCD85"/>
    <w:rsid w:val="7FFBF456"/>
    <w:rsid w:val="7FFD1117"/>
    <w:rsid w:val="7FFD2897"/>
    <w:rsid w:val="7FFDC540"/>
    <w:rsid w:val="7FFE19DD"/>
    <w:rsid w:val="7FFE5C84"/>
    <w:rsid w:val="7FFF1F78"/>
    <w:rsid w:val="7FFF41E8"/>
    <w:rsid w:val="7FFF472D"/>
    <w:rsid w:val="7FFF8D25"/>
    <w:rsid w:val="7FFF93C7"/>
    <w:rsid w:val="7FFF95BA"/>
    <w:rsid w:val="7FFFADDD"/>
    <w:rsid w:val="7FFFCC6A"/>
    <w:rsid w:val="7FFFFBB5"/>
    <w:rsid w:val="8AEF2844"/>
    <w:rsid w:val="8B2CB6BD"/>
    <w:rsid w:val="8B7F69FD"/>
    <w:rsid w:val="8CFEAD1A"/>
    <w:rsid w:val="8DF27DB4"/>
    <w:rsid w:val="8DF7DC8F"/>
    <w:rsid w:val="8EB8F7FF"/>
    <w:rsid w:val="8EEC250C"/>
    <w:rsid w:val="8FB6C2A2"/>
    <w:rsid w:val="8FFBFFA3"/>
    <w:rsid w:val="8FFF5A01"/>
    <w:rsid w:val="955D5588"/>
    <w:rsid w:val="95D257EE"/>
    <w:rsid w:val="96E852F2"/>
    <w:rsid w:val="973FC2B5"/>
    <w:rsid w:val="97BFD97E"/>
    <w:rsid w:val="97D54C31"/>
    <w:rsid w:val="983C5F9B"/>
    <w:rsid w:val="9A73AC36"/>
    <w:rsid w:val="9B7BE560"/>
    <w:rsid w:val="9B8EC775"/>
    <w:rsid w:val="9BF79D6D"/>
    <w:rsid w:val="9C7D4AD3"/>
    <w:rsid w:val="9CED8B96"/>
    <w:rsid w:val="9DDFABEB"/>
    <w:rsid w:val="9E7F190C"/>
    <w:rsid w:val="9EE1545F"/>
    <w:rsid w:val="9EFF0A41"/>
    <w:rsid w:val="9F7B557B"/>
    <w:rsid w:val="9FF7DDFB"/>
    <w:rsid w:val="9FFB2A12"/>
    <w:rsid w:val="A35ED26F"/>
    <w:rsid w:val="A3FFB69F"/>
    <w:rsid w:val="A4FA1BE2"/>
    <w:rsid w:val="A4FD1581"/>
    <w:rsid w:val="A4FE6501"/>
    <w:rsid w:val="A5F98125"/>
    <w:rsid w:val="A6D1F6B9"/>
    <w:rsid w:val="A6FA8F7E"/>
    <w:rsid w:val="AAFF21BA"/>
    <w:rsid w:val="ABED2E73"/>
    <w:rsid w:val="ABFF1E65"/>
    <w:rsid w:val="AD75ED10"/>
    <w:rsid w:val="ADF03748"/>
    <w:rsid w:val="ADF9E831"/>
    <w:rsid w:val="AF3B013F"/>
    <w:rsid w:val="AF73252E"/>
    <w:rsid w:val="AF7B762F"/>
    <w:rsid w:val="AF8D6BEB"/>
    <w:rsid w:val="AFABF536"/>
    <w:rsid w:val="AFB89F23"/>
    <w:rsid w:val="AFEBB1A9"/>
    <w:rsid w:val="AFF5521E"/>
    <w:rsid w:val="AFFF17D7"/>
    <w:rsid w:val="B2F6B65D"/>
    <w:rsid w:val="B3973897"/>
    <w:rsid w:val="B51FB270"/>
    <w:rsid w:val="B5FE0849"/>
    <w:rsid w:val="B6DFE915"/>
    <w:rsid w:val="B7378A31"/>
    <w:rsid w:val="B74B01F5"/>
    <w:rsid w:val="B75FEA45"/>
    <w:rsid w:val="B7BB244B"/>
    <w:rsid w:val="B7DF4E63"/>
    <w:rsid w:val="B7ED2478"/>
    <w:rsid w:val="B7EF1A6B"/>
    <w:rsid w:val="B7FECEAA"/>
    <w:rsid w:val="B857FE4F"/>
    <w:rsid w:val="BAB50013"/>
    <w:rsid w:val="BAEB4102"/>
    <w:rsid w:val="BAF7FFC4"/>
    <w:rsid w:val="BBBD7C0C"/>
    <w:rsid w:val="BBBF7555"/>
    <w:rsid w:val="BD3C3705"/>
    <w:rsid w:val="BD6B7A53"/>
    <w:rsid w:val="BD7F52FF"/>
    <w:rsid w:val="BD7F8BF9"/>
    <w:rsid w:val="BD88027B"/>
    <w:rsid w:val="BDAD8C0B"/>
    <w:rsid w:val="BDB89F7D"/>
    <w:rsid w:val="BDE5F715"/>
    <w:rsid w:val="BDFF8677"/>
    <w:rsid w:val="BE4D5DA5"/>
    <w:rsid w:val="BE5B99FA"/>
    <w:rsid w:val="BECEA4EC"/>
    <w:rsid w:val="BEEE3859"/>
    <w:rsid w:val="BEF4310A"/>
    <w:rsid w:val="BEFF78CB"/>
    <w:rsid w:val="BF3F026E"/>
    <w:rsid w:val="BF7A20F2"/>
    <w:rsid w:val="BF7D702A"/>
    <w:rsid w:val="BF7D7A6E"/>
    <w:rsid w:val="BFA35DB2"/>
    <w:rsid w:val="BFAA3616"/>
    <w:rsid w:val="BFB74E05"/>
    <w:rsid w:val="BFBB0468"/>
    <w:rsid w:val="BFBD9C98"/>
    <w:rsid w:val="BFBFAB6B"/>
    <w:rsid w:val="BFD61C93"/>
    <w:rsid w:val="BFDE2B33"/>
    <w:rsid w:val="BFDF8502"/>
    <w:rsid w:val="BFDF8A7F"/>
    <w:rsid w:val="BFF7985E"/>
    <w:rsid w:val="BFFBB10D"/>
    <w:rsid w:val="BFFF4C4C"/>
    <w:rsid w:val="BFFF66CB"/>
    <w:rsid w:val="C4FF5602"/>
    <w:rsid w:val="C5DB5F75"/>
    <w:rsid w:val="C7D745CB"/>
    <w:rsid w:val="C8DF33AD"/>
    <w:rsid w:val="CBDFA347"/>
    <w:rsid w:val="CBEBA055"/>
    <w:rsid w:val="CBFE4EBF"/>
    <w:rsid w:val="CDE5DFAE"/>
    <w:rsid w:val="CDFF0E5F"/>
    <w:rsid w:val="CDFFB474"/>
    <w:rsid w:val="CF1D8547"/>
    <w:rsid w:val="CF51D33D"/>
    <w:rsid w:val="CF735E68"/>
    <w:rsid w:val="CF7DDDB6"/>
    <w:rsid w:val="CF7FC6F8"/>
    <w:rsid w:val="CF9875EF"/>
    <w:rsid w:val="CF9B15EC"/>
    <w:rsid w:val="CF9F30AD"/>
    <w:rsid w:val="CFA83524"/>
    <w:rsid w:val="CFB19AB2"/>
    <w:rsid w:val="CFBF555A"/>
    <w:rsid w:val="CFCB9BD0"/>
    <w:rsid w:val="CFE2C39A"/>
    <w:rsid w:val="CFEF0898"/>
    <w:rsid w:val="CFFEE1C1"/>
    <w:rsid w:val="D37ECC30"/>
    <w:rsid w:val="D55D4E37"/>
    <w:rsid w:val="D5FE4F50"/>
    <w:rsid w:val="D67FEAEF"/>
    <w:rsid w:val="D6F5ECF2"/>
    <w:rsid w:val="D6FBEC74"/>
    <w:rsid w:val="D72F4D6C"/>
    <w:rsid w:val="D77DA584"/>
    <w:rsid w:val="D7AF17EB"/>
    <w:rsid w:val="D7B7F0C8"/>
    <w:rsid w:val="D7DCE6B8"/>
    <w:rsid w:val="D7EB8AFF"/>
    <w:rsid w:val="D7EB8D26"/>
    <w:rsid w:val="D7FE1BBA"/>
    <w:rsid w:val="D7FF8D26"/>
    <w:rsid w:val="DAC94914"/>
    <w:rsid w:val="DADFB800"/>
    <w:rsid w:val="DB60F3C1"/>
    <w:rsid w:val="DBAF3373"/>
    <w:rsid w:val="DBBA8984"/>
    <w:rsid w:val="DBEF1095"/>
    <w:rsid w:val="DBFF7FD5"/>
    <w:rsid w:val="DBFFA3B5"/>
    <w:rsid w:val="DD9F1927"/>
    <w:rsid w:val="DDB28B8E"/>
    <w:rsid w:val="DDDE6991"/>
    <w:rsid w:val="DDF33D43"/>
    <w:rsid w:val="DE130771"/>
    <w:rsid w:val="DEBFE88F"/>
    <w:rsid w:val="DEDBF86A"/>
    <w:rsid w:val="DEEFA33B"/>
    <w:rsid w:val="DEF3BA59"/>
    <w:rsid w:val="DF2FDB3D"/>
    <w:rsid w:val="DF37CBBB"/>
    <w:rsid w:val="DF73D621"/>
    <w:rsid w:val="DF7F514C"/>
    <w:rsid w:val="DF8DD6AB"/>
    <w:rsid w:val="DF9679F3"/>
    <w:rsid w:val="DF9D1205"/>
    <w:rsid w:val="DF9F2D5C"/>
    <w:rsid w:val="DFA6C4E0"/>
    <w:rsid w:val="DFBF407E"/>
    <w:rsid w:val="DFCFF3DF"/>
    <w:rsid w:val="DFDF99C5"/>
    <w:rsid w:val="DFE5467E"/>
    <w:rsid w:val="DFE74976"/>
    <w:rsid w:val="DFED128F"/>
    <w:rsid w:val="DFEE067B"/>
    <w:rsid w:val="DFEF47B1"/>
    <w:rsid w:val="DFF54251"/>
    <w:rsid w:val="DFFD1720"/>
    <w:rsid w:val="DFFF42BB"/>
    <w:rsid w:val="E0F5A997"/>
    <w:rsid w:val="E1FF8A85"/>
    <w:rsid w:val="E27B0285"/>
    <w:rsid w:val="E39A2D08"/>
    <w:rsid w:val="E3FB7D3C"/>
    <w:rsid w:val="E4F0CCFC"/>
    <w:rsid w:val="E69FE384"/>
    <w:rsid w:val="E79D2860"/>
    <w:rsid w:val="E7B7E2FA"/>
    <w:rsid w:val="E7DF985A"/>
    <w:rsid w:val="E7E91CD2"/>
    <w:rsid w:val="E7F1DA58"/>
    <w:rsid w:val="E7F8792A"/>
    <w:rsid w:val="E7FBA629"/>
    <w:rsid w:val="E9AF501A"/>
    <w:rsid w:val="E9CE11B0"/>
    <w:rsid w:val="E9FF3B38"/>
    <w:rsid w:val="EA7F81A9"/>
    <w:rsid w:val="EAF5AA97"/>
    <w:rsid w:val="EAF889D1"/>
    <w:rsid w:val="EAFF3C43"/>
    <w:rsid w:val="EAFF8EF6"/>
    <w:rsid w:val="EBA7B4E5"/>
    <w:rsid w:val="EBDF8609"/>
    <w:rsid w:val="EBFE06ED"/>
    <w:rsid w:val="EBFE35C3"/>
    <w:rsid w:val="ECB764CF"/>
    <w:rsid w:val="ECBFBAE8"/>
    <w:rsid w:val="ECD9D43D"/>
    <w:rsid w:val="ED3A8990"/>
    <w:rsid w:val="ED7F2B07"/>
    <w:rsid w:val="EDB70FB5"/>
    <w:rsid w:val="EDFC3734"/>
    <w:rsid w:val="EEFB5588"/>
    <w:rsid w:val="EEFFB035"/>
    <w:rsid w:val="EF164B57"/>
    <w:rsid w:val="EF3DF2E5"/>
    <w:rsid w:val="EF5EB78F"/>
    <w:rsid w:val="EF6F2D9B"/>
    <w:rsid w:val="EF9BCC63"/>
    <w:rsid w:val="EFBF053C"/>
    <w:rsid w:val="EFCE2ED6"/>
    <w:rsid w:val="EFDFB922"/>
    <w:rsid w:val="EFE7D642"/>
    <w:rsid w:val="EFEF10C8"/>
    <w:rsid w:val="EFEF87B9"/>
    <w:rsid w:val="EFF33B31"/>
    <w:rsid w:val="EFFA462E"/>
    <w:rsid w:val="EFFB4B15"/>
    <w:rsid w:val="EFFBF674"/>
    <w:rsid w:val="EFFD9EEC"/>
    <w:rsid w:val="EFFDDEAD"/>
    <w:rsid w:val="EFFEBD34"/>
    <w:rsid w:val="F1BE1AB6"/>
    <w:rsid w:val="F1BF10D1"/>
    <w:rsid w:val="F1FEF362"/>
    <w:rsid w:val="F2D53D59"/>
    <w:rsid w:val="F2EF6DA6"/>
    <w:rsid w:val="F2FCEEF8"/>
    <w:rsid w:val="F33F7D62"/>
    <w:rsid w:val="F3EB1863"/>
    <w:rsid w:val="F3FD78F2"/>
    <w:rsid w:val="F3FE0576"/>
    <w:rsid w:val="F3FFFEA2"/>
    <w:rsid w:val="F43F98C6"/>
    <w:rsid w:val="F47D9957"/>
    <w:rsid w:val="F52F8930"/>
    <w:rsid w:val="F59D664C"/>
    <w:rsid w:val="F5EF6CF8"/>
    <w:rsid w:val="F5EFD5F9"/>
    <w:rsid w:val="F5FC0875"/>
    <w:rsid w:val="F5FDD481"/>
    <w:rsid w:val="F5FE0BFF"/>
    <w:rsid w:val="F5FF1E49"/>
    <w:rsid w:val="F63FCD20"/>
    <w:rsid w:val="F67F0C3F"/>
    <w:rsid w:val="F69FE3FF"/>
    <w:rsid w:val="F6D7413C"/>
    <w:rsid w:val="F6DEFA0E"/>
    <w:rsid w:val="F6E6252C"/>
    <w:rsid w:val="F6EF2C40"/>
    <w:rsid w:val="F6F1F914"/>
    <w:rsid w:val="F6FD0D47"/>
    <w:rsid w:val="F7344AD0"/>
    <w:rsid w:val="F76AC50D"/>
    <w:rsid w:val="F77B08F4"/>
    <w:rsid w:val="F77F017A"/>
    <w:rsid w:val="F792E251"/>
    <w:rsid w:val="F79A5A13"/>
    <w:rsid w:val="F7BBAA18"/>
    <w:rsid w:val="F7BFBC85"/>
    <w:rsid w:val="F7DE500F"/>
    <w:rsid w:val="F7E79D1B"/>
    <w:rsid w:val="F7EFB0BF"/>
    <w:rsid w:val="F7F63EC7"/>
    <w:rsid w:val="F7F7E1BA"/>
    <w:rsid w:val="F7FB6B5B"/>
    <w:rsid w:val="F7FF7B77"/>
    <w:rsid w:val="F87F472A"/>
    <w:rsid w:val="F8B66CA3"/>
    <w:rsid w:val="F8EDC5B9"/>
    <w:rsid w:val="F9F97A1A"/>
    <w:rsid w:val="F9FCD2CE"/>
    <w:rsid w:val="F9FFF6B8"/>
    <w:rsid w:val="FA4B7CB2"/>
    <w:rsid w:val="FA8B02FF"/>
    <w:rsid w:val="FAB6C415"/>
    <w:rsid w:val="FABE7C38"/>
    <w:rsid w:val="FABF3A82"/>
    <w:rsid w:val="FAFB044A"/>
    <w:rsid w:val="FAFFF9DA"/>
    <w:rsid w:val="FB24693D"/>
    <w:rsid w:val="FB2DCC1A"/>
    <w:rsid w:val="FB3D38A8"/>
    <w:rsid w:val="FB6D6E83"/>
    <w:rsid w:val="FB7F7B46"/>
    <w:rsid w:val="FB874139"/>
    <w:rsid w:val="FB973447"/>
    <w:rsid w:val="FBB927A3"/>
    <w:rsid w:val="FBBC0827"/>
    <w:rsid w:val="FBBD9E0E"/>
    <w:rsid w:val="FBBF52F1"/>
    <w:rsid w:val="FBCA9E2A"/>
    <w:rsid w:val="FBCF76A0"/>
    <w:rsid w:val="FBEBF87C"/>
    <w:rsid w:val="FBED8322"/>
    <w:rsid w:val="FBEDB229"/>
    <w:rsid w:val="FBF5847F"/>
    <w:rsid w:val="FBF641FA"/>
    <w:rsid w:val="FBF72383"/>
    <w:rsid w:val="FBF7270A"/>
    <w:rsid w:val="FBF7F616"/>
    <w:rsid w:val="FBFF09BF"/>
    <w:rsid w:val="FBFF7B1C"/>
    <w:rsid w:val="FBFF9963"/>
    <w:rsid w:val="FC5575D1"/>
    <w:rsid w:val="FC6FC2FB"/>
    <w:rsid w:val="FCBE0A8E"/>
    <w:rsid w:val="FCDF4909"/>
    <w:rsid w:val="FCDFAF31"/>
    <w:rsid w:val="FCEC5C0D"/>
    <w:rsid w:val="FCEEA18B"/>
    <w:rsid w:val="FCFB90EE"/>
    <w:rsid w:val="FCFF9633"/>
    <w:rsid w:val="FD3D59D2"/>
    <w:rsid w:val="FD5F1596"/>
    <w:rsid w:val="FD8FC400"/>
    <w:rsid w:val="FDBF4542"/>
    <w:rsid w:val="FDBFA612"/>
    <w:rsid w:val="FDCFDAF1"/>
    <w:rsid w:val="FDD94EE2"/>
    <w:rsid w:val="FDDEA171"/>
    <w:rsid w:val="FDE17E08"/>
    <w:rsid w:val="FDEEE351"/>
    <w:rsid w:val="FDF06C94"/>
    <w:rsid w:val="FDFE5901"/>
    <w:rsid w:val="FDFFF695"/>
    <w:rsid w:val="FE5B9D91"/>
    <w:rsid w:val="FE5DBEDE"/>
    <w:rsid w:val="FE6C5871"/>
    <w:rsid w:val="FE7B89F7"/>
    <w:rsid w:val="FE7D2342"/>
    <w:rsid w:val="FE9EC511"/>
    <w:rsid w:val="FEBAE534"/>
    <w:rsid w:val="FEFE29DC"/>
    <w:rsid w:val="FEFF1709"/>
    <w:rsid w:val="FEFF231F"/>
    <w:rsid w:val="FEFFD4B4"/>
    <w:rsid w:val="FF0F66E9"/>
    <w:rsid w:val="FF374F5E"/>
    <w:rsid w:val="FF3E45D7"/>
    <w:rsid w:val="FF455AB2"/>
    <w:rsid w:val="FF4BA4EE"/>
    <w:rsid w:val="FF4FE722"/>
    <w:rsid w:val="FF5E4D9E"/>
    <w:rsid w:val="FF5F0EA9"/>
    <w:rsid w:val="FF65A867"/>
    <w:rsid w:val="FF772E6C"/>
    <w:rsid w:val="FF778FF3"/>
    <w:rsid w:val="FF7BF895"/>
    <w:rsid w:val="FF7E47ED"/>
    <w:rsid w:val="FF7F11B9"/>
    <w:rsid w:val="FF7F6612"/>
    <w:rsid w:val="FF9ACE7A"/>
    <w:rsid w:val="FF9B8B26"/>
    <w:rsid w:val="FF9D01DB"/>
    <w:rsid w:val="FFAA11AC"/>
    <w:rsid w:val="FFAF68B5"/>
    <w:rsid w:val="FFBB5D24"/>
    <w:rsid w:val="FFBBEDE8"/>
    <w:rsid w:val="FFBF0743"/>
    <w:rsid w:val="FFBF29EB"/>
    <w:rsid w:val="FFBF36F1"/>
    <w:rsid w:val="FFBFDA73"/>
    <w:rsid w:val="FFCFF3BE"/>
    <w:rsid w:val="FFD5BDEC"/>
    <w:rsid w:val="FFD7454F"/>
    <w:rsid w:val="FFD77558"/>
    <w:rsid w:val="FFDB5011"/>
    <w:rsid w:val="FFDF0C44"/>
    <w:rsid w:val="FFDF1F16"/>
    <w:rsid w:val="FFE3FCC4"/>
    <w:rsid w:val="FFEB512D"/>
    <w:rsid w:val="FFEBA015"/>
    <w:rsid w:val="FFEDC89F"/>
    <w:rsid w:val="FFEF9544"/>
    <w:rsid w:val="FFF54AD0"/>
    <w:rsid w:val="FFF70241"/>
    <w:rsid w:val="FFF71FD8"/>
    <w:rsid w:val="FFF7345C"/>
    <w:rsid w:val="FFF755A4"/>
    <w:rsid w:val="FFF904E1"/>
    <w:rsid w:val="FFF9D939"/>
    <w:rsid w:val="FFFB2C50"/>
    <w:rsid w:val="FFFD3F87"/>
    <w:rsid w:val="FFFD63AA"/>
    <w:rsid w:val="FFFD85CE"/>
    <w:rsid w:val="FFFE0F69"/>
    <w:rsid w:val="FFFE79A8"/>
    <w:rsid w:val="FFFE9CFC"/>
    <w:rsid w:val="FFFF1975"/>
    <w:rsid w:val="FFFF53BE"/>
    <w:rsid w:val="FFFF60C6"/>
    <w:rsid w:val="FFFF78BD"/>
    <w:rsid w:val="FFFFB52C"/>
    <w:rsid w:val="FFFFDF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qFormat="1" w:uiPriority="39" w:semiHidden="0" w:name="toc 4" w:locked="1"/>
    <w:lsdException w:uiPriority="39" w:name="toc 5" w:locked="1"/>
    <w:lsdException w:qFormat="1" w:unhideWhenUsed="0" w:uiPriority="39" w:semiHidden="0" w:name="toc 6" w:locked="1"/>
    <w:lsdException w:uiPriority="39" w:name="toc 7" w:locked="1"/>
    <w:lsdException w:qFormat="1" w:unhideWhenUsed="0" w:uiPriority="0" w:semiHidden="0" w:name="toc 8" w:locked="1"/>
    <w:lsdException w:uiPriority="39" w:name="toc 9" w:locked="1"/>
    <w:lsdException w:qFormat="1" w:unhideWhenUsed="0" w:uiPriority="99" w:semiHidden="0" w:name="Normal Indent"/>
    <w:lsdException w:qFormat="1"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0" w:semiHidden="0" w:name="Body Text 3" w:locked="1"/>
    <w:lsdException w:uiPriority="99" w:name="Body Text Indent 2" w:locked="1"/>
    <w:lsdException w:uiPriority="99" w:name="Body Text Indent 3" w:locked="1"/>
    <w:lsdException w:qFormat="1" w:unhideWhenUsed="0" w:uiPriority="99" w:semiHidden="0" w:name="Block Text" w:locked="1"/>
    <w:lsdException w:qFormat="1" w:unhideWhenUsed="0" w:uiPriority="0"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semiHidden="0" w:name="Balloon Text"/>
    <w:lsdException w:qFormat="1" w:unhideWhenUsed="0" w:uiPriority="59" w:semiHidden="0" w:name="Table Grid" w:locked="1"/>
    <w:lsdException w:unhideWhenUsed="0" w:uiPriority="99"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8"/>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1"/>
    <w:qFormat/>
    <w:uiPriority w:val="99"/>
    <w:pPr>
      <w:keepNext/>
      <w:keepLines/>
      <w:spacing w:before="260" w:after="260" w:line="416" w:lineRule="auto"/>
      <w:outlineLvl w:val="2"/>
    </w:pPr>
    <w:rPr>
      <w:b/>
      <w:bCs/>
      <w:sz w:val="32"/>
      <w:szCs w:val="32"/>
    </w:rPr>
  </w:style>
  <w:style w:type="paragraph" w:styleId="6">
    <w:name w:val="heading 4"/>
    <w:basedOn w:val="1"/>
    <w:next w:val="1"/>
    <w:qFormat/>
    <w:locked/>
    <w:uiPriority w:val="0"/>
    <w:pPr>
      <w:keepNext/>
      <w:keepLines/>
      <w:spacing w:before="280" w:after="290" w:line="372"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99"/>
    <w:pPr>
      <w:spacing w:line="360" w:lineRule="exact"/>
    </w:pPr>
    <w:rPr>
      <w:sz w:val="24"/>
    </w:rPr>
  </w:style>
  <w:style w:type="paragraph" w:styleId="7">
    <w:name w:val="List Number"/>
    <w:basedOn w:val="1"/>
    <w:qFormat/>
    <w:uiPriority w:val="99"/>
    <w:pPr>
      <w:numPr>
        <w:ilvl w:val="0"/>
        <w:numId w:val="1"/>
      </w:numPr>
    </w:pPr>
  </w:style>
  <w:style w:type="paragraph" w:styleId="8">
    <w:name w:val="Normal Indent"/>
    <w:basedOn w:val="1"/>
    <w:next w:val="1"/>
    <w:qFormat/>
    <w:uiPriority w:val="99"/>
    <w:pPr>
      <w:ind w:firstLine="420"/>
    </w:pPr>
    <w:rPr>
      <w:szCs w:val="20"/>
    </w:rPr>
  </w:style>
  <w:style w:type="paragraph" w:styleId="9">
    <w:name w:val="annotation text"/>
    <w:basedOn w:val="1"/>
    <w:link w:val="43"/>
    <w:qFormat/>
    <w:uiPriority w:val="99"/>
    <w:pPr>
      <w:jc w:val="left"/>
    </w:pPr>
  </w:style>
  <w:style w:type="paragraph" w:styleId="10">
    <w:name w:val="Body Text 3"/>
    <w:basedOn w:val="1"/>
    <w:qFormat/>
    <w:locked/>
    <w:uiPriority w:val="0"/>
    <w:pPr>
      <w:spacing w:line="360" w:lineRule="auto"/>
      <w:jc w:val="center"/>
    </w:pPr>
    <w:rPr>
      <w:rFonts w:ascii="宋体" w:hAnsi="宋体"/>
      <w:bCs/>
      <w:iCs/>
      <w:szCs w:val="28"/>
    </w:rPr>
  </w:style>
  <w:style w:type="paragraph" w:styleId="11">
    <w:name w:val="Body Text Indent"/>
    <w:basedOn w:val="1"/>
    <w:next w:val="1"/>
    <w:link w:val="44"/>
    <w:qFormat/>
    <w:uiPriority w:val="99"/>
    <w:pPr>
      <w:spacing w:after="120"/>
      <w:ind w:left="420" w:leftChars="200"/>
    </w:pPr>
  </w:style>
  <w:style w:type="paragraph" w:styleId="12">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3">
    <w:name w:val="Plain Text"/>
    <w:basedOn w:val="1"/>
    <w:next w:val="14"/>
    <w:link w:val="45"/>
    <w:qFormat/>
    <w:uiPriority w:val="99"/>
    <w:rPr>
      <w:rFonts w:ascii="宋体" w:hAnsi="Courier New"/>
    </w:rPr>
  </w:style>
  <w:style w:type="paragraph" w:styleId="14">
    <w:name w:val="Date"/>
    <w:basedOn w:val="1"/>
    <w:next w:val="1"/>
    <w:link w:val="46"/>
    <w:qFormat/>
    <w:uiPriority w:val="99"/>
    <w:pPr>
      <w:ind w:left="2500" w:leftChars="2500"/>
    </w:pPr>
    <w:rPr>
      <w:rFonts w:ascii="Calibri" w:hAnsi="Calibri" w:eastAsia="楷体_GB2312"/>
      <w:sz w:val="32"/>
      <w:szCs w:val="22"/>
    </w:rPr>
  </w:style>
  <w:style w:type="paragraph" w:styleId="15">
    <w:name w:val="toc 8"/>
    <w:basedOn w:val="1"/>
    <w:next w:val="1"/>
    <w:qFormat/>
    <w:locked/>
    <w:uiPriority w:val="0"/>
    <w:pPr>
      <w:ind w:left="2940" w:leftChars="1400"/>
    </w:pPr>
    <w:rPr>
      <w:rFonts w:ascii="Calibri" w:hAnsi="Calibri"/>
      <w:szCs w:val="22"/>
    </w:rPr>
  </w:style>
  <w:style w:type="paragraph" w:styleId="16">
    <w:name w:val="Balloon Text"/>
    <w:basedOn w:val="1"/>
    <w:link w:val="47"/>
    <w:qFormat/>
    <w:uiPriority w:val="99"/>
    <w:rPr>
      <w:sz w:val="18"/>
      <w:szCs w:val="18"/>
    </w:rPr>
  </w:style>
  <w:style w:type="paragraph" w:styleId="17">
    <w:name w:val="footer"/>
    <w:basedOn w:val="1"/>
    <w:link w:val="48"/>
    <w:qFormat/>
    <w:uiPriority w:val="99"/>
    <w:pPr>
      <w:tabs>
        <w:tab w:val="center" w:pos="4153"/>
        <w:tab w:val="right" w:pos="8306"/>
      </w:tabs>
      <w:snapToGrid w:val="0"/>
      <w:jc w:val="left"/>
    </w:pPr>
    <w:rPr>
      <w:sz w:val="18"/>
    </w:rPr>
  </w:style>
  <w:style w:type="paragraph" w:styleId="18">
    <w:name w:val="envelope return"/>
    <w:basedOn w:val="1"/>
    <w:qFormat/>
    <w:locked/>
    <w:uiPriority w:val="0"/>
    <w:pPr>
      <w:widowControl/>
      <w:snapToGrid w:val="0"/>
      <w:spacing w:line="360" w:lineRule="auto"/>
      <w:jc w:val="left"/>
    </w:pPr>
    <w:rPr>
      <w:rFonts w:ascii="Arial" w:hAnsi="Arial" w:cs="Arial"/>
    </w:rPr>
  </w:style>
  <w:style w:type="paragraph" w:styleId="19">
    <w:name w:val="header"/>
    <w:basedOn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4"/>
    <w:basedOn w:val="1"/>
    <w:next w:val="1"/>
    <w:unhideWhenUsed/>
    <w:qFormat/>
    <w:locked/>
    <w:uiPriority w:val="39"/>
    <w:pPr>
      <w:ind w:left="630"/>
      <w:jc w:val="left"/>
    </w:pPr>
    <w:rPr>
      <w:rFonts w:ascii="Calibri" w:hAnsi="Calibri"/>
      <w:sz w:val="18"/>
      <w:szCs w:val="18"/>
    </w:rPr>
  </w:style>
  <w:style w:type="paragraph" w:styleId="21">
    <w:name w:val="footnote text"/>
    <w:basedOn w:val="1"/>
    <w:semiHidden/>
    <w:unhideWhenUsed/>
    <w:qFormat/>
    <w:locked/>
    <w:uiPriority w:val="99"/>
    <w:pPr>
      <w:snapToGrid w:val="0"/>
      <w:jc w:val="left"/>
    </w:pPr>
    <w:rPr>
      <w:sz w:val="18"/>
    </w:rPr>
  </w:style>
  <w:style w:type="paragraph" w:styleId="22">
    <w:name w:val="toc 6"/>
    <w:basedOn w:val="1"/>
    <w:next w:val="1"/>
    <w:qFormat/>
    <w:locked/>
    <w:uiPriority w:val="39"/>
    <w:pPr>
      <w:widowControl/>
      <w:ind w:left="1000"/>
      <w:jc w:val="left"/>
    </w:pPr>
    <w:rPr>
      <w:kern w:val="0"/>
      <w:sz w:val="18"/>
      <w:szCs w:val="20"/>
    </w:rPr>
  </w:style>
  <w:style w:type="paragraph" w:styleId="23">
    <w:name w:val="toc 2"/>
    <w:basedOn w:val="1"/>
    <w:next w:val="1"/>
    <w:qFormat/>
    <w:uiPriority w:val="99"/>
    <w:pPr>
      <w:ind w:left="420" w:leftChars="200"/>
    </w:pPr>
  </w:style>
  <w:style w:type="paragraph" w:styleId="24">
    <w:name w:val="Normal (Web)"/>
    <w:basedOn w:val="1"/>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6">
    <w:name w:val="annotation subject"/>
    <w:basedOn w:val="9"/>
    <w:next w:val="9"/>
    <w:link w:val="50"/>
    <w:qFormat/>
    <w:uiPriority w:val="99"/>
    <w:rPr>
      <w:b/>
      <w:bCs/>
    </w:rPr>
  </w:style>
  <w:style w:type="paragraph" w:styleId="27">
    <w:name w:val="Body Text First Indent"/>
    <w:basedOn w:val="2"/>
    <w:next w:val="1"/>
    <w:qFormat/>
    <w:locked/>
    <w:uiPriority w:val="99"/>
    <w:pPr>
      <w:ind w:firstLine="420"/>
    </w:pPr>
    <w:rPr>
      <w:sz w:val="21"/>
    </w:rPr>
  </w:style>
  <w:style w:type="paragraph" w:styleId="28">
    <w:name w:val="Body Text First Indent 2"/>
    <w:basedOn w:val="11"/>
    <w:next w:val="11"/>
    <w:qFormat/>
    <w:locked/>
    <w:uiPriority w:val="0"/>
    <w:pPr>
      <w:ind w:firstLine="420"/>
    </w:pPr>
  </w:style>
  <w:style w:type="table" w:styleId="30">
    <w:name w:val="Table Grid"/>
    <w:basedOn w:val="2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locked/>
    <w:uiPriority w:val="0"/>
  </w:style>
  <w:style w:type="character" w:styleId="33">
    <w:name w:val="Hyperlink"/>
    <w:qFormat/>
    <w:locked/>
    <w:uiPriority w:val="0"/>
    <w:rPr>
      <w:color w:val="0000FF"/>
      <w:u w:val="single"/>
    </w:rPr>
  </w:style>
  <w:style w:type="character" w:styleId="34">
    <w:name w:val="annotation reference"/>
    <w:qFormat/>
    <w:uiPriority w:val="99"/>
    <w:rPr>
      <w:rFonts w:cs="Times New Roman"/>
      <w:sz w:val="21"/>
      <w:szCs w:val="21"/>
    </w:rPr>
  </w:style>
  <w:style w:type="character" w:styleId="35">
    <w:name w:val="footnote reference"/>
    <w:semiHidden/>
    <w:unhideWhenUsed/>
    <w:qFormat/>
    <w:locked/>
    <w:uiPriority w:val="99"/>
    <w:rPr>
      <w:vertAlign w:val="superscript"/>
    </w:rPr>
  </w:style>
  <w:style w:type="paragraph" w:customStyle="1" w:styleId="36">
    <w:name w:val="_Style 4"/>
    <w:next w:val="1"/>
    <w:qFormat/>
    <w:uiPriority w:val="0"/>
    <w:pPr>
      <w:wordWrap w:val="0"/>
    </w:pPr>
    <w:rPr>
      <w:rFonts w:ascii="Times New Roman" w:hAnsi="Times New Roman" w:eastAsia="宋体" w:cs="Times New Roman"/>
      <w:sz w:val="32"/>
      <w:lang w:val="en-US" w:eastAsia="zh-CN" w:bidi="ar-SA"/>
    </w:rPr>
  </w:style>
  <w:style w:type="paragraph" w:customStyle="1" w:styleId="37">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38">
    <w:name w:val="正文（首行缩进2字符）"/>
    <w:basedOn w:val="1"/>
    <w:qFormat/>
    <w:uiPriority w:val="0"/>
    <w:pPr>
      <w:spacing w:line="360" w:lineRule="auto"/>
      <w:ind w:firstLine="420" w:firstLineChars="200"/>
    </w:pPr>
    <w:rPr>
      <w:szCs w:val="21"/>
    </w:rPr>
  </w:style>
  <w:style w:type="character" w:customStyle="1" w:styleId="39">
    <w:name w:val="标题 1 Char"/>
    <w:link w:val="3"/>
    <w:qFormat/>
    <w:locked/>
    <w:uiPriority w:val="99"/>
    <w:rPr>
      <w:rFonts w:ascii="Times New Roman" w:hAnsi="Times New Roman" w:cs="Times New Roman"/>
      <w:b/>
      <w:bCs/>
      <w:kern w:val="44"/>
      <w:sz w:val="44"/>
      <w:szCs w:val="44"/>
    </w:rPr>
  </w:style>
  <w:style w:type="character" w:customStyle="1" w:styleId="40">
    <w:name w:val="标题 2 字符"/>
    <w:semiHidden/>
    <w:qFormat/>
    <w:locked/>
    <w:uiPriority w:val="99"/>
    <w:rPr>
      <w:rFonts w:ascii="Cambria" w:hAnsi="Cambria" w:eastAsia="宋体" w:cs="Times New Roman"/>
      <w:b/>
      <w:bCs/>
      <w:sz w:val="32"/>
      <w:szCs w:val="32"/>
    </w:rPr>
  </w:style>
  <w:style w:type="character" w:customStyle="1" w:styleId="41">
    <w:name w:val="标题 3 Char"/>
    <w:link w:val="5"/>
    <w:semiHidden/>
    <w:qFormat/>
    <w:locked/>
    <w:uiPriority w:val="99"/>
    <w:rPr>
      <w:rFonts w:cs="Times New Roman"/>
      <w:b/>
      <w:bCs/>
      <w:sz w:val="32"/>
      <w:szCs w:val="32"/>
    </w:rPr>
  </w:style>
  <w:style w:type="character" w:customStyle="1" w:styleId="42">
    <w:name w:val="正文文本 Char"/>
    <w:link w:val="2"/>
    <w:semiHidden/>
    <w:qFormat/>
    <w:locked/>
    <w:uiPriority w:val="99"/>
    <w:rPr>
      <w:rFonts w:cs="Times New Roman"/>
      <w:sz w:val="24"/>
      <w:szCs w:val="24"/>
    </w:rPr>
  </w:style>
  <w:style w:type="character" w:customStyle="1" w:styleId="43">
    <w:name w:val="批注文字 Char"/>
    <w:link w:val="9"/>
    <w:qFormat/>
    <w:locked/>
    <w:uiPriority w:val="99"/>
    <w:rPr>
      <w:rFonts w:ascii="Times New Roman" w:hAnsi="Times New Roman" w:eastAsia="宋体" w:cs="Times New Roman"/>
      <w:kern w:val="2"/>
      <w:sz w:val="24"/>
      <w:szCs w:val="24"/>
    </w:rPr>
  </w:style>
  <w:style w:type="character" w:customStyle="1" w:styleId="44">
    <w:name w:val="正文文本缩进 Char"/>
    <w:link w:val="11"/>
    <w:qFormat/>
    <w:locked/>
    <w:uiPriority w:val="99"/>
    <w:rPr>
      <w:rFonts w:cs="Times New Roman"/>
      <w:kern w:val="2"/>
      <w:sz w:val="24"/>
      <w:szCs w:val="24"/>
    </w:rPr>
  </w:style>
  <w:style w:type="character" w:customStyle="1" w:styleId="45">
    <w:name w:val="纯文本 Char"/>
    <w:link w:val="13"/>
    <w:semiHidden/>
    <w:qFormat/>
    <w:locked/>
    <w:uiPriority w:val="99"/>
    <w:rPr>
      <w:rFonts w:ascii="宋体" w:hAnsi="Courier New" w:cs="Courier New"/>
      <w:sz w:val="21"/>
      <w:szCs w:val="21"/>
    </w:rPr>
  </w:style>
  <w:style w:type="character" w:customStyle="1" w:styleId="46">
    <w:name w:val="日期 Char"/>
    <w:link w:val="14"/>
    <w:semiHidden/>
    <w:qFormat/>
    <w:locked/>
    <w:uiPriority w:val="99"/>
    <w:rPr>
      <w:rFonts w:cs="Times New Roman"/>
      <w:sz w:val="24"/>
      <w:szCs w:val="24"/>
    </w:rPr>
  </w:style>
  <w:style w:type="character" w:customStyle="1" w:styleId="47">
    <w:name w:val="批注框文本 Char"/>
    <w:link w:val="16"/>
    <w:qFormat/>
    <w:locked/>
    <w:uiPriority w:val="99"/>
    <w:rPr>
      <w:rFonts w:ascii="Times New Roman" w:hAnsi="Times New Roman" w:eastAsia="宋体" w:cs="Times New Roman"/>
      <w:kern w:val="2"/>
      <w:sz w:val="18"/>
      <w:szCs w:val="18"/>
    </w:rPr>
  </w:style>
  <w:style w:type="character" w:customStyle="1" w:styleId="48">
    <w:name w:val="页脚 Char"/>
    <w:link w:val="17"/>
    <w:semiHidden/>
    <w:qFormat/>
    <w:locked/>
    <w:uiPriority w:val="99"/>
    <w:rPr>
      <w:rFonts w:cs="Times New Roman"/>
      <w:sz w:val="18"/>
      <w:szCs w:val="18"/>
    </w:rPr>
  </w:style>
  <w:style w:type="character" w:customStyle="1" w:styleId="49">
    <w:name w:val="页眉 Char"/>
    <w:link w:val="19"/>
    <w:semiHidden/>
    <w:qFormat/>
    <w:locked/>
    <w:uiPriority w:val="99"/>
    <w:rPr>
      <w:rFonts w:cs="Times New Roman"/>
      <w:sz w:val="18"/>
      <w:szCs w:val="18"/>
    </w:rPr>
  </w:style>
  <w:style w:type="character" w:customStyle="1" w:styleId="50">
    <w:name w:val="批注主题 Char"/>
    <w:link w:val="26"/>
    <w:qFormat/>
    <w:locked/>
    <w:uiPriority w:val="99"/>
    <w:rPr>
      <w:rFonts w:ascii="Times New Roman" w:hAnsi="Times New Roman" w:eastAsia="宋体" w:cs="Times New Roman"/>
      <w:b/>
      <w:bCs/>
      <w:kern w:val="2"/>
      <w:sz w:val="24"/>
      <w:szCs w:val="24"/>
    </w:rPr>
  </w:style>
  <w:style w:type="paragraph" w:customStyle="1" w:styleId="51">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52">
    <w:name w:val="List Paragraph"/>
    <w:basedOn w:val="1"/>
    <w:qFormat/>
    <w:uiPriority w:val="99"/>
    <w:pPr>
      <w:ind w:firstLine="420" w:firstLineChars="200"/>
    </w:pPr>
    <w:rPr>
      <w:rFonts w:ascii="Calibri" w:hAnsi="Calibri"/>
      <w:szCs w:val="22"/>
    </w:rPr>
  </w:style>
  <w:style w:type="paragraph" w:customStyle="1" w:styleId="53">
    <w:name w:val="列出段落1"/>
    <w:basedOn w:val="1"/>
    <w:qFormat/>
    <w:uiPriority w:val="99"/>
    <w:pPr>
      <w:ind w:firstLine="420" w:firstLineChars="200"/>
    </w:pPr>
    <w:rPr>
      <w:rFonts w:ascii="Calibri" w:hAnsi="Calibri"/>
      <w:kern w:val="0"/>
      <w:szCs w:val="20"/>
    </w:rPr>
  </w:style>
  <w:style w:type="paragraph" w:customStyle="1" w:styleId="54">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5">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56">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4"/>
    <w:qFormat/>
    <w:uiPriority w:val="99"/>
    <w:rPr>
      <w:rFonts w:ascii="Times New Roman" w:hAnsi="Times New Roman" w:eastAsia="宋体" w:cs="Times New Roman"/>
      <w:sz w:val="21"/>
      <w:szCs w:val="22"/>
      <w:lang w:val="en-US" w:eastAsia="zh-CN" w:bidi="ar-SA"/>
    </w:rPr>
  </w:style>
  <w:style w:type="paragraph" w:customStyle="1" w:styleId="58">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3"/>
    <w:basedOn w:val="60"/>
    <w:qFormat/>
    <w:uiPriority w:val="99"/>
    <w:pPr>
      <w:widowControl/>
      <w:jc w:val="left"/>
    </w:pPr>
    <w:rPr>
      <w:rFonts w:ascii="宋体" w:hAnsi="Courier New"/>
      <w:szCs w:val="21"/>
    </w:rPr>
  </w:style>
  <w:style w:type="paragraph" w:customStyle="1" w:styleId="62">
    <w:name w:val="纯文本_0_1"/>
    <w:basedOn w:val="1"/>
    <w:qFormat/>
    <w:uiPriority w:val="99"/>
    <w:pPr>
      <w:widowControl/>
      <w:jc w:val="left"/>
    </w:pPr>
    <w:rPr>
      <w:rFonts w:ascii="宋体" w:hAnsi="Courier New"/>
      <w:szCs w:val="21"/>
    </w:rPr>
  </w:style>
  <w:style w:type="paragraph" w:customStyle="1" w:styleId="63">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7">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68">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69">
    <w:name w:val="font11"/>
    <w:qFormat/>
    <w:uiPriority w:val="0"/>
    <w:rPr>
      <w:rFonts w:hint="default" w:ascii="Times New Roman" w:hAnsi="Times New Roman" w:cs="Times New Roman"/>
      <w:color w:val="000000"/>
      <w:sz w:val="24"/>
      <w:szCs w:val="24"/>
      <w:u w:val="none"/>
    </w:rPr>
  </w:style>
  <w:style w:type="character" w:customStyle="1" w:styleId="70">
    <w:name w:val="font01"/>
    <w:qFormat/>
    <w:uiPriority w:val="0"/>
    <w:rPr>
      <w:rFonts w:hint="eastAsia" w:ascii="宋体" w:hAnsi="宋体" w:eastAsia="宋体" w:cs="宋体"/>
      <w:color w:val="000000"/>
      <w:sz w:val="24"/>
      <w:szCs w:val="24"/>
      <w:u w:val="none"/>
    </w:rPr>
  </w:style>
  <w:style w:type="character" w:customStyle="1" w:styleId="71">
    <w:name w:val="font31"/>
    <w:qFormat/>
    <w:uiPriority w:val="0"/>
    <w:rPr>
      <w:rFonts w:hint="eastAsia" w:ascii="宋体" w:hAnsi="宋体" w:eastAsia="宋体" w:cs="宋体"/>
      <w:color w:val="000000"/>
      <w:sz w:val="24"/>
      <w:szCs w:val="24"/>
      <w:u w:val="none"/>
    </w:rPr>
  </w:style>
  <w:style w:type="paragraph" w:customStyle="1" w:styleId="7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3">
    <w:name w:val="p18"/>
    <w:basedOn w:val="1"/>
    <w:qFormat/>
    <w:uiPriority w:val="99"/>
    <w:pPr>
      <w:widowControl/>
      <w:spacing w:line="748" w:lineRule="atLeast"/>
      <w:ind w:left="-527" w:firstLine="527"/>
    </w:pPr>
    <w:rPr>
      <w:rFonts w:ascii="宋体" w:hAnsi="宋体" w:cs="宋体"/>
      <w:kern w:val="0"/>
      <w:sz w:val="24"/>
    </w:rPr>
  </w:style>
  <w:style w:type="paragraph" w:customStyle="1" w:styleId="74">
    <w:name w:val="表格文字"/>
    <w:basedOn w:val="1"/>
    <w:next w:val="2"/>
    <w:qFormat/>
    <w:uiPriority w:val="99"/>
    <w:pPr>
      <w:adjustRightInd w:val="0"/>
      <w:spacing w:line="420" w:lineRule="atLeast"/>
      <w:jc w:val="left"/>
      <w:textAlignment w:val="baseline"/>
    </w:pPr>
    <w:rPr>
      <w:kern w:val="0"/>
    </w:rPr>
  </w:style>
  <w:style w:type="paragraph" w:customStyle="1" w:styleId="75">
    <w:name w:val="正文2"/>
    <w:basedOn w:val="1"/>
    <w:qFormat/>
    <w:uiPriority w:val="0"/>
    <w:pPr>
      <w:spacing w:before="156" w:line="360" w:lineRule="auto"/>
      <w:ind w:firstLine="510" w:firstLineChars="200"/>
    </w:pPr>
    <w:rPr>
      <w:rFonts w:ascii="Calibri" w:hAnsi="Calibri"/>
      <w:sz w:val="24"/>
      <w:szCs w:val="20"/>
    </w:rPr>
  </w:style>
  <w:style w:type="paragraph" w:customStyle="1" w:styleId="76">
    <w:name w:val="样式 标题 2 + Times New Roman 四号 非加粗 段前: 5 磅 段后: 0 磅 行距: 固定值 20..."/>
    <w:basedOn w:val="4"/>
    <w:qFormat/>
    <w:uiPriority w:val="0"/>
    <w:pPr>
      <w:spacing w:before="100" w:line="400" w:lineRule="exact"/>
    </w:pPr>
    <w:rPr>
      <w:rFonts w:cs="宋体"/>
      <w:b w:val="0"/>
      <w:sz w:val="28"/>
      <w:szCs w:val="20"/>
    </w:rPr>
  </w:style>
  <w:style w:type="paragraph" w:customStyle="1" w:styleId="77">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78">
    <w:name w:val="标题 2 Char"/>
    <w:link w:val="4"/>
    <w:qFormat/>
    <w:uiPriority w:val="0"/>
    <w:rPr>
      <w:rFonts w:ascii="Arial" w:hAnsi="Arial" w:eastAsia="黑体"/>
      <w:b/>
      <w:bCs/>
      <w:sz w:val="32"/>
      <w:szCs w:val="32"/>
    </w:rPr>
  </w:style>
  <w:style w:type="paragraph" w:customStyle="1" w:styleId="79">
    <w:name w:val="城建正文"/>
    <w:basedOn w:val="1"/>
    <w:qFormat/>
    <w:uiPriority w:val="0"/>
    <w:pPr>
      <w:spacing w:line="500" w:lineRule="exact"/>
      <w:ind w:firstLine="200" w:firstLineChars="200"/>
    </w:pPr>
    <w:rPr>
      <w:kern w:val="0"/>
      <w:sz w:val="24"/>
    </w:rPr>
  </w:style>
  <w:style w:type="paragraph" w:customStyle="1" w:styleId="8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1">
    <w:name w:val="font21"/>
    <w:qFormat/>
    <w:uiPriority w:val="0"/>
    <w:rPr>
      <w:rFonts w:hint="eastAsia" w:ascii="宋体" w:hAnsi="宋体" w:eastAsia="宋体" w:cs="宋体"/>
      <w:color w:val="000000"/>
      <w:sz w:val="21"/>
      <w:szCs w:val="21"/>
      <w:u w:val="none"/>
    </w:rPr>
  </w:style>
  <w:style w:type="paragraph" w:customStyle="1" w:styleId="82">
    <w:name w:val="正文首行缩进 21"/>
    <w:basedOn w:val="1"/>
    <w:qFormat/>
    <w:uiPriority w:val="0"/>
    <w:pPr>
      <w:spacing w:after="120"/>
      <w:ind w:left="420" w:leftChars="200" w:firstLine="420"/>
    </w:pPr>
    <w:rPr>
      <w:rFonts w:cs="宋体"/>
      <w:color w:val="000000"/>
      <w:szCs w:val="21"/>
    </w:rPr>
  </w:style>
  <w:style w:type="paragraph" w:customStyle="1" w:styleId="83">
    <w:name w:val="列表段落2"/>
    <w:basedOn w:val="1"/>
    <w:qFormat/>
    <w:uiPriority w:val="34"/>
    <w:pPr>
      <w:ind w:firstLine="420" w:firstLineChars="200"/>
    </w:pPr>
    <w:rPr>
      <w:sz w:val="28"/>
      <w:szCs w:val="22"/>
    </w:rPr>
  </w:style>
  <w:style w:type="paragraph" w:customStyle="1" w:styleId="84">
    <w:name w:val="!正文"/>
    <w:basedOn w:val="1"/>
    <w:qFormat/>
    <w:uiPriority w:val="0"/>
    <w:pPr>
      <w:ind w:firstLine="560" w:firstLineChars="200"/>
    </w:pPr>
    <w:rPr>
      <w:sz w:val="28"/>
      <w:szCs w:val="28"/>
    </w:rPr>
  </w:style>
  <w:style w:type="paragraph" w:customStyle="1" w:styleId="85">
    <w:name w:val="正文-正文"/>
    <w:basedOn w:val="1"/>
    <w:qFormat/>
    <w:uiPriority w:val="0"/>
    <w:pPr>
      <w:spacing w:line="360" w:lineRule="auto"/>
      <w:ind w:firstLine="200" w:firstLineChars="200"/>
    </w:pPr>
    <w:rPr>
      <w:rFonts w:eastAsia="仿宋_GB2312"/>
      <w:sz w:val="28"/>
    </w:rPr>
  </w:style>
  <w:style w:type="paragraph" w:customStyle="1" w:styleId="86">
    <w:name w:val="列表段落1"/>
    <w:basedOn w:val="1"/>
    <w:qFormat/>
    <w:uiPriority w:val="34"/>
    <w:pPr>
      <w:widowControl/>
      <w:ind w:firstLine="420" w:firstLineChars="200"/>
      <w:jc w:val="left"/>
    </w:pPr>
    <w:rPr>
      <w:kern w:val="0"/>
    </w:rPr>
  </w:style>
  <w:style w:type="paragraph" w:customStyle="1" w:styleId="87">
    <w:name w:val="my正文"/>
    <w:basedOn w:val="27"/>
    <w:qFormat/>
    <w:uiPriority w:val="0"/>
    <w:pPr>
      <w:widowControl/>
      <w:spacing w:line="360" w:lineRule="auto"/>
      <w:jc w:val="left"/>
    </w:pPr>
    <w:rPr>
      <w:rFonts w:eastAsia="仿宋_GB2312"/>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63</Pages>
  <Words>3240</Words>
  <Characters>3783</Characters>
  <Lines>45</Lines>
  <Paragraphs>66</Paragraphs>
  <TotalTime>48</TotalTime>
  <ScaleCrop>false</ScaleCrop>
  <LinksUpToDate>false</LinksUpToDate>
  <CharactersWithSpaces>3807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2018-06-26T21:33:00Z</dcterms:created>
  <dc:creator>S-mile</dc:creator>
  <cp:lastModifiedBy>陆喵了个白。</cp:lastModifiedBy>
  <dcterms:modified xsi:type="dcterms:W3CDTF">2025-07-17T08:48:51Z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82F710E32D1644E3B88D9B890F3934AA_13</vt:lpwstr>
  </property>
  <property fmtid="{D5CDD505-2E9C-101B-9397-08002B2CF9AE}" pid="4" name="KSOTemplateDocerSaveRecord">
    <vt:lpwstr>eyJoZGlkIjoiNzBlNWVmNGJlZWQ5ZTI1M2EwZDdiYjIzNGFiNTc3YmIiLCJ1c2VySWQiOiIzMzg4NDkwNTkifQ==</vt:lpwstr>
  </property>
</Properties>
</file>