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3F75C">
      <w:pPr>
        <w:spacing w:line="360" w:lineRule="auto"/>
        <w:jc w:val="center"/>
        <w:rPr>
          <w:rFonts w:hint="eastAsia" w:ascii="宋体" w:hAnsi="宋体" w:cs="宋体"/>
          <w:b/>
          <w:sz w:val="52"/>
          <w:szCs w:val="52"/>
          <w:lang w:eastAsia="zh-CN"/>
        </w:rPr>
      </w:pPr>
    </w:p>
    <w:p w14:paraId="5CB6120B">
      <w:pPr>
        <w:spacing w:line="360" w:lineRule="auto"/>
        <w:jc w:val="center"/>
        <w:rPr>
          <w:rFonts w:hint="eastAsia" w:ascii="宋体" w:hAnsi="宋体" w:cs="宋体"/>
          <w:b/>
          <w:sz w:val="52"/>
          <w:szCs w:val="52"/>
        </w:rPr>
      </w:pPr>
      <w:r>
        <w:rPr>
          <w:rFonts w:hint="eastAsia" w:ascii="宋体" w:hAnsi="宋体" w:cs="宋体"/>
          <w:b/>
          <w:sz w:val="52"/>
          <w:szCs w:val="52"/>
          <w:lang w:eastAsia="zh-CN"/>
        </w:rPr>
        <w:t>衢江区卫生健康局</w:t>
      </w:r>
    </w:p>
    <w:p w14:paraId="303ED493">
      <w:pPr>
        <w:spacing w:before="120" w:beforeLines="50" w:line="360" w:lineRule="auto"/>
        <w:jc w:val="center"/>
        <w:rPr>
          <w:rFonts w:hint="eastAsia" w:ascii="宋体" w:hAnsi="宋体" w:cs="宋体"/>
          <w:b/>
          <w:sz w:val="52"/>
          <w:szCs w:val="52"/>
          <w:lang w:eastAsia="zh-CN"/>
        </w:rPr>
      </w:pPr>
      <w:r>
        <w:rPr>
          <w:rFonts w:hint="eastAsia" w:ascii="宋体" w:hAnsi="宋体" w:cs="宋体"/>
          <w:b/>
          <w:sz w:val="52"/>
          <w:szCs w:val="52"/>
          <w:lang w:eastAsia="zh-CN"/>
        </w:rPr>
        <w:t xml:space="preserve">信息安全运维服务项目 </w:t>
      </w:r>
    </w:p>
    <w:p w14:paraId="73AF456B">
      <w:pPr>
        <w:spacing w:before="120" w:beforeLines="50" w:line="360" w:lineRule="auto"/>
        <w:jc w:val="center"/>
        <w:rPr>
          <w:rFonts w:hint="eastAsia" w:ascii="宋体" w:hAnsi="宋体" w:cs="宋体"/>
          <w:b/>
          <w:bCs/>
          <w:sz w:val="48"/>
          <w:szCs w:val="48"/>
        </w:rPr>
      </w:pPr>
      <w:r>
        <w:rPr>
          <w:rFonts w:hint="eastAsia" w:ascii="宋体" w:hAnsi="宋体" w:eastAsia="宋体" w:cs="宋体"/>
          <w:b/>
          <w:sz w:val="52"/>
          <w:szCs w:val="52"/>
          <w:lang w:eastAsia="zh-CN"/>
        </w:rPr>
        <w:t>公开招标采购文件</w:t>
      </w:r>
    </w:p>
    <w:p w14:paraId="214B63F3">
      <w:pPr>
        <w:spacing w:before="120" w:beforeLines="50" w:line="36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drawing>
          <wp:inline distT="0" distB="0" distL="114300" distR="114300">
            <wp:extent cx="2885440" cy="2034540"/>
            <wp:effectExtent l="0" t="0" r="10160" b="3810"/>
            <wp:docPr id="7" name="图片 7" descr="五石-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五石-logo图标"/>
                    <pic:cNvPicPr>
                      <a:picLocks noChangeAspect="1"/>
                    </pic:cNvPicPr>
                  </pic:nvPicPr>
                  <pic:blipFill>
                    <a:blip r:embed="rId15"/>
                    <a:stretch>
                      <a:fillRect/>
                    </a:stretch>
                  </pic:blipFill>
                  <pic:spPr>
                    <a:xfrm>
                      <a:off x="0" y="0"/>
                      <a:ext cx="2885440" cy="2034540"/>
                    </a:xfrm>
                    <a:prstGeom prst="rect">
                      <a:avLst/>
                    </a:prstGeom>
                  </pic:spPr>
                </pic:pic>
              </a:graphicData>
            </a:graphic>
          </wp:inline>
        </w:drawing>
      </w:r>
    </w:p>
    <w:p w14:paraId="0622BC6F">
      <w:pPr>
        <w:snapToGrid w:val="0"/>
        <w:spacing w:before="120" w:beforeLines="50" w:line="360" w:lineRule="auto"/>
        <w:jc w:val="both"/>
        <w:rPr>
          <w:rFonts w:ascii="宋体" w:hAnsi="宋体" w:cs="宋体"/>
          <w:sz w:val="30"/>
          <w:szCs w:val="72"/>
        </w:rPr>
      </w:pPr>
    </w:p>
    <w:p w14:paraId="062A2C93">
      <w:pPr>
        <w:pStyle w:val="16"/>
        <w:snapToGrid w:val="0"/>
        <w:spacing w:before="120" w:after="120" w:line="360" w:lineRule="auto"/>
        <w:ind w:firstLine="562" w:firstLineChars="200"/>
        <w:rPr>
          <w:rFonts w:hint="eastAsia" w:hAnsi="宋体" w:eastAsia="宋体" w:cs="宋体"/>
          <w:b/>
          <w:bCs/>
          <w:sz w:val="28"/>
          <w:szCs w:val="28"/>
          <w:highlight w:val="green"/>
          <w:lang w:eastAsia="zh-CN"/>
        </w:rPr>
      </w:pPr>
      <w:r>
        <w:rPr>
          <w:rFonts w:hint="eastAsia" w:hAnsi="宋体" w:cs="宋体"/>
          <w:b/>
          <w:bCs/>
          <w:sz w:val="28"/>
          <w:szCs w:val="28"/>
        </w:rPr>
        <w:t>项目编号：</w:t>
      </w:r>
      <w:r>
        <w:rPr>
          <w:rFonts w:hint="eastAsia" w:hAnsi="宋体" w:cs="宋体"/>
          <w:b/>
          <w:bCs/>
          <w:sz w:val="28"/>
          <w:szCs w:val="28"/>
          <w:lang w:eastAsia="zh-CN"/>
        </w:rPr>
        <w:t>ZJWS-QZ2025160</w:t>
      </w:r>
    </w:p>
    <w:p w14:paraId="4AFE224F">
      <w:pPr>
        <w:pStyle w:val="16"/>
        <w:snapToGrid w:val="0"/>
        <w:spacing w:before="120" w:after="120" w:line="360" w:lineRule="auto"/>
        <w:ind w:left="1968" w:leftChars="268" w:hanging="1405" w:hangingChars="500"/>
        <w:rPr>
          <w:rFonts w:hAnsi="宋体" w:cs="宋体"/>
          <w:b/>
          <w:bCs/>
          <w:spacing w:val="-6"/>
          <w:sz w:val="28"/>
          <w:szCs w:val="28"/>
        </w:rPr>
      </w:pPr>
      <w:r>
        <w:rPr>
          <w:rFonts w:hint="eastAsia" w:hAnsi="宋体" w:cs="宋体"/>
          <w:b/>
          <w:bCs/>
          <w:sz w:val="28"/>
          <w:szCs w:val="28"/>
        </w:rPr>
        <w:t>项目名称：</w:t>
      </w:r>
      <w:r>
        <w:rPr>
          <w:rFonts w:hint="eastAsia" w:hAnsi="宋体" w:cs="宋体"/>
          <w:b/>
          <w:bCs/>
          <w:spacing w:val="-6"/>
          <w:sz w:val="28"/>
          <w:szCs w:val="28"/>
          <w:highlight w:val="none"/>
          <w:lang w:eastAsia="zh-CN"/>
        </w:rPr>
        <w:t>信息安全运维服务项目</w:t>
      </w:r>
    </w:p>
    <w:p w14:paraId="10357702">
      <w:pPr>
        <w:pStyle w:val="16"/>
        <w:snapToGrid w:val="0"/>
        <w:spacing w:before="120" w:after="120" w:line="360" w:lineRule="auto"/>
        <w:ind w:firstLine="562" w:firstLineChars="200"/>
        <w:rPr>
          <w:rFonts w:hint="eastAsia" w:hAnsi="宋体" w:eastAsia="宋体" w:cs="宋体"/>
          <w:b/>
          <w:bCs/>
          <w:sz w:val="28"/>
          <w:szCs w:val="28"/>
          <w:lang w:eastAsia="zh-CN"/>
        </w:rPr>
      </w:pPr>
      <w:r>
        <w:rPr>
          <w:rFonts w:hint="eastAsia" w:hAnsi="宋体" w:cs="宋体"/>
          <w:b/>
          <w:bCs/>
          <w:sz w:val="28"/>
          <w:szCs w:val="28"/>
        </w:rPr>
        <w:t>采购单位：</w:t>
      </w:r>
      <w:r>
        <w:rPr>
          <w:rFonts w:hint="eastAsia" w:hAnsi="宋体" w:cs="宋体"/>
          <w:b/>
          <w:bCs/>
          <w:spacing w:val="-6"/>
          <w:sz w:val="28"/>
          <w:szCs w:val="28"/>
          <w:lang w:eastAsia="zh-CN"/>
        </w:rPr>
        <w:t xml:space="preserve">衢江区卫生健康局 </w:t>
      </w:r>
    </w:p>
    <w:p w14:paraId="3AA8E3B4">
      <w:pPr>
        <w:pStyle w:val="16"/>
        <w:snapToGrid w:val="0"/>
        <w:spacing w:before="120" w:after="120" w:line="360" w:lineRule="auto"/>
        <w:ind w:firstLine="562" w:firstLineChars="200"/>
        <w:rPr>
          <w:rFonts w:hint="eastAsia" w:hAnsi="宋体" w:eastAsia="宋体" w:cs="宋体"/>
          <w:b/>
          <w:bCs/>
          <w:sz w:val="28"/>
          <w:szCs w:val="28"/>
          <w:lang w:eastAsia="zh-CN"/>
        </w:rPr>
      </w:pPr>
      <w:r>
        <w:rPr>
          <w:rFonts w:hint="eastAsia" w:hAnsi="宋体" w:cs="宋体"/>
          <w:b/>
          <w:bCs/>
          <w:sz w:val="28"/>
          <w:szCs w:val="28"/>
        </w:rPr>
        <w:t>招标机构：</w:t>
      </w:r>
      <w:r>
        <w:rPr>
          <w:rFonts w:hint="eastAsia" w:hAnsi="宋体" w:cs="宋体"/>
          <w:b/>
          <w:sz w:val="28"/>
          <w:szCs w:val="44"/>
          <w:lang w:eastAsia="zh-CN"/>
        </w:rPr>
        <w:t>浙江五石中正工程咨询有限公司衢州分公司</w:t>
      </w:r>
    </w:p>
    <w:p w14:paraId="11882B1E">
      <w:pPr>
        <w:pStyle w:val="26"/>
        <w:jc w:val="both"/>
        <w:rPr>
          <w:rFonts w:hAnsi="宋体" w:cs="宋体"/>
          <w:sz w:val="30"/>
          <w:szCs w:val="48"/>
        </w:rPr>
      </w:pPr>
    </w:p>
    <w:p w14:paraId="59DBFF71">
      <w:pPr>
        <w:rPr>
          <w:rFonts w:hAnsi="宋体" w:cs="宋体"/>
          <w:b/>
          <w:sz w:val="30"/>
          <w:szCs w:val="48"/>
        </w:rPr>
      </w:pPr>
    </w:p>
    <w:p w14:paraId="73E07C77">
      <w:pPr>
        <w:pStyle w:val="26"/>
      </w:pPr>
    </w:p>
    <w:p w14:paraId="08AC6733"/>
    <w:p w14:paraId="48678037">
      <w:pPr>
        <w:snapToGrid w:val="0"/>
        <w:spacing w:before="120" w:beforeLines="50" w:line="360" w:lineRule="auto"/>
        <w:ind w:firstLine="3614" w:firstLineChars="1200"/>
        <w:rPr>
          <w:rFonts w:ascii="宋体" w:hAnsi="宋体" w:cs="宋体"/>
          <w:b/>
          <w:sz w:val="28"/>
          <w:szCs w:val="44"/>
        </w:rPr>
      </w:pPr>
      <w:r>
        <w:rPr>
          <w:rFonts w:hint="eastAsia" w:ascii="宋体" w:hAnsi="宋体" w:cs="宋体"/>
          <w:b/>
          <w:sz w:val="30"/>
          <w:szCs w:val="30"/>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0"/>
          <w:szCs w:val="30"/>
          <w:lang w:val="en-US" w:eastAsia="zh-CN"/>
        </w:rPr>
        <w:t>7</w:t>
      </w:r>
      <w:r>
        <w:rPr>
          <w:rFonts w:hint="eastAsia" w:ascii="宋体" w:hAnsi="宋体" w:cs="宋体"/>
          <w:b/>
          <w:sz w:val="30"/>
          <w:szCs w:val="30"/>
        </w:rPr>
        <w:t>月</w:t>
      </w:r>
      <w:r>
        <w:rPr>
          <w:rFonts w:hint="eastAsia" w:ascii="宋体" w:hAnsi="宋体" w:cs="宋体"/>
          <w:b/>
          <w:sz w:val="28"/>
          <w:szCs w:val="44"/>
        </w:rPr>
        <w:t xml:space="preserve"> </w:t>
      </w:r>
    </w:p>
    <w:p w14:paraId="435350F7">
      <w:pPr>
        <w:pStyle w:val="16"/>
        <w:spacing w:before="120" w:after="120" w:line="360" w:lineRule="auto"/>
        <w:jc w:val="center"/>
        <w:rPr>
          <w:rFonts w:hAnsi="宋体" w:cs="宋体"/>
          <w:sz w:val="44"/>
          <w:szCs w:val="44"/>
        </w:rPr>
        <w:sectPr>
          <w:headerReference r:id="rId4" w:type="first"/>
          <w:footerReference r:id="rId6" w:type="first"/>
          <w:headerReference r:id="rId3" w:type="default"/>
          <w:footerReference r:id="rId5" w:type="default"/>
          <w:pgSz w:w="11910" w:h="16840"/>
          <w:pgMar w:top="1417" w:right="1300" w:bottom="278" w:left="1320" w:header="720" w:footer="720" w:gutter="0"/>
          <w:pgBorders>
            <w:top w:val="none" w:sz="0" w:space="0"/>
            <w:left w:val="none" w:sz="0" w:space="0"/>
            <w:bottom w:val="none" w:sz="0" w:space="0"/>
            <w:right w:val="none" w:sz="0" w:space="0"/>
          </w:pgBorders>
          <w:pgNumType w:start="0"/>
          <w:cols w:space="720" w:num="1"/>
        </w:sectPr>
      </w:pPr>
    </w:p>
    <w:p w14:paraId="5F75432B">
      <w:pPr>
        <w:pStyle w:val="16"/>
        <w:spacing w:before="120" w:after="120" w:line="360" w:lineRule="auto"/>
        <w:jc w:val="center"/>
        <w:rPr>
          <w:rFonts w:hAnsi="宋体" w:cs="宋体"/>
          <w:b/>
          <w:bCs/>
          <w:sz w:val="44"/>
          <w:szCs w:val="44"/>
        </w:rPr>
      </w:pPr>
      <w:r>
        <w:rPr>
          <w:rFonts w:hint="eastAsia" w:hAnsi="宋体" w:cs="宋体"/>
          <w:b/>
          <w:bCs/>
          <w:sz w:val="44"/>
          <w:szCs w:val="44"/>
        </w:rPr>
        <w:t>目  录</w:t>
      </w:r>
    </w:p>
    <w:p w14:paraId="136016FF">
      <w:pPr>
        <w:numPr>
          <w:ilvl w:val="0"/>
          <w:numId w:val="4"/>
        </w:numPr>
        <w:spacing w:before="120" w:beforeLines="50" w:line="360" w:lineRule="auto"/>
        <w:rPr>
          <w:rFonts w:ascii="宋体" w:hAnsi="宋体" w:cs="宋体"/>
          <w:sz w:val="30"/>
          <w:szCs w:val="20"/>
        </w:rPr>
      </w:pPr>
      <w:r>
        <w:rPr>
          <w:rFonts w:hint="eastAsia" w:ascii="宋体" w:hAnsi="宋体" w:cs="宋体"/>
          <w:sz w:val="30"/>
        </w:rPr>
        <w:t>公开招标采购公告</w:t>
      </w:r>
    </w:p>
    <w:p w14:paraId="5D54021A">
      <w:pPr>
        <w:numPr>
          <w:ilvl w:val="0"/>
          <w:numId w:val="4"/>
        </w:numPr>
        <w:spacing w:before="120" w:beforeLines="50" w:line="360" w:lineRule="auto"/>
        <w:rPr>
          <w:rFonts w:ascii="宋体" w:hAnsi="宋体" w:cs="宋体"/>
          <w:sz w:val="30"/>
          <w:szCs w:val="20"/>
        </w:rPr>
      </w:pPr>
      <w:r>
        <w:rPr>
          <w:rFonts w:hint="eastAsia" w:ascii="宋体" w:hAnsi="宋体" w:cs="宋体"/>
          <w:sz w:val="30"/>
        </w:rPr>
        <w:t>投标人须知</w:t>
      </w:r>
    </w:p>
    <w:p w14:paraId="55D027DD">
      <w:pPr>
        <w:numPr>
          <w:ilvl w:val="0"/>
          <w:numId w:val="4"/>
        </w:numPr>
        <w:spacing w:before="120" w:beforeLines="50" w:line="360" w:lineRule="auto"/>
        <w:rPr>
          <w:rFonts w:ascii="宋体" w:hAnsi="宋体" w:cs="宋体"/>
          <w:sz w:val="30"/>
          <w:szCs w:val="20"/>
        </w:rPr>
      </w:pPr>
      <w:r>
        <w:rPr>
          <w:rFonts w:hint="eastAsia" w:ascii="宋体" w:hAnsi="宋体" w:cs="宋体"/>
          <w:sz w:val="30"/>
        </w:rPr>
        <w:t>招标需求</w:t>
      </w:r>
    </w:p>
    <w:p w14:paraId="33F15211">
      <w:pPr>
        <w:numPr>
          <w:ilvl w:val="0"/>
          <w:numId w:val="4"/>
        </w:numPr>
        <w:spacing w:before="120" w:beforeLines="50" w:line="360" w:lineRule="auto"/>
        <w:rPr>
          <w:rFonts w:ascii="宋体" w:hAnsi="宋体" w:cs="宋体"/>
          <w:sz w:val="30"/>
          <w:szCs w:val="20"/>
        </w:rPr>
      </w:pPr>
      <w:r>
        <w:rPr>
          <w:rFonts w:hint="eastAsia" w:ascii="宋体" w:hAnsi="宋体" w:cs="宋体"/>
          <w:sz w:val="30"/>
        </w:rPr>
        <w:t>评标办法及评分标准</w:t>
      </w:r>
    </w:p>
    <w:p w14:paraId="10010F22">
      <w:pPr>
        <w:numPr>
          <w:ilvl w:val="0"/>
          <w:numId w:val="4"/>
        </w:numPr>
        <w:spacing w:before="120" w:beforeLines="50" w:line="360" w:lineRule="auto"/>
        <w:rPr>
          <w:rFonts w:ascii="宋体" w:hAnsi="宋体" w:cs="宋体"/>
          <w:sz w:val="30"/>
          <w:szCs w:val="20"/>
        </w:rPr>
      </w:pPr>
      <w:r>
        <w:rPr>
          <w:rFonts w:hint="eastAsia" w:ascii="宋体" w:hAnsi="宋体" w:cs="宋体"/>
          <w:sz w:val="30"/>
        </w:rPr>
        <w:t>政府采购合同主要条款</w:t>
      </w:r>
    </w:p>
    <w:p w14:paraId="4AA9FBA0">
      <w:pPr>
        <w:numPr>
          <w:ilvl w:val="0"/>
          <w:numId w:val="4"/>
        </w:numPr>
        <w:spacing w:before="120" w:beforeLines="50" w:line="360" w:lineRule="auto"/>
        <w:rPr>
          <w:rFonts w:ascii="宋体" w:hAnsi="宋体" w:cs="宋体"/>
          <w:sz w:val="30"/>
          <w:szCs w:val="20"/>
        </w:rPr>
      </w:pPr>
      <w:r>
        <w:rPr>
          <w:rFonts w:hint="eastAsia" w:ascii="宋体" w:hAnsi="宋体" w:cs="宋体"/>
          <w:sz w:val="30"/>
        </w:rPr>
        <w:t>投标文件格式</w:t>
      </w:r>
    </w:p>
    <w:p w14:paraId="0658BDAD">
      <w:pPr>
        <w:pStyle w:val="16"/>
        <w:snapToGrid w:val="0"/>
        <w:spacing w:before="120" w:after="120" w:line="360" w:lineRule="auto"/>
        <w:outlineLvl w:val="0"/>
        <w:rPr>
          <w:rFonts w:hAnsi="宋体" w:cs="宋体"/>
          <w:b/>
          <w:bCs/>
          <w:sz w:val="36"/>
          <w:szCs w:val="36"/>
        </w:rPr>
      </w:pPr>
    </w:p>
    <w:p w14:paraId="7C82A2F6">
      <w:pPr>
        <w:pStyle w:val="16"/>
        <w:snapToGrid w:val="0"/>
        <w:spacing w:before="120" w:after="120" w:line="360" w:lineRule="auto"/>
        <w:outlineLvl w:val="0"/>
        <w:rPr>
          <w:rFonts w:hAnsi="宋体" w:cs="宋体"/>
          <w:b/>
          <w:bCs/>
          <w:sz w:val="36"/>
          <w:szCs w:val="36"/>
        </w:rPr>
      </w:pPr>
    </w:p>
    <w:p w14:paraId="7779F996">
      <w:pPr>
        <w:pStyle w:val="16"/>
        <w:snapToGrid w:val="0"/>
        <w:spacing w:before="120" w:after="120" w:line="360" w:lineRule="auto"/>
        <w:outlineLvl w:val="0"/>
        <w:rPr>
          <w:rFonts w:hAnsi="宋体" w:cs="宋体"/>
          <w:b/>
          <w:bCs/>
          <w:sz w:val="36"/>
          <w:szCs w:val="36"/>
        </w:rPr>
      </w:pPr>
    </w:p>
    <w:p w14:paraId="7C64B1B3">
      <w:pPr>
        <w:widowControl/>
        <w:jc w:val="left"/>
        <w:rPr>
          <w:rFonts w:ascii="宋体" w:hAnsi="宋体" w:cs="宋体"/>
          <w:sz w:val="28"/>
          <w:szCs w:val="28"/>
        </w:rPr>
      </w:pPr>
    </w:p>
    <w:p w14:paraId="5B9EFCEF">
      <w:pPr>
        <w:widowControl/>
        <w:jc w:val="left"/>
        <w:rPr>
          <w:rFonts w:ascii="宋体" w:hAnsi="宋体" w:cs="宋体"/>
          <w:sz w:val="28"/>
          <w:szCs w:val="28"/>
        </w:rPr>
      </w:pPr>
    </w:p>
    <w:p w14:paraId="3B551343">
      <w:pPr>
        <w:widowControl/>
        <w:jc w:val="left"/>
        <w:rPr>
          <w:rFonts w:ascii="宋体" w:hAnsi="宋体" w:cs="宋体"/>
          <w:sz w:val="28"/>
          <w:szCs w:val="28"/>
        </w:rPr>
      </w:pPr>
    </w:p>
    <w:p w14:paraId="3A2A3FC5">
      <w:pPr>
        <w:pStyle w:val="16"/>
        <w:snapToGrid w:val="0"/>
        <w:spacing w:before="120" w:after="120" w:line="360" w:lineRule="auto"/>
        <w:jc w:val="center"/>
        <w:outlineLvl w:val="0"/>
        <w:rPr>
          <w:rFonts w:hAnsi="宋体" w:cs="宋体"/>
          <w:b/>
          <w:bCs/>
          <w:sz w:val="32"/>
          <w:szCs w:val="32"/>
        </w:rPr>
      </w:pPr>
    </w:p>
    <w:p w14:paraId="5E2D0180">
      <w:pPr>
        <w:pStyle w:val="16"/>
        <w:snapToGrid w:val="0"/>
        <w:spacing w:before="120" w:after="120" w:line="360" w:lineRule="auto"/>
        <w:jc w:val="center"/>
        <w:outlineLvl w:val="0"/>
        <w:rPr>
          <w:rFonts w:hAnsi="宋体" w:cs="宋体"/>
          <w:b/>
          <w:bCs/>
          <w:sz w:val="32"/>
          <w:szCs w:val="32"/>
        </w:rPr>
      </w:pPr>
    </w:p>
    <w:p w14:paraId="7DB52A77">
      <w:pPr>
        <w:pStyle w:val="16"/>
        <w:snapToGrid w:val="0"/>
        <w:spacing w:before="120" w:after="120" w:line="360" w:lineRule="auto"/>
        <w:jc w:val="center"/>
        <w:outlineLvl w:val="0"/>
        <w:rPr>
          <w:rFonts w:hAnsi="宋体" w:cs="宋体"/>
          <w:b/>
          <w:bCs/>
          <w:sz w:val="32"/>
          <w:szCs w:val="32"/>
        </w:rPr>
      </w:pPr>
    </w:p>
    <w:p w14:paraId="01F83E06">
      <w:pPr>
        <w:pStyle w:val="16"/>
        <w:snapToGrid w:val="0"/>
        <w:spacing w:before="120" w:after="120" w:line="360" w:lineRule="auto"/>
        <w:jc w:val="center"/>
        <w:outlineLvl w:val="0"/>
        <w:rPr>
          <w:rFonts w:hAnsi="宋体" w:cs="宋体"/>
          <w:b/>
          <w:bCs/>
          <w:sz w:val="32"/>
          <w:szCs w:val="32"/>
        </w:rPr>
      </w:pPr>
    </w:p>
    <w:p w14:paraId="0B22BF8C">
      <w:pPr>
        <w:rPr>
          <w:rFonts w:ascii="宋体" w:hAnsi="宋体" w:cs="宋体"/>
          <w:b/>
          <w:bCs/>
          <w:sz w:val="32"/>
          <w:szCs w:val="32"/>
        </w:rPr>
      </w:pPr>
    </w:p>
    <w:p w14:paraId="1B1D5994">
      <w:pPr>
        <w:pStyle w:val="4"/>
        <w:rPr>
          <w:rFonts w:ascii="宋体" w:hAnsi="宋体" w:eastAsia="宋体" w:cs="宋体"/>
        </w:rPr>
      </w:pPr>
    </w:p>
    <w:p w14:paraId="055BAB46">
      <w:pPr>
        <w:pStyle w:val="28"/>
        <w:ind w:left="0" w:leftChars="0" w:firstLine="0" w:firstLineChars="0"/>
        <w:rPr>
          <w:rFonts w:ascii="宋体" w:hAnsi="宋体" w:cs="宋体"/>
        </w:rPr>
      </w:pPr>
    </w:p>
    <w:p w14:paraId="0AE1E1AA">
      <w:pPr>
        <w:pStyle w:val="16"/>
        <w:snapToGrid w:val="0"/>
        <w:spacing w:before="120" w:after="120" w:line="360" w:lineRule="auto"/>
        <w:jc w:val="center"/>
        <w:outlineLvl w:val="0"/>
        <w:rPr>
          <w:rFonts w:hAnsi="宋体" w:cs="宋体"/>
          <w:sz w:val="28"/>
          <w:szCs w:val="28"/>
          <w:highlight w:val="none"/>
        </w:rPr>
      </w:pPr>
      <w:r>
        <w:rPr>
          <w:rFonts w:hint="eastAsia" w:hAnsi="宋体" w:cs="宋体"/>
          <w:b/>
          <w:bCs/>
          <w:sz w:val="32"/>
          <w:szCs w:val="32"/>
          <w:highlight w:val="none"/>
        </w:rPr>
        <w:t>第一章  公开招标采购公告</w:t>
      </w:r>
    </w:p>
    <w:p w14:paraId="046C942B">
      <w:pPr>
        <w:keepNext w:val="0"/>
        <w:keepLines w:val="0"/>
        <w:pageBreakBefore w:val="0"/>
        <w:pBdr>
          <w:top w:val="single" w:color="auto" w:sz="4" w:space="1"/>
          <w:left w:val="single" w:color="auto" w:sz="4" w:space="4"/>
          <w:bottom w:val="single" w:color="auto" w:sz="4" w:space="1"/>
          <w:right w:val="single" w:color="auto" w:sz="4" w:space="4"/>
        </w:pBdr>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项目概况</w:t>
      </w:r>
    </w:p>
    <w:p w14:paraId="45F3A938">
      <w:pPr>
        <w:keepNext w:val="0"/>
        <w:keepLines w:val="0"/>
        <w:pageBreakBefore w:val="0"/>
        <w:pBdr>
          <w:top w:val="single" w:color="auto" w:sz="4" w:space="1"/>
          <w:left w:val="single" w:color="auto" w:sz="4" w:space="4"/>
          <w:bottom w:val="single" w:color="auto" w:sz="4" w:space="1"/>
          <w:right w:val="single" w:color="auto" w:sz="4" w:space="4"/>
        </w:pBdr>
        <w:kinsoku/>
        <w:topLinePunct w:val="0"/>
        <w:bidi w:val="0"/>
        <w:spacing w:line="400" w:lineRule="exact"/>
        <w:ind w:firstLine="482" w:firstLineChars="200"/>
        <w:rPr>
          <w:rFonts w:ascii="宋体" w:hAnsi="宋体" w:cs="宋体"/>
          <w:sz w:val="24"/>
          <w:highlight w:val="none"/>
        </w:rPr>
      </w:pPr>
      <w:r>
        <w:rPr>
          <w:rFonts w:hint="eastAsia" w:ascii="宋体" w:hAnsi="宋体" w:cs="宋体"/>
          <w:b/>
          <w:bCs/>
          <w:sz w:val="24"/>
          <w:highlight w:val="none"/>
          <w:u w:val="single"/>
        </w:rPr>
        <w:t xml:space="preserve"> </w:t>
      </w:r>
      <w:r>
        <w:rPr>
          <w:rFonts w:hint="eastAsia" w:ascii="宋体" w:hAnsi="宋体" w:cs="宋体"/>
          <w:b/>
          <w:bCs/>
          <w:sz w:val="24"/>
          <w:highlight w:val="none"/>
          <w:u w:val="single"/>
          <w:lang w:eastAsia="zh-CN"/>
        </w:rPr>
        <w:t>信息安全运维服务</w:t>
      </w:r>
      <w:r>
        <w:rPr>
          <w:rFonts w:hint="eastAsia" w:ascii="宋体" w:hAnsi="宋体" w:cs="宋体"/>
          <w:b/>
          <w:bCs/>
          <w:sz w:val="24"/>
          <w:highlight w:val="none"/>
          <w:u w:val="single"/>
        </w:rPr>
        <w:t>项目</w:t>
      </w:r>
      <w:r>
        <w:rPr>
          <w:rFonts w:hint="eastAsia" w:ascii="宋体" w:hAnsi="宋体" w:cs="宋体"/>
          <w:sz w:val="24"/>
          <w:highlight w:val="none"/>
        </w:rPr>
        <w:t>的潜在投标人应在</w:t>
      </w:r>
      <w:r>
        <w:rPr>
          <w:rFonts w:hint="eastAsia" w:ascii="宋体" w:hAnsi="宋体" w:cs="宋体"/>
          <w:sz w:val="24"/>
          <w:highlight w:val="none"/>
          <w:u w:val="single"/>
        </w:rPr>
        <w:t>（网址：浙江政府采购网:http://zfcg.czt.zj.gov.cn/）</w:t>
      </w:r>
      <w:r>
        <w:rPr>
          <w:rFonts w:hint="eastAsia" w:ascii="宋体" w:hAnsi="宋体" w:cs="宋体"/>
          <w:sz w:val="24"/>
          <w:highlight w:val="none"/>
        </w:rPr>
        <w:t>获取招标文件，并于</w:t>
      </w:r>
      <w:r>
        <w:rPr>
          <w:rFonts w:hint="eastAsia" w:ascii="宋体" w:hAnsi="宋体" w:cs="宋体"/>
          <w:b/>
          <w:bCs/>
          <w:sz w:val="24"/>
          <w:highlight w:val="none"/>
          <w:u w:val="single"/>
          <w:lang w:eastAsia="zh-CN"/>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25</w:t>
      </w:r>
      <w:r>
        <w:rPr>
          <w:rFonts w:hint="eastAsia" w:ascii="宋体" w:hAnsi="宋体" w:cs="宋体"/>
          <w:b/>
          <w:bCs/>
          <w:sz w:val="24"/>
          <w:highlight w:val="none"/>
          <w:u w:val="single"/>
          <w:lang w:eastAsia="zh-CN"/>
        </w:rPr>
        <w:t>日</w:t>
      </w:r>
      <w:r>
        <w:rPr>
          <w:rFonts w:hint="eastAsia" w:ascii="宋体" w:hAnsi="宋体" w:cs="宋体"/>
          <w:b/>
          <w:bCs/>
          <w:sz w:val="24"/>
          <w:highlight w:val="none"/>
          <w:u w:val="single"/>
          <w:lang w:val="en-US" w:eastAsia="zh-CN"/>
        </w:rPr>
        <w:t>14</w:t>
      </w:r>
      <w:r>
        <w:rPr>
          <w:rFonts w:hint="eastAsia" w:ascii="宋体" w:hAnsi="宋体" w:cs="宋体"/>
          <w:b/>
          <w:bCs/>
          <w:sz w:val="24"/>
          <w:highlight w:val="none"/>
          <w:u w:val="single"/>
          <w:lang w:eastAsia="zh-CN"/>
        </w:rPr>
        <w:t>时</w:t>
      </w:r>
      <w:r>
        <w:rPr>
          <w:rFonts w:hint="eastAsia" w:ascii="宋体" w:hAnsi="宋体" w:cs="宋体"/>
          <w:b/>
          <w:bCs/>
          <w:sz w:val="24"/>
          <w:highlight w:val="none"/>
          <w:u w:val="single"/>
          <w:lang w:val="en-US" w:eastAsia="zh-CN"/>
        </w:rPr>
        <w:t>30</w:t>
      </w:r>
      <w:r>
        <w:rPr>
          <w:rFonts w:hint="eastAsia" w:ascii="宋体" w:hAnsi="宋体" w:cs="宋体"/>
          <w:b/>
          <w:bCs/>
          <w:sz w:val="24"/>
          <w:highlight w:val="none"/>
          <w:u w:val="single"/>
          <w:lang w:eastAsia="zh-CN"/>
        </w:rPr>
        <w:t>分</w:t>
      </w:r>
      <w:r>
        <w:rPr>
          <w:rFonts w:hint="eastAsia" w:ascii="宋体" w:hAnsi="宋体" w:cs="宋体"/>
          <w:bCs/>
          <w:sz w:val="24"/>
          <w:highlight w:val="none"/>
          <w:u w:val="single"/>
        </w:rPr>
        <w:t>（</w:t>
      </w:r>
      <w:r>
        <w:rPr>
          <w:rFonts w:hint="eastAsia" w:ascii="宋体" w:hAnsi="宋体" w:cs="宋体"/>
          <w:bCs/>
          <w:sz w:val="24"/>
          <w:highlight w:val="none"/>
        </w:rPr>
        <w:t>北京时间）前递交投标文件</w:t>
      </w:r>
      <w:r>
        <w:rPr>
          <w:rFonts w:hint="eastAsia" w:ascii="宋体" w:hAnsi="宋体" w:cs="宋体"/>
          <w:sz w:val="24"/>
          <w:highlight w:val="none"/>
        </w:rPr>
        <w:t>。</w:t>
      </w:r>
    </w:p>
    <w:p w14:paraId="10C6FF2E">
      <w:pPr>
        <w:keepNext w:val="0"/>
        <w:keepLines w:val="0"/>
        <w:pageBreakBefore w:val="0"/>
        <w:kinsoku/>
        <w:topLinePunct w:val="0"/>
        <w:bidi w:val="0"/>
        <w:snapToGrid w:val="0"/>
        <w:spacing w:line="400" w:lineRule="exact"/>
        <w:ind w:firstLine="480" w:firstLineChars="200"/>
        <w:rPr>
          <w:rFonts w:ascii="宋体" w:hAnsi="宋体" w:cs="宋体"/>
          <w:b/>
          <w:bCs/>
          <w:sz w:val="24"/>
          <w:highlight w:val="none"/>
        </w:rPr>
      </w:pPr>
      <w:r>
        <w:rPr>
          <w:rFonts w:hint="eastAsia" w:ascii="宋体" w:hAnsi="宋体" w:cs="宋体"/>
          <w:sz w:val="24"/>
          <w:highlight w:val="none"/>
        </w:rPr>
        <w:t>一、</w:t>
      </w:r>
      <w:r>
        <w:rPr>
          <w:rFonts w:hint="eastAsia" w:ascii="宋体" w:hAnsi="宋体" w:cs="宋体"/>
          <w:b/>
          <w:bCs/>
          <w:sz w:val="24"/>
          <w:highlight w:val="none"/>
        </w:rPr>
        <w:t>基本情况</w:t>
      </w:r>
    </w:p>
    <w:p w14:paraId="189D9F29">
      <w:pPr>
        <w:keepNext w:val="0"/>
        <w:keepLines w:val="0"/>
        <w:pageBreakBefore w:val="0"/>
        <w:kinsoku/>
        <w:topLinePunct w:val="0"/>
        <w:bidi w:val="0"/>
        <w:snapToGrid w:val="0"/>
        <w:spacing w:line="400" w:lineRule="exact"/>
        <w:ind w:firstLine="482" w:firstLineChars="200"/>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项目名称：</w:t>
      </w:r>
      <w:r>
        <w:rPr>
          <w:rFonts w:hint="eastAsia" w:ascii="宋体" w:hAnsi="宋体" w:eastAsia="宋体" w:cs="宋体"/>
          <w:sz w:val="24"/>
          <w:highlight w:val="none"/>
          <w:lang w:eastAsia="zh-CN"/>
        </w:rPr>
        <w:t>信息安全运维服务</w:t>
      </w:r>
      <w:r>
        <w:rPr>
          <w:rFonts w:hint="eastAsia" w:ascii="宋体" w:hAnsi="宋体" w:eastAsia="宋体" w:cs="宋体"/>
          <w:sz w:val="24"/>
          <w:highlight w:val="none"/>
        </w:rPr>
        <w:t>项目</w:t>
      </w:r>
    </w:p>
    <w:p w14:paraId="33950605">
      <w:pPr>
        <w:keepNext w:val="0"/>
        <w:keepLines w:val="0"/>
        <w:pageBreakBefore w:val="0"/>
        <w:kinsoku/>
        <w:topLinePunct w:val="0"/>
        <w:bidi w:val="0"/>
        <w:snapToGrid w:val="0"/>
        <w:spacing w:line="400" w:lineRule="exact"/>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项目编号：</w:t>
      </w:r>
      <w:r>
        <w:rPr>
          <w:rFonts w:hint="eastAsia" w:ascii="宋体" w:hAnsi="宋体" w:cs="宋体"/>
          <w:sz w:val="24"/>
          <w:highlight w:val="none"/>
          <w:lang w:eastAsia="zh-CN"/>
        </w:rPr>
        <w:t>ZJWS-QZ2025160</w:t>
      </w:r>
    </w:p>
    <w:p w14:paraId="794DD97C">
      <w:pPr>
        <w:keepNext w:val="0"/>
        <w:keepLines w:val="0"/>
        <w:pageBreakBefore w:val="0"/>
        <w:kinsoku/>
        <w:topLinePunct w:val="0"/>
        <w:bidi w:val="0"/>
        <w:snapToGrid w:val="0"/>
        <w:spacing w:line="400" w:lineRule="exact"/>
        <w:ind w:firstLine="482" w:firstLineChars="200"/>
        <w:rPr>
          <w:rFonts w:ascii="宋体" w:hAnsi="宋体" w:cs="宋体"/>
          <w:sz w:val="24"/>
          <w:highlight w:val="none"/>
        </w:rPr>
      </w:pPr>
      <w:r>
        <w:rPr>
          <w:rFonts w:hint="eastAsia" w:ascii="宋体" w:hAnsi="宋体" w:cs="宋体"/>
          <w:b/>
          <w:sz w:val="24"/>
          <w:highlight w:val="none"/>
        </w:rPr>
        <w:t>采购组织类型：</w:t>
      </w:r>
      <w:r>
        <w:rPr>
          <w:rFonts w:hint="eastAsia" w:ascii="宋体" w:hAnsi="宋体" w:cs="宋体"/>
          <w:sz w:val="24"/>
          <w:highlight w:val="none"/>
        </w:rPr>
        <w:t>分散</w:t>
      </w:r>
      <w:r>
        <w:rPr>
          <w:rFonts w:hint="eastAsia" w:ascii="宋体" w:hAnsi="宋体" w:cs="宋体"/>
          <w:sz w:val="24"/>
          <w:highlight w:val="none"/>
          <w:lang w:val="en-US" w:eastAsia="zh-CN"/>
        </w:rPr>
        <w:t>采购-</w:t>
      </w:r>
      <w:r>
        <w:rPr>
          <w:rFonts w:hint="eastAsia" w:ascii="宋体" w:hAnsi="宋体" w:cs="宋体"/>
          <w:sz w:val="24"/>
          <w:highlight w:val="none"/>
        </w:rPr>
        <w:t>委托代理</w:t>
      </w:r>
    </w:p>
    <w:p w14:paraId="745DA174">
      <w:pPr>
        <w:keepNext w:val="0"/>
        <w:keepLines w:val="0"/>
        <w:pageBreakBefore w:val="0"/>
        <w:kinsoku/>
        <w:topLinePunct w:val="0"/>
        <w:bidi w:val="0"/>
        <w:snapToGrid w:val="0"/>
        <w:spacing w:line="400" w:lineRule="exact"/>
        <w:ind w:firstLine="482" w:firstLineChars="200"/>
        <w:rPr>
          <w:rFonts w:ascii="宋体" w:hAnsi="宋体" w:cs="宋体"/>
          <w:sz w:val="24"/>
          <w:highlight w:val="none"/>
        </w:rPr>
      </w:pPr>
      <w:r>
        <w:rPr>
          <w:rFonts w:hint="eastAsia" w:ascii="宋体" w:hAnsi="宋体" w:cs="宋体"/>
          <w:b/>
          <w:sz w:val="24"/>
          <w:highlight w:val="none"/>
        </w:rPr>
        <w:t>采购方式：</w:t>
      </w:r>
      <w:r>
        <w:rPr>
          <w:rFonts w:hint="eastAsia" w:ascii="宋体" w:hAnsi="宋体" w:cs="宋体"/>
          <w:sz w:val="24"/>
          <w:highlight w:val="none"/>
        </w:rPr>
        <w:t>公开招标</w:t>
      </w:r>
    </w:p>
    <w:p w14:paraId="718CF6E6">
      <w:pPr>
        <w:keepNext w:val="0"/>
        <w:keepLines w:val="0"/>
        <w:pageBreakBefore w:val="0"/>
        <w:kinsoku/>
        <w:wordWrap w:val="0"/>
        <w:topLinePunct w:val="0"/>
        <w:bidi w:val="0"/>
        <w:spacing w:line="400" w:lineRule="exact"/>
        <w:ind w:firstLine="482" w:firstLineChars="200"/>
        <w:rPr>
          <w:rFonts w:hint="eastAsia" w:ascii="宋体" w:hAnsi="宋体" w:eastAsia="宋体" w:cs="宋体"/>
          <w:sz w:val="24"/>
          <w:highlight w:val="none"/>
          <w:lang w:eastAsia="zh-CN"/>
        </w:rPr>
      </w:pPr>
      <w:r>
        <w:rPr>
          <w:rFonts w:hint="eastAsia" w:ascii="宋体" w:hAnsi="宋体" w:cs="宋体"/>
          <w:b/>
          <w:bCs/>
          <w:sz w:val="24"/>
          <w:highlight w:val="none"/>
        </w:rPr>
        <w:t>预算总额：</w:t>
      </w:r>
      <w:r>
        <w:rPr>
          <w:rFonts w:hint="eastAsia" w:ascii="宋体" w:hAnsi="宋体" w:cs="宋体"/>
          <w:sz w:val="24"/>
          <w:highlight w:val="none"/>
          <w:lang w:val="en-US" w:eastAsia="zh-CN"/>
        </w:rPr>
        <w:t>54万元</w:t>
      </w:r>
    </w:p>
    <w:p w14:paraId="5F995CB3">
      <w:pPr>
        <w:keepNext w:val="0"/>
        <w:keepLines w:val="0"/>
        <w:pageBreakBefore w:val="0"/>
        <w:kinsoku/>
        <w:wordWrap w:val="0"/>
        <w:topLinePunct w:val="0"/>
        <w:bidi w:val="0"/>
        <w:spacing w:line="400" w:lineRule="exact"/>
        <w:ind w:firstLine="482" w:firstLineChars="200"/>
        <w:rPr>
          <w:rFonts w:hint="eastAsia" w:ascii="宋体" w:hAnsi="宋体" w:eastAsia="宋体" w:cs="Times New Roman"/>
          <w:color w:val="000000"/>
          <w:highlight w:val="none"/>
          <w:lang w:eastAsia="zh-CN"/>
        </w:rPr>
      </w:pPr>
      <w:r>
        <w:rPr>
          <w:rFonts w:hint="eastAsia" w:ascii="宋体" w:hAnsi="宋体" w:cs="宋体"/>
          <w:b/>
          <w:bCs/>
          <w:sz w:val="24"/>
          <w:highlight w:val="none"/>
        </w:rPr>
        <w:t>最高限价：</w:t>
      </w:r>
      <w:r>
        <w:rPr>
          <w:rFonts w:hint="eastAsia" w:ascii="宋体" w:hAnsi="宋体" w:cs="宋体"/>
          <w:sz w:val="24"/>
          <w:highlight w:val="none"/>
          <w:lang w:val="en-US" w:eastAsia="zh-CN"/>
        </w:rPr>
        <w:t>54万元</w:t>
      </w:r>
    </w:p>
    <w:p w14:paraId="7BD57D34">
      <w:pPr>
        <w:keepNext w:val="0"/>
        <w:keepLines w:val="0"/>
        <w:pageBreakBefore w:val="0"/>
        <w:kinsoku/>
        <w:topLinePunct w:val="0"/>
        <w:bidi w:val="0"/>
        <w:snapToGrid w:val="0"/>
        <w:spacing w:line="400" w:lineRule="exact"/>
        <w:ind w:firstLine="482" w:firstLineChars="200"/>
        <w:rPr>
          <w:highlight w:val="none"/>
        </w:rPr>
      </w:pPr>
      <w:r>
        <w:rPr>
          <w:rFonts w:hint="eastAsia" w:ascii="宋体" w:hAnsi="宋体" w:cs="宋体"/>
          <w:b/>
          <w:sz w:val="24"/>
          <w:highlight w:val="none"/>
          <w:lang w:val="en-US" w:eastAsia="zh-CN"/>
        </w:rPr>
        <w:t>服 务</w:t>
      </w:r>
      <w:r>
        <w:rPr>
          <w:rFonts w:hint="eastAsia" w:ascii="宋体" w:hAnsi="宋体" w:cs="宋体"/>
          <w:b/>
          <w:sz w:val="24"/>
          <w:highlight w:val="none"/>
        </w:rPr>
        <w:t xml:space="preserve"> 期</w:t>
      </w:r>
      <w:r>
        <w:rPr>
          <w:rFonts w:hint="eastAsia" w:ascii="宋体" w:hAnsi="宋体" w:eastAsia="宋体" w:cs="宋体"/>
          <w:sz w:val="24"/>
          <w:highlight w:val="none"/>
          <w:lang w:val="en-US" w:eastAsia="zh-CN"/>
        </w:rPr>
        <w:t>：</w:t>
      </w:r>
      <w:r>
        <w:rPr>
          <w:rFonts w:hint="eastAsia" w:ascii="宋体" w:hAnsi="宋体" w:eastAsia="宋体" w:cs="宋体"/>
          <w:b w:val="0"/>
          <w:bCs w:val="0"/>
          <w:sz w:val="24"/>
          <w:szCs w:val="24"/>
          <w:highlight w:val="none"/>
          <w:lang w:val="en-US" w:eastAsia="zh-CN"/>
        </w:rPr>
        <w:t>3年，具体日期以合同签订时间为准</w:t>
      </w:r>
    </w:p>
    <w:p w14:paraId="22145C03">
      <w:pPr>
        <w:keepNext w:val="0"/>
        <w:keepLines w:val="0"/>
        <w:pageBreakBefore w:val="0"/>
        <w:kinsoku/>
        <w:topLinePunct w:val="0"/>
        <w:bidi w:val="0"/>
        <w:snapToGrid w:val="0"/>
        <w:spacing w:line="400" w:lineRule="exact"/>
        <w:ind w:firstLine="482" w:firstLineChars="200"/>
        <w:rPr>
          <w:rFonts w:hint="eastAsia"/>
          <w:b/>
          <w:bCs/>
          <w:highlight w:val="none"/>
        </w:rPr>
      </w:pPr>
      <w:r>
        <w:rPr>
          <w:rFonts w:hint="eastAsia" w:ascii="宋体" w:hAnsi="宋体" w:cs="宋体"/>
          <w:b/>
          <w:bCs/>
          <w:sz w:val="24"/>
          <w:highlight w:val="none"/>
        </w:rPr>
        <w:t>采购需求：</w:t>
      </w:r>
    </w:p>
    <w:tbl>
      <w:tblPr>
        <w:tblStyle w:val="29"/>
        <w:tblpPr w:leftFromText="180" w:rightFromText="180" w:vertAnchor="text" w:horzAnchor="page" w:tblpX="1651" w:tblpY="294"/>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321"/>
        <w:gridCol w:w="2027"/>
        <w:gridCol w:w="1844"/>
        <w:gridCol w:w="2304"/>
      </w:tblGrid>
      <w:tr w14:paraId="2DF1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trPr>
        <w:tc>
          <w:tcPr>
            <w:tcW w:w="584" w:type="pct"/>
            <w:noWrap w:val="0"/>
            <w:vAlign w:val="center"/>
          </w:tcPr>
          <w:p w14:paraId="40B06F32">
            <w:pPr>
              <w:pStyle w:val="16"/>
              <w:keepNext w:val="0"/>
              <w:keepLines w:val="0"/>
              <w:pageBreakBefore w:val="0"/>
              <w:kinsoku/>
              <w:topLinePunct w:val="0"/>
              <w:bidi w:val="0"/>
              <w:spacing w:before="120" w:after="120" w:line="400" w:lineRule="exact"/>
              <w:jc w:val="center"/>
              <w:rPr>
                <w:rFonts w:hAnsi="宋体" w:cs="宋体"/>
                <w:b/>
                <w:sz w:val="16"/>
                <w:szCs w:val="16"/>
                <w:highlight w:val="none"/>
              </w:rPr>
            </w:pPr>
            <w:r>
              <w:rPr>
                <w:rFonts w:hint="eastAsia" w:hAnsi="宋体" w:cs="宋体"/>
                <w:b/>
                <w:highlight w:val="none"/>
              </w:rPr>
              <w:t>序号</w:t>
            </w:r>
          </w:p>
        </w:tc>
        <w:tc>
          <w:tcPr>
            <w:tcW w:w="1206" w:type="pct"/>
            <w:noWrap w:val="0"/>
            <w:vAlign w:val="center"/>
          </w:tcPr>
          <w:p w14:paraId="144FECF9">
            <w:pPr>
              <w:pStyle w:val="16"/>
              <w:keepNext w:val="0"/>
              <w:keepLines w:val="0"/>
              <w:pageBreakBefore w:val="0"/>
              <w:kinsoku/>
              <w:topLinePunct w:val="0"/>
              <w:bidi w:val="0"/>
              <w:spacing w:before="120" w:after="120" w:line="400" w:lineRule="exact"/>
              <w:jc w:val="center"/>
              <w:rPr>
                <w:rFonts w:hAnsi="宋体" w:cs="宋体"/>
                <w:b/>
                <w:sz w:val="21"/>
                <w:szCs w:val="21"/>
                <w:highlight w:val="none"/>
              </w:rPr>
            </w:pPr>
            <w:r>
              <w:rPr>
                <w:rFonts w:hint="eastAsia" w:hAnsi="宋体" w:cs="宋体"/>
                <w:b/>
                <w:highlight w:val="none"/>
                <w:lang w:val="en-US" w:eastAsia="zh-CN"/>
              </w:rPr>
              <w:t>服务</w:t>
            </w:r>
            <w:r>
              <w:rPr>
                <w:rFonts w:hint="eastAsia" w:hAnsi="宋体" w:cs="宋体"/>
                <w:b/>
                <w:highlight w:val="none"/>
              </w:rPr>
              <w:t>名称</w:t>
            </w:r>
          </w:p>
        </w:tc>
        <w:tc>
          <w:tcPr>
            <w:tcW w:w="1053" w:type="pct"/>
            <w:noWrap w:val="0"/>
            <w:vAlign w:val="center"/>
          </w:tcPr>
          <w:p w14:paraId="4536BD53">
            <w:pPr>
              <w:pStyle w:val="16"/>
              <w:keepNext w:val="0"/>
              <w:keepLines w:val="0"/>
              <w:pageBreakBefore w:val="0"/>
              <w:kinsoku/>
              <w:topLinePunct w:val="0"/>
              <w:bidi w:val="0"/>
              <w:spacing w:before="120" w:after="120" w:line="400" w:lineRule="exact"/>
              <w:jc w:val="center"/>
              <w:rPr>
                <w:rFonts w:hAnsi="宋体" w:cs="宋体"/>
                <w:b/>
                <w:sz w:val="21"/>
                <w:szCs w:val="21"/>
                <w:highlight w:val="none"/>
              </w:rPr>
            </w:pPr>
            <w:r>
              <w:rPr>
                <w:rFonts w:hint="eastAsia" w:ascii="宋体" w:hAnsi="宋体"/>
                <w:b/>
                <w:highlight w:val="none"/>
              </w:rPr>
              <w:t>预算总额</w:t>
            </w:r>
          </w:p>
        </w:tc>
        <w:tc>
          <w:tcPr>
            <w:tcW w:w="958" w:type="pct"/>
            <w:noWrap w:val="0"/>
            <w:vAlign w:val="center"/>
          </w:tcPr>
          <w:p w14:paraId="4B7F7F6A">
            <w:pPr>
              <w:pStyle w:val="16"/>
              <w:keepNext w:val="0"/>
              <w:keepLines w:val="0"/>
              <w:pageBreakBefore w:val="0"/>
              <w:kinsoku/>
              <w:topLinePunct w:val="0"/>
              <w:bidi w:val="0"/>
              <w:spacing w:before="120" w:after="120" w:line="400" w:lineRule="exact"/>
              <w:jc w:val="center"/>
              <w:rPr>
                <w:rFonts w:hint="default" w:hAnsi="宋体" w:eastAsia="宋体" w:cs="宋体"/>
                <w:b/>
                <w:szCs w:val="21"/>
                <w:highlight w:val="none"/>
                <w:lang w:val="en-US" w:eastAsia="zh-CN"/>
              </w:rPr>
            </w:pPr>
            <w:r>
              <w:rPr>
                <w:rFonts w:hint="eastAsia" w:hAnsi="宋体" w:cs="宋体"/>
                <w:b/>
                <w:highlight w:val="none"/>
              </w:rPr>
              <w:t>服务内容及要求</w:t>
            </w:r>
          </w:p>
        </w:tc>
        <w:tc>
          <w:tcPr>
            <w:tcW w:w="1197" w:type="pct"/>
            <w:noWrap w:val="0"/>
            <w:vAlign w:val="center"/>
          </w:tcPr>
          <w:p w14:paraId="108774A9">
            <w:pPr>
              <w:pStyle w:val="16"/>
              <w:keepNext w:val="0"/>
              <w:keepLines w:val="0"/>
              <w:pageBreakBefore w:val="0"/>
              <w:kinsoku/>
              <w:topLinePunct w:val="0"/>
              <w:bidi w:val="0"/>
              <w:spacing w:before="120" w:after="120" w:line="400" w:lineRule="exact"/>
              <w:jc w:val="center"/>
              <w:rPr>
                <w:rFonts w:hint="eastAsia" w:hAnsi="宋体" w:cs="宋体"/>
                <w:b/>
                <w:szCs w:val="21"/>
                <w:highlight w:val="none"/>
                <w:lang w:val="en-US" w:eastAsia="zh-CN"/>
              </w:rPr>
            </w:pPr>
            <w:r>
              <w:rPr>
                <w:rFonts w:hint="eastAsia" w:hAnsi="宋体"/>
                <w:b/>
                <w:highlight w:val="none"/>
              </w:rPr>
              <w:t>其他内容</w:t>
            </w:r>
          </w:p>
        </w:tc>
      </w:tr>
      <w:tr w14:paraId="0EE1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584" w:type="pct"/>
            <w:noWrap w:val="0"/>
            <w:vAlign w:val="center"/>
          </w:tcPr>
          <w:p w14:paraId="1FFF63C2">
            <w:pPr>
              <w:pStyle w:val="16"/>
              <w:keepNext w:val="0"/>
              <w:keepLines w:val="0"/>
              <w:pageBreakBefore w:val="0"/>
              <w:kinsoku/>
              <w:topLinePunct w:val="0"/>
              <w:bidi w:val="0"/>
              <w:spacing w:before="120" w:after="120" w:line="400" w:lineRule="exact"/>
              <w:ind w:firstLine="240" w:firstLineChars="100"/>
              <w:jc w:val="center"/>
              <w:rPr>
                <w:highlight w:val="none"/>
              </w:rPr>
            </w:pPr>
            <w:r>
              <w:rPr>
                <w:rFonts w:hint="eastAsia"/>
                <w:highlight w:val="none"/>
              </w:rPr>
              <w:t>1</w:t>
            </w:r>
          </w:p>
        </w:tc>
        <w:tc>
          <w:tcPr>
            <w:tcW w:w="1206" w:type="pct"/>
            <w:noWrap w:val="0"/>
            <w:vAlign w:val="center"/>
          </w:tcPr>
          <w:p w14:paraId="1993C0A3">
            <w:pPr>
              <w:pStyle w:val="16"/>
              <w:keepNext w:val="0"/>
              <w:keepLines w:val="0"/>
              <w:pageBreakBefore w:val="0"/>
              <w:kinsoku/>
              <w:topLinePunct w:val="0"/>
              <w:bidi w:val="0"/>
              <w:spacing w:before="120" w:after="120" w:line="400" w:lineRule="exact"/>
              <w:jc w:val="center"/>
              <w:rPr>
                <w:rFonts w:hint="eastAsia"/>
                <w:highlight w:val="none"/>
                <w:lang w:eastAsia="zh-CN"/>
              </w:rPr>
            </w:pPr>
            <w:r>
              <w:rPr>
                <w:rFonts w:hint="eastAsia" w:ascii="宋体" w:hAnsi="宋体" w:eastAsia="宋体" w:cs="宋体"/>
                <w:sz w:val="24"/>
                <w:highlight w:val="none"/>
                <w:lang w:eastAsia="zh-CN"/>
              </w:rPr>
              <w:t>信息安全运维服务</w:t>
            </w:r>
          </w:p>
        </w:tc>
        <w:tc>
          <w:tcPr>
            <w:tcW w:w="1053" w:type="pct"/>
            <w:noWrap w:val="0"/>
            <w:vAlign w:val="center"/>
          </w:tcPr>
          <w:p w14:paraId="4C265DE4">
            <w:pPr>
              <w:pStyle w:val="16"/>
              <w:keepNext w:val="0"/>
              <w:keepLines w:val="0"/>
              <w:pageBreakBefore w:val="0"/>
              <w:kinsoku/>
              <w:topLinePunct w:val="0"/>
              <w:bidi w:val="0"/>
              <w:spacing w:before="120" w:after="120" w:line="400" w:lineRule="exact"/>
              <w:jc w:val="center"/>
              <w:rPr>
                <w:rFonts w:hint="default" w:eastAsia="宋体"/>
                <w:highlight w:val="none"/>
                <w:lang w:val="en-US" w:eastAsia="zh-CN"/>
              </w:rPr>
            </w:pPr>
            <w:r>
              <w:rPr>
                <w:rFonts w:hint="eastAsia"/>
                <w:highlight w:val="none"/>
                <w:lang w:val="en-US" w:eastAsia="zh-CN"/>
              </w:rPr>
              <w:t>54万元</w:t>
            </w:r>
          </w:p>
        </w:tc>
        <w:tc>
          <w:tcPr>
            <w:tcW w:w="958" w:type="pct"/>
            <w:noWrap w:val="0"/>
            <w:vAlign w:val="center"/>
          </w:tcPr>
          <w:p w14:paraId="34F5966B">
            <w:pPr>
              <w:pStyle w:val="16"/>
              <w:keepNext w:val="0"/>
              <w:keepLines w:val="0"/>
              <w:pageBreakBefore w:val="0"/>
              <w:kinsoku/>
              <w:topLinePunct w:val="0"/>
              <w:bidi w:val="0"/>
              <w:spacing w:before="120" w:after="120" w:line="400" w:lineRule="exact"/>
              <w:jc w:val="center"/>
              <w:rPr>
                <w:rFonts w:hint="default" w:eastAsia="宋体"/>
                <w:highlight w:val="none"/>
                <w:lang w:val="en-US" w:eastAsia="zh-CN"/>
              </w:rPr>
            </w:pPr>
            <w:r>
              <w:rPr>
                <w:rFonts w:hint="eastAsia"/>
                <w:highlight w:val="none"/>
              </w:rPr>
              <w:t>详见“招标需求”</w:t>
            </w:r>
          </w:p>
        </w:tc>
        <w:tc>
          <w:tcPr>
            <w:tcW w:w="1197" w:type="pct"/>
            <w:noWrap w:val="0"/>
            <w:vAlign w:val="center"/>
          </w:tcPr>
          <w:p w14:paraId="3C34A3CC">
            <w:pPr>
              <w:pStyle w:val="16"/>
              <w:keepNext w:val="0"/>
              <w:keepLines w:val="0"/>
              <w:pageBreakBefore w:val="0"/>
              <w:kinsoku/>
              <w:topLinePunct w:val="0"/>
              <w:bidi w:val="0"/>
              <w:spacing w:before="120" w:after="120" w:line="400" w:lineRule="exact"/>
              <w:jc w:val="center"/>
              <w:rPr>
                <w:rFonts w:hint="eastAsia"/>
                <w:highlight w:val="none"/>
                <w:lang w:val="en-US" w:eastAsia="zh-CN"/>
              </w:rPr>
            </w:pPr>
            <w:r>
              <w:rPr>
                <w:rFonts w:hint="eastAsia"/>
                <w:highlight w:val="none"/>
                <w:lang w:val="en-US" w:eastAsia="zh-CN"/>
              </w:rPr>
              <w:t>详见文件</w:t>
            </w:r>
            <w:r>
              <w:rPr>
                <w:rFonts w:hint="eastAsia"/>
                <w:highlight w:val="none"/>
              </w:rPr>
              <w:t>招标</w:t>
            </w:r>
            <w:r>
              <w:rPr>
                <w:rFonts w:hint="eastAsia"/>
                <w:highlight w:val="none"/>
                <w:lang w:val="en-US" w:eastAsia="zh-CN"/>
              </w:rPr>
              <w:t>需求</w:t>
            </w:r>
          </w:p>
        </w:tc>
      </w:tr>
    </w:tbl>
    <w:p w14:paraId="11894210">
      <w:pPr>
        <w:pStyle w:val="16"/>
        <w:keepNext w:val="0"/>
        <w:keepLines w:val="0"/>
        <w:pageBreakBefore w:val="0"/>
        <w:kinsoku/>
        <w:topLinePunct w:val="0"/>
        <w:bidi w:val="0"/>
        <w:spacing w:before="120" w:after="120" w:line="400" w:lineRule="exact"/>
        <w:ind w:firstLine="482" w:firstLineChars="200"/>
        <w:rPr>
          <w:b/>
          <w:bCs/>
          <w:highlight w:val="none"/>
        </w:rPr>
      </w:pPr>
      <w:r>
        <w:rPr>
          <w:rFonts w:hint="eastAsia"/>
          <w:b/>
          <w:bCs/>
          <w:highlight w:val="none"/>
        </w:rPr>
        <w:t>二、申请人的资格要求</w:t>
      </w:r>
    </w:p>
    <w:p w14:paraId="1EB1BABB">
      <w:pPr>
        <w:keepNext w:val="0"/>
        <w:keepLines w:val="0"/>
        <w:pageBreakBefore w:val="0"/>
        <w:kinsoku/>
        <w:topLinePunct w:val="0"/>
        <w:bidi w:val="0"/>
        <w:snapToGrid w:val="0"/>
        <w:spacing w:line="400" w:lineRule="exact"/>
        <w:ind w:firstLine="480" w:firstLineChars="200"/>
        <w:rPr>
          <w:rFonts w:hint="eastAsia" w:ascii="宋体" w:hAnsi="宋体" w:eastAsia="宋体" w:cs="宋体"/>
          <w:b/>
          <w:bCs/>
          <w:sz w:val="24"/>
          <w:highlight w:val="none"/>
          <w:lang w:eastAsia="zh-CN"/>
        </w:rPr>
      </w:pPr>
      <w:r>
        <w:rPr>
          <w:rFonts w:hint="eastAsia" w:ascii="宋体" w:hAnsi="宋体" w:cs="宋体"/>
          <w:b w:val="0"/>
          <w:bCs w:val="0"/>
          <w:sz w:val="24"/>
          <w:highlight w:val="none"/>
          <w:lang w:val="en-US" w:eastAsia="zh-CN"/>
        </w:rPr>
        <w:t>1.</w:t>
      </w:r>
      <w:r>
        <w:rPr>
          <w:rFonts w:ascii="宋体" w:hAnsi="宋体" w:cs="宋体"/>
          <w:color w:val="auto"/>
          <w:sz w:val="24"/>
          <w:szCs w:val="24"/>
          <w:highlight w:val="none"/>
        </w:rPr>
        <w:t>满足《中华人民共和国政府采购法》第二十二条规定</w:t>
      </w:r>
      <w:r>
        <w:rPr>
          <w:rFonts w:ascii="宋体" w:hAnsi="宋体" w:cs="宋体"/>
          <w:color w:val="auto"/>
          <w:kern w:val="0"/>
          <w:sz w:val="24"/>
          <w:highlight w:val="none"/>
        </w:rPr>
        <w:t>；未被“信用中国”（www.creditchina.gov.cn)、中国政府采购网（www.ccgp.gov.cn）列入失信被执行人、</w:t>
      </w:r>
      <w:r>
        <w:rPr>
          <w:rFonts w:hint="eastAsia" w:ascii="宋体" w:hAnsi="宋体" w:cs="宋体"/>
          <w:color w:val="auto"/>
          <w:kern w:val="0"/>
          <w:sz w:val="24"/>
          <w:highlight w:val="none"/>
          <w:lang w:eastAsia="zh-CN"/>
        </w:rPr>
        <w:t>重大税收违法失信主体</w:t>
      </w:r>
      <w:r>
        <w:rPr>
          <w:rFonts w:ascii="宋体" w:hAnsi="宋体" w:cs="宋体"/>
          <w:color w:val="auto"/>
          <w:kern w:val="0"/>
          <w:sz w:val="24"/>
          <w:highlight w:val="none"/>
        </w:rPr>
        <w:t>、政府采购严重违法失信行为记录名单</w:t>
      </w:r>
      <w:r>
        <w:rPr>
          <w:rFonts w:hint="eastAsia" w:ascii="宋体" w:hAnsi="宋体" w:cs="宋体"/>
          <w:color w:val="auto"/>
          <w:kern w:val="0"/>
          <w:sz w:val="24"/>
          <w:highlight w:val="none"/>
          <w:lang w:eastAsia="zh-CN"/>
        </w:rPr>
        <w:t>；</w:t>
      </w:r>
    </w:p>
    <w:p w14:paraId="0947A422">
      <w:pPr>
        <w:keepNext w:val="0"/>
        <w:keepLines w:val="0"/>
        <w:pageBreakBefore w:val="0"/>
        <w:kinsoku/>
        <w:topLinePunct w:val="0"/>
        <w:bidi w:val="0"/>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落实政府采购政策需满足的资格要求：本项目专门面向中小企业</w:t>
      </w:r>
      <w:r>
        <w:rPr>
          <w:rFonts w:hint="eastAsia" w:ascii="宋体" w:hAnsi="宋体" w:eastAsia="宋体" w:cs="宋体"/>
          <w:color w:val="auto"/>
          <w:sz w:val="24"/>
          <w:szCs w:val="24"/>
          <w:highlight w:val="none"/>
          <w:lang w:eastAsia="zh-CN"/>
        </w:rPr>
        <w:t>。</w:t>
      </w:r>
    </w:p>
    <w:p w14:paraId="5BF167FA">
      <w:pPr>
        <w:keepNext w:val="0"/>
        <w:keepLines w:val="0"/>
        <w:pageBreakBefore w:val="0"/>
        <w:kinsoku/>
        <w:topLinePunct w:val="0"/>
        <w:bidi w:val="0"/>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本项目的特定资格要求：</w:t>
      </w:r>
    </w:p>
    <w:p w14:paraId="0DEAA495">
      <w:pPr>
        <w:keepNext w:val="0"/>
        <w:keepLines w:val="0"/>
        <w:pageBreakBefore w:val="0"/>
        <w:kinsoku/>
        <w:topLinePunct w:val="0"/>
        <w:bidi w:val="0"/>
        <w:snapToGrid w:val="0"/>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单位负责人为同一人或者存在直接控股、管理关系的不同投标人，不得参加同一合同项下的政府采购活动；</w:t>
      </w:r>
    </w:p>
    <w:p w14:paraId="2DBBEDA9">
      <w:pPr>
        <w:keepNext w:val="0"/>
        <w:keepLines w:val="0"/>
        <w:pageBreakBefore w:val="0"/>
        <w:kinsoku/>
        <w:topLinePunct w:val="0"/>
        <w:bidi w:val="0"/>
        <w:snapToGrid w:val="0"/>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7E36A097">
      <w:pPr>
        <w:numPr>
          <w:ilvl w:val="0"/>
          <w:numId w:val="0"/>
        </w:numPr>
        <w:kinsoku/>
        <w:wordWrap/>
        <w:overflowPunct/>
        <w:topLinePunct w:val="0"/>
        <w:autoSpaceDE w:val="0"/>
        <w:autoSpaceDN w:val="0"/>
        <w:bidi w:val="0"/>
        <w:adjustRightInd w:val="0"/>
        <w:spacing w:beforeAutospacing="0" w:afterAutospacing="0" w:line="276" w:lineRule="auto"/>
        <w:ind w:left="420" w:leftChars="0" w:right="-20" w:rightChars="0"/>
        <w:rPr>
          <w:rFonts w:hint="eastAsia" w:ascii="宋体" w:hAnsi="宋体" w:eastAsia="宋体" w:cs="宋体"/>
          <w:sz w:val="24"/>
          <w:highlight w:val="none"/>
          <w:lang w:eastAsia="zh-CN"/>
        </w:rPr>
      </w:pP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3）</w:t>
      </w:r>
      <w:r>
        <w:rPr>
          <w:rFonts w:hint="eastAsia" w:ascii="宋体" w:hAnsi="宋体" w:cs="宋体"/>
          <w:b w:val="0"/>
          <w:bCs/>
          <w:sz w:val="24"/>
          <w:highlight w:val="none"/>
        </w:rPr>
        <w:t>联合体投标：</w:t>
      </w:r>
      <w:r>
        <w:rPr>
          <w:rFonts w:hint="eastAsia" w:ascii="宋体" w:hAnsi="宋体" w:cs="宋体"/>
          <w:sz w:val="24"/>
          <w:highlight w:val="none"/>
        </w:rPr>
        <w:t xml:space="preserve">本项目 </w:t>
      </w:r>
      <w:r>
        <w:rPr>
          <w:rFonts w:hint="eastAsia" w:ascii="宋体" w:hAnsi="宋体" w:cs="宋体"/>
          <w:sz w:val="24"/>
          <w:highlight w:val="none"/>
          <w:u w:val="single"/>
          <w:lang w:val="en-US" w:eastAsia="zh-CN"/>
        </w:rPr>
        <w:t>是</w:t>
      </w:r>
      <w:r>
        <w:rPr>
          <w:rFonts w:hint="eastAsia" w:ascii="宋体" w:hAnsi="宋体" w:cs="宋体"/>
          <w:sz w:val="24"/>
          <w:highlight w:val="none"/>
        </w:rPr>
        <w:t xml:space="preserve"> 接受联合体投标</w:t>
      </w:r>
    </w:p>
    <w:p w14:paraId="5C7552E7">
      <w:pPr>
        <w:numPr>
          <w:ilvl w:val="0"/>
          <w:numId w:val="0"/>
        </w:numPr>
        <w:kinsoku/>
        <w:wordWrap/>
        <w:overflowPunct/>
        <w:topLinePunct w:val="0"/>
        <w:autoSpaceDE w:val="0"/>
        <w:autoSpaceDN w:val="0"/>
        <w:bidi w:val="0"/>
        <w:adjustRightInd w:val="0"/>
        <w:spacing w:beforeAutospacing="0" w:afterAutospacing="0" w:line="276" w:lineRule="auto"/>
        <w:ind w:left="420" w:leftChars="0" w:right="-20" w:rightChars="0"/>
        <w:rPr>
          <w:rFonts w:hint="eastAsia" w:ascii="宋体" w:hAnsi="宋体" w:cs="宋体"/>
          <w:color w:val="auto"/>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cs="宋体"/>
          <w:color w:val="auto"/>
          <w:sz w:val="24"/>
          <w:highlight w:val="none"/>
        </w:rPr>
        <w:t>接受联合体，联合体参加本项目政府采购应满足以下条件：</w:t>
      </w:r>
    </w:p>
    <w:p w14:paraId="4E5216B8">
      <w:pPr>
        <w:kinsoku/>
        <w:wordWrap/>
        <w:overflowPunct/>
        <w:topLinePunct w:val="0"/>
        <w:autoSpaceDE w:val="0"/>
        <w:autoSpaceDN w:val="0"/>
        <w:bidi w:val="0"/>
        <w:adjustRightInd w:val="0"/>
        <w:snapToGrid w:val="0"/>
        <w:spacing w:beforeAutospacing="0" w:afterAutospacing="0" w:line="276" w:lineRule="auto"/>
        <w:ind w:left="0" w:leftChars="0" w:firstLine="240" w:firstLineChars="100"/>
        <w:textAlignment w:val="bottom"/>
        <w:rPr>
          <w:rFonts w:ascii="宋体" w:hAnsi="宋体" w:cs="宋体"/>
          <w:color w:val="auto"/>
          <w:sz w:val="24"/>
          <w:szCs w:val="22"/>
          <w:highlight w:val="none"/>
        </w:rPr>
      </w:pPr>
      <w:r>
        <w:rPr>
          <w:rFonts w:ascii="宋体" w:hAnsi="宋体" w:cs="宋体"/>
          <w:color w:val="auto"/>
          <w:sz w:val="24"/>
          <w:szCs w:val="22"/>
          <w:highlight w:val="none"/>
        </w:rPr>
        <w:t>◇两个以上的自然人、法人或者其他组织可以组成一个联合体，以一个供应商的身份共同参加本项目政府采购活动，联合体在投标文件中提供联合体协议并明确分工；</w:t>
      </w:r>
    </w:p>
    <w:p w14:paraId="4826BD6A">
      <w:pPr>
        <w:kinsoku/>
        <w:wordWrap/>
        <w:overflowPunct/>
        <w:topLinePunct w:val="0"/>
        <w:autoSpaceDE w:val="0"/>
        <w:autoSpaceDN w:val="0"/>
        <w:bidi w:val="0"/>
        <w:adjustRightInd w:val="0"/>
        <w:snapToGrid w:val="0"/>
        <w:spacing w:beforeAutospacing="0" w:afterAutospacing="0" w:line="276" w:lineRule="auto"/>
        <w:ind w:left="0" w:leftChars="0" w:firstLine="240" w:firstLineChars="100"/>
        <w:textAlignment w:val="bottom"/>
        <w:rPr>
          <w:rFonts w:ascii="宋体" w:hAnsi="宋体" w:eastAsia="宋体" w:cs="宋体"/>
          <w:color w:val="auto"/>
          <w:sz w:val="24"/>
          <w:szCs w:val="22"/>
          <w:highlight w:val="none"/>
        </w:rPr>
      </w:pPr>
      <w:r>
        <w:rPr>
          <w:rFonts w:ascii="宋体" w:hAnsi="宋体" w:eastAsia="宋体" w:cs="宋体"/>
          <w:color w:val="auto"/>
          <w:sz w:val="24"/>
          <w:szCs w:val="22"/>
          <w:highlight w:val="none"/>
        </w:rPr>
        <w:t>◇联合体主办方和成员单位均应具备资格要求1、2 及特定资格要求第（1）、（2）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w:t>
      </w:r>
      <w:r>
        <w:rPr>
          <w:rFonts w:ascii="宋体" w:hAnsi="宋体" w:eastAsia="宋体" w:cs="宋体"/>
          <w:color w:val="auto"/>
          <w:sz w:val="24"/>
          <w:szCs w:val="22"/>
          <w:highlight w:val="none"/>
        </w:rPr>
        <w:t>项；</w:t>
      </w:r>
    </w:p>
    <w:p w14:paraId="255D9654">
      <w:pPr>
        <w:kinsoku/>
        <w:wordWrap/>
        <w:overflowPunct/>
        <w:topLinePunct w:val="0"/>
        <w:autoSpaceDE w:val="0"/>
        <w:autoSpaceDN w:val="0"/>
        <w:bidi w:val="0"/>
        <w:adjustRightInd w:val="0"/>
        <w:snapToGrid w:val="0"/>
        <w:spacing w:beforeAutospacing="0" w:afterAutospacing="0" w:line="276" w:lineRule="auto"/>
        <w:ind w:left="0" w:leftChars="0" w:firstLine="240" w:firstLineChars="100"/>
        <w:textAlignment w:val="bottom"/>
        <w:rPr>
          <w:rFonts w:ascii="宋体" w:hAnsi="宋体" w:eastAsia="宋体" w:cs="宋体"/>
          <w:color w:val="auto"/>
          <w:sz w:val="24"/>
          <w:szCs w:val="22"/>
          <w:highlight w:val="none"/>
        </w:rPr>
      </w:pPr>
      <w:r>
        <w:rPr>
          <w:rFonts w:ascii="宋体" w:hAnsi="宋体" w:eastAsia="宋体" w:cs="宋体"/>
          <w:color w:val="auto"/>
          <w:sz w:val="24"/>
          <w:szCs w:val="22"/>
          <w:highlight w:val="none"/>
        </w:rPr>
        <w:t>◇联合体中有同类资质的供应商按照联合体分工承担相同工作，按资质等级较低的供应商确定资质等级；</w:t>
      </w:r>
    </w:p>
    <w:p w14:paraId="366B324B">
      <w:pPr>
        <w:kinsoku/>
        <w:wordWrap/>
        <w:overflowPunct/>
        <w:topLinePunct w:val="0"/>
        <w:autoSpaceDE w:val="0"/>
        <w:autoSpaceDN w:val="0"/>
        <w:bidi w:val="0"/>
        <w:adjustRightInd w:val="0"/>
        <w:snapToGrid w:val="0"/>
        <w:spacing w:beforeAutospacing="0" w:afterAutospacing="0" w:line="276" w:lineRule="auto"/>
        <w:ind w:left="0" w:leftChars="0" w:firstLine="240" w:firstLineChars="100"/>
        <w:textAlignment w:val="bottom"/>
        <w:rPr>
          <w:rFonts w:hint="eastAsia" w:ascii="宋体" w:hAnsi="宋体" w:eastAsia="宋体" w:cs="宋体"/>
          <w:sz w:val="24"/>
          <w:highlight w:val="none"/>
          <w:lang w:eastAsia="zh-CN"/>
        </w:rPr>
      </w:pPr>
      <w:r>
        <w:rPr>
          <w:rFonts w:ascii="宋体" w:hAnsi="宋体" w:eastAsia="宋体" w:cs="宋体"/>
          <w:color w:val="auto"/>
          <w:sz w:val="24"/>
          <w:szCs w:val="22"/>
          <w:highlight w:val="none"/>
        </w:rPr>
        <w:t>◇联合体各方不得再单独参加或与其他供应商另外组成联合体参加本项目政府采购活动。</w:t>
      </w:r>
    </w:p>
    <w:p w14:paraId="1B39F132">
      <w:pPr>
        <w:keepNext w:val="0"/>
        <w:keepLines w:val="0"/>
        <w:pageBreakBefore w:val="0"/>
        <w:kinsoku/>
        <w:overflowPunct/>
        <w:topLinePunct w:val="0"/>
        <w:bidi w:val="0"/>
        <w:snapToGrid w:val="0"/>
        <w:spacing w:line="400" w:lineRule="exact"/>
        <w:ind w:firstLine="482" w:firstLineChars="200"/>
        <w:textAlignment w:val="auto"/>
        <w:rPr>
          <w:rStyle w:val="38"/>
          <w:rFonts w:ascii="宋体" w:hAnsi="宋体" w:cs="宋体"/>
          <w:sz w:val="24"/>
          <w:highlight w:val="none"/>
        </w:rPr>
      </w:pPr>
      <w:bookmarkStart w:id="0" w:name="_Toc22943"/>
      <w:r>
        <w:rPr>
          <w:rStyle w:val="38"/>
          <w:rFonts w:hint="eastAsia" w:ascii="宋体" w:hAnsi="宋体" w:cs="宋体"/>
          <w:sz w:val="24"/>
          <w:highlight w:val="none"/>
        </w:rPr>
        <w:t>三、采购文件的获取：</w:t>
      </w:r>
    </w:p>
    <w:p w14:paraId="69631F83">
      <w:pPr>
        <w:keepNext w:val="0"/>
        <w:keepLines w:val="0"/>
        <w:pageBreakBefore w:val="0"/>
        <w:kinsoku/>
        <w:overflowPunct/>
        <w:topLinePunct w:val="0"/>
        <w:bidi w:val="0"/>
        <w:snapToGrid w:val="0"/>
        <w:spacing w:line="400" w:lineRule="exact"/>
        <w:ind w:firstLine="482" w:firstLineChars="200"/>
        <w:textAlignment w:val="auto"/>
        <w:rPr>
          <w:rFonts w:hint="eastAsia" w:ascii="宋体" w:hAnsi="宋体" w:cs="宋体"/>
          <w:b w:val="0"/>
          <w:bCs w:val="0"/>
          <w:sz w:val="24"/>
          <w:highlight w:val="none"/>
          <w:lang w:val="en-US" w:eastAsia="zh-CN"/>
        </w:rPr>
      </w:pPr>
      <w:r>
        <w:rPr>
          <w:rFonts w:hint="eastAsia" w:ascii="宋体" w:hAnsi="宋体" w:cs="宋体"/>
          <w:b/>
          <w:bCs/>
          <w:sz w:val="24"/>
          <w:highlight w:val="none"/>
          <w:lang w:val="en-US" w:eastAsia="zh-CN"/>
        </w:rPr>
        <w:t>时间：</w:t>
      </w:r>
      <w:r>
        <w:rPr>
          <w:rFonts w:hint="eastAsia" w:ascii="宋体" w:hAnsi="宋体" w:cs="宋体"/>
          <w:b w:val="0"/>
          <w:bCs w:val="0"/>
          <w:sz w:val="24"/>
          <w:highlight w:val="none"/>
          <w:lang w:val="en-US" w:eastAsia="zh-CN"/>
        </w:rPr>
        <w:t>/至</w:t>
      </w:r>
      <w:r>
        <w:rPr>
          <w:rFonts w:hint="eastAsia" w:ascii="宋体" w:hAnsi="宋体" w:eastAsia="宋体" w:cs="宋体"/>
          <w:b/>
          <w:bCs/>
          <w:sz w:val="24"/>
          <w:highlight w:val="none"/>
          <w:u w:val="single"/>
        </w:rPr>
        <w:t>202</w:t>
      </w:r>
      <w:r>
        <w:rPr>
          <w:rFonts w:hint="eastAsia" w:ascii="宋体" w:hAnsi="宋体" w:eastAsia="宋体" w:cs="宋体"/>
          <w:b/>
          <w:bCs/>
          <w:sz w:val="24"/>
          <w:highlight w:val="none"/>
          <w:u w:val="single"/>
          <w:lang w:val="en-US" w:eastAsia="zh-CN"/>
        </w:rPr>
        <w:t>5</w:t>
      </w:r>
      <w:r>
        <w:rPr>
          <w:rFonts w:hint="eastAsia" w:ascii="宋体" w:hAnsi="宋体" w:eastAsia="宋体" w:cs="宋体"/>
          <w:b/>
          <w:bCs/>
          <w:sz w:val="24"/>
          <w:highlight w:val="none"/>
          <w:u w:val="single"/>
        </w:rPr>
        <w:t>年</w:t>
      </w:r>
      <w:r>
        <w:rPr>
          <w:rFonts w:hint="eastAsia" w:ascii="宋体" w:hAnsi="宋体" w:cs="宋体"/>
          <w:b/>
          <w:bCs/>
          <w:sz w:val="24"/>
          <w:highlight w:val="none"/>
          <w:u w:val="single"/>
          <w:lang w:val="en-US" w:eastAsia="zh-CN"/>
        </w:rPr>
        <w:t>7</w:t>
      </w:r>
      <w:r>
        <w:rPr>
          <w:rFonts w:hint="eastAsia" w:ascii="宋体" w:hAnsi="宋体" w:eastAsia="宋体" w:cs="宋体"/>
          <w:b/>
          <w:bCs/>
          <w:sz w:val="24"/>
          <w:highlight w:val="none"/>
          <w:u w:val="single"/>
        </w:rPr>
        <w:t>月</w:t>
      </w:r>
      <w:r>
        <w:rPr>
          <w:rFonts w:hint="eastAsia" w:ascii="宋体" w:hAnsi="宋体" w:cs="宋体"/>
          <w:b/>
          <w:bCs/>
          <w:sz w:val="24"/>
          <w:highlight w:val="none"/>
          <w:u w:val="single"/>
          <w:lang w:val="en-US" w:eastAsia="zh-CN"/>
        </w:rPr>
        <w:t>25</w:t>
      </w:r>
      <w:r>
        <w:rPr>
          <w:rFonts w:hint="eastAsia" w:ascii="宋体" w:hAnsi="宋体" w:eastAsia="宋体" w:cs="宋体"/>
          <w:b/>
          <w:bCs/>
          <w:sz w:val="24"/>
          <w:highlight w:val="none"/>
          <w:u w:val="single"/>
        </w:rPr>
        <w:t>日</w:t>
      </w:r>
      <w:r>
        <w:rPr>
          <w:rFonts w:hint="eastAsia" w:ascii="宋体" w:hAnsi="宋体" w:cs="宋体"/>
          <w:b w:val="0"/>
          <w:bCs w:val="0"/>
          <w:sz w:val="24"/>
          <w:highlight w:val="none"/>
          <w:lang w:val="en-US" w:eastAsia="zh-CN"/>
        </w:rPr>
        <w:t>，每天上午00:00至12:00，下午12:00至23:59（北京时间，线上获取法定节假日均可，线下获取文件法定节假日除外）</w:t>
      </w:r>
    </w:p>
    <w:p w14:paraId="59FF7B1D">
      <w:pPr>
        <w:keepNext w:val="0"/>
        <w:keepLines w:val="0"/>
        <w:pageBreakBefore w:val="0"/>
        <w:kinsoku/>
        <w:overflowPunct/>
        <w:topLinePunct w:val="0"/>
        <w:bidi w:val="0"/>
        <w:snapToGrid w:val="0"/>
        <w:spacing w:line="400" w:lineRule="exact"/>
        <w:ind w:firstLine="482" w:firstLineChars="200"/>
        <w:textAlignment w:val="auto"/>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地点（网址）：</w:t>
      </w:r>
      <w:r>
        <w:rPr>
          <w:rFonts w:hint="eastAsia" w:ascii="宋体" w:hAnsi="宋体" w:cs="宋体"/>
          <w:b w:val="0"/>
          <w:bCs w:val="0"/>
          <w:sz w:val="24"/>
          <w:highlight w:val="none"/>
          <w:lang w:val="en-US" w:eastAsia="zh-CN"/>
        </w:rPr>
        <w:t>政采云平台</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http://zfcg.czt.zj.gov.cn</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w:t>
      </w:r>
    </w:p>
    <w:p w14:paraId="65FC3B4C">
      <w:pPr>
        <w:keepNext w:val="0"/>
        <w:keepLines w:val="0"/>
        <w:pageBreakBefore w:val="0"/>
        <w:tabs>
          <w:tab w:val="left" w:pos="3150"/>
        </w:tabs>
        <w:kinsoku/>
        <w:overflowPunct/>
        <w:topLinePunct w:val="0"/>
        <w:bidi w:val="0"/>
        <w:snapToGrid w:val="0"/>
        <w:spacing w:line="400" w:lineRule="exact"/>
        <w:ind w:firstLine="482" w:firstLineChars="200"/>
        <w:textAlignment w:val="auto"/>
        <w:rPr>
          <w:rFonts w:hint="eastAsia" w:ascii="宋体" w:hAnsi="宋体" w:eastAsia="宋体" w:cs="宋体"/>
          <w:b w:val="0"/>
          <w:bCs w:val="0"/>
          <w:sz w:val="24"/>
          <w:highlight w:val="none"/>
        </w:rPr>
      </w:pPr>
      <w:r>
        <w:rPr>
          <w:rFonts w:hint="eastAsia" w:ascii="宋体" w:hAnsi="宋体" w:cs="宋体"/>
          <w:b/>
          <w:bCs/>
          <w:sz w:val="24"/>
          <w:highlight w:val="none"/>
          <w:lang w:val="en-US" w:eastAsia="zh-CN"/>
        </w:rPr>
        <w:t>方式：</w:t>
      </w:r>
      <w:r>
        <w:rPr>
          <w:rFonts w:hint="eastAsia" w:ascii="宋体" w:hAnsi="宋体" w:cs="宋体"/>
          <w:b w:val="0"/>
          <w:bCs w:val="0"/>
          <w:sz w:val="24"/>
          <w:highlight w:val="none"/>
          <w:lang w:val="en-US" w:eastAsia="zh-CN"/>
        </w:rPr>
        <w:t>供应商登录政采云平台（https://www.zcygov.cn/）在线申请获取采购文件（进入“项目采购”应用，在获取采购文件菜单中选择项目，申请获取采购文件）</w:t>
      </w:r>
      <w:r>
        <w:rPr>
          <w:rFonts w:hint="eastAsia" w:ascii="宋体" w:hAnsi="宋体" w:eastAsia="宋体" w:cs="宋体"/>
          <w:b w:val="0"/>
          <w:bCs w:val="0"/>
          <w:sz w:val="24"/>
          <w:highlight w:val="none"/>
          <w:lang w:eastAsia="zh-CN"/>
        </w:rPr>
        <w:t>。</w:t>
      </w:r>
    </w:p>
    <w:p w14:paraId="2C7BB19B">
      <w:pPr>
        <w:keepNext w:val="0"/>
        <w:keepLines w:val="0"/>
        <w:pageBreakBefore w:val="0"/>
        <w:kinsoku/>
        <w:overflowPunct/>
        <w:topLinePunct w:val="0"/>
        <w:bidi w:val="0"/>
        <w:snapToGrid w:val="0"/>
        <w:spacing w:line="400" w:lineRule="exact"/>
        <w:ind w:firstLine="482" w:firstLineChars="200"/>
        <w:jc w:val="left"/>
        <w:textAlignment w:val="auto"/>
        <w:rPr>
          <w:rFonts w:ascii="宋体" w:hAnsi="宋体" w:cs="宋体"/>
          <w:sz w:val="24"/>
          <w:highlight w:val="none"/>
        </w:rPr>
      </w:pPr>
      <w:r>
        <w:rPr>
          <w:rFonts w:hint="eastAsia" w:ascii="宋体" w:hAnsi="宋体" w:cs="宋体"/>
          <w:b/>
          <w:bCs/>
          <w:sz w:val="24"/>
          <w:highlight w:val="none"/>
        </w:rPr>
        <w:t>四、投标截止时间</w:t>
      </w:r>
      <w:r>
        <w:rPr>
          <w:rFonts w:hint="eastAsia" w:ascii="宋体" w:hAnsi="宋体" w:cs="宋体"/>
          <w:b/>
          <w:bCs/>
          <w:sz w:val="24"/>
          <w:highlight w:val="none"/>
          <w:lang w:eastAsia="zh-CN"/>
        </w:rPr>
        <w:t>、开标时间及地址</w:t>
      </w:r>
      <w:r>
        <w:rPr>
          <w:rFonts w:hint="eastAsia" w:ascii="宋体" w:hAnsi="宋体" w:cs="宋体"/>
          <w:sz w:val="24"/>
          <w:highlight w:val="none"/>
        </w:rPr>
        <w:t>：</w:t>
      </w:r>
    </w:p>
    <w:p w14:paraId="3C502A73">
      <w:pPr>
        <w:keepNext w:val="0"/>
        <w:keepLines w:val="0"/>
        <w:pageBreakBefore w:val="0"/>
        <w:kinsoku/>
        <w:overflowPunct/>
        <w:topLinePunct w:val="0"/>
        <w:bidi w:val="0"/>
        <w:snapToGrid w:val="0"/>
        <w:spacing w:line="400" w:lineRule="exact"/>
        <w:ind w:firstLine="482" w:firstLineChars="200"/>
        <w:jc w:val="left"/>
        <w:textAlignment w:val="auto"/>
        <w:rPr>
          <w:rFonts w:hint="eastAsia" w:ascii="宋体" w:hAnsi="宋体" w:eastAsia="宋体" w:cs="宋体"/>
          <w:sz w:val="24"/>
          <w:highlight w:val="none"/>
          <w:lang w:eastAsia="zh-CN"/>
        </w:rPr>
      </w:pPr>
      <w:r>
        <w:rPr>
          <w:rFonts w:hint="eastAsia" w:ascii="宋体" w:hAnsi="宋体" w:cs="宋体"/>
          <w:b/>
          <w:bCs/>
          <w:sz w:val="24"/>
          <w:highlight w:val="none"/>
        </w:rPr>
        <w:t>投标截止时间</w:t>
      </w:r>
      <w:r>
        <w:rPr>
          <w:rFonts w:hint="eastAsia" w:ascii="宋体" w:hAnsi="宋体" w:cs="宋体"/>
          <w:b/>
          <w:bCs/>
          <w:sz w:val="24"/>
          <w:highlight w:val="none"/>
          <w:lang w:eastAsia="zh-CN"/>
        </w:rPr>
        <w:t>：</w:t>
      </w:r>
      <w:r>
        <w:rPr>
          <w:rFonts w:hint="eastAsia" w:ascii="宋体" w:hAnsi="宋体" w:cs="宋体"/>
          <w:b/>
          <w:bCs/>
          <w:sz w:val="24"/>
          <w:highlight w:val="none"/>
          <w:u w:val="single"/>
          <w:lang w:eastAsia="zh-CN"/>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25</w:t>
      </w:r>
      <w:r>
        <w:rPr>
          <w:rFonts w:hint="eastAsia" w:ascii="宋体" w:hAnsi="宋体" w:cs="宋体"/>
          <w:b/>
          <w:bCs/>
          <w:sz w:val="24"/>
          <w:highlight w:val="none"/>
          <w:u w:val="single"/>
          <w:lang w:eastAsia="zh-CN"/>
        </w:rPr>
        <w:t>日</w:t>
      </w:r>
      <w:r>
        <w:rPr>
          <w:rFonts w:hint="eastAsia" w:ascii="宋体" w:hAnsi="宋体" w:cs="宋体"/>
          <w:b/>
          <w:bCs/>
          <w:sz w:val="24"/>
          <w:highlight w:val="none"/>
          <w:u w:val="single"/>
          <w:lang w:val="en-US" w:eastAsia="zh-CN"/>
        </w:rPr>
        <w:t>14</w:t>
      </w:r>
      <w:r>
        <w:rPr>
          <w:rFonts w:hint="eastAsia" w:ascii="宋体" w:hAnsi="宋体" w:cs="宋体"/>
          <w:b/>
          <w:bCs/>
          <w:sz w:val="24"/>
          <w:highlight w:val="none"/>
          <w:u w:val="single"/>
          <w:lang w:eastAsia="zh-CN"/>
        </w:rPr>
        <w:t>时</w:t>
      </w:r>
      <w:r>
        <w:rPr>
          <w:rFonts w:hint="eastAsia" w:ascii="宋体" w:hAnsi="宋体" w:cs="宋体"/>
          <w:b/>
          <w:bCs/>
          <w:sz w:val="24"/>
          <w:highlight w:val="none"/>
          <w:u w:val="single"/>
          <w:lang w:val="en-US" w:eastAsia="zh-CN"/>
        </w:rPr>
        <w:t>30</w:t>
      </w:r>
      <w:r>
        <w:rPr>
          <w:rFonts w:hint="eastAsia" w:ascii="宋体" w:hAnsi="宋体" w:cs="宋体"/>
          <w:b/>
          <w:bCs/>
          <w:sz w:val="24"/>
          <w:highlight w:val="none"/>
          <w:u w:val="single"/>
          <w:lang w:eastAsia="zh-CN"/>
        </w:rPr>
        <w:t>分</w:t>
      </w:r>
      <w:r>
        <w:rPr>
          <w:rFonts w:hint="eastAsia" w:ascii="宋体" w:hAnsi="宋体" w:cs="宋体"/>
          <w:sz w:val="24"/>
          <w:highlight w:val="none"/>
          <w:lang w:eastAsia="zh-CN"/>
        </w:rPr>
        <w:t>；</w:t>
      </w:r>
    </w:p>
    <w:p w14:paraId="40F5DE30">
      <w:pPr>
        <w:keepNext w:val="0"/>
        <w:keepLines w:val="0"/>
        <w:pageBreakBefore w:val="0"/>
        <w:kinsoku/>
        <w:overflowPunct/>
        <w:topLinePunct w:val="0"/>
        <w:bidi w:val="0"/>
        <w:snapToGrid w:val="0"/>
        <w:spacing w:line="40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cs="宋体"/>
          <w:b/>
          <w:bCs/>
          <w:sz w:val="24"/>
          <w:highlight w:val="none"/>
        </w:rPr>
        <w:t>本项目开标时间：</w:t>
      </w:r>
      <w:r>
        <w:rPr>
          <w:rFonts w:hint="eastAsia" w:ascii="宋体" w:hAnsi="宋体" w:cs="宋体"/>
          <w:b/>
          <w:bCs/>
          <w:sz w:val="24"/>
          <w:highlight w:val="none"/>
          <w:u w:val="single"/>
          <w:lang w:eastAsia="zh-CN"/>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25</w:t>
      </w:r>
      <w:r>
        <w:rPr>
          <w:rFonts w:hint="eastAsia" w:ascii="宋体" w:hAnsi="宋体" w:cs="宋体"/>
          <w:b/>
          <w:bCs/>
          <w:sz w:val="24"/>
          <w:highlight w:val="none"/>
          <w:u w:val="single"/>
          <w:lang w:eastAsia="zh-CN"/>
        </w:rPr>
        <w:t>日</w:t>
      </w:r>
      <w:r>
        <w:rPr>
          <w:rFonts w:hint="eastAsia" w:ascii="宋体" w:hAnsi="宋体" w:cs="宋体"/>
          <w:b/>
          <w:bCs/>
          <w:sz w:val="24"/>
          <w:highlight w:val="none"/>
          <w:u w:val="single"/>
          <w:lang w:val="en-US" w:eastAsia="zh-CN"/>
        </w:rPr>
        <w:t>14</w:t>
      </w:r>
      <w:r>
        <w:rPr>
          <w:rFonts w:hint="eastAsia" w:ascii="宋体" w:hAnsi="宋体" w:cs="宋体"/>
          <w:b/>
          <w:bCs/>
          <w:sz w:val="24"/>
          <w:highlight w:val="none"/>
          <w:u w:val="single"/>
          <w:lang w:eastAsia="zh-CN"/>
        </w:rPr>
        <w:t>时</w:t>
      </w:r>
      <w:r>
        <w:rPr>
          <w:rFonts w:hint="eastAsia" w:ascii="宋体" w:hAnsi="宋体" w:cs="宋体"/>
          <w:b/>
          <w:bCs/>
          <w:sz w:val="24"/>
          <w:highlight w:val="none"/>
          <w:u w:val="single"/>
          <w:lang w:val="en-US" w:eastAsia="zh-CN"/>
        </w:rPr>
        <w:t>30</w:t>
      </w:r>
      <w:r>
        <w:rPr>
          <w:rFonts w:hint="eastAsia" w:ascii="宋体" w:hAnsi="宋体" w:cs="宋体"/>
          <w:b/>
          <w:bCs/>
          <w:sz w:val="24"/>
          <w:highlight w:val="none"/>
          <w:u w:val="single"/>
          <w:lang w:eastAsia="zh-CN"/>
        </w:rPr>
        <w:t>分</w:t>
      </w:r>
      <w:r>
        <w:rPr>
          <w:rFonts w:hint="eastAsia" w:ascii="宋体" w:hAnsi="宋体" w:cs="宋体"/>
          <w:b w:val="0"/>
          <w:bCs w:val="0"/>
          <w:sz w:val="24"/>
          <w:highlight w:val="none"/>
          <w:lang w:eastAsia="zh-CN"/>
        </w:rPr>
        <w:t>；</w:t>
      </w:r>
    </w:p>
    <w:p w14:paraId="6E6729DB">
      <w:pPr>
        <w:keepNext w:val="0"/>
        <w:keepLines w:val="0"/>
        <w:pageBreakBefore w:val="0"/>
        <w:kinsoku/>
        <w:overflowPunct/>
        <w:topLinePunct w:val="0"/>
        <w:bidi w:val="0"/>
        <w:snapToGrid w:val="0"/>
        <w:spacing w:line="400" w:lineRule="exact"/>
        <w:ind w:firstLine="482" w:firstLineChars="200"/>
        <w:textAlignment w:val="auto"/>
        <w:rPr>
          <w:rFonts w:ascii="宋体" w:hAnsi="宋体" w:cs="宋体"/>
          <w:b w:val="0"/>
          <w:bCs w:val="0"/>
          <w:sz w:val="24"/>
          <w:highlight w:val="none"/>
        </w:rPr>
      </w:pPr>
      <w:r>
        <w:rPr>
          <w:rFonts w:hint="eastAsia" w:ascii="宋体" w:hAnsi="宋体" w:cs="宋体"/>
          <w:b/>
          <w:bCs/>
          <w:color w:val="auto"/>
          <w:sz w:val="24"/>
          <w:szCs w:val="24"/>
          <w:highlight w:val="none"/>
        </w:rPr>
        <w:t>开标地点（网址）：</w:t>
      </w:r>
      <w:r>
        <w:rPr>
          <w:rFonts w:hint="eastAsia" w:ascii="宋体" w:hAnsi="宋体" w:cs="宋体"/>
          <w:b w:val="0"/>
          <w:bCs w:val="0"/>
          <w:sz w:val="24"/>
          <w:highlight w:val="none"/>
          <w:lang w:val="en-US" w:eastAsia="zh-CN"/>
        </w:rPr>
        <w:t>政采云平台</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http://zfcg.czt.zj.gov.cn</w:t>
      </w:r>
      <w:r>
        <w:rPr>
          <w:rFonts w:hint="eastAsia" w:ascii="宋体" w:hAnsi="宋体" w:eastAsia="宋体" w:cs="宋体"/>
          <w:b w:val="0"/>
          <w:bCs w:val="0"/>
          <w:sz w:val="24"/>
          <w:highlight w:val="none"/>
          <w:lang w:eastAsia="zh-CN"/>
        </w:rPr>
        <w:t>)。</w:t>
      </w:r>
    </w:p>
    <w:p w14:paraId="775D538B">
      <w:pPr>
        <w:keepNext w:val="0"/>
        <w:keepLines w:val="0"/>
        <w:pageBreakBefore w:val="0"/>
        <w:kinsoku/>
        <w:overflowPunct/>
        <w:topLinePunct w:val="0"/>
        <w:bidi w:val="0"/>
        <w:snapToGrid w:val="0"/>
        <w:spacing w:line="400" w:lineRule="exact"/>
        <w:ind w:firstLine="482" w:firstLineChars="200"/>
        <w:textAlignment w:val="auto"/>
        <w:rPr>
          <w:rFonts w:hint="eastAsia" w:ascii="宋体" w:hAnsi="宋体" w:cs="宋体"/>
          <w:b/>
          <w:bCs w:val="0"/>
          <w:sz w:val="24"/>
          <w:highlight w:val="none"/>
          <w:lang w:eastAsia="zh-CN"/>
        </w:rPr>
      </w:pPr>
      <w:r>
        <w:rPr>
          <w:rFonts w:hint="eastAsia" w:ascii="宋体" w:hAnsi="宋体" w:cs="宋体"/>
          <w:b/>
          <w:bCs w:val="0"/>
          <w:sz w:val="24"/>
          <w:highlight w:val="none"/>
          <w:lang w:eastAsia="zh-CN"/>
        </w:rPr>
        <w:t>五、公告期限</w:t>
      </w:r>
    </w:p>
    <w:p w14:paraId="17CB589B">
      <w:pPr>
        <w:keepNext w:val="0"/>
        <w:keepLines w:val="0"/>
        <w:pageBreakBefore w:val="0"/>
        <w:kinsoku/>
        <w:overflowPunct/>
        <w:topLinePunct w:val="0"/>
        <w:bidi w:val="0"/>
        <w:snapToGrid w:val="0"/>
        <w:spacing w:line="400" w:lineRule="exact"/>
        <w:ind w:firstLine="480" w:firstLineChars="200"/>
        <w:textAlignment w:val="auto"/>
        <w:rPr>
          <w:rFonts w:hint="eastAsia" w:ascii="宋体" w:hAnsi="宋体" w:cs="宋体"/>
          <w:b/>
          <w:sz w:val="24"/>
          <w:highlight w:val="none"/>
          <w:lang w:eastAsia="zh-CN"/>
        </w:rPr>
      </w:pPr>
      <w:r>
        <w:rPr>
          <w:rFonts w:hint="eastAsia" w:ascii="宋体" w:hAnsi="宋体" w:cs="宋体"/>
          <w:sz w:val="24"/>
          <w:highlight w:val="none"/>
        </w:rPr>
        <w:t>自本公告发布之日起5个工作日（以公告发布次日开始计算）。</w:t>
      </w:r>
    </w:p>
    <w:p w14:paraId="2E1A6F81">
      <w:pPr>
        <w:keepNext w:val="0"/>
        <w:keepLines w:val="0"/>
        <w:pageBreakBefore w:val="0"/>
        <w:kinsoku/>
        <w:overflowPunct/>
        <w:topLinePunct w:val="0"/>
        <w:bidi w:val="0"/>
        <w:snapToGrid w:val="0"/>
        <w:spacing w:line="400" w:lineRule="exact"/>
        <w:ind w:firstLine="482" w:firstLineChars="200"/>
        <w:textAlignment w:val="auto"/>
        <w:rPr>
          <w:rFonts w:ascii="宋体" w:hAnsi="宋体" w:cs="宋体"/>
          <w:strike/>
          <w:sz w:val="24"/>
          <w:highlight w:val="none"/>
        </w:rPr>
      </w:pPr>
      <w:r>
        <w:rPr>
          <w:rFonts w:hint="eastAsia" w:ascii="宋体" w:hAnsi="宋体" w:cs="宋体"/>
          <w:b/>
          <w:sz w:val="24"/>
          <w:highlight w:val="none"/>
        </w:rPr>
        <w:t>六、</w:t>
      </w:r>
      <w:r>
        <w:rPr>
          <w:rFonts w:hint="eastAsia" w:ascii="宋体" w:hAnsi="宋体" w:cs="宋体"/>
          <w:b/>
          <w:sz w:val="24"/>
          <w:highlight w:val="none"/>
          <w:lang w:eastAsia="zh-CN"/>
        </w:rPr>
        <w:t>其他事项</w:t>
      </w:r>
      <w:r>
        <w:rPr>
          <w:rFonts w:hint="eastAsia" w:ascii="宋体" w:hAnsi="宋体" w:cs="宋体"/>
          <w:b/>
          <w:sz w:val="24"/>
          <w:highlight w:val="none"/>
        </w:rPr>
        <w:t>：</w:t>
      </w:r>
    </w:p>
    <w:p w14:paraId="6E0F927E">
      <w:pPr>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40C2D6">
      <w:pPr>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A4FC05">
      <w:pPr>
        <w:keepNext w:val="0"/>
        <w:keepLines w:val="0"/>
        <w:pageBreakBefore w:val="0"/>
        <w:kinsoku/>
        <w:topLinePunct w:val="0"/>
        <w:bidi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49060B">
      <w:pPr>
        <w:keepNext w:val="0"/>
        <w:keepLines w:val="0"/>
        <w:pageBreakBefore w:val="0"/>
        <w:kinsoku/>
        <w:overflowPunct/>
        <w:topLinePunct w:val="0"/>
        <w:bidi w:val="0"/>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lang w:eastAsia="zh-CN"/>
        </w:rPr>
        <w:t>注：</w:t>
      </w:r>
      <w:r>
        <w:rPr>
          <w:rFonts w:hint="eastAsia" w:ascii="宋体" w:hAnsi="宋体" w:cs="宋体"/>
          <w:sz w:val="24"/>
          <w:highlight w:val="none"/>
        </w:rPr>
        <w:t>供应商应知其权益受到损害之日，是指：</w:t>
      </w:r>
    </w:p>
    <w:p w14:paraId="45DB3C2B">
      <w:pPr>
        <w:keepNext w:val="0"/>
        <w:keepLines w:val="0"/>
        <w:pageBreakBefore w:val="0"/>
        <w:kinsoku/>
        <w:overflowPunct/>
        <w:topLinePunct w:val="0"/>
        <w:bidi w:val="0"/>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（1）对可以质疑的采购文件提出质疑的，为获取采购文件之日（采购公告期限届满之日后获取采购文件的为采购公告期限届满之日）。</w:t>
      </w:r>
    </w:p>
    <w:p w14:paraId="2CEB163C">
      <w:pPr>
        <w:keepNext w:val="0"/>
        <w:keepLines w:val="0"/>
        <w:pageBreakBefore w:val="0"/>
        <w:kinsoku/>
        <w:overflowPunct/>
        <w:topLinePunct w:val="0"/>
        <w:bidi w:val="0"/>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（2）对采购过程提出质疑的，为各采购程序环节结束之日。</w:t>
      </w:r>
    </w:p>
    <w:p w14:paraId="6A83616E">
      <w:pPr>
        <w:keepNext w:val="0"/>
        <w:keepLines w:val="0"/>
        <w:pageBreakBefore w:val="0"/>
        <w:kinsoku/>
        <w:topLinePunct w:val="0"/>
        <w:bidi w:val="0"/>
        <w:spacing w:line="400" w:lineRule="exact"/>
        <w:ind w:firstLine="480" w:firstLineChars="200"/>
        <w:rPr>
          <w:rFonts w:hint="eastAsia" w:ascii="宋体" w:hAnsi="宋体" w:cs="宋体"/>
          <w:color w:val="auto"/>
          <w:sz w:val="24"/>
          <w:szCs w:val="24"/>
          <w:highlight w:val="none"/>
        </w:rPr>
      </w:pPr>
      <w:r>
        <w:rPr>
          <w:rFonts w:hint="eastAsia" w:ascii="宋体" w:hAnsi="宋体" w:cs="宋体"/>
          <w:b w:val="0"/>
          <w:bCs w:val="0"/>
          <w:sz w:val="24"/>
          <w:highlight w:val="none"/>
        </w:rPr>
        <w:t>（3）对成交结果提出质疑的，为成交结果公告期限届满之日。</w:t>
      </w:r>
    </w:p>
    <w:p w14:paraId="38E1B306">
      <w:pPr>
        <w:keepNext w:val="0"/>
        <w:keepLines w:val="0"/>
        <w:pageBreakBefore w:val="0"/>
        <w:widowControl/>
        <w:kinsoku/>
        <w:overflowPunct/>
        <w:topLinePunct w:val="0"/>
        <w:bidi w:val="0"/>
        <w:snapToGrid w:val="0"/>
        <w:spacing w:line="400" w:lineRule="exact"/>
        <w:ind w:firstLine="482" w:firstLineChars="200"/>
        <w:jc w:val="left"/>
        <w:textAlignment w:val="auto"/>
        <w:rPr>
          <w:rFonts w:ascii="宋体" w:hAnsi="宋体" w:cs="宋体"/>
          <w:sz w:val="24"/>
          <w:highlight w:val="none"/>
        </w:rPr>
      </w:pPr>
      <w:r>
        <w:rPr>
          <w:rFonts w:hint="eastAsia" w:ascii="宋体" w:hAnsi="宋体" w:cs="宋体"/>
          <w:b/>
          <w:sz w:val="24"/>
          <w:highlight w:val="none"/>
          <w:lang w:val="en-US" w:eastAsia="zh-CN"/>
        </w:rPr>
        <w:t>4.</w:t>
      </w:r>
      <w:r>
        <w:rPr>
          <w:rFonts w:hint="eastAsia" w:ascii="宋体" w:hAnsi="宋体" w:cs="宋体"/>
          <w:b/>
          <w:sz w:val="24"/>
          <w:highlight w:val="none"/>
        </w:rPr>
        <w:t>投标说明</w:t>
      </w:r>
    </w:p>
    <w:p w14:paraId="69968AC7">
      <w:pPr>
        <w:keepNext w:val="0"/>
        <w:keepLines w:val="0"/>
        <w:pageBreakBefore w:val="0"/>
        <w:kinsoku/>
        <w:overflowPunct/>
        <w:topLinePunct w:val="0"/>
        <w:bidi w:val="0"/>
        <w:snapToGrid w:val="0"/>
        <w:spacing w:line="400" w:lineRule="exact"/>
        <w:ind w:firstLine="480" w:firstLineChars="200"/>
        <w:textAlignment w:val="auto"/>
        <w:rPr>
          <w:rFonts w:ascii="宋体" w:hAnsi="宋体" w:cs="宋体"/>
          <w:b w:val="0"/>
          <w:bCs w:val="0"/>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95763。</w:t>
      </w:r>
    </w:p>
    <w:p w14:paraId="28C22F75">
      <w:pPr>
        <w:keepNext w:val="0"/>
        <w:keepLines w:val="0"/>
        <w:pageBreakBefore w:val="0"/>
        <w:kinsoku/>
        <w:overflowPunct/>
        <w:topLinePunct w:val="0"/>
        <w:bidi w:val="0"/>
        <w:snapToGrid w:val="0"/>
        <w:spacing w:line="400" w:lineRule="exact"/>
        <w:ind w:firstLine="480" w:firstLineChars="200"/>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2</w:t>
      </w:r>
      <w:r>
        <w:rPr>
          <w:rFonts w:hint="eastAsia" w:ascii="宋体" w:hAnsi="宋体" w:eastAsia="宋体" w:cs="宋体"/>
          <w:b w:val="0"/>
          <w:bCs w:val="0"/>
          <w:sz w:val="24"/>
          <w:highlight w:val="none"/>
          <w:lang w:eastAsia="zh-CN"/>
        </w:rPr>
        <w:t>）各潜在供应商应在开标前完成CA数字证书办理。（办理流程详见</w:t>
      </w:r>
      <w:r>
        <w:rPr>
          <w:rFonts w:hint="eastAsia" w:ascii="宋体" w:hAnsi="宋体" w:eastAsia="宋体" w:cs="宋体"/>
          <w:b w:val="0"/>
          <w:bCs w:val="0"/>
          <w:sz w:val="24"/>
          <w:highlight w:val="none"/>
          <w:lang w:eastAsia="zh-CN"/>
        </w:rPr>
        <w:fldChar w:fldCharType="begin"/>
      </w:r>
      <w:r>
        <w:rPr>
          <w:rFonts w:hint="eastAsia" w:ascii="宋体" w:hAnsi="宋体" w:eastAsia="宋体" w:cs="宋体"/>
          <w:b w:val="0"/>
          <w:bCs w:val="0"/>
          <w:sz w:val="24"/>
          <w:highlight w:val="none"/>
          <w:lang w:eastAsia="zh-CN"/>
        </w:rPr>
        <w:instrText xml:space="preserve"> HYPERLINK "http://zfcg.czt.zj.gov.cn/bidClientTemplate/2019-05-27/12945.html" </w:instrText>
      </w:r>
      <w:r>
        <w:rPr>
          <w:rFonts w:hint="eastAsia" w:ascii="宋体" w:hAnsi="宋体" w:eastAsia="宋体" w:cs="宋体"/>
          <w:b w:val="0"/>
          <w:bCs w:val="0"/>
          <w:sz w:val="24"/>
          <w:highlight w:val="none"/>
          <w:lang w:eastAsia="zh-CN"/>
        </w:rPr>
        <w:fldChar w:fldCharType="separate"/>
      </w:r>
      <w:r>
        <w:rPr>
          <w:rFonts w:hint="eastAsia" w:ascii="宋体" w:hAnsi="宋体" w:eastAsia="宋体" w:cs="宋体"/>
          <w:b w:val="0"/>
          <w:bCs w:val="0"/>
          <w:sz w:val="24"/>
          <w:highlight w:val="none"/>
          <w:lang w:eastAsia="zh-CN"/>
        </w:rPr>
        <w:t>http://zfcg.czt.zj.gov.cn/bidClientTemplate/2019-05-27/12945.html</w:t>
      </w:r>
      <w:r>
        <w:rPr>
          <w:rFonts w:hint="eastAsia" w:ascii="宋体" w:hAnsi="宋体" w:eastAsia="宋体" w:cs="宋体"/>
          <w:b w:val="0"/>
          <w:bCs w:val="0"/>
          <w:sz w:val="24"/>
          <w:highlight w:val="none"/>
          <w:lang w:eastAsia="zh-CN"/>
        </w:rPr>
        <w:fldChar w:fldCharType="end"/>
      </w:r>
      <w:r>
        <w:rPr>
          <w:rFonts w:hint="eastAsia" w:ascii="宋体" w:hAnsi="宋体" w:eastAsia="宋体" w:cs="宋体"/>
          <w:b w:val="0"/>
          <w:bCs w:val="0"/>
          <w:sz w:val="24"/>
          <w:highlight w:val="none"/>
          <w:lang w:eastAsia="zh-CN"/>
        </w:rPr>
        <w:t>）。CA数字证书申请后至办理成功预计需一周左右的时间，请各潜在供应商预留好相应的时间，抓紧办理。</w:t>
      </w:r>
    </w:p>
    <w:p w14:paraId="26DB6072">
      <w:pPr>
        <w:keepNext w:val="0"/>
        <w:keepLines w:val="0"/>
        <w:pageBreakBefore w:val="0"/>
        <w:kinsoku/>
        <w:wordWrap w:val="0"/>
        <w:overflowPunct/>
        <w:topLinePunct w:val="0"/>
        <w:bidi w:val="0"/>
        <w:snapToGrid w:val="0"/>
        <w:spacing w:line="400" w:lineRule="exact"/>
        <w:ind w:firstLine="480" w:firstLineChars="200"/>
        <w:textAlignment w:val="auto"/>
        <w:rPr>
          <w:rFonts w:ascii="宋体" w:hAnsi="宋体" w:cs="宋体"/>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投标人通过政采云平台电子投标工具制作投标文件，电子投标工具请各潜在供应商自行前往浙江省政府采购网下载并安装（下载网址：</w:t>
      </w:r>
      <w:r>
        <w:rPr>
          <w:b w:val="0"/>
          <w:bCs w:val="0"/>
          <w:highlight w:val="none"/>
        </w:rPr>
        <w:fldChar w:fldCharType="begin"/>
      </w:r>
      <w:r>
        <w:rPr>
          <w:b w:val="0"/>
          <w:bCs w:val="0"/>
          <w:highlight w:val="none"/>
        </w:rPr>
        <w:instrText xml:space="preserve"> HYPERLINK "http://zfcg.czt.zj.gov.cn/bidClientTemplate/2019-05-27/12946.html" </w:instrText>
      </w:r>
      <w:r>
        <w:rPr>
          <w:b w:val="0"/>
          <w:bCs w:val="0"/>
          <w:highlight w:val="none"/>
        </w:rPr>
        <w:fldChar w:fldCharType="separate"/>
      </w:r>
      <w:r>
        <w:rPr>
          <w:rStyle w:val="34"/>
          <w:rFonts w:hint="eastAsia" w:ascii="宋体" w:hAnsi="宋体" w:cs="宋体"/>
          <w:b w:val="0"/>
          <w:bCs w:val="0"/>
          <w:color w:val="auto"/>
          <w:sz w:val="24"/>
          <w:highlight w:val="none"/>
        </w:rPr>
        <w:t>http://zfcg.czt.zj.gov.cn/bidClientTemplate/2019-05-27/12946.html</w:t>
      </w:r>
      <w:r>
        <w:rPr>
          <w:rStyle w:val="34"/>
          <w:rFonts w:hint="eastAsia" w:ascii="宋体" w:hAnsi="宋体" w:cs="宋体"/>
          <w:b w:val="0"/>
          <w:bCs w:val="0"/>
          <w:color w:val="auto"/>
          <w:sz w:val="24"/>
          <w:highlight w:val="none"/>
        </w:rPr>
        <w:fldChar w:fldCharType="end"/>
      </w:r>
      <w:r>
        <w:rPr>
          <w:rFonts w:hint="eastAsia" w:ascii="宋体" w:hAnsi="宋体" w:cs="宋体"/>
          <w:b w:val="0"/>
          <w:bCs w:val="0"/>
          <w:sz w:val="24"/>
          <w:highlight w:val="none"/>
        </w:rPr>
        <w:t>）。</w:t>
      </w:r>
    </w:p>
    <w:p w14:paraId="58869AF7">
      <w:pPr>
        <w:keepNext w:val="0"/>
        <w:keepLines w:val="0"/>
        <w:pageBreakBefore w:val="0"/>
        <w:kinsoku/>
        <w:topLinePunct w:val="0"/>
        <w:bidi w:val="0"/>
        <w:snapToGrid w:val="0"/>
        <w:spacing w:line="400" w:lineRule="exact"/>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投标人未按招标文件要求派代表参加电子开标会议的，视同认可开标结果，不得对开标过程及开标结果提出质疑。</w:t>
      </w:r>
    </w:p>
    <w:p w14:paraId="04949144">
      <w:pPr>
        <w:keepNext w:val="0"/>
        <w:keepLines w:val="0"/>
        <w:pageBreakBefore w:val="0"/>
        <w:kinsoku/>
        <w:overflowPunct/>
        <w:topLinePunct w:val="0"/>
        <w:bidi w:val="0"/>
        <w:snapToGrid w:val="0"/>
        <w:spacing w:line="400" w:lineRule="exact"/>
        <w:ind w:firstLine="480" w:firstLineChars="200"/>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投标人可以在投标截止时间前将电子备份投标文件（经政采云电子交易客户端和CA驱动制作出的加密电子备份投标文件）发送至邮箱：</w:t>
      </w:r>
      <w:r>
        <w:rPr>
          <w:rFonts w:hint="eastAsia" w:ascii="宋体" w:hAnsi="宋体" w:cs="宋体"/>
          <w:b w:val="0"/>
          <w:bCs w:val="0"/>
          <w:sz w:val="24"/>
          <w:highlight w:val="none"/>
          <w:lang w:eastAsia="zh-CN"/>
        </w:rPr>
        <w:t>3611630580</w:t>
      </w:r>
      <w:r>
        <w:rPr>
          <w:rFonts w:hint="eastAsia" w:ascii="宋体" w:hAnsi="宋体" w:cs="宋体"/>
          <w:b w:val="0"/>
          <w:bCs w:val="0"/>
          <w:sz w:val="24"/>
          <w:highlight w:val="none"/>
        </w:rPr>
        <w:t>@qq.com，逾期发送或发错的备份投标文件将被视为无效；还可以（EMS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电子备份投标文件的提交不作强制要求。</w:t>
      </w:r>
    </w:p>
    <w:p w14:paraId="37BB015D">
      <w:pPr>
        <w:keepNext w:val="0"/>
        <w:keepLines w:val="0"/>
        <w:pageBreakBefore w:val="0"/>
        <w:kinsoku/>
        <w:overflowPunct/>
        <w:topLinePunct w:val="0"/>
        <w:bidi w:val="0"/>
        <w:spacing w:line="40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采购项目需要落实的政府采购政策：</w:t>
      </w:r>
    </w:p>
    <w:p w14:paraId="25ADD9A7">
      <w:pPr>
        <w:keepNext w:val="0"/>
        <w:keepLines w:val="0"/>
        <w:pageBreakBefore w:val="0"/>
        <w:kinsoku/>
        <w:overflowPunct/>
        <w:topLinePunct w:val="0"/>
        <w:bidi w:val="0"/>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依据《</w:t>
      </w:r>
      <w:r>
        <w:rPr>
          <w:rFonts w:hint="eastAsia" w:ascii="宋体" w:hAnsi="宋体" w:cs="宋体"/>
          <w:sz w:val="24"/>
          <w:highlight w:val="none"/>
          <w:lang w:eastAsia="zh-CN"/>
        </w:rPr>
        <w:t>关于印发〈</w:t>
      </w:r>
      <w:r>
        <w:rPr>
          <w:rFonts w:hint="eastAsia" w:ascii="宋体" w:hAnsi="宋体" w:cs="宋体"/>
          <w:sz w:val="24"/>
          <w:highlight w:val="none"/>
        </w:rPr>
        <w:t>政府采购促进中小企业发展管理办法</w:t>
      </w:r>
      <w:r>
        <w:rPr>
          <w:rFonts w:hint="eastAsia" w:ascii="宋体" w:hAnsi="宋体" w:cs="宋体"/>
          <w:sz w:val="24"/>
          <w:highlight w:val="none"/>
          <w:lang w:eastAsia="zh-CN"/>
        </w:rPr>
        <w:t>〉的通知》（</w:t>
      </w:r>
      <w:r>
        <w:rPr>
          <w:rFonts w:hint="eastAsia" w:ascii="宋体" w:hAnsi="宋体" w:cs="宋体"/>
          <w:sz w:val="24"/>
          <w:highlight w:val="none"/>
        </w:rPr>
        <w:t>财库〔2020〕46号</w:t>
      </w:r>
      <w:r>
        <w:rPr>
          <w:rFonts w:hint="eastAsia" w:ascii="宋体" w:hAnsi="宋体" w:cs="宋体"/>
          <w:sz w:val="24"/>
          <w:highlight w:val="none"/>
          <w:lang w:eastAsia="zh-CN"/>
        </w:rPr>
        <w:t>）</w:t>
      </w:r>
      <w:r>
        <w:rPr>
          <w:rFonts w:hint="eastAsia" w:ascii="宋体" w:hAnsi="宋体" w:cs="宋体"/>
          <w:sz w:val="24"/>
          <w:highlight w:val="none"/>
        </w:rPr>
        <w:t>、《财政部、司法部关于政府采购支持监狱企业发展有关问题的通知》（财库〔2014〕68号）文件及《财政部、民政部、中国残疾人联合会关于促进残疾人就业政府采购政策的通知》（财库</w:t>
      </w:r>
      <w:r>
        <w:rPr>
          <w:rFonts w:hint="eastAsia" w:ascii="宋体" w:hAnsi="宋体" w:cs="宋体"/>
          <w:sz w:val="24"/>
          <w:highlight w:val="none"/>
          <w:lang w:eastAsia="zh-CN"/>
        </w:rPr>
        <w:t>〔2017〕141号</w:t>
      </w:r>
      <w:r>
        <w:rPr>
          <w:rFonts w:hint="eastAsia" w:ascii="宋体" w:hAnsi="宋体" w:cs="宋体"/>
          <w:sz w:val="24"/>
          <w:highlight w:val="none"/>
        </w:rPr>
        <w:t>）文件、《财政部关于进一步加大政府采购支持中小企业力度的通知》财库〔2022〕19号的规定，对小型和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hint="eastAsia" w:ascii="宋体" w:hAnsi="宋体" w:cs="宋体"/>
          <w:sz w:val="24"/>
          <w:highlight w:val="none"/>
          <w:lang w:eastAsia="zh-CN"/>
        </w:rPr>
        <w:t>～</w:t>
      </w:r>
      <w:r>
        <w:rPr>
          <w:rFonts w:hint="eastAsia" w:ascii="宋体" w:hAnsi="宋体" w:cs="宋体"/>
          <w:sz w:val="24"/>
          <w:highlight w:val="none"/>
        </w:rPr>
        <w:t>6%的扣除</w:t>
      </w:r>
      <w:r>
        <w:rPr>
          <w:rFonts w:hint="eastAsia" w:ascii="宋体" w:hAnsi="宋体" w:cs="宋体"/>
          <w:sz w:val="24"/>
          <w:highlight w:val="none"/>
          <w:lang w:eastAsia="zh-CN"/>
        </w:rPr>
        <w:t>，使</w:t>
      </w:r>
      <w:r>
        <w:rPr>
          <w:rFonts w:hint="eastAsia" w:ascii="宋体" w:hAnsi="宋体" w:cs="宋体"/>
          <w:sz w:val="24"/>
          <w:highlight w:val="none"/>
        </w:rPr>
        <w:t>用扣除后的价格参与评审。小型和微型企业是指投标文件中提供了中小企业声明函且符合《</w:t>
      </w:r>
      <w:r>
        <w:rPr>
          <w:rFonts w:hint="eastAsia" w:ascii="宋体" w:hAnsi="宋体" w:cs="宋体"/>
          <w:sz w:val="24"/>
          <w:highlight w:val="none"/>
          <w:lang w:eastAsia="zh-CN"/>
        </w:rPr>
        <w:t>关于印发〈</w:t>
      </w:r>
      <w:r>
        <w:rPr>
          <w:rFonts w:hint="eastAsia" w:ascii="宋体" w:hAnsi="宋体" w:cs="宋体"/>
          <w:sz w:val="24"/>
          <w:highlight w:val="none"/>
        </w:rPr>
        <w:t>政府采购促进中小企业发展管理办法</w:t>
      </w:r>
      <w:r>
        <w:rPr>
          <w:rFonts w:hint="eastAsia" w:ascii="宋体" w:hAnsi="宋体" w:cs="宋体"/>
          <w:sz w:val="24"/>
          <w:highlight w:val="none"/>
          <w:lang w:eastAsia="zh-CN"/>
        </w:rPr>
        <w:t>〉的通知》（</w:t>
      </w:r>
      <w:r>
        <w:rPr>
          <w:rFonts w:hint="eastAsia" w:ascii="宋体" w:hAnsi="宋体" w:cs="宋体"/>
          <w:sz w:val="24"/>
          <w:highlight w:val="none"/>
        </w:rPr>
        <w:t>财库〔2020〕46号</w:t>
      </w:r>
      <w:r>
        <w:rPr>
          <w:rFonts w:hint="eastAsia" w:ascii="宋体" w:hAnsi="宋体" w:cs="宋体"/>
          <w:sz w:val="24"/>
          <w:highlight w:val="none"/>
          <w:lang w:eastAsia="zh-CN"/>
        </w:rPr>
        <w:t>）</w:t>
      </w:r>
      <w:r>
        <w:rPr>
          <w:rFonts w:hint="eastAsia" w:ascii="宋体" w:hAnsi="宋体" w:cs="宋体"/>
          <w:sz w:val="24"/>
          <w:highlight w:val="none"/>
        </w:rPr>
        <w:t>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w:t>
      </w:r>
      <w:r>
        <w:rPr>
          <w:rFonts w:hint="eastAsia" w:ascii="宋体" w:hAnsi="宋体" w:cs="宋体"/>
          <w:sz w:val="24"/>
          <w:highlight w:val="none"/>
          <w:lang w:eastAsia="zh-CN"/>
        </w:rPr>
        <w:t>〔2017〕141号</w:t>
      </w:r>
      <w:r>
        <w:rPr>
          <w:rFonts w:hint="eastAsia" w:ascii="宋体" w:hAnsi="宋体" w:cs="宋体"/>
          <w:sz w:val="24"/>
          <w:highlight w:val="none"/>
        </w:rPr>
        <w:t>）规定的企业。监狱企业是指投标文件中提供了由省级以上监狱管理局、戒毒管理局（含新疆生产建设兵团）出具的属于监狱企业的证明文件的企业。</w:t>
      </w:r>
    </w:p>
    <w:p w14:paraId="1C3976D8">
      <w:pPr>
        <w:keepNext w:val="0"/>
        <w:keepLines w:val="0"/>
        <w:pageBreakBefore w:val="0"/>
        <w:kinsoku/>
        <w:overflowPunct/>
        <w:topLinePunct w:val="0"/>
        <w:bidi w:val="0"/>
        <w:spacing w:line="400" w:lineRule="exact"/>
        <w:ind w:firstLine="480" w:firstLineChars="200"/>
        <w:textAlignment w:val="auto"/>
        <w:rPr>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2</w:t>
      </w:r>
      <w:r>
        <w:rPr>
          <w:rFonts w:hint="eastAsia" w:ascii="宋体" w:hAnsi="宋体"/>
          <w:color w:val="000000"/>
          <w:sz w:val="24"/>
          <w:highlight w:val="none"/>
        </w:rPr>
        <w:t>）根据《浙江省财政厅关于规范政府采购供应商资格设定及资格审查的通知》（浙财采监</w:t>
      </w:r>
      <w:r>
        <w:rPr>
          <w:rFonts w:hint="eastAsia" w:ascii="宋体" w:hAnsi="宋体"/>
          <w:color w:val="000000"/>
          <w:sz w:val="24"/>
          <w:highlight w:val="none"/>
          <w:lang w:eastAsia="zh-CN"/>
        </w:rPr>
        <w:t>〔2013〕24号</w:t>
      </w:r>
      <w:r>
        <w:rPr>
          <w:rFonts w:hint="eastAsia" w:ascii="宋体" w:hAnsi="宋体"/>
          <w:color w:val="000000"/>
          <w:sz w:val="24"/>
          <w:highlight w:val="none"/>
        </w:rPr>
        <w:t>）</w:t>
      </w:r>
      <w:r>
        <w:rPr>
          <w:rFonts w:hint="eastAsia" w:ascii="宋体" w:hAnsi="宋体"/>
          <w:color w:val="000000"/>
          <w:sz w:val="24"/>
          <w:highlight w:val="none"/>
          <w:lang w:eastAsia="zh-CN"/>
        </w:rPr>
        <w:t>第六条规定</w:t>
      </w:r>
      <w:r>
        <w:rPr>
          <w:rFonts w:hint="eastAsia" w:ascii="宋体" w:hAnsi="宋体"/>
          <w:color w:val="000000"/>
          <w:sz w:val="24"/>
          <w:highlight w:val="none"/>
        </w:rPr>
        <w:t>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5FD033A7">
      <w:pPr>
        <w:keepNext w:val="0"/>
        <w:keepLines w:val="0"/>
        <w:pageBreakBefore w:val="0"/>
        <w:kinsoku/>
        <w:wordWrap w:val="0"/>
        <w:topLinePunct w:val="0"/>
        <w:bidi w:val="0"/>
        <w:snapToGrid w:val="0"/>
        <w:spacing w:line="400" w:lineRule="exact"/>
        <w:ind w:firstLine="482" w:firstLineChars="200"/>
        <w:rPr>
          <w:rFonts w:ascii="宋体" w:hAnsi="宋体" w:cs="宋体"/>
          <w:b/>
          <w:sz w:val="24"/>
          <w:highlight w:val="none"/>
        </w:rPr>
      </w:pPr>
      <w:r>
        <w:rPr>
          <w:rFonts w:hint="eastAsia" w:ascii="宋体" w:hAnsi="宋体" w:cs="宋体"/>
          <w:b/>
          <w:sz w:val="24"/>
          <w:highlight w:val="none"/>
          <w:lang w:val="en-US" w:eastAsia="zh-CN"/>
        </w:rPr>
        <w:t>九</w:t>
      </w:r>
      <w:r>
        <w:rPr>
          <w:rFonts w:hint="eastAsia" w:ascii="宋体" w:hAnsi="宋体" w:cs="宋体"/>
          <w:b/>
          <w:sz w:val="24"/>
          <w:highlight w:val="none"/>
        </w:rPr>
        <w:t>、对本次招标提出询问，请按以下方式联系：</w:t>
      </w:r>
      <w:bookmarkEnd w:id="0"/>
    </w:p>
    <w:p w14:paraId="397A14DF">
      <w:pPr>
        <w:keepNext w:val="0"/>
        <w:keepLines w:val="0"/>
        <w:pageBreakBefore w:val="0"/>
        <w:tabs>
          <w:tab w:val="right" w:pos="8849"/>
        </w:tabs>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1.采购人信息</w:t>
      </w:r>
    </w:p>
    <w:p w14:paraId="1E3A6075">
      <w:pPr>
        <w:keepNext w:val="0"/>
        <w:keepLines w:val="0"/>
        <w:pageBreakBefore w:val="0"/>
        <w:tabs>
          <w:tab w:val="right" w:pos="8849"/>
        </w:tabs>
        <w:kinsoku/>
        <w:topLinePunct w:val="0"/>
        <w:bidi w:val="0"/>
        <w:spacing w:line="400" w:lineRule="exact"/>
        <w:ind w:firstLine="480" w:firstLineChars="200"/>
        <w:rPr>
          <w:rFonts w:ascii="宋体" w:hAnsi="宋体"/>
          <w:sz w:val="24"/>
          <w:highlight w:val="none"/>
        </w:rPr>
      </w:pPr>
      <w:r>
        <w:rPr>
          <w:rFonts w:hint="eastAsia" w:ascii="宋体" w:hAnsi="宋体"/>
          <w:sz w:val="24"/>
          <w:highlight w:val="none"/>
        </w:rPr>
        <w:t>名称：</w:t>
      </w:r>
      <w:r>
        <w:rPr>
          <w:rFonts w:hint="eastAsia" w:ascii="宋体" w:hAnsi="宋体"/>
          <w:sz w:val="24"/>
          <w:highlight w:val="none"/>
          <w:lang w:eastAsia="zh-CN"/>
        </w:rPr>
        <w:t>衢江区卫生健康局</w:t>
      </w:r>
      <w:r>
        <w:rPr>
          <w:rFonts w:hint="eastAsia" w:ascii="宋体" w:hAnsi="宋体"/>
          <w:sz w:val="24"/>
          <w:highlight w:val="none"/>
        </w:rPr>
        <w:t xml:space="preserve">      </w:t>
      </w:r>
    </w:p>
    <w:p w14:paraId="636B951E">
      <w:pPr>
        <w:keepNext w:val="0"/>
        <w:keepLines w:val="0"/>
        <w:pageBreakBefore w:val="0"/>
        <w:tabs>
          <w:tab w:val="right" w:pos="8849"/>
        </w:tabs>
        <w:kinsoku/>
        <w:topLinePunct w:val="0"/>
        <w:bidi w:val="0"/>
        <w:spacing w:line="400" w:lineRule="exact"/>
        <w:ind w:firstLine="480" w:firstLineChars="200"/>
        <w:rPr>
          <w:rFonts w:ascii="宋体" w:hAnsi="宋体"/>
          <w:sz w:val="24"/>
          <w:highlight w:val="none"/>
        </w:rPr>
      </w:pPr>
      <w:r>
        <w:rPr>
          <w:rFonts w:hint="eastAsia" w:ascii="宋体" w:hAnsi="宋体" w:eastAsia="宋体" w:cs="Times New Roman"/>
          <w:sz w:val="24"/>
          <w:highlight w:val="none"/>
          <w:lang w:eastAsia="zh-CN"/>
        </w:rPr>
        <w:t>联系人：</w:t>
      </w:r>
      <w:r>
        <w:rPr>
          <w:rFonts w:hint="eastAsia" w:ascii="宋体" w:hAnsi="宋体" w:eastAsia="宋体" w:cs="Times New Roman"/>
          <w:sz w:val="24"/>
          <w:highlight w:val="none"/>
          <w:lang w:val="en-US" w:eastAsia="zh-CN"/>
        </w:rPr>
        <w:t>朱先生</w:t>
      </w:r>
      <w:r>
        <w:rPr>
          <w:rFonts w:hint="eastAsia" w:ascii="宋体" w:hAnsi="宋体" w:eastAsia="宋体" w:cs="Times New Roman"/>
          <w:sz w:val="24"/>
          <w:highlight w:val="none"/>
          <w:lang w:eastAsia="zh-CN"/>
        </w:rPr>
        <w:t xml:space="preserve"> </w:t>
      </w:r>
      <w:r>
        <w:rPr>
          <w:rFonts w:hint="eastAsia" w:ascii="宋体" w:hAnsi="宋体"/>
          <w:sz w:val="24"/>
          <w:highlight w:val="none"/>
        </w:rPr>
        <w:t xml:space="preserve">      </w:t>
      </w:r>
    </w:p>
    <w:p w14:paraId="252B082E">
      <w:pPr>
        <w:keepNext w:val="0"/>
        <w:keepLines w:val="0"/>
        <w:pageBreakBefore w:val="0"/>
        <w:tabs>
          <w:tab w:val="right" w:pos="8849"/>
        </w:tabs>
        <w:kinsoku/>
        <w:topLinePunct w:val="0"/>
        <w:bidi w:val="0"/>
        <w:spacing w:line="400" w:lineRule="exact"/>
        <w:ind w:firstLine="480" w:firstLineChars="200"/>
        <w:rPr>
          <w:rFonts w:hint="eastAsia" w:ascii="宋体" w:hAnsi="宋体" w:eastAsia="宋体"/>
          <w:sz w:val="24"/>
          <w:highlight w:val="none"/>
          <w:lang w:eastAsia="zh-CN"/>
        </w:rPr>
      </w:pPr>
      <w:r>
        <w:rPr>
          <w:rFonts w:hint="eastAsia" w:ascii="宋体" w:hAnsi="宋体"/>
          <w:sz w:val="24"/>
          <w:highlight w:val="none"/>
        </w:rPr>
        <w:t>联系电话：15067018128</w:t>
      </w:r>
    </w:p>
    <w:p w14:paraId="41BA0800">
      <w:pPr>
        <w:keepNext w:val="0"/>
        <w:keepLines w:val="0"/>
        <w:pageBreakBefore w:val="0"/>
        <w:tabs>
          <w:tab w:val="right" w:pos="8849"/>
        </w:tabs>
        <w:kinsoku/>
        <w:topLinePunct w:val="0"/>
        <w:bidi w:val="0"/>
        <w:spacing w:line="400" w:lineRule="exact"/>
        <w:ind w:firstLine="480" w:firstLineChars="200"/>
        <w:rPr>
          <w:rFonts w:ascii="宋体" w:hAnsi="宋体"/>
          <w:sz w:val="24"/>
          <w:highlight w:val="none"/>
        </w:rPr>
      </w:pPr>
      <w:r>
        <w:rPr>
          <w:rFonts w:hint="eastAsia" w:ascii="宋体" w:hAnsi="宋体"/>
          <w:sz w:val="24"/>
          <w:highlight w:val="none"/>
        </w:rPr>
        <w:t>联系地址：衢州市衢江区府前路6号</w:t>
      </w:r>
    </w:p>
    <w:p w14:paraId="74CAF14B">
      <w:pPr>
        <w:keepNext w:val="0"/>
        <w:keepLines w:val="0"/>
        <w:pageBreakBefore w:val="0"/>
        <w:tabs>
          <w:tab w:val="right" w:pos="8849"/>
        </w:tabs>
        <w:kinsoku/>
        <w:topLinePunct w:val="0"/>
        <w:bidi w:val="0"/>
        <w:spacing w:line="400" w:lineRule="exact"/>
        <w:ind w:firstLine="480" w:firstLineChars="200"/>
        <w:rPr>
          <w:rFonts w:ascii="宋体" w:hAnsi="宋体"/>
          <w:sz w:val="24"/>
          <w:highlight w:val="none"/>
        </w:rPr>
      </w:pPr>
      <w:r>
        <w:rPr>
          <w:rFonts w:hint="eastAsia" w:ascii="宋体" w:hAnsi="宋体"/>
          <w:sz w:val="24"/>
          <w:highlight w:val="none"/>
        </w:rPr>
        <w:t>质疑联系人：</w:t>
      </w:r>
      <w:r>
        <w:rPr>
          <w:rFonts w:hint="eastAsia" w:ascii="宋体" w:hAnsi="宋体"/>
          <w:sz w:val="24"/>
          <w:highlight w:val="none"/>
          <w:lang w:val="en-US" w:eastAsia="zh-CN"/>
        </w:rPr>
        <w:t>刘女士</w:t>
      </w:r>
      <w:r>
        <w:rPr>
          <w:rFonts w:hint="eastAsia" w:ascii="宋体" w:hAnsi="宋体"/>
          <w:sz w:val="24"/>
          <w:highlight w:val="none"/>
        </w:rPr>
        <w:t xml:space="preserve">           </w:t>
      </w:r>
    </w:p>
    <w:p w14:paraId="7BE29FDE">
      <w:pPr>
        <w:keepNext w:val="0"/>
        <w:keepLines w:val="0"/>
        <w:pageBreakBefore w:val="0"/>
        <w:tabs>
          <w:tab w:val="right" w:pos="8849"/>
        </w:tabs>
        <w:kinsoku/>
        <w:topLinePunct w:val="0"/>
        <w:bidi w:val="0"/>
        <w:spacing w:line="400" w:lineRule="exact"/>
        <w:ind w:firstLine="480" w:firstLineChars="200"/>
        <w:rPr>
          <w:highlight w:val="none"/>
        </w:rPr>
      </w:pPr>
      <w:r>
        <w:rPr>
          <w:rFonts w:hint="eastAsia" w:ascii="宋体" w:hAnsi="宋体"/>
          <w:sz w:val="24"/>
          <w:highlight w:val="none"/>
        </w:rPr>
        <w:t>联系电话：</w:t>
      </w:r>
      <w:r>
        <w:rPr>
          <w:rFonts w:hint="eastAsia" w:ascii="宋体" w:hAnsi="宋体"/>
          <w:sz w:val="24"/>
          <w:highlight w:val="none"/>
          <w:lang w:eastAsia="zh-CN"/>
        </w:rPr>
        <w:t>0570-3838012</w:t>
      </w:r>
    </w:p>
    <w:p w14:paraId="7B7D6BC5">
      <w:pPr>
        <w:keepNext w:val="0"/>
        <w:keepLines w:val="0"/>
        <w:pageBreakBefore w:val="0"/>
        <w:tabs>
          <w:tab w:val="right" w:pos="8849"/>
        </w:tabs>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2.采购代理机构信息</w:t>
      </w:r>
    </w:p>
    <w:p w14:paraId="6EEE9EEA">
      <w:pPr>
        <w:keepNext w:val="0"/>
        <w:keepLines w:val="0"/>
        <w:pageBreakBefore w:val="0"/>
        <w:tabs>
          <w:tab w:val="right" w:pos="8849"/>
        </w:tabs>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名称：浙江五石中正工程咨询有限公司衢州分公司   </w:t>
      </w:r>
    </w:p>
    <w:p w14:paraId="16A86B29">
      <w:pPr>
        <w:keepNext w:val="0"/>
        <w:keepLines w:val="0"/>
        <w:pageBreakBefore w:val="0"/>
        <w:tabs>
          <w:tab w:val="right" w:pos="8849"/>
        </w:tabs>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联系地址：衢州市柯城区浮石路金河湾小区西门22栋1楼07室</w:t>
      </w:r>
    </w:p>
    <w:p w14:paraId="267BD74F">
      <w:pPr>
        <w:keepNext w:val="0"/>
        <w:keepLines w:val="0"/>
        <w:pageBreakBefore w:val="0"/>
        <w:tabs>
          <w:tab w:val="right" w:pos="8849"/>
        </w:tabs>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val="en-US" w:eastAsia="zh-CN"/>
        </w:rPr>
        <w:t>郑</w:t>
      </w:r>
      <w:r>
        <w:rPr>
          <w:rFonts w:hint="eastAsia" w:ascii="宋体" w:hAnsi="宋体" w:cs="宋体"/>
          <w:sz w:val="24"/>
          <w:highlight w:val="none"/>
        </w:rPr>
        <w:t xml:space="preserve">女士           </w:t>
      </w:r>
    </w:p>
    <w:p w14:paraId="174D131E">
      <w:pPr>
        <w:keepNext w:val="0"/>
        <w:keepLines w:val="0"/>
        <w:pageBreakBefore w:val="0"/>
        <w:tabs>
          <w:tab w:val="right" w:pos="8849"/>
        </w:tabs>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联系电话：0570-3085566</w:t>
      </w:r>
    </w:p>
    <w:p w14:paraId="4D49FB6C">
      <w:pPr>
        <w:keepNext w:val="0"/>
        <w:keepLines w:val="0"/>
        <w:pageBreakBefore w:val="0"/>
        <w:tabs>
          <w:tab w:val="right" w:pos="8849"/>
        </w:tabs>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质疑联系人：陈女士          </w:t>
      </w:r>
    </w:p>
    <w:p w14:paraId="5571BCA9">
      <w:pPr>
        <w:keepNext w:val="0"/>
        <w:keepLines w:val="0"/>
        <w:pageBreakBefore w:val="0"/>
        <w:tabs>
          <w:tab w:val="right" w:pos="8849"/>
        </w:tabs>
        <w:kinsoku/>
        <w:topLinePunct w:val="0"/>
        <w:bidi w:val="0"/>
        <w:spacing w:line="400" w:lineRule="exact"/>
        <w:ind w:firstLine="480" w:firstLineChars="200"/>
        <w:rPr>
          <w:highlight w:val="none"/>
        </w:rPr>
      </w:pPr>
      <w:r>
        <w:rPr>
          <w:rFonts w:hint="eastAsia" w:ascii="宋体" w:hAnsi="宋体" w:cs="宋体"/>
          <w:sz w:val="24"/>
          <w:highlight w:val="none"/>
        </w:rPr>
        <w:t>联系电话：18905703552</w:t>
      </w:r>
    </w:p>
    <w:p w14:paraId="50A9D619">
      <w:pPr>
        <w:keepNext w:val="0"/>
        <w:keepLines w:val="0"/>
        <w:pageBreakBefore w:val="0"/>
        <w:tabs>
          <w:tab w:val="right" w:pos="8849"/>
        </w:tabs>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3.政府采购行政监管及投诉受理部门：</w:t>
      </w:r>
    </w:p>
    <w:p w14:paraId="6CFC40CC">
      <w:pPr>
        <w:keepNext w:val="0"/>
        <w:keepLines w:val="0"/>
        <w:pageBreakBefore w:val="0"/>
        <w:tabs>
          <w:tab w:val="right" w:pos="8849"/>
        </w:tabs>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监管办公室：衢州市衢江区政府采购监督管理办公室</w:t>
      </w:r>
    </w:p>
    <w:p w14:paraId="0A6557A6">
      <w:pPr>
        <w:keepNext w:val="0"/>
        <w:keepLines w:val="0"/>
        <w:pageBreakBefore w:val="0"/>
        <w:tabs>
          <w:tab w:val="right" w:pos="8849"/>
        </w:tabs>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联系人：杨女士</w:t>
      </w:r>
    </w:p>
    <w:p w14:paraId="69DE6306">
      <w:pPr>
        <w:keepNext w:val="0"/>
        <w:keepLines w:val="0"/>
        <w:pageBreakBefore w:val="0"/>
        <w:tabs>
          <w:tab w:val="right" w:pos="8849"/>
        </w:tabs>
        <w:kinsoku/>
        <w:topLinePunct w:val="0"/>
        <w:bidi w:val="0"/>
        <w:spacing w:line="400" w:lineRule="exact"/>
        <w:ind w:firstLine="480" w:firstLineChars="200"/>
        <w:rPr>
          <w:highlight w:val="none"/>
        </w:rPr>
      </w:pPr>
      <w:r>
        <w:rPr>
          <w:rFonts w:hint="eastAsia" w:ascii="宋体" w:hAnsi="宋体" w:cs="宋体"/>
          <w:sz w:val="24"/>
          <w:highlight w:val="none"/>
        </w:rPr>
        <w:t>联系电话</w:t>
      </w:r>
      <w:r>
        <w:rPr>
          <w:rFonts w:hint="eastAsia" w:ascii="宋体" w:hAnsi="宋体" w:cs="宋体"/>
          <w:sz w:val="24"/>
          <w:highlight w:val="none"/>
          <w:lang w:eastAsia="zh-CN"/>
        </w:rPr>
        <w:t>：</w:t>
      </w:r>
      <w:r>
        <w:rPr>
          <w:rFonts w:hint="eastAsia" w:ascii="宋体" w:hAnsi="宋体" w:cs="宋体"/>
          <w:sz w:val="24"/>
          <w:highlight w:val="none"/>
        </w:rPr>
        <w:t>0570-8762708</w:t>
      </w:r>
    </w:p>
    <w:p w14:paraId="00FFE261">
      <w:pPr>
        <w:keepNext w:val="0"/>
        <w:keepLines w:val="0"/>
        <w:pageBreakBefore w:val="0"/>
        <w:tabs>
          <w:tab w:val="right" w:pos="8849"/>
        </w:tabs>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4.系统技术支持：政采云有限公司     </w:t>
      </w:r>
    </w:p>
    <w:p w14:paraId="598B4E6E">
      <w:pPr>
        <w:keepNext w:val="0"/>
        <w:keepLines w:val="0"/>
        <w:pageBreakBefore w:val="0"/>
        <w:tabs>
          <w:tab w:val="right" w:pos="8849"/>
        </w:tabs>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联系人：客服   </w:t>
      </w:r>
    </w:p>
    <w:p w14:paraId="1FB7C456">
      <w:pPr>
        <w:keepNext w:val="0"/>
        <w:keepLines w:val="0"/>
        <w:pageBreakBefore w:val="0"/>
        <w:tabs>
          <w:tab w:val="right" w:pos="8849"/>
        </w:tabs>
        <w:kinsoku/>
        <w:topLinePunct w:val="0"/>
        <w:bidi w:val="0"/>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联系电话：95763</w:t>
      </w:r>
    </w:p>
    <w:p w14:paraId="62C16F80">
      <w:pPr>
        <w:pStyle w:val="26"/>
        <w:keepNext w:val="0"/>
        <w:keepLines w:val="0"/>
        <w:pageBreakBefore w:val="0"/>
        <w:kinsoku/>
        <w:topLinePunct w:val="0"/>
        <w:bidi w:val="0"/>
        <w:spacing w:line="400" w:lineRule="exact"/>
        <w:ind w:firstLine="482" w:firstLineChars="200"/>
        <w:rPr>
          <w:rFonts w:hint="eastAsia" w:ascii="宋体" w:hAnsi="宋体" w:cs="宋体"/>
          <w:sz w:val="24"/>
          <w:highlight w:val="none"/>
        </w:rPr>
      </w:pPr>
    </w:p>
    <w:p w14:paraId="2DE7706D">
      <w:pPr>
        <w:keepNext w:val="0"/>
        <w:keepLines w:val="0"/>
        <w:pageBreakBefore w:val="0"/>
        <w:tabs>
          <w:tab w:val="right" w:pos="8849"/>
        </w:tabs>
        <w:kinsoku/>
        <w:topLinePunct w:val="0"/>
        <w:bidi w:val="0"/>
        <w:spacing w:line="400" w:lineRule="exact"/>
        <w:ind w:firstLine="480" w:firstLineChars="200"/>
        <w:rPr>
          <w:rFonts w:hint="eastAsia"/>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7156ACA0">
      <w:pPr>
        <w:pStyle w:val="26"/>
        <w:keepNext w:val="0"/>
        <w:keepLines w:val="0"/>
        <w:pageBreakBefore w:val="0"/>
        <w:kinsoku/>
        <w:topLinePunct w:val="0"/>
        <w:bidi w:val="0"/>
        <w:spacing w:line="400" w:lineRule="exact"/>
        <w:ind w:firstLine="482" w:firstLineChars="200"/>
        <w:rPr>
          <w:rFonts w:hint="eastAsia" w:ascii="宋体" w:hAnsi="宋体" w:cs="宋体"/>
          <w:sz w:val="24"/>
          <w:highlight w:val="none"/>
        </w:rPr>
      </w:pPr>
    </w:p>
    <w:p w14:paraId="51CE3F75">
      <w:pPr>
        <w:keepNext w:val="0"/>
        <w:keepLines w:val="0"/>
        <w:pageBreakBefore w:val="0"/>
        <w:tabs>
          <w:tab w:val="right" w:pos="8849"/>
        </w:tabs>
        <w:kinsoku/>
        <w:topLinePunct w:val="0"/>
        <w:bidi w:val="0"/>
        <w:spacing w:line="400" w:lineRule="exact"/>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CA问题联系电话（人工）：汇信CA 400-888-4636；天谷CA 400-087-8198。</w:t>
      </w:r>
    </w:p>
    <w:p w14:paraId="7B7A7935">
      <w:pPr>
        <w:rPr>
          <w:rFonts w:hint="eastAsia" w:ascii="宋体" w:hAnsi="宋体" w:cs="宋体"/>
          <w:sz w:val="24"/>
          <w:highlight w:val="none"/>
        </w:rPr>
      </w:pPr>
    </w:p>
    <w:p w14:paraId="2BE41FCC">
      <w:pPr>
        <w:pStyle w:val="26"/>
        <w:rPr>
          <w:highlight w:val="none"/>
        </w:rPr>
      </w:pPr>
    </w:p>
    <w:p w14:paraId="0240933D">
      <w:pPr>
        <w:keepNext w:val="0"/>
        <w:keepLines w:val="0"/>
        <w:pageBreakBefore w:val="0"/>
        <w:widowControl w:val="0"/>
        <w:kinsoku/>
        <w:wordWrap/>
        <w:overflowPunct/>
        <w:topLinePunct w:val="0"/>
        <w:autoSpaceDE/>
        <w:autoSpaceDN/>
        <w:bidi w:val="0"/>
        <w:adjustRightInd/>
        <w:snapToGrid w:val="0"/>
        <w:spacing w:line="400" w:lineRule="exact"/>
        <w:ind w:firstLine="5520" w:firstLineChars="2300"/>
        <w:textAlignment w:val="auto"/>
        <w:rPr>
          <w:rFonts w:ascii="宋体" w:hAnsi="宋体"/>
          <w:sz w:val="24"/>
          <w:highlight w:val="none"/>
        </w:rPr>
      </w:pPr>
      <w:r>
        <w:rPr>
          <w:rFonts w:hint="eastAsia" w:ascii="宋体" w:hAnsi="宋体"/>
          <w:sz w:val="24"/>
          <w:highlight w:val="none"/>
          <w:lang w:eastAsia="zh-CN"/>
        </w:rPr>
        <w:t>衢江区卫生健康局</w:t>
      </w:r>
      <w:r>
        <w:rPr>
          <w:rFonts w:hint="eastAsia" w:ascii="宋体" w:hAnsi="宋体"/>
          <w:sz w:val="24"/>
          <w:highlight w:val="none"/>
        </w:rPr>
        <w:t xml:space="preserve"> </w:t>
      </w:r>
    </w:p>
    <w:p w14:paraId="12E61C1D">
      <w:pPr>
        <w:keepNext w:val="0"/>
        <w:keepLines w:val="0"/>
        <w:pageBreakBefore w:val="0"/>
        <w:widowControl w:val="0"/>
        <w:kinsoku/>
        <w:wordWrap/>
        <w:overflowPunct/>
        <w:topLinePunct w:val="0"/>
        <w:autoSpaceDE/>
        <w:autoSpaceDN/>
        <w:bidi w:val="0"/>
        <w:adjustRightInd/>
        <w:spacing w:line="400" w:lineRule="exact"/>
        <w:ind w:firstLine="4320" w:firstLineChars="1800"/>
        <w:textAlignment w:val="auto"/>
        <w:rPr>
          <w:rFonts w:hint="eastAsia" w:ascii="宋体" w:hAnsi="宋体" w:cs="宋体"/>
          <w:sz w:val="24"/>
          <w:highlight w:val="none"/>
        </w:rPr>
      </w:pPr>
      <w:r>
        <w:rPr>
          <w:rFonts w:hint="eastAsia" w:ascii="宋体" w:hAnsi="宋体" w:cs="宋体"/>
          <w:sz w:val="24"/>
          <w:highlight w:val="none"/>
        </w:rPr>
        <w:t>浙江五石中正工程咨询有限公司衢州分公司</w:t>
      </w:r>
    </w:p>
    <w:p w14:paraId="16879C32">
      <w:pPr>
        <w:keepNext w:val="0"/>
        <w:keepLines w:val="0"/>
        <w:pageBreakBefore w:val="0"/>
        <w:widowControl w:val="0"/>
        <w:kinsoku/>
        <w:wordWrap/>
        <w:overflowPunct/>
        <w:topLinePunct w:val="0"/>
        <w:autoSpaceDE/>
        <w:autoSpaceDN/>
        <w:bidi w:val="0"/>
        <w:adjustRightInd/>
        <w:spacing w:line="400" w:lineRule="exact"/>
        <w:ind w:firstLine="5520" w:firstLineChars="2300"/>
        <w:textAlignment w:val="auto"/>
        <w:rPr>
          <w:rFonts w:hint="eastAsia" w:hAnsi="宋体" w:cs="宋体"/>
          <w:b/>
          <w:bCs/>
          <w:sz w:val="32"/>
          <w:szCs w:val="32"/>
          <w:highlight w:val="none"/>
        </w:rPr>
      </w:pPr>
      <w:r>
        <w:rPr>
          <w:rFonts w:hint="eastAsia" w:ascii="宋体" w:hAnsi="宋体" w:eastAsia="宋体" w:cs="Times New Roman"/>
          <w:sz w:val="24"/>
          <w:highlight w:val="none"/>
          <w:lang w:eastAsia="zh-CN"/>
        </w:rPr>
        <w:t>202</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lang w:eastAsia="zh-CN"/>
        </w:rPr>
        <w:t>年</w:t>
      </w:r>
      <w:r>
        <w:rPr>
          <w:rFonts w:hint="eastAsia" w:ascii="宋体" w:hAnsi="宋体" w:cs="Times New Roman"/>
          <w:sz w:val="24"/>
          <w:highlight w:val="none"/>
          <w:lang w:val="en-US" w:eastAsia="zh-CN"/>
        </w:rPr>
        <w:t>7</w:t>
      </w:r>
      <w:r>
        <w:rPr>
          <w:rFonts w:hint="eastAsia" w:ascii="宋体" w:hAnsi="宋体" w:eastAsia="宋体" w:cs="Times New Roman"/>
          <w:sz w:val="24"/>
          <w:highlight w:val="none"/>
          <w:lang w:eastAsia="zh-CN"/>
        </w:rPr>
        <w:t>月</w:t>
      </w:r>
      <w:r>
        <w:rPr>
          <w:rFonts w:hint="eastAsia" w:ascii="宋体" w:hAnsi="宋体" w:cs="Times New Roman"/>
          <w:sz w:val="24"/>
          <w:highlight w:val="none"/>
          <w:lang w:val="en-US" w:eastAsia="zh-CN"/>
        </w:rPr>
        <w:t>4</w:t>
      </w:r>
      <w:r>
        <w:rPr>
          <w:rFonts w:hint="eastAsia" w:ascii="宋体" w:hAnsi="宋体" w:eastAsia="宋体" w:cs="Times New Roman"/>
          <w:sz w:val="24"/>
          <w:highlight w:val="none"/>
          <w:lang w:eastAsia="zh-CN"/>
        </w:rPr>
        <w:t>日</w:t>
      </w:r>
      <w:r>
        <w:rPr>
          <w:rFonts w:hint="eastAsia" w:hAnsi="宋体" w:cs="宋体"/>
          <w:b/>
          <w:bCs/>
          <w:sz w:val="32"/>
          <w:szCs w:val="32"/>
          <w:highlight w:val="none"/>
        </w:rPr>
        <w:br w:type="page"/>
      </w:r>
    </w:p>
    <w:p w14:paraId="448D6126">
      <w:pPr>
        <w:pStyle w:val="16"/>
        <w:snapToGrid w:val="0"/>
        <w:spacing w:before="120" w:after="120" w:line="336" w:lineRule="auto"/>
        <w:jc w:val="center"/>
        <w:outlineLvl w:val="0"/>
        <w:rPr>
          <w:rFonts w:hAnsi="宋体" w:cs="宋体"/>
          <w:b/>
          <w:bCs/>
          <w:sz w:val="28"/>
          <w:szCs w:val="32"/>
          <w:highlight w:val="none"/>
        </w:rPr>
      </w:pPr>
      <w:r>
        <w:rPr>
          <w:rFonts w:hint="eastAsia" w:hAnsi="宋体" w:cs="宋体"/>
          <w:b/>
          <w:bCs/>
          <w:sz w:val="32"/>
          <w:szCs w:val="32"/>
          <w:highlight w:val="none"/>
        </w:rPr>
        <w:t>第</w:t>
      </w:r>
      <w:r>
        <w:rPr>
          <w:rFonts w:hint="eastAsia" w:hAnsi="宋体" w:cs="宋体"/>
          <w:b/>
          <w:bCs/>
          <w:sz w:val="32"/>
          <w:szCs w:val="32"/>
          <w:highlight w:val="none"/>
          <w:lang w:val="en-US" w:eastAsia="zh-CN"/>
        </w:rPr>
        <w:t>二</w:t>
      </w:r>
      <w:r>
        <w:rPr>
          <w:rFonts w:hint="eastAsia" w:hAnsi="宋体" w:cs="宋体"/>
          <w:b/>
          <w:bCs/>
          <w:sz w:val="32"/>
          <w:szCs w:val="32"/>
          <w:highlight w:val="none"/>
        </w:rPr>
        <w:t>章  投标人须知</w:t>
      </w:r>
    </w:p>
    <w:p w14:paraId="6098A6CA">
      <w:pPr>
        <w:snapToGrid w:val="0"/>
        <w:spacing w:before="120" w:beforeLines="50" w:after="120" w:afterLines="50" w:line="360" w:lineRule="auto"/>
        <w:ind w:left="238"/>
        <w:jc w:val="center"/>
        <w:outlineLvl w:val="1"/>
        <w:rPr>
          <w:rFonts w:ascii="宋体" w:hAnsi="宋体" w:cs="宋体"/>
          <w:b/>
          <w:sz w:val="24"/>
          <w:highlight w:val="none"/>
        </w:rPr>
      </w:pPr>
      <w:r>
        <w:rPr>
          <w:rFonts w:hint="eastAsia" w:ascii="宋体" w:hAnsi="宋体" w:cs="宋体"/>
          <w:b/>
          <w:sz w:val="24"/>
          <w:highlight w:val="none"/>
        </w:rPr>
        <w:t>前附表</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598"/>
        <w:gridCol w:w="7232"/>
      </w:tblGrid>
      <w:tr w14:paraId="0CC00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82C865F">
            <w:pPr>
              <w:keepNext w:val="0"/>
              <w:keepLines w:val="0"/>
              <w:pageBreakBefore w:val="0"/>
              <w:kinsoku/>
              <w:wordWrap/>
              <w:overflowPunct/>
              <w:topLinePunct w:val="0"/>
              <w:bidi w:val="0"/>
              <w:snapToGrid w:val="0"/>
              <w:spacing w:line="360" w:lineRule="auto"/>
              <w:ind w:left="-105" w:leftChars="-50" w:right="-105" w:rightChars="-50"/>
              <w:jc w:val="center"/>
              <w:rPr>
                <w:rFonts w:ascii="宋体" w:hAnsi="宋体" w:cs="宋体"/>
                <w:sz w:val="24"/>
                <w:highlight w:val="none"/>
              </w:rPr>
            </w:pPr>
            <w:r>
              <w:rPr>
                <w:rFonts w:hint="eastAsia" w:ascii="宋体" w:hAnsi="宋体" w:cs="宋体"/>
                <w:sz w:val="24"/>
                <w:highlight w:val="none"/>
              </w:rPr>
              <w:t>序号</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5CB9352">
            <w:pPr>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内  容</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364C687A">
            <w:pPr>
              <w:keepNext w:val="0"/>
              <w:keepLines w:val="0"/>
              <w:pageBreakBefore w:val="0"/>
              <w:kinsoku/>
              <w:wordWrap/>
              <w:overflowPunct/>
              <w:topLinePunct w:val="0"/>
              <w:bidi w:val="0"/>
              <w:snapToGrid w:val="0"/>
              <w:spacing w:line="360" w:lineRule="auto"/>
              <w:jc w:val="center"/>
              <w:rPr>
                <w:rFonts w:ascii="宋体" w:hAnsi="宋体" w:cs="宋体"/>
                <w:sz w:val="24"/>
                <w:highlight w:val="none"/>
              </w:rPr>
            </w:pPr>
            <w:r>
              <w:rPr>
                <w:rFonts w:hint="eastAsia" w:ascii="宋体" w:hAnsi="宋体" w:cs="宋体"/>
                <w:sz w:val="24"/>
                <w:highlight w:val="none"/>
              </w:rPr>
              <w:t>内容、要求</w:t>
            </w:r>
          </w:p>
        </w:tc>
      </w:tr>
      <w:tr w14:paraId="2A0BB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CE1E8A6">
            <w:pPr>
              <w:keepNext w:val="0"/>
              <w:keepLines w:val="0"/>
              <w:pageBreakBefore w:val="0"/>
              <w:kinsoku/>
              <w:wordWrap/>
              <w:overflowPunct/>
              <w:topLinePunct w:val="0"/>
              <w:bidi w:val="0"/>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F9CC90E">
            <w:pPr>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项目属性</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1E5E1E80">
            <w:pPr>
              <w:keepNext w:val="0"/>
              <w:keepLines w:val="0"/>
              <w:pageBreakBefore w:val="0"/>
              <w:kinsoku/>
              <w:wordWrap/>
              <w:overflowPunct/>
              <w:topLinePunct w:val="0"/>
              <w:bidi w:val="0"/>
              <w:snapToGrid w:val="0"/>
              <w:spacing w:line="360" w:lineRule="auto"/>
              <w:jc w:val="both"/>
              <w:rPr>
                <w:rFonts w:ascii="宋体" w:hAnsi="宋体" w:cs="宋体"/>
                <w:sz w:val="24"/>
                <w:highlight w:val="none"/>
              </w:rPr>
            </w:pPr>
            <w:r>
              <w:rPr>
                <w:rFonts w:hint="eastAsia" w:ascii="宋体" w:hAnsi="宋体" w:cs="宋体"/>
                <w:sz w:val="24"/>
                <w:highlight w:val="none"/>
                <w:lang w:val="en-US" w:eastAsia="zh-CN"/>
              </w:rPr>
              <w:t>服务</w:t>
            </w:r>
            <w:r>
              <w:rPr>
                <w:rFonts w:hint="eastAsia" w:ascii="宋体" w:hAnsi="宋体" w:cs="宋体"/>
                <w:sz w:val="24"/>
                <w:highlight w:val="none"/>
              </w:rPr>
              <w:t>类</w:t>
            </w:r>
          </w:p>
        </w:tc>
      </w:tr>
      <w:tr w14:paraId="11FA3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F664905">
            <w:pPr>
              <w:keepNext w:val="0"/>
              <w:keepLines w:val="0"/>
              <w:pageBreakBefore w:val="0"/>
              <w:kinsoku/>
              <w:wordWrap/>
              <w:overflowPunct/>
              <w:topLinePunct w:val="0"/>
              <w:bidi w:val="0"/>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51B383A">
            <w:pPr>
              <w:spacing w:line="360" w:lineRule="auto"/>
              <w:ind w:left="1200" w:leftChars="0" w:hanging="1200" w:hangingChars="500"/>
              <w:jc w:val="center"/>
              <w:rPr>
                <w:rFonts w:hint="eastAsia" w:ascii="宋体" w:hAnsi="宋体" w:cs="宋体"/>
                <w:b w:val="0"/>
                <w:bCs w:val="0"/>
                <w:sz w:val="24"/>
                <w:highlight w:val="none"/>
              </w:rPr>
            </w:pPr>
            <w:r>
              <w:rPr>
                <w:rFonts w:hint="eastAsia" w:ascii="宋体" w:hAnsi="宋体" w:cs="宋体"/>
                <w:b w:val="0"/>
                <w:bCs w:val="0"/>
                <w:sz w:val="24"/>
                <w:highlight w:val="none"/>
              </w:rPr>
              <w:t>项目名称</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44A2F0F0">
            <w:pPr>
              <w:keepNext w:val="0"/>
              <w:keepLines w:val="0"/>
              <w:pageBreakBefore w:val="0"/>
              <w:kinsoku/>
              <w:wordWrap/>
              <w:overflowPunct/>
              <w:topLinePunct w:val="0"/>
              <w:bidi w:val="0"/>
              <w:snapToGrid w:val="0"/>
              <w:spacing w:line="360" w:lineRule="auto"/>
              <w:jc w:val="both"/>
              <w:rPr>
                <w:rFonts w:ascii="宋体" w:hAnsi="宋体" w:cs="宋体"/>
                <w:sz w:val="24"/>
                <w:highlight w:val="none"/>
              </w:rPr>
            </w:pPr>
            <w:r>
              <w:rPr>
                <w:rFonts w:hint="eastAsia" w:ascii="宋体" w:hAnsi="宋体" w:cs="宋体"/>
                <w:sz w:val="24"/>
                <w:highlight w:val="none"/>
                <w:lang w:eastAsia="zh-CN"/>
              </w:rPr>
              <w:t>信息安全运维服务项目</w:t>
            </w:r>
          </w:p>
        </w:tc>
      </w:tr>
      <w:tr w14:paraId="02B3D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7BCEE6E">
            <w:pPr>
              <w:keepNext w:val="0"/>
              <w:keepLines w:val="0"/>
              <w:pageBreakBefore w:val="0"/>
              <w:kinsoku/>
              <w:wordWrap/>
              <w:overflowPunct/>
              <w:topLinePunct w:val="0"/>
              <w:bidi w:val="0"/>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8C204F7">
            <w:pPr>
              <w:snapToGrid w:val="0"/>
              <w:spacing w:line="360" w:lineRule="auto"/>
              <w:jc w:val="center"/>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预算总额</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03F1125D">
            <w:pPr>
              <w:keepNext w:val="0"/>
              <w:keepLines w:val="0"/>
              <w:pageBreakBefore w:val="0"/>
              <w:kinsoku/>
              <w:wordWrap/>
              <w:overflowPunct/>
              <w:topLinePunct w:val="0"/>
              <w:bidi w:val="0"/>
              <w:snapToGrid w:val="0"/>
              <w:spacing w:line="360" w:lineRule="auto"/>
              <w:jc w:val="both"/>
              <w:rPr>
                <w:rFonts w:hint="default" w:ascii="宋体" w:hAnsi="宋体" w:cs="宋体"/>
                <w:sz w:val="24"/>
                <w:highlight w:val="none"/>
                <w:lang w:val="en-US"/>
              </w:rPr>
            </w:pPr>
            <w:r>
              <w:rPr>
                <w:rFonts w:hint="eastAsia" w:ascii="宋体" w:hAnsi="宋体" w:cs="宋体"/>
                <w:b w:val="0"/>
                <w:bCs/>
                <w:sz w:val="24"/>
                <w:highlight w:val="none"/>
                <w:lang w:val="en-US" w:eastAsia="zh-CN"/>
              </w:rPr>
              <w:t>54万元</w:t>
            </w:r>
          </w:p>
        </w:tc>
      </w:tr>
      <w:tr w14:paraId="24759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BF50169">
            <w:pPr>
              <w:keepNext w:val="0"/>
              <w:keepLines w:val="0"/>
              <w:pageBreakBefore w:val="0"/>
              <w:kinsoku/>
              <w:wordWrap/>
              <w:overflowPunct/>
              <w:topLinePunct w:val="0"/>
              <w:bidi w:val="0"/>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B2CB136">
            <w:pPr>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答疑与澄清</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1572ED04">
            <w:pPr>
              <w:keepNext w:val="0"/>
              <w:keepLines w:val="0"/>
              <w:pageBreakBefore w:val="0"/>
              <w:kinsoku/>
              <w:wordWrap/>
              <w:overflowPunct/>
              <w:topLinePunct w:val="0"/>
              <w:bidi w:val="0"/>
              <w:snapToGrid w:val="0"/>
              <w:spacing w:line="360" w:lineRule="auto"/>
              <w:rPr>
                <w:rFonts w:hint="eastAsia" w:ascii="宋体" w:hAnsi="宋体" w:eastAsia="宋体" w:cs="宋体"/>
                <w:b w:val="0"/>
                <w:bCs w:val="0"/>
                <w:sz w:val="24"/>
                <w:highlight w:val="none"/>
                <w:lang w:val="en-US" w:eastAsia="zh-CN"/>
              </w:rPr>
            </w:pPr>
            <w:r>
              <w:rPr>
                <w:rFonts w:hint="eastAsia" w:ascii="宋体" w:hAnsi="宋体" w:cs="宋体"/>
                <w:b w:val="0"/>
                <w:bCs w:val="0"/>
                <w:sz w:val="24"/>
                <w:highlight w:val="none"/>
              </w:rPr>
              <w:t>投标人如认为招标文件表述不清晰、存在歧视性、排他性或者其他违法内容的，应当</w:t>
            </w:r>
            <w:r>
              <w:rPr>
                <w:rFonts w:hint="eastAsia" w:ascii="宋体" w:hAnsi="宋体" w:cs="宋体"/>
                <w:b w:val="0"/>
                <w:bCs w:val="0"/>
                <w:sz w:val="24"/>
                <w:highlight w:val="none"/>
                <w:shd w:val="clear" w:color="auto" w:fill="FFFFFF"/>
              </w:rPr>
              <w:t>于</w:t>
            </w:r>
            <w:r>
              <w:rPr>
                <w:rFonts w:hint="eastAsia" w:ascii="宋体" w:hAnsi="宋体" w:cs="宋体"/>
                <w:b w:val="0"/>
                <w:bCs w:val="0"/>
                <w:sz w:val="24"/>
                <w:highlight w:val="none"/>
                <w:u w:val="single"/>
                <w:shd w:val="clear" w:color="auto" w:fill="FFFFFF"/>
              </w:rPr>
              <w:t>质疑期限届满之日</w:t>
            </w:r>
            <w:r>
              <w:rPr>
                <w:rFonts w:hint="eastAsia" w:ascii="宋体" w:hAnsi="宋体" w:cs="宋体"/>
                <w:b w:val="0"/>
                <w:bCs w:val="0"/>
                <w:sz w:val="24"/>
                <w:highlight w:val="none"/>
                <w:shd w:val="clear" w:color="auto" w:fill="FFFFFF"/>
              </w:rPr>
              <w:t>前，</w:t>
            </w:r>
            <w:r>
              <w:rPr>
                <w:rFonts w:hint="eastAsia" w:ascii="宋体" w:hAnsi="宋体" w:cs="宋体"/>
                <w:b w:val="0"/>
                <w:bCs w:val="0"/>
                <w:sz w:val="24"/>
                <w:highlight w:val="none"/>
              </w:rPr>
              <w:t>以书面形式要求招标采购单位或代理公司作出书面解释、澄清或者向招标采购单位提出书面质疑（超过此规定时间的质疑函将不予受理）；招标采购单位或代理公司将于</w:t>
            </w:r>
            <w:r>
              <w:rPr>
                <w:rFonts w:hint="eastAsia" w:ascii="宋体" w:hAnsi="宋体" w:cs="宋体"/>
                <w:b w:val="0"/>
                <w:bCs w:val="0"/>
                <w:sz w:val="24"/>
                <w:highlight w:val="none"/>
                <w:u w:val="single"/>
                <w:shd w:val="clear" w:color="auto" w:fill="FFFFFF"/>
              </w:rPr>
              <w:t>答疑期限届满之日</w:t>
            </w:r>
            <w:r>
              <w:rPr>
                <w:rFonts w:hint="eastAsia" w:ascii="宋体" w:hAnsi="宋体" w:cs="宋体"/>
                <w:b w:val="0"/>
                <w:bCs w:val="0"/>
                <w:sz w:val="24"/>
                <w:highlight w:val="none"/>
                <w:shd w:val="clear" w:color="auto" w:fill="FFFFFF"/>
              </w:rPr>
              <w:t>前将答疑内容以传真或网上发布公告的形式通知所有已报名的投标人</w:t>
            </w:r>
            <w:r>
              <w:rPr>
                <w:rFonts w:hint="eastAsia" w:ascii="宋体" w:hAnsi="宋体" w:cs="宋体"/>
                <w:b w:val="0"/>
                <w:bCs w:val="0"/>
                <w:sz w:val="24"/>
                <w:highlight w:val="none"/>
                <w:shd w:val="clear" w:color="auto" w:fill="FFFFFF"/>
                <w:lang w:eastAsia="zh-CN"/>
              </w:rPr>
              <w:t>。</w:t>
            </w:r>
          </w:p>
        </w:tc>
      </w:tr>
      <w:tr w14:paraId="08EAB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19BF242">
            <w:pPr>
              <w:keepNext w:val="0"/>
              <w:keepLines w:val="0"/>
              <w:pageBreakBefore w:val="0"/>
              <w:kinsoku/>
              <w:wordWrap/>
              <w:overflowPunct/>
              <w:topLinePunct w:val="0"/>
              <w:bidi w:val="0"/>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5F1AF1B">
            <w:pPr>
              <w:keepNext w:val="0"/>
              <w:keepLines w:val="0"/>
              <w:pageBreakBefore w:val="0"/>
              <w:kinsoku/>
              <w:wordWrap/>
              <w:overflowPunct/>
              <w:topLinePunct w:val="0"/>
              <w:bidi w:val="0"/>
              <w:snapToGrid w:val="0"/>
              <w:spacing w:line="360" w:lineRule="auto"/>
              <w:rPr>
                <w:rFonts w:hint="eastAsia" w:ascii="宋体" w:hAnsi="宋体" w:cs="宋体"/>
                <w:b w:val="0"/>
                <w:bCs w:val="0"/>
                <w:sz w:val="24"/>
                <w:highlight w:val="none"/>
              </w:rPr>
            </w:pPr>
            <w:r>
              <w:rPr>
                <w:rFonts w:hint="eastAsia" w:ascii="宋体" w:hAnsi="宋体" w:cs="宋体"/>
                <w:b w:val="0"/>
                <w:bCs w:val="0"/>
                <w:sz w:val="24"/>
                <w:highlight w:val="none"/>
              </w:rPr>
              <w:t>投标文件组成</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61910DE4">
            <w:pPr>
              <w:keepNext w:val="0"/>
              <w:keepLines w:val="0"/>
              <w:pageBreakBefore w:val="0"/>
              <w:kinsoku/>
              <w:wordWrap/>
              <w:overflowPunct/>
              <w:topLinePunct w:val="0"/>
              <w:bidi w:val="0"/>
              <w:snapToGrid w:val="0"/>
              <w:spacing w:line="360" w:lineRule="auto"/>
              <w:rPr>
                <w:rFonts w:hint="eastAsia" w:ascii="宋体" w:hAnsi="宋体" w:cs="宋体"/>
                <w:b w:val="0"/>
                <w:bCs w:val="0"/>
                <w:sz w:val="24"/>
                <w:highlight w:val="none"/>
              </w:rPr>
            </w:pPr>
            <w:r>
              <w:rPr>
                <w:rFonts w:hint="eastAsia" w:ascii="宋体" w:hAnsi="宋体" w:cs="宋体"/>
                <w:b w:val="0"/>
                <w:bCs w:val="0"/>
                <w:sz w:val="24"/>
                <w:highlight w:val="none"/>
              </w:rPr>
              <w:t>本项目投标文件由资格文件、商务技术文件、报价文件三部分组成。投标人应按以下方式递交投标文件：</w:t>
            </w:r>
          </w:p>
          <w:p w14:paraId="3C8EACD7">
            <w:pPr>
              <w:keepNext w:val="0"/>
              <w:keepLines w:val="0"/>
              <w:pageBreakBefore w:val="0"/>
              <w:kinsoku/>
              <w:wordWrap/>
              <w:overflowPunct/>
              <w:topLinePunct w:val="0"/>
              <w:bidi w:val="0"/>
              <w:snapToGrid w:val="0"/>
              <w:spacing w:line="360" w:lineRule="auto"/>
              <w:rPr>
                <w:rFonts w:hint="eastAsia" w:ascii="宋体" w:hAnsi="宋体" w:cs="宋体"/>
                <w:b w:val="0"/>
                <w:bCs w:val="0"/>
                <w:sz w:val="24"/>
                <w:highlight w:val="none"/>
              </w:rPr>
            </w:pPr>
            <w:r>
              <w:rPr>
                <w:rFonts w:hint="eastAsia" w:ascii="宋体" w:hAnsi="宋体" w:cs="宋体"/>
                <w:b w:val="0"/>
                <w:bCs w:val="0"/>
                <w:sz w:val="24"/>
                <w:highlight w:val="none"/>
              </w:rPr>
              <w:t>▲1.本项目采用“网上投标、电子评标”，投标人应于投标截止时间前在“政采云”（电子交易平台）上传输、递交电子版投标文件（包括资格文件、报价文件、商务技术文件）；</w:t>
            </w:r>
          </w:p>
          <w:p w14:paraId="7D50C8C2">
            <w:pPr>
              <w:keepNext w:val="0"/>
              <w:keepLines w:val="0"/>
              <w:pageBreakBefore w:val="0"/>
              <w:kinsoku/>
              <w:wordWrap/>
              <w:overflowPunct/>
              <w:topLinePunct w:val="0"/>
              <w:bidi w:val="0"/>
              <w:snapToGrid w:val="0"/>
              <w:spacing w:line="360" w:lineRule="auto"/>
              <w:rPr>
                <w:rFonts w:hint="eastAsia" w:ascii="宋体" w:hAnsi="宋体" w:cs="宋体"/>
                <w:b w:val="0"/>
                <w:bCs w:val="0"/>
                <w:sz w:val="24"/>
                <w:highlight w:val="none"/>
              </w:rPr>
            </w:pPr>
            <w:r>
              <w:rPr>
                <w:rFonts w:hint="eastAsia" w:ascii="宋体" w:hAnsi="宋体" w:cs="宋体"/>
                <w:b w:val="0"/>
                <w:bCs w:val="0"/>
                <w:sz w:val="24"/>
                <w:highlight w:val="none"/>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的加密电子备份投标文件）发送至邮箱：</w:t>
            </w:r>
            <w:r>
              <w:rPr>
                <w:rFonts w:hint="eastAsia" w:ascii="宋体" w:hAnsi="宋体" w:cs="宋体"/>
                <w:b w:val="0"/>
                <w:bCs w:val="0"/>
                <w:sz w:val="24"/>
                <w:highlight w:val="none"/>
                <w:lang w:eastAsia="zh-CN"/>
              </w:rPr>
              <w:t>3611630580</w:t>
            </w:r>
            <w:r>
              <w:rPr>
                <w:rFonts w:hint="eastAsia" w:ascii="宋体" w:hAnsi="宋体" w:cs="宋体"/>
                <w:b w:val="0"/>
                <w:bCs w:val="0"/>
                <w:sz w:val="24"/>
                <w:highlight w:val="none"/>
              </w:rPr>
              <w:t>@qq.com，逾期发送或发错的备份投标文件将被视为无效；还可以（EMS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备份投标文件的提交不作强制要求。</w:t>
            </w:r>
          </w:p>
          <w:p w14:paraId="396935F3">
            <w:pPr>
              <w:keepNext w:val="0"/>
              <w:keepLines w:val="0"/>
              <w:pageBreakBefore w:val="0"/>
              <w:kinsoku/>
              <w:wordWrap/>
              <w:overflowPunct/>
              <w:topLinePunct w:val="0"/>
              <w:bidi w:val="0"/>
              <w:snapToGrid w:val="0"/>
              <w:spacing w:line="360" w:lineRule="auto"/>
              <w:rPr>
                <w:rFonts w:hint="eastAsia" w:ascii="宋体" w:hAnsi="宋体" w:cs="宋体"/>
                <w:b w:val="0"/>
                <w:bCs w:val="0"/>
                <w:sz w:val="24"/>
                <w:highlight w:val="none"/>
              </w:rPr>
            </w:pPr>
            <w:r>
              <w:rPr>
                <w:rFonts w:hint="eastAsia" w:ascii="宋体" w:hAnsi="宋体" w:cs="宋体"/>
                <w:b w:val="0"/>
                <w:bCs w:val="0"/>
                <w:sz w:val="24"/>
                <w:highlight w:val="none"/>
              </w:rPr>
              <w:t>3.投标人仅提交了电子备份投标文件的，投标无效；</w:t>
            </w:r>
          </w:p>
          <w:p w14:paraId="7B4EDC39">
            <w:pPr>
              <w:keepNext w:val="0"/>
              <w:keepLines w:val="0"/>
              <w:pageBreakBefore w:val="0"/>
              <w:kinsoku/>
              <w:wordWrap/>
              <w:overflowPunct/>
              <w:topLinePunct w:val="0"/>
              <w:bidi w:val="0"/>
              <w:snapToGrid w:val="0"/>
              <w:spacing w:line="360" w:lineRule="auto"/>
              <w:rPr>
                <w:rFonts w:hint="eastAsia" w:ascii="宋体" w:hAnsi="宋体" w:cs="宋体"/>
                <w:b w:val="0"/>
                <w:bCs w:val="0"/>
                <w:sz w:val="24"/>
                <w:highlight w:val="none"/>
              </w:rPr>
            </w:pPr>
            <w:r>
              <w:rPr>
                <w:rFonts w:hint="eastAsia" w:ascii="宋体" w:hAnsi="宋体" w:cs="宋体"/>
                <w:b w:val="0"/>
                <w:bCs w:val="0"/>
                <w:sz w:val="24"/>
                <w:highlight w:val="none"/>
              </w:rPr>
              <w:t>4.本项目不强制投标人提交电子备份投标文件；但如在开评标时出现电子投标文件无法解密或解密失败等情况，因投标人未提供电子备份投标文件而造成投标无效等一切后果和风险由投标人自行承担。</w:t>
            </w:r>
          </w:p>
        </w:tc>
      </w:tr>
      <w:tr w14:paraId="734C2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168FBC">
            <w:pPr>
              <w:keepNext w:val="0"/>
              <w:keepLines w:val="0"/>
              <w:pageBreakBefore w:val="0"/>
              <w:kinsoku/>
              <w:wordWrap/>
              <w:overflowPunct/>
              <w:topLinePunct w:val="0"/>
              <w:bidi w:val="0"/>
              <w:snapToGrid w:val="0"/>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6</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792724F">
            <w:pPr>
              <w:keepNext w:val="0"/>
              <w:keepLines w:val="0"/>
              <w:pageBreakBefore w:val="0"/>
              <w:kinsoku/>
              <w:wordWrap/>
              <w:overflowPunct/>
              <w:topLinePunct w:val="0"/>
              <w:bidi w:val="0"/>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lang w:val="en-US" w:eastAsia="zh-CN"/>
              </w:rPr>
              <w:t>投标文件递交及备份</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1230A83C">
            <w:pPr>
              <w:keepNext w:val="0"/>
              <w:keepLines w:val="0"/>
              <w:pageBreakBefore w:val="0"/>
              <w:kinsoku/>
              <w:wordWrap/>
              <w:overflowPunct/>
              <w:topLinePunct w:val="0"/>
              <w:bidi w:val="0"/>
              <w:snapToGrid w:val="0"/>
              <w:spacing w:line="360" w:lineRule="auto"/>
              <w:rPr>
                <w:rFonts w:ascii="宋体" w:hAnsi="宋体" w:cs="宋体"/>
                <w:b/>
                <w:bCs/>
                <w:sz w:val="24"/>
                <w:highlight w:val="none"/>
              </w:rPr>
            </w:pPr>
            <w:r>
              <w:rPr>
                <w:rFonts w:hint="eastAsia" w:ascii="宋体" w:hAnsi="宋体" w:cs="宋体"/>
                <w:sz w:val="24"/>
                <w:highlight w:val="none"/>
              </w:rPr>
              <w:t>1、投标人应当在</w:t>
            </w:r>
            <w:r>
              <w:rPr>
                <w:rFonts w:hint="eastAsia" w:ascii="宋体" w:hAnsi="宋体" w:cs="宋体"/>
                <w:b/>
                <w:bCs/>
                <w:sz w:val="24"/>
                <w:highlight w:val="none"/>
                <w:u w:val="single"/>
                <w:lang w:eastAsia="zh-CN"/>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25</w:t>
            </w:r>
            <w:r>
              <w:rPr>
                <w:rFonts w:hint="eastAsia" w:ascii="宋体" w:hAnsi="宋体" w:cs="宋体"/>
                <w:b/>
                <w:bCs/>
                <w:sz w:val="24"/>
                <w:highlight w:val="none"/>
                <w:u w:val="single"/>
              </w:rPr>
              <w:t>日</w:t>
            </w:r>
            <w:r>
              <w:rPr>
                <w:rFonts w:hint="eastAsia" w:ascii="宋体" w:hAnsi="宋体" w:cs="宋体"/>
                <w:b/>
                <w:bCs/>
                <w:sz w:val="24"/>
                <w:highlight w:val="none"/>
                <w:u w:val="single"/>
                <w:lang w:val="en-US" w:eastAsia="zh-CN"/>
              </w:rPr>
              <w:t>14</w:t>
            </w:r>
            <w:r>
              <w:rPr>
                <w:rFonts w:hint="eastAsia" w:ascii="宋体" w:hAnsi="宋体" w:cs="宋体"/>
                <w:b/>
                <w:bCs/>
                <w:sz w:val="24"/>
                <w:highlight w:val="none"/>
                <w:u w:val="single"/>
                <w:lang w:eastAsia="zh-CN"/>
              </w:rPr>
              <w:t>时30分</w:t>
            </w:r>
            <w:r>
              <w:rPr>
                <w:rFonts w:hint="eastAsia" w:ascii="宋体" w:hAnsi="宋体" w:cs="宋体"/>
                <w:sz w:val="24"/>
                <w:highlight w:val="none"/>
              </w:rPr>
              <w:t>前在“政采云”（电子交易平台）上自行上传加密的电子投标文件。投标截止时间后递交的电子投标文件，将被政采云平台拒收。</w:t>
            </w:r>
          </w:p>
          <w:p w14:paraId="298FE07E">
            <w:pPr>
              <w:keepNext w:val="0"/>
              <w:keepLines w:val="0"/>
              <w:pageBreakBefore w:val="0"/>
              <w:kinsoku/>
              <w:wordWrap/>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2、电子投标文件的传输递交：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44DD5495">
            <w:pPr>
              <w:keepNext w:val="0"/>
              <w:keepLines w:val="0"/>
              <w:pageBreakBefore w:val="0"/>
              <w:kinsoku/>
              <w:wordWrap/>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3、投</w:t>
            </w:r>
            <w:r>
              <w:rPr>
                <w:rFonts w:hint="eastAsia" w:ascii="宋体" w:hAnsi="宋体" w:cs="宋体"/>
                <w:b w:val="0"/>
                <w:bCs w:val="0"/>
                <w:sz w:val="24"/>
                <w:highlight w:val="none"/>
              </w:rPr>
              <w:t>标人可以在投标截止时间前将电子备份投标文件（经政采云电子交易客户端和CA驱动制作出的加密电子备份投标文件）发送至邮箱：</w:t>
            </w:r>
            <w:r>
              <w:rPr>
                <w:rFonts w:hint="eastAsia" w:ascii="宋体" w:hAnsi="宋体" w:cs="宋体"/>
                <w:b w:val="0"/>
                <w:bCs w:val="0"/>
                <w:sz w:val="24"/>
                <w:highlight w:val="none"/>
                <w:lang w:eastAsia="zh-CN"/>
              </w:rPr>
              <w:t>3611630580@qq.com</w:t>
            </w:r>
            <w:r>
              <w:rPr>
                <w:rFonts w:hint="eastAsia" w:ascii="宋体" w:hAnsi="宋体" w:cs="宋体"/>
                <w:b w:val="0"/>
                <w:bCs w:val="0"/>
                <w:sz w:val="24"/>
                <w:highlight w:val="none"/>
              </w:rPr>
              <w:t>，逾期发送或发错的电子备份投标文件将被视为无效；电子</w:t>
            </w:r>
            <w:r>
              <w:rPr>
                <w:rFonts w:hint="eastAsia" w:ascii="宋体" w:hAnsi="宋体" w:cs="宋体"/>
                <w:sz w:val="24"/>
                <w:highlight w:val="none"/>
              </w:rPr>
              <w:t>备份投标文件的提交不作强制性要求。电子备份投标文件的递交截止时间：投标人应当在</w:t>
            </w:r>
            <w:r>
              <w:rPr>
                <w:rFonts w:hint="eastAsia" w:ascii="宋体" w:hAnsi="宋体" w:cs="宋体"/>
                <w:b/>
                <w:bCs/>
                <w:sz w:val="24"/>
                <w:highlight w:val="none"/>
                <w:u w:val="single"/>
                <w:lang w:eastAsia="zh-CN"/>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25</w:t>
            </w:r>
            <w:r>
              <w:rPr>
                <w:rFonts w:hint="eastAsia" w:ascii="宋体" w:hAnsi="宋体" w:cs="宋体"/>
                <w:b/>
                <w:bCs/>
                <w:sz w:val="24"/>
                <w:highlight w:val="none"/>
                <w:u w:val="single"/>
                <w:lang w:eastAsia="zh-CN"/>
              </w:rPr>
              <w:t>日</w:t>
            </w:r>
            <w:r>
              <w:rPr>
                <w:rFonts w:hint="eastAsia" w:ascii="宋体" w:hAnsi="宋体" w:cs="宋体"/>
                <w:b/>
                <w:bCs/>
                <w:sz w:val="24"/>
                <w:highlight w:val="none"/>
                <w:u w:val="single"/>
                <w:lang w:val="en-US" w:eastAsia="zh-CN"/>
              </w:rPr>
              <w:t>14</w:t>
            </w:r>
            <w:r>
              <w:rPr>
                <w:rFonts w:hint="eastAsia" w:ascii="宋体" w:hAnsi="宋体" w:cs="宋体"/>
                <w:b/>
                <w:bCs/>
                <w:sz w:val="24"/>
                <w:highlight w:val="none"/>
                <w:u w:val="single"/>
                <w:lang w:eastAsia="zh-CN"/>
              </w:rPr>
              <w:t>时30分</w:t>
            </w:r>
            <w:r>
              <w:rPr>
                <w:rFonts w:hint="eastAsia" w:ascii="宋体" w:hAnsi="宋体" w:cs="宋体"/>
                <w:sz w:val="24"/>
                <w:highlight w:val="none"/>
              </w:rPr>
              <w:t>前，逾期未递交的视为自动放弃递交电子备份投标文件。</w:t>
            </w:r>
          </w:p>
        </w:tc>
      </w:tr>
      <w:tr w14:paraId="42A00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0B526B">
            <w:pPr>
              <w:keepNext w:val="0"/>
              <w:keepLines w:val="0"/>
              <w:pageBreakBefore w:val="0"/>
              <w:kinsoku/>
              <w:wordWrap/>
              <w:overflowPunct/>
              <w:topLinePunct w:val="0"/>
              <w:bidi w:val="0"/>
              <w:snapToGrid w:val="0"/>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7</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C5AD587">
            <w:pPr>
              <w:keepNext w:val="0"/>
              <w:keepLines w:val="0"/>
              <w:pageBreakBefore w:val="0"/>
              <w:kinsoku/>
              <w:wordWrap/>
              <w:overflowPunct/>
              <w:topLinePunct w:val="0"/>
              <w:bidi w:val="0"/>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本项目开标时间</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65990C4C">
            <w:pPr>
              <w:keepNext w:val="0"/>
              <w:keepLines w:val="0"/>
              <w:pageBreakBefore w:val="0"/>
              <w:kinsoku/>
              <w:wordWrap/>
              <w:overflowPunct/>
              <w:topLinePunct w:val="0"/>
              <w:bidi w:val="0"/>
              <w:snapToGrid w:val="0"/>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u w:val="single"/>
                <w:lang w:eastAsia="zh-CN"/>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25</w:t>
            </w:r>
            <w:r>
              <w:rPr>
                <w:rFonts w:hint="eastAsia" w:ascii="宋体" w:hAnsi="宋体" w:cs="宋体"/>
                <w:b/>
                <w:bCs/>
                <w:sz w:val="24"/>
                <w:highlight w:val="none"/>
                <w:u w:val="single"/>
                <w:lang w:eastAsia="zh-CN"/>
              </w:rPr>
              <w:t>日</w:t>
            </w:r>
            <w:r>
              <w:rPr>
                <w:rFonts w:hint="eastAsia" w:ascii="宋体" w:hAnsi="宋体" w:cs="宋体"/>
                <w:b/>
                <w:bCs/>
                <w:sz w:val="24"/>
                <w:highlight w:val="none"/>
                <w:u w:val="single"/>
                <w:lang w:val="en-US" w:eastAsia="zh-CN"/>
              </w:rPr>
              <w:t>14</w:t>
            </w:r>
            <w:r>
              <w:rPr>
                <w:rFonts w:hint="eastAsia" w:ascii="宋体" w:hAnsi="宋体" w:cs="宋体"/>
                <w:b/>
                <w:bCs/>
                <w:sz w:val="24"/>
                <w:highlight w:val="none"/>
                <w:u w:val="single"/>
                <w:lang w:eastAsia="zh-CN"/>
              </w:rPr>
              <w:t>时30分</w:t>
            </w:r>
          </w:p>
          <w:p w14:paraId="138F2410">
            <w:pPr>
              <w:keepNext w:val="0"/>
              <w:keepLines w:val="0"/>
              <w:pageBreakBefore w:val="0"/>
              <w:kinsoku/>
              <w:wordWrap/>
              <w:overflowPunct/>
              <w:topLinePunct w:val="0"/>
              <w:bidi w:val="0"/>
              <w:snapToGrid w:val="0"/>
              <w:spacing w:line="360" w:lineRule="auto"/>
              <w:rPr>
                <w:rFonts w:ascii="宋体" w:hAnsi="宋体" w:cs="宋体"/>
                <w:sz w:val="24"/>
                <w:highlight w:val="none"/>
              </w:rPr>
            </w:pPr>
            <w:r>
              <w:rPr>
                <w:rFonts w:hint="eastAsia" w:ascii="宋体" w:hAnsi="宋体" w:cs="宋体"/>
                <w:b w:val="0"/>
                <w:bCs w:val="0"/>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tc>
      </w:tr>
      <w:tr w14:paraId="292F0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DC97B0">
            <w:pPr>
              <w:keepNext w:val="0"/>
              <w:keepLines w:val="0"/>
              <w:pageBreakBefore w:val="0"/>
              <w:kinsoku/>
              <w:wordWrap/>
              <w:overflowPunct/>
              <w:topLinePunct w:val="0"/>
              <w:bidi w:val="0"/>
              <w:snapToGrid w:val="0"/>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8</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7811DA8">
            <w:pPr>
              <w:keepNext w:val="0"/>
              <w:keepLines w:val="0"/>
              <w:pageBreakBefore w:val="0"/>
              <w:kinsoku/>
              <w:wordWrap/>
              <w:overflowPunct/>
              <w:topLinePunct w:val="0"/>
              <w:bidi w:val="0"/>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投标保证金</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6E7B190B">
            <w:pPr>
              <w:keepNext w:val="0"/>
              <w:keepLines w:val="0"/>
              <w:pageBreakBefore w:val="0"/>
              <w:kinsoku/>
              <w:wordWrap/>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本项目</w:t>
            </w:r>
            <w:r>
              <w:rPr>
                <w:rFonts w:hint="eastAsia" w:ascii="宋体" w:hAnsi="宋体" w:cs="宋体"/>
                <w:b w:val="0"/>
                <w:bCs/>
                <w:kern w:val="0"/>
                <w:sz w:val="24"/>
                <w:highlight w:val="none"/>
              </w:rPr>
              <w:t>不收取投标保证金。</w:t>
            </w:r>
          </w:p>
        </w:tc>
      </w:tr>
      <w:tr w14:paraId="66B75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0ABBBF">
            <w:pPr>
              <w:keepNext w:val="0"/>
              <w:keepLines w:val="0"/>
              <w:pageBreakBefore w:val="0"/>
              <w:kinsoku/>
              <w:wordWrap/>
              <w:overflowPunct/>
              <w:topLinePunct w:val="0"/>
              <w:bidi w:val="0"/>
              <w:snapToGrid w:val="0"/>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9</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52149DF">
            <w:pPr>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评标办法</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28AD3AB1">
            <w:pPr>
              <w:keepNext w:val="0"/>
              <w:keepLines w:val="0"/>
              <w:pageBreakBefore w:val="0"/>
              <w:kinsoku/>
              <w:wordWrap/>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综合评分法</w:t>
            </w:r>
          </w:p>
        </w:tc>
      </w:tr>
      <w:tr w14:paraId="6AA9F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754088">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10</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53850EE">
            <w:pPr>
              <w:autoSpaceDE w:val="0"/>
              <w:autoSpaceDN w:val="0"/>
              <w:snapToGrid w:val="0"/>
              <w:spacing w:line="360" w:lineRule="auto"/>
              <w:jc w:val="center"/>
              <w:textAlignment w:val="bottom"/>
              <w:rPr>
                <w:rFonts w:hint="eastAsia" w:ascii="宋体" w:hAnsi="宋体" w:cs="宋体"/>
                <w:b w:val="0"/>
                <w:bCs w:val="0"/>
                <w:sz w:val="24"/>
                <w:highlight w:val="none"/>
              </w:rPr>
            </w:pPr>
            <w:r>
              <w:rPr>
                <w:rFonts w:hint="eastAsia" w:ascii="宋体" w:hAnsi="宋体" w:cs="宋体"/>
                <w:b w:val="0"/>
                <w:bCs w:val="0"/>
                <w:sz w:val="24"/>
                <w:highlight w:val="none"/>
              </w:rPr>
              <w:t>签订合同</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6E257EDB">
            <w:pPr>
              <w:keepNext w:val="0"/>
              <w:keepLines w:val="0"/>
              <w:pageBreakBefore w:val="0"/>
              <w:kinsoku/>
              <w:wordWrap/>
              <w:overflowPunct/>
              <w:topLinePunct w:val="0"/>
              <w:autoSpaceDE w:val="0"/>
              <w:autoSpaceDN w:val="0"/>
              <w:bidi w:val="0"/>
              <w:snapToGrid w:val="0"/>
              <w:spacing w:line="360" w:lineRule="auto"/>
              <w:textAlignment w:val="bottom"/>
              <w:rPr>
                <w:rFonts w:ascii="宋体" w:hAnsi="宋体" w:cs="宋体"/>
                <w:sz w:val="24"/>
                <w:highlight w:val="none"/>
              </w:rPr>
            </w:pPr>
            <w:r>
              <w:rPr>
                <w:rFonts w:hint="eastAsia" w:ascii="宋体" w:hAnsi="宋体" w:cs="宋体"/>
                <w:sz w:val="24"/>
                <w:highlight w:val="none"/>
              </w:rPr>
              <w:t>中标通知书发出后30日内签订。</w:t>
            </w:r>
          </w:p>
        </w:tc>
      </w:tr>
      <w:tr w14:paraId="6A689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7"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C91DBD">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74E6A41">
            <w:pPr>
              <w:spacing w:before="24" w:beforeLines="10" w:line="360" w:lineRule="auto"/>
              <w:jc w:val="center"/>
              <w:rPr>
                <w:rFonts w:hint="eastAsia" w:ascii="宋体" w:hAnsi="宋体" w:eastAsia="宋体" w:cs="宋体"/>
                <w:b w:val="0"/>
                <w:bCs w:val="0"/>
                <w:sz w:val="24"/>
                <w:highlight w:val="none"/>
                <w:lang w:val="en-US" w:eastAsia="zh-CN"/>
              </w:rPr>
            </w:pPr>
            <w:r>
              <w:rPr>
                <w:rFonts w:hint="eastAsia" w:ascii="宋体" w:hAnsi="宋体" w:cs="宋体"/>
                <w:b w:val="0"/>
                <w:bCs w:val="0"/>
                <w:sz w:val="24"/>
                <w:highlight w:val="none"/>
              </w:rPr>
              <w:t>付款方式</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7FD6EAD4">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本次项目服务期限三年，合同签订完成具备服务实施条件后30日内支付30%合同款作为预付款，具体金额以合同签订为准；逐年支付每年服务费用，具体如下：</w:t>
            </w:r>
          </w:p>
          <w:p w14:paraId="7E7357C3">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第一年：自合同签订之日起满一年，经业务主管部门年度验收合格完成后30日内支付剩余合同款的20%；</w:t>
            </w:r>
          </w:p>
          <w:p w14:paraId="25CE6B83">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第二年：自合同签订之日起满第二年，经业务主管部门年度验收合格完成后30日内支付剩余合同款20%；</w:t>
            </w:r>
          </w:p>
          <w:p w14:paraId="43250BFA">
            <w:pPr>
              <w:keepNext w:val="0"/>
              <w:keepLines w:val="0"/>
              <w:pageBreakBefore w:val="0"/>
              <w:shd w:val="clear" w:color="auto" w:fill="FFFFFF"/>
              <w:kinsoku/>
              <w:wordWrap/>
              <w:overflowPunct/>
              <w:topLinePunct w:val="0"/>
              <w:bidi w:val="0"/>
              <w:snapToGrid w:val="0"/>
              <w:spacing w:line="360" w:lineRule="auto"/>
              <w:rPr>
                <w:rFonts w:hint="eastAsia" w:eastAsia="宋体"/>
                <w:highlight w:val="none"/>
                <w:lang w:eastAsia="zh-CN"/>
              </w:rPr>
            </w:pPr>
            <w:r>
              <w:rPr>
                <w:rFonts w:hint="eastAsia" w:ascii="宋体" w:hAnsi="宋体" w:eastAsia="宋体" w:cs="宋体"/>
                <w:sz w:val="24"/>
                <w:highlight w:val="none"/>
                <w:lang w:val="en-US" w:eastAsia="zh-CN"/>
              </w:rPr>
              <w:t>第三年：自合同签订之日起满三年，经业务主管部门年度验收合格完成后30日内支付剩余合同款。</w:t>
            </w:r>
          </w:p>
        </w:tc>
      </w:tr>
      <w:tr w14:paraId="1E5CE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1637F4">
            <w:pPr>
              <w:keepNext w:val="0"/>
              <w:keepLines w:val="0"/>
              <w:pageBreakBefore w:val="0"/>
              <w:kinsoku/>
              <w:wordWrap/>
              <w:overflowPunct/>
              <w:topLinePunct w:val="0"/>
              <w:bidi w:val="0"/>
              <w:snapToGrid w:val="0"/>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12</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77B84D3">
            <w:pPr>
              <w:keepNext w:val="0"/>
              <w:keepLines w:val="0"/>
              <w:pageBreakBefore w:val="0"/>
              <w:kinsoku/>
              <w:wordWrap/>
              <w:overflowPunct/>
              <w:topLinePunct w:val="0"/>
              <w:autoSpaceDE w:val="0"/>
              <w:autoSpaceDN w:val="0"/>
              <w:bidi w:val="0"/>
              <w:spacing w:line="360" w:lineRule="auto"/>
              <w:ind w:firstLine="0" w:firstLineChars="0"/>
              <w:jc w:val="center"/>
              <w:rPr>
                <w:rFonts w:hint="eastAsia" w:ascii="宋体" w:hAnsi="宋体" w:cs="宋体"/>
                <w:b w:val="0"/>
                <w:bCs w:val="0"/>
                <w:sz w:val="24"/>
                <w:highlight w:val="none"/>
              </w:rPr>
            </w:pPr>
            <w:r>
              <w:rPr>
                <w:rFonts w:hint="eastAsia" w:ascii="宋体" w:hAnsi="宋体" w:cs="宋体"/>
                <w:b w:val="0"/>
                <w:bCs w:val="0"/>
                <w:sz w:val="24"/>
                <w:highlight w:val="none"/>
              </w:rPr>
              <w:t>履约保证金</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733FD3A8">
            <w:pPr>
              <w:keepNext w:val="0"/>
              <w:keepLines w:val="0"/>
              <w:pageBreakBefore w:val="0"/>
              <w:kinsoku/>
              <w:wordWrap/>
              <w:overflowPunct/>
              <w:topLinePunct w:val="0"/>
              <w:autoSpaceDE w:val="0"/>
              <w:autoSpaceDN w:val="0"/>
              <w:bidi w:val="0"/>
              <w:snapToGrid w:val="0"/>
              <w:spacing w:line="360" w:lineRule="auto"/>
              <w:textAlignment w:val="bottom"/>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无</w:t>
            </w:r>
          </w:p>
        </w:tc>
      </w:tr>
      <w:tr w14:paraId="49B4F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E21064">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rPr>
              <w:t>13</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D659F28">
            <w:pPr>
              <w:keepNext w:val="0"/>
              <w:keepLines w:val="0"/>
              <w:pageBreakBefore w:val="0"/>
              <w:kinsoku/>
              <w:wordWrap/>
              <w:overflowPunct/>
              <w:topLinePunct w:val="0"/>
              <w:bidi w:val="0"/>
              <w:snapToGrid w:val="0"/>
              <w:spacing w:line="360" w:lineRule="auto"/>
              <w:jc w:val="center"/>
              <w:rPr>
                <w:rFonts w:hint="eastAsia" w:ascii="宋体" w:hAnsi="宋体" w:eastAsia="宋体" w:cs="宋体"/>
                <w:b w:val="0"/>
                <w:bCs w:val="0"/>
                <w:sz w:val="24"/>
                <w:highlight w:val="none"/>
                <w:lang w:val="en-US" w:eastAsia="zh-CN"/>
              </w:rPr>
            </w:pPr>
            <w:r>
              <w:rPr>
                <w:rFonts w:hAnsi="宋体"/>
                <w:b w:val="0"/>
                <w:bCs w:val="0"/>
                <w:color w:val="000000"/>
                <w:sz w:val="24"/>
                <w:highlight w:val="none"/>
              </w:rPr>
              <w:t>联合体投标</w:t>
            </w:r>
            <w:r>
              <w:rPr>
                <w:rFonts w:hint="eastAsia" w:hAnsi="宋体"/>
                <w:b w:val="0"/>
                <w:bCs w:val="0"/>
                <w:color w:val="000000"/>
                <w:sz w:val="24"/>
                <w:highlight w:val="none"/>
                <w:lang w:val="en-US" w:eastAsia="zh-CN"/>
              </w:rPr>
              <w:t>说明</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18C77B68">
            <w:pPr>
              <w:keepNext w:val="0"/>
              <w:keepLines w:val="0"/>
              <w:pageBreakBefore w:val="0"/>
              <w:kinsoku/>
              <w:wordWrap/>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b w:val="0"/>
                <w:bCs w:val="0"/>
                <w:color w:val="000000"/>
                <w:sz w:val="24"/>
                <w:highlight w:val="none"/>
                <w:lang w:val="en-US" w:eastAsia="zh-CN"/>
              </w:rPr>
              <w:t>、</w:t>
            </w:r>
            <w:r>
              <w:rPr>
                <w:rFonts w:hint="eastAsia" w:ascii="宋体" w:hAnsi="宋体" w:eastAsia="宋体" w:cs="宋体"/>
                <w:kern w:val="0"/>
                <w:sz w:val="24"/>
                <w:highlight w:val="none"/>
              </w:rPr>
              <w:t>本项目（</w:t>
            </w:r>
            <w:r>
              <w:rPr>
                <w:rFonts w:hint="eastAsia" w:ascii="宋体" w:hAnsi="宋体" w:eastAsia="宋体" w:cs="宋体"/>
                <w:kern w:val="0"/>
                <w:sz w:val="24"/>
                <w:highlight w:val="none"/>
                <w:lang w:val="en-US" w:eastAsia="zh-CN"/>
              </w:rPr>
              <w:t>是</w:t>
            </w:r>
            <w:r>
              <w:rPr>
                <w:rFonts w:hint="eastAsia" w:ascii="宋体" w:hAnsi="宋体" w:eastAsia="宋体" w:cs="宋体"/>
                <w:kern w:val="0"/>
                <w:sz w:val="24"/>
                <w:highlight w:val="none"/>
              </w:rPr>
              <w:t>）接受联合体投标</w:t>
            </w:r>
            <w:r>
              <w:rPr>
                <w:rFonts w:hint="eastAsia" w:ascii="宋体" w:hAnsi="宋体" w:eastAsia="宋体" w:cs="宋体"/>
                <w:kern w:val="0"/>
                <w:sz w:val="24"/>
                <w:highlight w:val="none"/>
              </w:rPr>
              <w:tab/>
            </w:r>
          </w:p>
          <w:p w14:paraId="4B7629A1">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接受联合体，联合体成员数量不得超过</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家</w:t>
            </w:r>
            <w:r>
              <w:rPr>
                <w:rFonts w:hint="eastAsia" w:ascii="宋体" w:hAnsi="宋体" w:eastAsia="宋体" w:cs="宋体"/>
                <w:sz w:val="24"/>
                <w:highlight w:val="none"/>
                <w:lang w:val="en-US" w:eastAsia="zh-CN"/>
              </w:rPr>
              <w:t>(含)</w:t>
            </w:r>
            <w:r>
              <w:rPr>
                <w:rFonts w:hint="eastAsia" w:ascii="宋体" w:hAnsi="宋体" w:eastAsia="宋体" w:cs="宋体"/>
                <w:sz w:val="24"/>
                <w:highlight w:val="none"/>
              </w:rPr>
              <w:t>，联合体参加本项目政府采购应满足以下条件：</w:t>
            </w:r>
          </w:p>
          <w:p w14:paraId="774A4AE2">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◇两个以上的自然人、法人或者其他组织可以组成一个联合体，以一个供应商的身份共同参加本项目政府采购活动，联合体在投标文件中提供联合体协议并明确分工；</w:t>
            </w:r>
          </w:p>
          <w:p w14:paraId="10C78B93">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◇联合体中有同类资质的供应商按照联合体分工承担相同工作，按资质等级较低的供应商确定资质等级；</w:t>
            </w:r>
          </w:p>
          <w:p w14:paraId="7C75BA46">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◇联合体各方不得再单独参加或与其他供应商另外组成联合体参加本项目政府采购活动。</w:t>
            </w:r>
          </w:p>
          <w:p w14:paraId="322173E3">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w:t>
            </w:r>
            <w:r>
              <w:rPr>
                <w:rFonts w:hint="eastAsia" w:ascii="宋体" w:hAnsi="宋体" w:eastAsia="宋体" w:cs="宋体"/>
                <w:sz w:val="24"/>
                <w:highlight w:val="none"/>
              </w:rPr>
              <w:t>对于联合协议约定中</w:t>
            </w:r>
            <w:r>
              <w:rPr>
                <w:rFonts w:hint="eastAsia" w:ascii="宋体" w:hAnsi="宋体" w:eastAsia="宋体" w:cs="宋体"/>
                <w:sz w:val="24"/>
                <w:highlight w:val="none"/>
                <w:lang w:eastAsia="zh-CN"/>
              </w:rPr>
              <w:t>的</w:t>
            </w:r>
            <w:r>
              <w:rPr>
                <w:rFonts w:hint="eastAsia" w:ascii="宋体" w:hAnsi="宋体" w:eastAsia="宋体" w:cs="宋体"/>
                <w:sz w:val="24"/>
                <w:highlight w:val="none"/>
              </w:rPr>
              <w:t>小微企业的合同份额须占到合同总金额的</w:t>
            </w:r>
            <w:r>
              <w:rPr>
                <w:rFonts w:hint="eastAsia" w:ascii="宋体" w:hAnsi="宋体" w:cs="宋体"/>
                <w:sz w:val="24"/>
                <w:highlight w:val="none"/>
                <w:lang w:val="en-US" w:eastAsia="zh-CN"/>
              </w:rPr>
              <w:t>3</w:t>
            </w:r>
            <w:r>
              <w:rPr>
                <w:rFonts w:hint="eastAsia" w:ascii="宋体" w:hAnsi="宋体" w:eastAsia="宋体" w:cs="宋体"/>
                <w:sz w:val="24"/>
                <w:highlight w:val="none"/>
              </w:rPr>
              <w:t>0%</w:t>
            </w:r>
            <w:r>
              <w:rPr>
                <w:rFonts w:hint="eastAsia" w:ascii="宋体" w:hAnsi="宋体" w:cs="宋体"/>
                <w:sz w:val="24"/>
                <w:highlight w:val="none"/>
                <w:lang w:val="en-US" w:eastAsia="zh-CN"/>
              </w:rPr>
              <w:t>以上的</w:t>
            </w:r>
            <w:r>
              <w:rPr>
                <w:rFonts w:hint="eastAsia" w:ascii="宋体" w:hAnsi="宋体" w:eastAsia="宋体" w:cs="宋体"/>
                <w:sz w:val="24"/>
                <w:highlight w:val="none"/>
              </w:rPr>
              <w:t>；对联合体的投标报价给予</w:t>
            </w:r>
            <w:r>
              <w:rPr>
                <w:rFonts w:hint="eastAsia" w:ascii="宋体" w:hAnsi="宋体" w:cs="宋体"/>
                <w:sz w:val="24"/>
                <w:highlight w:val="none"/>
                <w:lang w:val="en-US" w:eastAsia="zh-CN"/>
              </w:rPr>
              <w:t>/</w:t>
            </w:r>
            <w:r>
              <w:rPr>
                <w:rFonts w:hint="eastAsia" w:ascii="宋体" w:hAnsi="宋体" w:eastAsia="宋体" w:cs="宋体"/>
                <w:sz w:val="24"/>
                <w:highlight w:val="none"/>
              </w:rPr>
              <w:t>%的扣除，用扣除后的价格参加评审。</w:t>
            </w:r>
          </w:p>
          <w:p w14:paraId="51FB5092">
            <w:pPr>
              <w:keepNext w:val="0"/>
              <w:keepLines w:val="0"/>
              <w:pageBreakBefore w:val="0"/>
              <w:widowControl/>
              <w:suppressLineNumbers w:val="0"/>
              <w:kinsoku/>
              <w:wordWrap/>
              <w:overflowPunct/>
              <w:topLinePunct w:val="0"/>
              <w:bidi w:val="0"/>
              <w:spacing w:line="360" w:lineRule="auto"/>
              <w:jc w:val="left"/>
              <w:rPr>
                <w:highlight w:val="none"/>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联合体投标的，联合体各方分别提供与联合体协议中规定的分工内容相应的业绩证明材料，业绩数量以提供材料较少的一方为准。 </w:t>
            </w:r>
          </w:p>
          <w:p w14:paraId="6DA61775">
            <w:pPr>
              <w:keepNext w:val="0"/>
              <w:keepLines w:val="0"/>
              <w:pageBreakBefore w:val="0"/>
              <w:widowControl/>
              <w:suppressLineNumbers w:val="0"/>
              <w:kinsoku/>
              <w:wordWrap/>
              <w:overflowPunct/>
              <w:topLinePunct w:val="0"/>
              <w:bidi w:val="0"/>
              <w:spacing w:line="360" w:lineRule="auto"/>
              <w:jc w:val="left"/>
              <w:rPr>
                <w:highlight w:val="none"/>
              </w:rPr>
            </w:pPr>
            <w:r>
              <w:rPr>
                <w:rFonts w:ascii="Segoe UI Symbol" w:hAnsi="Segoe UI Symbol" w:eastAsia="Segoe UI Symbol" w:cs="Segoe UI Symbol"/>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 xml:space="preserve">联合体投标的，联合体各方均需按招标文件第四部分评标标准要求提供资信证明文件，否则视为不符合相关要求。 </w:t>
            </w:r>
          </w:p>
          <w:p w14:paraId="0E434C17">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b/>
                <w:bCs/>
                <w:sz w:val="24"/>
                <w:highlight w:val="none"/>
                <w:lang w:eastAsia="zh-CN"/>
              </w:rPr>
            </w:pPr>
            <w:r>
              <w:rPr>
                <w:rFonts w:ascii="Wingdings" w:hAnsi="Wingdings" w:eastAsia="宋体" w:cs="Wingdings"/>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联合体投标的，联合体中有一方或者联合体成员根据分工按招标文件第四部分</w:t>
            </w:r>
            <w:r>
              <w:rPr>
                <w:rFonts w:hint="eastAsia" w:ascii="宋体" w:hAnsi="宋体" w:eastAsia="宋体" w:cs="宋体"/>
                <w:sz w:val="24"/>
                <w:highlight w:val="none"/>
                <w:lang w:val="en-US" w:eastAsia="zh-CN"/>
              </w:rPr>
              <w:t xml:space="preserve">评标标准要求提供资信证明文件的，视为符合了相关要求。 </w:t>
            </w:r>
          </w:p>
        </w:tc>
      </w:tr>
      <w:tr w14:paraId="469A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CEA540">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rPr>
              <w:t>14</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1440E38">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b w:val="0"/>
                <w:bCs w:val="0"/>
                <w:sz w:val="24"/>
                <w:highlight w:val="none"/>
              </w:rPr>
            </w:pPr>
            <w:r>
              <w:rPr>
                <w:rFonts w:hint="eastAsia" w:ascii="宋体" w:hAnsi="宋体" w:eastAsia="宋体" w:cs="宋体"/>
                <w:b w:val="0"/>
                <w:bCs w:val="0"/>
                <w:sz w:val="24"/>
                <w:highlight w:val="none"/>
                <w:lang w:eastAsia="zh-CN"/>
              </w:rPr>
              <w:t>转包与分包</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4B694249">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sz w:val="24"/>
                <w:highlight w:val="none"/>
              </w:rPr>
            </w:pPr>
            <w:r>
              <w:rPr>
                <w:rFonts w:hint="eastAsia" w:ascii="宋体" w:hAnsi="宋体" w:cs="宋体"/>
                <w:sz w:val="24"/>
                <w:highlight w:val="none"/>
              </w:rPr>
              <w:sym w:font="Wingdings" w:char="00A8"/>
            </w:r>
            <w:r>
              <w:rPr>
                <w:rFonts w:hint="eastAsia" w:ascii="宋体" w:hAnsi="宋体" w:cs="宋体"/>
                <w:sz w:val="24"/>
                <w:highlight w:val="none"/>
              </w:rPr>
              <w:t>A同意将非主体、非关键性的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r>
              <w:rPr>
                <w:rFonts w:hint="eastAsia" w:ascii="宋体" w:hAnsi="宋体" w:cs="宋体"/>
                <w:sz w:val="24"/>
                <w:highlight w:val="none"/>
                <w:lang w:val="en-US" w:eastAsia="zh-CN"/>
              </w:rPr>
              <w:t>与转包</w:t>
            </w:r>
            <w:r>
              <w:rPr>
                <w:rFonts w:hint="eastAsia" w:ascii="宋体" w:hAnsi="宋体" w:cs="宋体"/>
                <w:sz w:val="24"/>
                <w:highlight w:val="none"/>
              </w:rPr>
              <w:t>。</w:t>
            </w:r>
          </w:p>
          <w:p w14:paraId="191E416A">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b/>
                <w:bCs/>
                <w:sz w:val="24"/>
                <w:highlight w:val="none"/>
                <w:lang w:eastAsia="zh-CN"/>
              </w:rPr>
            </w:pPr>
            <w:r>
              <w:rPr>
                <w:rFonts w:hint="eastAsia" w:ascii="宋体" w:hAnsi="宋体" w:cs="宋体"/>
                <w:sz w:val="24"/>
                <w:highlight w:val="none"/>
              </w:rPr>
              <w:sym w:font="Wingdings" w:char="F0FE"/>
            </w:r>
            <w:r>
              <w:rPr>
                <w:rFonts w:hint="eastAsia" w:ascii="宋体" w:hAnsi="宋体" w:cs="宋体"/>
                <w:sz w:val="24"/>
                <w:highlight w:val="none"/>
              </w:rPr>
              <w:t xml:space="preserve"> B不同意分包</w:t>
            </w:r>
            <w:r>
              <w:rPr>
                <w:rFonts w:hint="eastAsia" w:ascii="宋体" w:hAnsi="宋体" w:cs="宋体"/>
                <w:sz w:val="24"/>
                <w:highlight w:val="none"/>
                <w:lang w:val="en-US" w:eastAsia="zh-CN"/>
              </w:rPr>
              <w:t>与转包</w:t>
            </w:r>
            <w:r>
              <w:rPr>
                <w:rFonts w:hint="eastAsia" w:ascii="宋体" w:hAnsi="宋体" w:cs="宋体"/>
                <w:sz w:val="24"/>
                <w:highlight w:val="none"/>
              </w:rPr>
              <w:t>。</w:t>
            </w:r>
          </w:p>
        </w:tc>
      </w:tr>
      <w:tr w14:paraId="71F84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968ECA">
            <w:pPr>
              <w:keepNext w:val="0"/>
              <w:keepLines w:val="0"/>
              <w:pageBreakBefore w:val="0"/>
              <w:kinsoku/>
              <w:wordWrap/>
              <w:overflowPunct/>
              <w:topLinePunct w:val="0"/>
              <w:bidi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15</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ADEBB2D">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b w:val="0"/>
                <w:bCs w:val="0"/>
                <w:sz w:val="24"/>
                <w:highlight w:val="none"/>
              </w:rPr>
            </w:pPr>
            <w:r>
              <w:rPr>
                <w:rFonts w:ascii="宋体" w:hAnsi="宋体" w:cs="宋体"/>
                <w:b w:val="0"/>
                <w:bCs w:val="0"/>
                <w:sz w:val="24"/>
                <w:highlight w:val="none"/>
              </w:rPr>
              <w:t>环境标志产品</w:t>
            </w:r>
            <w:r>
              <w:rPr>
                <w:rFonts w:hint="eastAsia" w:ascii="宋体" w:hAnsi="宋体" w:cs="宋体"/>
                <w:b w:val="0"/>
                <w:bCs w:val="0"/>
                <w:sz w:val="24"/>
                <w:highlight w:val="none"/>
                <w:lang w:eastAsia="zh-CN"/>
              </w:rPr>
              <w:t>、</w:t>
            </w:r>
            <w:r>
              <w:rPr>
                <w:rFonts w:ascii="宋体" w:hAnsi="宋体" w:cs="宋体"/>
                <w:b w:val="0"/>
                <w:bCs w:val="0"/>
                <w:sz w:val="24"/>
                <w:highlight w:val="none"/>
              </w:rPr>
              <w:t>节能产品</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786E34CE">
            <w:pPr>
              <w:keepNext w:val="0"/>
              <w:keepLines w:val="0"/>
              <w:pageBreakBefore w:val="0"/>
              <w:kinsoku/>
              <w:wordWrap/>
              <w:overflowPunct/>
              <w:topLinePunct w:val="0"/>
              <w:autoSpaceDE w:val="0"/>
              <w:autoSpaceDN w:val="0"/>
              <w:bidi w:val="0"/>
              <w:adjustRightInd w:val="0"/>
              <w:spacing w:line="360" w:lineRule="auto"/>
              <w:rPr>
                <w:rFonts w:ascii="宋体" w:hAnsi="宋体" w:cs="宋体"/>
                <w:sz w:val="24"/>
                <w:highlight w:val="none"/>
              </w:rPr>
            </w:pPr>
            <w:r>
              <w:rPr>
                <w:rFonts w:hint="eastAsia" w:ascii="宋体" w:hAnsi="宋体" w:cs="宋体"/>
                <w:sz w:val="24"/>
                <w:highlight w:val="none"/>
              </w:rPr>
              <w:t>（1）严格执行《财政部 发展改革委 生态环境部 市场监管总局关于调整优化节能产品、环境标志产品政府采购执行机制的通知》（财库〔2019〕9号）。</w:t>
            </w:r>
          </w:p>
          <w:p w14:paraId="52F4CE4F">
            <w:pPr>
              <w:keepNext w:val="0"/>
              <w:keepLines w:val="0"/>
              <w:pageBreakBefore w:val="0"/>
              <w:kinsoku/>
              <w:wordWrap/>
              <w:overflowPunct/>
              <w:topLinePunct w:val="0"/>
              <w:autoSpaceDE w:val="0"/>
              <w:autoSpaceDN w:val="0"/>
              <w:bidi w:val="0"/>
              <w:adjustRightInd w:val="0"/>
              <w:spacing w:line="360" w:lineRule="auto"/>
              <w:rPr>
                <w:rFonts w:ascii="宋体" w:hAnsi="宋体" w:cs="宋体"/>
                <w:sz w:val="24"/>
                <w:highlight w:val="none"/>
              </w:rPr>
            </w:pPr>
            <w:r>
              <w:rPr>
                <w:rFonts w:hint="eastAsia" w:ascii="宋体" w:hAnsi="宋体" w:cs="宋体"/>
                <w:sz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723B89BE">
            <w:pPr>
              <w:keepNext w:val="0"/>
              <w:keepLines w:val="0"/>
              <w:pageBreakBefore w:val="0"/>
              <w:kinsoku/>
              <w:wordWrap/>
              <w:overflowPunct/>
              <w:topLinePunct w:val="0"/>
              <w:autoSpaceDE w:val="0"/>
              <w:autoSpaceDN w:val="0"/>
              <w:bidi w:val="0"/>
              <w:adjustRightInd w:val="0"/>
              <w:spacing w:line="360" w:lineRule="auto"/>
              <w:rPr>
                <w:rFonts w:ascii="宋体" w:hAnsi="宋体" w:cs="宋体"/>
                <w:sz w:val="24"/>
                <w:highlight w:val="none"/>
              </w:rPr>
            </w:pPr>
            <w:r>
              <w:rPr>
                <w:rFonts w:hint="eastAsia" w:ascii="宋体" w:hAnsi="宋体" w:cs="宋体"/>
                <w:sz w:val="24"/>
                <w:highlight w:val="none"/>
              </w:rPr>
              <w:t>（3）采购人拟采购的产品属于政府强制采购的节能产品品目清单范围的，供应商未按采购文件要求提供国家确定的认证机构出具的、处于有效期之内的节能产品认证证书，投标无效。</w:t>
            </w:r>
          </w:p>
          <w:p w14:paraId="35EDA47D">
            <w:pPr>
              <w:keepNext w:val="0"/>
              <w:keepLines w:val="0"/>
              <w:pageBreakBefore w:val="0"/>
              <w:kinsoku/>
              <w:wordWrap/>
              <w:overflowPunct/>
              <w:topLinePunct w:val="0"/>
              <w:autoSpaceDE w:val="0"/>
              <w:autoSpaceDN w:val="0"/>
              <w:bidi w:val="0"/>
              <w:adjustRightInd w:val="0"/>
              <w:spacing w:line="360" w:lineRule="auto"/>
              <w:rPr>
                <w:rFonts w:ascii="宋体" w:hAnsi="宋体" w:cs="宋体"/>
                <w:sz w:val="24"/>
                <w:highlight w:val="none"/>
              </w:rPr>
            </w:pPr>
            <w:r>
              <w:rPr>
                <w:rFonts w:hint="eastAsia" w:ascii="宋体" w:hAnsi="宋体" w:cs="宋体"/>
                <w:sz w:val="24"/>
                <w:highlight w:val="none"/>
              </w:rPr>
              <w:t>属于政府优先采购产品类别的，须按照要求提供依据国家确定的认证机构出具的、处于有效期之内的节能产品或环境标志产品认证证书，否则不予认定。</w:t>
            </w:r>
          </w:p>
          <w:p w14:paraId="23AA411F">
            <w:pPr>
              <w:keepNext w:val="0"/>
              <w:keepLines w:val="0"/>
              <w:pageBreakBefore w:val="0"/>
              <w:kinsoku/>
              <w:wordWrap/>
              <w:overflowPunct/>
              <w:topLinePunct w:val="0"/>
              <w:autoSpaceDE w:val="0"/>
              <w:autoSpaceDN w:val="0"/>
              <w:bidi w:val="0"/>
              <w:adjustRightInd w:val="0"/>
              <w:spacing w:line="360" w:lineRule="auto"/>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eq \o\ac(□,√)</w:instrText>
            </w:r>
            <w:r>
              <w:rPr>
                <w:rFonts w:hint="eastAsia" w:ascii="宋体" w:hAnsi="宋体" w:cs="宋体"/>
                <w:sz w:val="24"/>
                <w:highlight w:val="none"/>
              </w:rPr>
              <w:fldChar w:fldCharType="end"/>
            </w:r>
            <w:r>
              <w:rPr>
                <w:rFonts w:hint="eastAsia" w:ascii="宋体" w:hAnsi="宋体" w:cs="宋体"/>
                <w:sz w:val="24"/>
                <w:highlight w:val="none"/>
              </w:rPr>
              <w:t xml:space="preserve">不适用  □适用  </w:t>
            </w:r>
          </w:p>
        </w:tc>
      </w:tr>
      <w:tr w14:paraId="07D8D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D87DC7">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rPr>
              <w:t>16</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BD3C3C1">
            <w:pPr>
              <w:pStyle w:val="16"/>
              <w:keepNext w:val="0"/>
              <w:keepLines w:val="0"/>
              <w:pageBreakBefore w:val="0"/>
              <w:kinsoku/>
              <w:wordWrap/>
              <w:overflowPunct/>
              <w:topLinePunct w:val="0"/>
              <w:bidi w:val="0"/>
              <w:snapToGrid w:val="0"/>
              <w:spacing w:line="360" w:lineRule="auto"/>
              <w:jc w:val="center"/>
              <w:rPr>
                <w:rFonts w:hint="eastAsia" w:hAnsi="宋体" w:cs="宋体"/>
                <w:b w:val="0"/>
                <w:bCs w:val="0"/>
                <w:sz w:val="24"/>
                <w:szCs w:val="24"/>
                <w:highlight w:val="none"/>
              </w:rPr>
            </w:pPr>
            <w:r>
              <w:rPr>
                <w:rFonts w:hint="eastAsia" w:hAnsi="宋体" w:cs="宋体"/>
                <w:b w:val="0"/>
                <w:bCs w:val="0"/>
                <w:sz w:val="24"/>
                <w:szCs w:val="24"/>
                <w:highlight w:val="none"/>
                <w:lang w:val="en-US" w:eastAsia="zh-CN"/>
              </w:rPr>
              <w:t>是否</w:t>
            </w:r>
            <w:r>
              <w:rPr>
                <w:rFonts w:hint="eastAsia" w:hAnsi="宋体" w:cs="宋体"/>
                <w:b w:val="0"/>
                <w:bCs w:val="0"/>
                <w:sz w:val="24"/>
                <w:szCs w:val="24"/>
                <w:highlight w:val="none"/>
              </w:rPr>
              <w:t>踏勘现场</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26D29631">
            <w:pPr>
              <w:pStyle w:val="16"/>
              <w:keepNext w:val="0"/>
              <w:keepLines w:val="0"/>
              <w:pageBreakBefore w:val="0"/>
              <w:kinsoku/>
              <w:wordWrap/>
              <w:overflowPunct/>
              <w:topLinePunct w:val="0"/>
              <w:bidi w:val="0"/>
              <w:snapToGrid w:val="0"/>
              <w:spacing w:line="360" w:lineRule="auto"/>
              <w:rPr>
                <w:rFonts w:hint="eastAsia" w:ascii="宋体" w:hAnsi="宋体" w:eastAsia="宋体" w:cs="Times New Roman"/>
                <w:kern w:val="2"/>
                <w:sz w:val="24"/>
                <w:szCs w:val="24"/>
                <w:highlight w:val="none"/>
                <w:lang w:val="en-US" w:eastAsia="zh-CN" w:bidi="ar-SA"/>
              </w:rPr>
            </w:pPr>
            <w:r>
              <w:rPr>
                <w:rFonts w:hint="eastAsia" w:hAnsi="宋体" w:cs="宋体"/>
                <w:b w:val="0"/>
                <w:bCs w:val="0"/>
                <w:sz w:val="24"/>
                <w:szCs w:val="24"/>
                <w:highlight w:val="none"/>
              </w:rPr>
              <w:t>采购人不组织踏勘现场，但投标人可自行安排踏勘现场情况和周边的情况，掌握和分析与投标和报价相关的一切信息，并自行承担踏勘现场的一切费用和风险。</w:t>
            </w:r>
          </w:p>
        </w:tc>
      </w:tr>
      <w:tr w14:paraId="0C909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483AFA">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17</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60102FC">
            <w:pPr>
              <w:snapToGrid w:val="0"/>
              <w:spacing w:line="360" w:lineRule="auto"/>
              <w:jc w:val="center"/>
              <w:rPr>
                <w:rFonts w:hint="eastAsia" w:hAnsi="宋体" w:cs="宋体"/>
                <w:b w:val="0"/>
                <w:bCs w:val="0"/>
                <w:sz w:val="24"/>
                <w:szCs w:val="24"/>
                <w:highlight w:val="none"/>
                <w:lang w:val="en-US" w:eastAsia="zh-CN"/>
              </w:rPr>
            </w:pPr>
            <w:r>
              <w:rPr>
                <w:rFonts w:hint="eastAsia" w:ascii="宋体" w:hAnsi="宋体" w:cs="宋体"/>
                <w:b w:val="0"/>
                <w:bCs w:val="0"/>
                <w:kern w:val="0"/>
                <w:sz w:val="24"/>
                <w:highlight w:val="none"/>
              </w:rPr>
              <w:t>是否允许采购进口产品</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74A70E1C">
            <w:pPr>
              <w:spacing w:line="360" w:lineRule="auto"/>
              <w:rPr>
                <w:rFonts w:ascii="宋体" w:hAnsi="宋体" w:cs="宋体"/>
                <w:kern w:val="0"/>
                <w:sz w:val="24"/>
                <w:highlight w:val="none"/>
              </w:rPr>
            </w:pPr>
            <w:r>
              <w:rPr>
                <w:rFonts w:hint="eastAsia" w:ascii="宋体" w:hAnsi="宋体" w:cs="宋体"/>
                <w:kern w:val="0"/>
                <w:sz w:val="24"/>
                <w:highlight w:val="none"/>
              </w:rPr>
              <w:sym w:font="Wingdings 2" w:char="0052"/>
            </w:r>
            <w:r>
              <w:rPr>
                <w:rFonts w:hint="eastAsia" w:ascii="宋体" w:hAnsi="宋体" w:cs="宋体"/>
                <w:kern w:val="0"/>
                <w:sz w:val="24"/>
                <w:highlight w:val="none"/>
              </w:rPr>
              <w:t>本项目不允许采购进口产品。</w:t>
            </w:r>
          </w:p>
          <w:p w14:paraId="07270CB1">
            <w:pPr>
              <w:snapToGrid w:val="0"/>
              <w:spacing w:line="360" w:lineRule="auto"/>
              <w:rPr>
                <w:rFonts w:hint="eastAsia" w:hAnsi="宋体" w:cs="宋体"/>
                <w:b/>
                <w:bCs/>
                <w:sz w:val="24"/>
                <w:szCs w:val="24"/>
                <w:highlight w:val="none"/>
              </w:rPr>
            </w:pPr>
            <w:r>
              <w:rPr>
                <w:rFonts w:hint="eastAsia" w:ascii="宋体" w:hAnsi="宋体" w:cs="宋体"/>
                <w:kern w:val="0"/>
                <w:sz w:val="24"/>
                <w:highlight w:val="none"/>
              </w:rPr>
              <w:sym w:font="Wingdings 2" w:char="00A3"/>
            </w: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1A9CB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D3B5A6">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rPr>
              <w:t>18</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717AB79">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b w:val="0"/>
                <w:bCs w:val="0"/>
                <w:sz w:val="24"/>
                <w:highlight w:val="none"/>
              </w:rPr>
            </w:pPr>
            <w:r>
              <w:rPr>
                <w:rFonts w:hint="eastAsia" w:ascii="宋体" w:hAnsi="宋体"/>
                <w:b w:val="0"/>
                <w:bCs w:val="0"/>
                <w:sz w:val="24"/>
                <w:highlight w:val="none"/>
              </w:rPr>
              <w:t>政采贷</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2D6E4F77">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b/>
                <w:bCs/>
                <w:sz w:val="24"/>
                <w:highlight w:val="none"/>
                <w:lang w:eastAsia="zh-CN"/>
              </w:rPr>
            </w:pPr>
            <w:r>
              <w:rPr>
                <w:rFonts w:hint="eastAsia" w:ascii="宋体" w:hAnsi="宋体"/>
                <w:sz w:val="24"/>
                <w:highlight w:val="none"/>
              </w:rPr>
              <w:t>本采购项目，中标单位与采购单位签订的政府采购合同适用于政府采购贷款政策，简称“政采贷”，具体内容详见 附件《政府采购支持中小企业信用融资相关事项通知》。本项目中的履约保函也可通过政采云系统办理。</w:t>
            </w:r>
          </w:p>
        </w:tc>
      </w:tr>
      <w:tr w14:paraId="09815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380AB">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19</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6F65F2F">
            <w:pPr>
              <w:keepNext w:val="0"/>
              <w:keepLines w:val="0"/>
              <w:pageBreakBefore w:val="0"/>
              <w:kinsoku/>
              <w:wordWrap/>
              <w:overflowPunct/>
              <w:topLinePunct w:val="0"/>
              <w:autoSpaceDE w:val="0"/>
              <w:autoSpaceDN w:val="0"/>
              <w:bidi w:val="0"/>
              <w:adjustRightInd w:val="0"/>
              <w:spacing w:line="360" w:lineRule="auto"/>
              <w:jc w:val="center"/>
              <w:rPr>
                <w:rFonts w:hint="eastAsia"/>
                <w:b w:val="0"/>
                <w:bCs w:val="0"/>
                <w:kern w:val="0"/>
                <w:sz w:val="24"/>
                <w:highlight w:val="none"/>
              </w:rPr>
            </w:pPr>
            <w:r>
              <w:rPr>
                <w:rFonts w:hint="eastAsia"/>
                <w:b w:val="0"/>
                <w:bCs w:val="0"/>
                <w:kern w:val="0"/>
                <w:sz w:val="24"/>
                <w:highlight w:val="none"/>
                <w:lang w:val="en-US" w:eastAsia="zh-CN"/>
              </w:rPr>
              <w:t>支持中小企业发展</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0C5D76D2">
            <w:pPr>
              <w:keepNext w:val="0"/>
              <w:keepLines w:val="0"/>
              <w:pageBreakBefore w:val="0"/>
              <w:kinsoku/>
              <w:wordWrap/>
              <w:overflowPunct/>
              <w:topLinePunct w:val="0"/>
              <w:bidi w:val="0"/>
              <w:spacing w:line="360" w:lineRule="auto"/>
              <w:rPr>
                <w:kern w:val="0"/>
                <w:sz w:val="24"/>
                <w:highlight w:val="none"/>
              </w:rPr>
            </w:pPr>
            <w:r>
              <w:rPr>
                <w:kern w:val="0"/>
                <w:sz w:val="24"/>
                <w:highlight w:val="none"/>
              </w:rPr>
              <w:t>1）本次采购为</w:t>
            </w:r>
            <w:r>
              <w:rPr>
                <w:rFonts w:hint="eastAsia"/>
                <w:kern w:val="0"/>
                <w:sz w:val="24"/>
                <w:highlight w:val="none"/>
                <w:lang w:val="en-US" w:eastAsia="zh-CN"/>
              </w:rPr>
              <w:t>专门</w:t>
            </w:r>
            <w:r>
              <w:rPr>
                <w:kern w:val="0"/>
                <w:sz w:val="24"/>
                <w:highlight w:val="none"/>
              </w:rPr>
              <w:t>面向中小企业预留采购份额的采购项目。</w:t>
            </w:r>
          </w:p>
          <w:p w14:paraId="75AA445B">
            <w:pPr>
              <w:keepNext w:val="0"/>
              <w:keepLines w:val="0"/>
              <w:pageBreakBefore w:val="0"/>
              <w:kinsoku/>
              <w:wordWrap/>
              <w:overflowPunct/>
              <w:topLinePunct w:val="0"/>
              <w:bidi w:val="0"/>
              <w:spacing w:line="360" w:lineRule="auto"/>
              <w:rPr>
                <w:kern w:val="0"/>
                <w:sz w:val="24"/>
                <w:highlight w:val="none"/>
              </w:rPr>
            </w:pPr>
            <w:r>
              <w:rPr>
                <w:kern w:val="0"/>
                <w:sz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DF59167">
            <w:pPr>
              <w:keepNext w:val="0"/>
              <w:keepLines w:val="0"/>
              <w:pageBreakBefore w:val="0"/>
              <w:kinsoku/>
              <w:wordWrap/>
              <w:overflowPunct/>
              <w:topLinePunct w:val="0"/>
              <w:bidi w:val="0"/>
              <w:spacing w:line="360" w:lineRule="auto"/>
              <w:rPr>
                <w:b w:val="0"/>
                <w:bCs w:val="0"/>
                <w:kern w:val="0"/>
                <w:sz w:val="24"/>
                <w:highlight w:val="none"/>
                <w:u w:val="single"/>
              </w:rPr>
            </w:pPr>
            <w:r>
              <w:rPr>
                <w:kern w:val="0"/>
                <w:sz w:val="24"/>
                <w:highlight w:val="none"/>
              </w:rPr>
              <w:t>3）本次采</w:t>
            </w:r>
            <w:r>
              <w:rPr>
                <w:b w:val="0"/>
                <w:bCs w:val="0"/>
                <w:kern w:val="0"/>
                <w:sz w:val="24"/>
                <w:highlight w:val="none"/>
              </w:rPr>
              <w:t>购标的为</w:t>
            </w:r>
            <w:r>
              <w:rPr>
                <w:rFonts w:hint="eastAsia"/>
                <w:b w:val="0"/>
                <w:bCs w:val="0"/>
                <w:kern w:val="0"/>
                <w:sz w:val="24"/>
                <w:highlight w:val="none"/>
                <w:u w:val="single"/>
              </w:rPr>
              <w:t>服务</w:t>
            </w:r>
            <w:r>
              <w:rPr>
                <w:b w:val="0"/>
                <w:bCs w:val="0"/>
                <w:kern w:val="0"/>
                <w:sz w:val="24"/>
                <w:highlight w:val="none"/>
              </w:rPr>
              <w:t>，对应的中小企业划分标准所属行业是：</w:t>
            </w:r>
            <w:r>
              <w:rPr>
                <w:rFonts w:hint="eastAsia"/>
                <w:b w:val="0"/>
                <w:bCs w:val="0"/>
                <w:kern w:val="0"/>
                <w:sz w:val="24"/>
                <w:highlight w:val="none"/>
                <w:u w:val="single"/>
              </w:rPr>
              <w:t>软件和信息技术服务业</w:t>
            </w:r>
            <w:r>
              <w:rPr>
                <w:b w:val="0"/>
                <w:bCs w:val="0"/>
                <w:kern w:val="0"/>
                <w:sz w:val="24"/>
                <w:highlight w:val="none"/>
              </w:rPr>
              <w:t>（</w:t>
            </w:r>
            <w:r>
              <w:rPr>
                <w:rFonts w:hint="eastAsia"/>
                <w:b w:val="0"/>
                <w:bCs w:val="0"/>
                <w:kern w:val="0"/>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b w:val="0"/>
                <w:bCs w:val="0"/>
                <w:kern w:val="0"/>
                <w:sz w:val="24"/>
                <w:highlight w:val="none"/>
              </w:rPr>
              <w:t>）</w:t>
            </w:r>
          </w:p>
          <w:p w14:paraId="68C9BF3B">
            <w:pPr>
              <w:keepNext w:val="0"/>
              <w:keepLines w:val="0"/>
              <w:pageBreakBefore w:val="0"/>
              <w:kinsoku/>
              <w:wordWrap/>
              <w:overflowPunct/>
              <w:topLinePunct w:val="0"/>
              <w:bidi w:val="0"/>
              <w:spacing w:line="360" w:lineRule="auto"/>
              <w:rPr>
                <w:b w:val="0"/>
                <w:bCs w:val="0"/>
                <w:kern w:val="0"/>
                <w:sz w:val="24"/>
                <w:highlight w:val="none"/>
              </w:rPr>
            </w:pPr>
            <w:r>
              <w:rPr>
                <w:b w:val="0"/>
                <w:bCs w:val="0"/>
                <w:kern w:val="0"/>
                <w:sz w:val="24"/>
                <w:highlight w:val="none"/>
              </w:rPr>
              <w:t>4）以联合体形式参加采购活动，联合体各方均为小微企业的，联合体视同小微企业。</w:t>
            </w:r>
          </w:p>
          <w:p w14:paraId="56CAE4A7">
            <w:pPr>
              <w:keepNext w:val="0"/>
              <w:keepLines w:val="0"/>
              <w:pageBreakBefore w:val="0"/>
              <w:kinsoku/>
              <w:wordWrap/>
              <w:overflowPunct/>
              <w:topLinePunct w:val="0"/>
              <w:bidi w:val="0"/>
              <w:spacing w:line="360" w:lineRule="auto"/>
              <w:rPr>
                <w:b w:val="0"/>
                <w:bCs w:val="0"/>
                <w:kern w:val="0"/>
                <w:sz w:val="24"/>
                <w:highlight w:val="none"/>
              </w:rPr>
            </w:pPr>
            <w:r>
              <w:rPr>
                <w:b w:val="0"/>
                <w:bCs w:val="0"/>
                <w:kern w:val="0"/>
                <w:sz w:val="24"/>
                <w:highlight w:val="none"/>
              </w:rPr>
              <w:t>5）符合小微企业划分标准的个体工商户，视同小微企业。</w:t>
            </w:r>
          </w:p>
          <w:p w14:paraId="6D11B120">
            <w:pPr>
              <w:keepNext w:val="0"/>
              <w:keepLines w:val="0"/>
              <w:pageBreakBefore w:val="0"/>
              <w:kinsoku/>
              <w:wordWrap/>
              <w:overflowPunct/>
              <w:topLinePunct w:val="0"/>
              <w:bidi w:val="0"/>
              <w:spacing w:line="360" w:lineRule="auto"/>
              <w:rPr>
                <w:b w:val="0"/>
                <w:bCs w:val="0"/>
                <w:kern w:val="0"/>
                <w:sz w:val="24"/>
                <w:highlight w:val="none"/>
              </w:rPr>
            </w:pPr>
            <w:r>
              <w:rPr>
                <w:b w:val="0"/>
                <w:bCs w:val="0"/>
                <w:kern w:val="0"/>
                <w:sz w:val="24"/>
                <w:highlight w:val="none"/>
              </w:rPr>
              <w:t>6）参加本次采购活动的供应商</w:t>
            </w:r>
            <w:r>
              <w:rPr>
                <w:rFonts w:hint="eastAsia"/>
                <w:b w:val="0"/>
                <w:bCs w:val="0"/>
                <w:kern w:val="0"/>
                <w:sz w:val="24"/>
                <w:highlight w:val="none"/>
                <w:u w:val="single"/>
              </w:rPr>
              <w:t>服务全部由符合政策要求的中小企业承接</w:t>
            </w:r>
            <w:r>
              <w:rPr>
                <w:b w:val="0"/>
                <w:bCs w:val="0"/>
                <w:kern w:val="0"/>
                <w:sz w:val="24"/>
                <w:highlight w:val="none"/>
              </w:rPr>
              <w:t>的，</w:t>
            </w:r>
            <w:r>
              <w:rPr>
                <w:rFonts w:hint="eastAsia"/>
                <w:b w:val="0"/>
                <w:bCs w:val="0"/>
                <w:kern w:val="0"/>
                <w:sz w:val="24"/>
                <w:highlight w:val="none"/>
                <w:lang w:val="en-US" w:eastAsia="zh-CN"/>
              </w:rPr>
              <w:t>小型和微型企业对</w:t>
            </w:r>
            <w:r>
              <w:rPr>
                <w:b w:val="0"/>
                <w:bCs w:val="0"/>
                <w:kern w:val="0"/>
                <w:sz w:val="24"/>
                <w:highlight w:val="none"/>
              </w:rPr>
              <w:t>其报价给予</w:t>
            </w:r>
            <w:r>
              <w:rPr>
                <w:rFonts w:hint="eastAsia"/>
                <w:b w:val="0"/>
                <w:bCs w:val="0"/>
                <w:kern w:val="0"/>
                <w:sz w:val="24"/>
                <w:highlight w:val="none"/>
                <w:u w:val="single"/>
                <w:lang w:val="en-US" w:eastAsia="zh-CN"/>
              </w:rPr>
              <w:t xml:space="preserve"> /</w:t>
            </w:r>
            <w:r>
              <w:rPr>
                <w:b w:val="0"/>
                <w:bCs w:val="0"/>
                <w:kern w:val="0"/>
                <w:sz w:val="24"/>
                <w:highlight w:val="none"/>
                <w:u w:val="single"/>
              </w:rPr>
              <w:t>%</w:t>
            </w:r>
            <w:r>
              <w:rPr>
                <w:b w:val="0"/>
                <w:bCs w:val="0"/>
                <w:kern w:val="0"/>
                <w:sz w:val="24"/>
                <w:highlight w:val="none"/>
              </w:rPr>
              <w:t>的扣除，用扣除后的价格参加评审。</w:t>
            </w:r>
          </w:p>
          <w:p w14:paraId="5298BFB2">
            <w:pPr>
              <w:keepNext w:val="0"/>
              <w:keepLines w:val="0"/>
              <w:pageBreakBefore w:val="0"/>
              <w:kinsoku/>
              <w:wordWrap/>
              <w:overflowPunct/>
              <w:topLinePunct w:val="0"/>
              <w:bidi w:val="0"/>
              <w:spacing w:line="360" w:lineRule="auto"/>
              <w:rPr>
                <w:kern w:val="0"/>
                <w:sz w:val="24"/>
                <w:highlight w:val="none"/>
              </w:rPr>
            </w:pPr>
            <w:r>
              <w:rPr>
                <w:rFonts w:hint="eastAsia"/>
                <w:b w:val="0"/>
                <w:bCs w:val="0"/>
                <w:kern w:val="0"/>
                <w:sz w:val="24"/>
                <w:highlight w:val="none"/>
              </w:rPr>
              <w:t>7</w:t>
            </w:r>
            <w:r>
              <w:rPr>
                <w:b w:val="0"/>
                <w:bCs w:val="0"/>
                <w:kern w:val="0"/>
                <w:sz w:val="24"/>
                <w:highlight w:val="none"/>
              </w:rPr>
              <w:t>）残疾人福利性单位视同小微企业，享受小微企业同等的价格扣除。残疾人福利性单位参加采购活动时，应当</w:t>
            </w:r>
            <w:r>
              <w:rPr>
                <w:kern w:val="0"/>
                <w:sz w:val="24"/>
                <w:highlight w:val="none"/>
              </w:rPr>
              <w:t>提供《残疾人福利性单位声明函》。</w:t>
            </w:r>
          </w:p>
          <w:p w14:paraId="64101B37">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kern w:val="0"/>
                <w:sz w:val="24"/>
                <w:highlight w:val="none"/>
              </w:rPr>
              <w:t>8</w:t>
            </w:r>
            <w:r>
              <w:rPr>
                <w:kern w:val="0"/>
                <w:sz w:val="24"/>
                <w:highlight w:val="none"/>
              </w:rPr>
              <w:t>）监狱企业视同小微企业，享受小微企业同等的价格扣除。监狱企业参加采购活动时，应当出具省级以上监狱管理局、戒毒管理局（含新疆生产建设兵团）提供的属于监狱企业的证明文件。</w:t>
            </w:r>
          </w:p>
        </w:tc>
      </w:tr>
      <w:tr w14:paraId="36057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136BDB">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20</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B94C8C1">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b w:val="0"/>
                <w:bCs w:val="0"/>
                <w:sz w:val="24"/>
                <w:highlight w:val="none"/>
              </w:rPr>
            </w:pPr>
            <w:r>
              <w:rPr>
                <w:rFonts w:hint="eastAsia" w:ascii="宋体" w:hAnsi="宋体"/>
                <w:b w:val="0"/>
                <w:bCs w:val="0"/>
                <w:sz w:val="24"/>
                <w:highlight w:val="none"/>
                <w:lang w:val="en-US" w:eastAsia="zh-CN"/>
              </w:rPr>
              <w:t>提醒</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5311DA93">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1）采购文件中凡标注“▲”的条款均为实质性要求，不响应的投标文件将作无效标处理。</w:t>
            </w:r>
          </w:p>
          <w:p w14:paraId="5C25CF97">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（2）供应商未上传电子加密投标文件，其投标无效。</w:t>
            </w:r>
          </w:p>
          <w:p w14:paraId="721DB4A1">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（3）供应商上传了电子加密投标文件，未提供备份投标文件，解密出现问题后，由此导致对该供应商投标无法评审的，其后果由该供应商自行承担。</w:t>
            </w:r>
          </w:p>
          <w:p w14:paraId="46E580DE">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（4）各供应商自行在浙江政府采购网下载或查阅采购文件和相关更正公告等，不另行通知，如有遗漏采购人、采购代理机构概不负责。</w:t>
            </w:r>
          </w:p>
          <w:p w14:paraId="20761C1E">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（5）</w:t>
            </w:r>
            <w:r>
              <w:rPr>
                <w:rFonts w:hint="eastAsia" w:ascii="宋体" w:hAnsi="宋体"/>
                <w:b w:val="0"/>
                <w:bCs w:val="0"/>
                <w:color w:val="auto"/>
                <w:sz w:val="24"/>
                <w:highlight w:val="none"/>
              </w:rPr>
              <w:t>采购文件中明确规定参与同一标项的供应商存在以下情形的，投标无效：MAC地址相同；计算机硬盘序列号相同；投标文件细节错误一致且无合理解释的；商务技术得分低于商务技术总分60%的</w:t>
            </w:r>
            <w:r>
              <w:rPr>
                <w:rFonts w:hint="eastAsia" w:ascii="宋体" w:hAnsi="宋体"/>
                <w:b w:val="0"/>
                <w:bCs w:val="0"/>
                <w:color w:val="auto"/>
                <w:sz w:val="24"/>
                <w:highlight w:val="none"/>
                <w:lang w:val="en-US" w:eastAsia="zh-CN"/>
              </w:rPr>
              <w:t>报价将被拒绝</w:t>
            </w:r>
            <w:r>
              <w:rPr>
                <w:rFonts w:hint="eastAsia" w:ascii="宋体" w:hAnsi="宋体"/>
                <w:b w:val="0"/>
                <w:bCs w:val="0"/>
                <w:color w:val="auto"/>
                <w:sz w:val="24"/>
                <w:highlight w:val="none"/>
              </w:rPr>
              <w:t>。</w:t>
            </w:r>
          </w:p>
        </w:tc>
      </w:tr>
      <w:tr w14:paraId="3116E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BABB66">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20</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95A8208">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lang w:eastAsia="zh-CN"/>
              </w:rPr>
              <w:t>特别提醒</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48F9C50C">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1.所有询标流程，均在线上完成，请各投标人务必不要离开电脑太久，并留意手机短信。（请提前检查“政采云”内，关于“项目采购”的岗位权限是否已勾选上。如有问题，请致电</w:t>
            </w:r>
            <w:r>
              <w:rPr>
                <w:rFonts w:hint="eastAsia" w:ascii="宋体" w:hAnsi="宋体"/>
                <w:sz w:val="24"/>
                <w:highlight w:val="none"/>
                <w:lang w:val="en-US" w:eastAsia="zh-CN"/>
              </w:rPr>
              <w:t>95763</w:t>
            </w:r>
            <w:r>
              <w:rPr>
                <w:rFonts w:hint="eastAsia" w:ascii="宋体" w:hAnsi="宋体"/>
                <w:sz w:val="24"/>
                <w:highlight w:val="none"/>
              </w:rPr>
              <w:t>）</w:t>
            </w:r>
          </w:p>
          <w:p w14:paraId="669B239A">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2.投标人无须到开标现场，只需自备电脑在规定时间前进行在线解密文件即可。</w:t>
            </w:r>
          </w:p>
        </w:tc>
      </w:tr>
      <w:tr w14:paraId="3AEB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85E673">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21</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46CF74E">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投标文件有效期</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2D614F74">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cs="宋体"/>
                <w:sz w:val="24"/>
                <w:highlight w:val="none"/>
                <w:u w:val="none"/>
                <w:lang w:val="en-US" w:eastAsia="zh-CN"/>
              </w:rPr>
              <w:t>9</w:t>
            </w:r>
            <w:r>
              <w:rPr>
                <w:rFonts w:hint="eastAsia" w:ascii="宋体" w:hAnsi="宋体" w:cs="宋体"/>
                <w:sz w:val="24"/>
                <w:highlight w:val="none"/>
                <w:u w:val="none"/>
              </w:rPr>
              <w:t xml:space="preserve">0 </w:t>
            </w:r>
            <w:r>
              <w:rPr>
                <w:rFonts w:hint="eastAsia" w:ascii="宋体" w:hAnsi="宋体" w:cs="宋体"/>
                <w:sz w:val="24"/>
                <w:highlight w:val="none"/>
              </w:rPr>
              <w:t>天</w:t>
            </w:r>
          </w:p>
        </w:tc>
      </w:tr>
      <w:tr w14:paraId="2ACEF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E4B0CAB">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22</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87464C7">
            <w:pPr>
              <w:keepNext w:val="0"/>
              <w:keepLines w:val="0"/>
              <w:pageBreakBefore w:val="0"/>
              <w:kinsoku/>
              <w:wordWrap/>
              <w:overflowPunct/>
              <w:topLinePunct w:val="0"/>
              <w:bidi w:val="0"/>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解释</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71B3F2F4">
            <w:pPr>
              <w:keepNext w:val="0"/>
              <w:keepLines w:val="0"/>
              <w:pageBreakBefore w:val="0"/>
              <w:kinsoku/>
              <w:wordWrap/>
              <w:overflowPunct/>
              <w:topLinePunct w:val="0"/>
              <w:bidi w:val="0"/>
              <w:snapToGrid w:val="0"/>
              <w:spacing w:line="360" w:lineRule="auto"/>
              <w:rPr>
                <w:rFonts w:hint="eastAsia" w:ascii="宋体" w:hAnsi="宋体" w:cs="宋体"/>
                <w:sz w:val="24"/>
                <w:highlight w:val="none"/>
              </w:rPr>
            </w:pPr>
            <w:r>
              <w:rPr>
                <w:rFonts w:hint="eastAsia" w:ascii="宋体" w:hAnsi="宋体" w:cs="宋体"/>
                <w:sz w:val="24"/>
                <w:highlight w:val="none"/>
              </w:rPr>
              <w:t>本招标文件的解释权属于招标采购单位。</w:t>
            </w:r>
          </w:p>
        </w:tc>
      </w:tr>
      <w:tr w14:paraId="2C727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54D40F8">
            <w:pPr>
              <w:keepNext w:val="0"/>
              <w:keepLines w:val="0"/>
              <w:pageBreakBefore w:val="0"/>
              <w:kinsoku/>
              <w:wordWrap/>
              <w:overflowPunct/>
              <w:topLinePunct w:val="0"/>
              <w:bidi w:val="0"/>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23</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2814A25">
            <w:pPr>
              <w:keepNext w:val="0"/>
              <w:keepLines w:val="0"/>
              <w:pageBreakBefore w:val="0"/>
              <w:kinsoku/>
              <w:wordWrap/>
              <w:overflowPunct/>
              <w:topLinePunct w:val="0"/>
              <w:bidi w:val="0"/>
              <w:snapToGrid w:val="0"/>
              <w:spacing w:line="360" w:lineRule="auto"/>
              <w:jc w:val="center"/>
              <w:rPr>
                <w:rFonts w:hint="eastAsia"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演示</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4B1E7E16">
            <w:pPr>
              <w:keepNext w:val="0"/>
              <w:keepLines w:val="0"/>
              <w:pageBreakBefore w:val="0"/>
              <w:kinsoku/>
              <w:wordWrap/>
              <w:overflowPunct/>
              <w:topLinePunct w:val="0"/>
              <w:bidi w:val="0"/>
              <w:snapToGrid w:val="0"/>
              <w:spacing w:line="360" w:lineRule="auto"/>
              <w:rPr>
                <w:rFonts w:hint="eastAsia" w:ascii="宋体" w:hAnsi="宋体" w:eastAsia="宋体" w:cs="宋体"/>
                <w:sz w:val="24"/>
                <w:highlight w:val="none"/>
                <w:lang w:eastAsia="zh-CN"/>
              </w:rPr>
            </w:pPr>
            <w:r>
              <w:rPr>
                <w:rFonts w:hint="eastAsia" w:ascii="宋体" w:hAnsi="宋体" w:cs="宋体"/>
                <w:color w:val="000000"/>
                <w:kern w:val="0"/>
                <w:sz w:val="24"/>
                <w:szCs w:val="24"/>
                <w:highlight w:val="none"/>
                <w:lang w:eastAsia="zh-CN" w:bidi="ar"/>
              </w:rPr>
              <w:t>按项目中要求提供功能演示的项目，须录制好时长为</w:t>
            </w:r>
            <w:r>
              <w:rPr>
                <w:rFonts w:hint="eastAsia" w:ascii="宋体" w:hAnsi="宋体" w:cs="宋体"/>
                <w:color w:val="000000"/>
                <w:kern w:val="0"/>
                <w:sz w:val="24"/>
                <w:szCs w:val="24"/>
                <w:highlight w:val="none"/>
                <w:lang w:val="en-US" w:eastAsia="zh-CN" w:bidi="ar"/>
              </w:rPr>
              <w:t>1</w:t>
            </w:r>
            <w:r>
              <w:rPr>
                <w:rFonts w:hint="eastAsia" w:ascii="宋体" w:hAnsi="宋体" w:cs="宋体"/>
                <w:color w:val="000000"/>
                <w:kern w:val="0"/>
                <w:sz w:val="24"/>
                <w:szCs w:val="24"/>
                <w:highlight w:val="none"/>
                <w:lang w:eastAsia="zh-CN" w:bidi="ar"/>
              </w:rPr>
              <w:t>0分钟的常见的视频格式参与投标。演示视频U盘以邮政EMS快递形式在投标文件提交截止时间前递交给代理机构。邮寄地址及收件人：</w:t>
            </w:r>
            <w:r>
              <w:rPr>
                <w:rFonts w:hint="eastAsia" w:ascii="宋体" w:hAnsi="宋体" w:cs="宋体"/>
                <w:color w:val="000000"/>
                <w:kern w:val="0"/>
                <w:sz w:val="24"/>
                <w:szCs w:val="24"/>
                <w:highlight w:val="none"/>
                <w:lang w:val="zh-CN" w:eastAsia="zh-CN" w:bidi="ar"/>
              </w:rPr>
              <w:t>浙江省衢州市浮石路金河湾小区西门22幢1楼07室，</w:t>
            </w:r>
            <w:r>
              <w:rPr>
                <w:rFonts w:hint="eastAsia" w:ascii="宋体" w:hAnsi="宋体" w:cs="宋体"/>
                <w:color w:val="000000"/>
                <w:kern w:val="0"/>
                <w:sz w:val="24"/>
                <w:szCs w:val="24"/>
                <w:highlight w:val="none"/>
                <w:lang w:eastAsia="zh-CN" w:bidi="ar"/>
              </w:rPr>
              <w:t>联系人：陈女士18905703552</w:t>
            </w:r>
            <w:r>
              <w:rPr>
                <w:rFonts w:hint="eastAsia" w:ascii="宋体" w:hAnsi="宋体" w:cs="宋体"/>
                <w:color w:val="000000"/>
                <w:kern w:val="0"/>
                <w:sz w:val="24"/>
                <w:szCs w:val="24"/>
                <w:highlight w:val="none"/>
                <w:lang w:val="zh-CN" w:eastAsia="zh-CN" w:bidi="ar"/>
              </w:rPr>
              <w:t>招标代理部收，逾期送达或未按要求密封将被拒收。</w:t>
            </w:r>
          </w:p>
        </w:tc>
      </w:tr>
    </w:tbl>
    <w:p w14:paraId="6D211F00">
      <w:pPr>
        <w:pStyle w:val="16"/>
        <w:keepNext w:val="0"/>
        <w:keepLines w:val="0"/>
        <w:pageBreakBefore w:val="0"/>
        <w:kinsoku/>
        <w:wordWrap/>
        <w:overflowPunct/>
        <w:topLinePunct w:val="0"/>
        <w:bidi w:val="0"/>
        <w:snapToGrid w:val="0"/>
        <w:spacing w:before="120" w:after="120" w:line="360" w:lineRule="auto"/>
        <w:ind w:firstLine="562" w:firstLineChars="200"/>
        <w:textAlignment w:val="auto"/>
        <w:rPr>
          <w:rFonts w:hAnsi="宋体" w:cs="宋体"/>
          <w:b/>
          <w:sz w:val="28"/>
          <w:szCs w:val="28"/>
          <w:highlight w:val="none"/>
        </w:rPr>
      </w:pPr>
      <w:r>
        <w:rPr>
          <w:rFonts w:hint="eastAsia" w:hAnsi="宋体" w:cs="宋体"/>
          <w:b/>
          <w:sz w:val="28"/>
          <w:szCs w:val="28"/>
          <w:highlight w:val="none"/>
        </w:rPr>
        <w:t>一、总则</w:t>
      </w:r>
    </w:p>
    <w:p w14:paraId="0A300004">
      <w:pPr>
        <w:keepNext w:val="0"/>
        <w:keepLines w:val="0"/>
        <w:pageBreakBefore w:val="0"/>
        <w:kinsoku/>
        <w:wordWrap/>
        <w:overflowPunct/>
        <w:topLinePunct w:val="0"/>
        <w:bidi w:val="0"/>
        <w:snapToGrid w:val="0"/>
        <w:spacing w:line="360" w:lineRule="auto"/>
        <w:ind w:firstLine="482" w:firstLineChars="200"/>
        <w:jc w:val="left"/>
        <w:textAlignment w:val="auto"/>
        <w:outlineLvl w:val="1"/>
        <w:rPr>
          <w:rFonts w:ascii="宋体" w:hAnsi="宋体" w:cs="宋体"/>
          <w:b/>
          <w:sz w:val="24"/>
          <w:szCs w:val="20"/>
          <w:highlight w:val="none"/>
        </w:rPr>
      </w:pPr>
      <w:r>
        <w:rPr>
          <w:rFonts w:hint="eastAsia" w:ascii="宋体" w:hAnsi="宋体" w:cs="宋体"/>
          <w:b/>
          <w:sz w:val="24"/>
          <w:highlight w:val="none"/>
        </w:rPr>
        <w:t>（一）适用范围</w:t>
      </w:r>
    </w:p>
    <w:p w14:paraId="6793D28D">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szCs w:val="20"/>
          <w:highlight w:val="none"/>
        </w:rPr>
      </w:pPr>
      <w:r>
        <w:rPr>
          <w:rFonts w:hint="eastAsia" w:ascii="宋体" w:hAnsi="宋体" w:cs="宋体"/>
          <w:sz w:val="24"/>
          <w:highlight w:val="none"/>
        </w:rPr>
        <w:t>本招标</w:t>
      </w:r>
      <w:r>
        <w:rPr>
          <w:rFonts w:hint="eastAsia" w:ascii="宋体" w:hAnsi="宋体" w:cs="宋体"/>
          <w:b w:val="0"/>
          <w:bCs w:val="0"/>
          <w:sz w:val="24"/>
          <w:highlight w:val="none"/>
        </w:rPr>
        <w:t>文件仅适用于</w:t>
      </w:r>
      <w:r>
        <w:rPr>
          <w:rFonts w:hint="eastAsia" w:ascii="宋体" w:hAnsi="宋体" w:cs="宋体"/>
          <w:b w:val="0"/>
          <w:bCs w:val="0"/>
          <w:sz w:val="24"/>
          <w:highlight w:val="none"/>
          <w:u w:val="single"/>
          <w:lang w:eastAsia="zh-CN"/>
        </w:rPr>
        <w:t>信息安全运维服务项目</w:t>
      </w:r>
      <w:r>
        <w:rPr>
          <w:rFonts w:hint="eastAsia" w:ascii="宋体" w:hAnsi="宋体" w:cs="宋体"/>
          <w:b w:val="0"/>
          <w:bCs w:val="0"/>
          <w:sz w:val="24"/>
          <w:highlight w:val="none"/>
        </w:rPr>
        <w:t>的招标采购。</w:t>
      </w:r>
    </w:p>
    <w:p w14:paraId="6845EFE8">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ascii="宋体" w:hAnsi="宋体" w:cs="宋体"/>
          <w:b/>
          <w:sz w:val="24"/>
          <w:szCs w:val="20"/>
          <w:highlight w:val="none"/>
        </w:rPr>
      </w:pPr>
      <w:r>
        <w:rPr>
          <w:rFonts w:hint="eastAsia" w:ascii="宋体" w:hAnsi="宋体" w:cs="宋体"/>
          <w:b/>
          <w:sz w:val="24"/>
          <w:highlight w:val="none"/>
        </w:rPr>
        <w:t>（二）定义</w:t>
      </w:r>
    </w:p>
    <w:p w14:paraId="52C63AA7">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b w:val="0"/>
          <w:bCs w:val="0"/>
          <w:sz w:val="24"/>
          <w:highlight w:val="none"/>
        </w:rPr>
      </w:pPr>
      <w:r>
        <w:rPr>
          <w:rFonts w:hint="eastAsia" w:ascii="宋体" w:hAnsi="宋体" w:cs="宋体"/>
          <w:sz w:val="24"/>
          <w:highlight w:val="none"/>
        </w:rPr>
        <w:t>1.招标采购</w:t>
      </w:r>
      <w:r>
        <w:rPr>
          <w:rFonts w:hint="eastAsia" w:ascii="宋体" w:hAnsi="宋体" w:cs="宋体"/>
          <w:b w:val="0"/>
          <w:bCs w:val="0"/>
          <w:sz w:val="24"/>
          <w:highlight w:val="none"/>
        </w:rPr>
        <w:t>单位系指组织本次招标的</w:t>
      </w:r>
      <w:r>
        <w:rPr>
          <w:rFonts w:hint="eastAsia" w:ascii="宋体" w:hAnsi="宋体" w:cs="宋体"/>
          <w:b w:val="0"/>
          <w:bCs w:val="0"/>
          <w:sz w:val="24"/>
          <w:highlight w:val="none"/>
          <w:u w:val="single"/>
          <w:lang w:eastAsia="zh-CN"/>
        </w:rPr>
        <w:t>浙江五石中正工程咨询有限公司衢州分公司</w:t>
      </w:r>
      <w:r>
        <w:rPr>
          <w:rFonts w:hint="eastAsia" w:ascii="宋体" w:hAnsi="宋体" w:cs="宋体"/>
          <w:b w:val="0"/>
          <w:bCs w:val="0"/>
          <w:sz w:val="24"/>
          <w:highlight w:val="none"/>
        </w:rPr>
        <w:t>（“招标方”）和</w:t>
      </w:r>
      <w:r>
        <w:rPr>
          <w:rFonts w:hint="eastAsia" w:ascii="宋体" w:hAnsi="宋体" w:cs="宋体"/>
          <w:b w:val="0"/>
          <w:bCs w:val="0"/>
          <w:sz w:val="24"/>
          <w:highlight w:val="none"/>
          <w:u w:val="single"/>
          <w:lang w:eastAsia="zh-CN"/>
        </w:rPr>
        <w:t xml:space="preserve"> 衢江区卫生健康局 </w:t>
      </w:r>
      <w:r>
        <w:rPr>
          <w:rFonts w:hint="eastAsia" w:ascii="宋体" w:hAnsi="宋体" w:cs="宋体"/>
          <w:b w:val="0"/>
          <w:bCs w:val="0"/>
          <w:sz w:val="24"/>
          <w:highlight w:val="none"/>
        </w:rPr>
        <w:t>（“采购人”）。</w:t>
      </w:r>
    </w:p>
    <w:p w14:paraId="44A6FC57">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b w:val="0"/>
          <w:bCs w:val="0"/>
          <w:sz w:val="24"/>
          <w:highlight w:val="none"/>
        </w:rPr>
        <w:t>2.“投标人”</w:t>
      </w:r>
      <w:r>
        <w:rPr>
          <w:rFonts w:hint="eastAsia" w:ascii="宋体" w:hAnsi="宋体" w:cs="宋体"/>
          <w:sz w:val="24"/>
          <w:highlight w:val="none"/>
        </w:rPr>
        <w:t>系指向招标方提交投标文件的单位。</w:t>
      </w:r>
    </w:p>
    <w:p w14:paraId="6C1501DA">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3.“产品”系指供方按招标文件规定，须向采购人提供的一切设备、保险、税金、备品备件、工具、手册及其它有关技术资料和材料。</w:t>
      </w:r>
    </w:p>
    <w:p w14:paraId="6265B86A">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4.“服务”系指招标文件规定投标人须承担的安装、调试、技术协助、校准、培训、技术指导以及其他类似的义务。</w:t>
      </w:r>
    </w:p>
    <w:p w14:paraId="1D6D6B9A">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5.“项目”系指投标人按招标文件规定向采购人提供的产品和服务。</w:t>
      </w:r>
    </w:p>
    <w:p w14:paraId="79181231">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6.“书面形式”包括信函、传真、电报等。</w:t>
      </w:r>
    </w:p>
    <w:p w14:paraId="1D7B54C6">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7.</w:t>
      </w:r>
      <w:r>
        <w:rPr>
          <w:rFonts w:hint="eastAsia" w:ascii="宋体" w:hAnsi="宋体" w:eastAsia="宋体" w:cs="宋体"/>
          <w:b w:val="0"/>
          <w:bCs w:val="0"/>
          <w:sz w:val="24"/>
          <w:highlight w:val="none"/>
        </w:rPr>
        <w:t>凡是标有“▲”符号</w:t>
      </w:r>
      <w:r>
        <w:rPr>
          <w:rFonts w:hint="eastAsia" w:ascii="宋体" w:hAnsi="宋体" w:eastAsia="宋体" w:cs="宋体"/>
          <w:b w:val="0"/>
          <w:bCs w:val="0"/>
          <w:sz w:val="24"/>
          <w:highlight w:val="none"/>
          <w:lang w:val="en-US" w:eastAsia="zh-CN"/>
        </w:rPr>
        <w:t>的条款</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不允许负偏离，否则作无效标处理</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标有“★”是指重要条款</w:t>
      </w:r>
      <w:r>
        <w:rPr>
          <w:rFonts w:hint="eastAsia" w:ascii="宋体" w:hAnsi="宋体" w:eastAsia="宋体" w:cs="宋体"/>
          <w:b w:val="0"/>
          <w:bCs w:val="0"/>
          <w:sz w:val="24"/>
          <w:highlight w:val="none"/>
          <w:lang w:eastAsia="zh-CN"/>
        </w:rPr>
        <w:t>。</w:t>
      </w:r>
    </w:p>
    <w:p w14:paraId="328A0F2B">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b w:val="0"/>
          <w:bCs w:val="0"/>
          <w:sz w:val="24"/>
          <w:highlight w:val="none"/>
        </w:rPr>
      </w:pPr>
      <w:r>
        <w:rPr>
          <w:rFonts w:hint="eastAsia" w:ascii="宋体" w:hAnsi="宋体" w:eastAsia="宋体" w:cs="宋体"/>
          <w:b w:val="0"/>
          <w:bCs w:val="0"/>
          <w:sz w:val="24"/>
          <w:highlight w:val="none"/>
          <w:lang w:val="en-US" w:eastAsia="zh-CN"/>
        </w:rPr>
        <w:t>8.</w:t>
      </w:r>
      <w:r>
        <w:rPr>
          <w:rFonts w:hint="eastAsia" w:ascii="宋体" w:hAnsi="宋体" w:eastAsia="宋体" w:cs="宋体"/>
          <w:b w:val="0"/>
          <w:bCs w:val="0"/>
          <w:sz w:val="24"/>
          <w:highlight w:val="none"/>
        </w:rPr>
        <w:t>标有“必须”字眼描述的条款以及项目的数量、工期（交货期、服务期）、付款方式、质保期、投标有效期均属于实质性条款，不允许负偏离，否则作无效标处理</w:t>
      </w:r>
      <w:r>
        <w:rPr>
          <w:rFonts w:hint="eastAsia" w:ascii="宋体" w:hAnsi="宋体" w:eastAsia="宋体" w:cs="宋体"/>
          <w:b w:val="0"/>
          <w:bCs w:val="0"/>
          <w:sz w:val="24"/>
          <w:highlight w:val="none"/>
          <w:lang w:eastAsia="zh-CN"/>
        </w:rPr>
        <w:t>。</w:t>
      </w:r>
    </w:p>
    <w:p w14:paraId="54A5BB32">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ascii="宋体" w:hAnsi="宋体" w:cs="宋体"/>
          <w:b/>
          <w:sz w:val="24"/>
          <w:szCs w:val="20"/>
          <w:highlight w:val="none"/>
        </w:rPr>
      </w:pPr>
      <w:r>
        <w:rPr>
          <w:rFonts w:hint="eastAsia" w:ascii="宋体" w:hAnsi="宋体" w:cs="宋体"/>
          <w:b/>
          <w:sz w:val="24"/>
          <w:highlight w:val="none"/>
        </w:rPr>
        <w:t>（三）招标方式</w:t>
      </w:r>
    </w:p>
    <w:p w14:paraId="1366B851">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szCs w:val="20"/>
          <w:highlight w:val="none"/>
        </w:rPr>
      </w:pPr>
      <w:r>
        <w:rPr>
          <w:rFonts w:hint="eastAsia" w:ascii="宋体" w:hAnsi="宋体" w:cs="宋体"/>
          <w:sz w:val="24"/>
          <w:highlight w:val="none"/>
        </w:rPr>
        <w:t>本次招标采用公开招标方式进行。</w:t>
      </w:r>
    </w:p>
    <w:p w14:paraId="7B4ECBA2">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ascii="宋体" w:hAnsi="宋体" w:cs="宋体"/>
          <w:b/>
          <w:sz w:val="24"/>
          <w:szCs w:val="20"/>
          <w:highlight w:val="none"/>
        </w:rPr>
      </w:pPr>
      <w:r>
        <w:rPr>
          <w:rFonts w:hint="eastAsia" w:ascii="宋体" w:hAnsi="宋体" w:cs="宋体"/>
          <w:b/>
          <w:sz w:val="24"/>
          <w:highlight w:val="none"/>
        </w:rPr>
        <w:t>（四）投标委托</w:t>
      </w:r>
    </w:p>
    <w:p w14:paraId="24962DBA">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b w:val="0"/>
          <w:bCs w:val="0"/>
          <w:highlight w:val="none"/>
        </w:rPr>
      </w:pPr>
      <w:r>
        <w:rPr>
          <w:rFonts w:hint="eastAsia" w:ascii="宋体" w:hAnsi="宋体" w:cs="宋体"/>
          <w:b w:val="0"/>
          <w:bCs w:val="0"/>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05504F02">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ascii="宋体" w:hAnsi="宋体" w:cs="宋体"/>
          <w:b/>
          <w:sz w:val="24"/>
          <w:szCs w:val="20"/>
          <w:highlight w:val="none"/>
        </w:rPr>
      </w:pPr>
      <w:r>
        <w:rPr>
          <w:rFonts w:hint="eastAsia" w:ascii="宋体" w:hAnsi="宋体" w:cs="宋体"/>
          <w:b/>
          <w:sz w:val="24"/>
          <w:highlight w:val="none"/>
        </w:rPr>
        <w:t>（五）投标费用</w:t>
      </w:r>
    </w:p>
    <w:p w14:paraId="0BAC0388">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szCs w:val="20"/>
          <w:highlight w:val="none"/>
        </w:rPr>
      </w:pPr>
      <w:r>
        <w:rPr>
          <w:rFonts w:hint="eastAsia" w:ascii="宋体" w:hAnsi="宋体" w:cs="宋体"/>
          <w:sz w:val="24"/>
          <w:highlight w:val="none"/>
        </w:rPr>
        <w:t>不论投标结果如何，投标人均应自行承担所有与投标有关的全部费用（招标文件有相反规定除外）。</w:t>
      </w:r>
    </w:p>
    <w:p w14:paraId="441CCF48">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rPr>
          <w:rFonts w:ascii="宋体" w:hAnsi="宋体" w:cs="宋体"/>
          <w:b/>
          <w:sz w:val="24"/>
          <w:szCs w:val="20"/>
          <w:highlight w:val="none"/>
        </w:rPr>
      </w:pPr>
      <w:r>
        <w:rPr>
          <w:rFonts w:hint="eastAsia" w:ascii="宋体" w:hAnsi="宋体" w:cs="宋体"/>
          <w:b/>
          <w:sz w:val="24"/>
          <w:highlight w:val="none"/>
        </w:rPr>
        <w:t>（六）联合体投标</w:t>
      </w:r>
    </w:p>
    <w:p w14:paraId="45F553E5">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lang w:val="en-US" w:eastAsia="zh-CN"/>
        </w:rPr>
        <w:t>、</w:t>
      </w:r>
      <w:r>
        <w:rPr>
          <w:rFonts w:hint="eastAsia" w:ascii="宋体" w:hAnsi="宋体" w:cs="宋体"/>
          <w:sz w:val="24"/>
          <w:highlight w:val="none"/>
        </w:rPr>
        <w:t>本项目允许联合体投标。</w:t>
      </w:r>
    </w:p>
    <w:p w14:paraId="6E6FA2BE">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cs="宋体"/>
          <w:sz w:val="24"/>
          <w:highlight w:val="none"/>
          <w:lang w:val="en-US" w:eastAsia="zh-CN"/>
        </w:rPr>
        <w:t>2、</w:t>
      </w:r>
      <w:r>
        <w:rPr>
          <w:rFonts w:hint="eastAsia" w:ascii="宋体" w:hAnsi="宋体" w:eastAsia="宋体" w:cs="宋体"/>
          <w:bCs/>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70BB1503">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联合体中有同类资质的供应商按照联合体分工承担相同工作的，应当按照资质等级较低的供应商确定资质等级。</w:t>
      </w:r>
    </w:p>
    <w:p w14:paraId="3D35032F">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bCs/>
          <w:highlight w:val="none"/>
        </w:rPr>
        <w:t>以联合体形式参加投标的，联合体各方不得再单独参加或者与其他供应商另外组成联合体参加本项目的投标。</w:t>
      </w:r>
    </w:p>
    <w:p w14:paraId="60568A3F">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rPr>
          <w:rFonts w:hint="default" w:ascii="宋体" w:hAnsi="宋体" w:eastAsia="宋体" w:cs="宋体"/>
          <w:b/>
          <w:sz w:val="24"/>
          <w:highlight w:val="none"/>
          <w:lang w:val="en-US" w:eastAsia="zh-CN"/>
        </w:rPr>
      </w:pPr>
      <w:r>
        <w:rPr>
          <w:rFonts w:hint="eastAsia" w:ascii="宋体" w:hAnsi="宋体" w:cs="宋体"/>
          <w:b/>
          <w:sz w:val="24"/>
          <w:highlight w:val="none"/>
        </w:rPr>
        <w:t>（七）转包与分包</w:t>
      </w:r>
      <w:r>
        <w:rPr>
          <w:rFonts w:hint="eastAsia" w:ascii="宋体" w:hAnsi="宋体" w:cs="宋体"/>
          <w:b/>
          <w:sz w:val="24"/>
          <w:highlight w:val="none"/>
          <w:lang w:val="en-US" w:eastAsia="zh-CN"/>
        </w:rPr>
        <w:t xml:space="preserve">  </w:t>
      </w:r>
    </w:p>
    <w:p w14:paraId="39E7F7E8">
      <w:pPr>
        <w:keepNext w:val="0"/>
        <w:keepLines w:val="0"/>
        <w:pageBreakBefore w:val="0"/>
        <w:kinsoku/>
        <w:wordWrap/>
        <w:overflowPunct/>
        <w:topLinePunct w:val="0"/>
        <w:bidi w:val="0"/>
        <w:snapToGrid w:val="0"/>
        <w:spacing w:before="120" w:beforeLines="50"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cs="宋体"/>
          <w:sz w:val="24"/>
          <w:highlight w:val="none"/>
        </w:rPr>
        <w:t>1.本项目</w:t>
      </w:r>
      <w:r>
        <w:rPr>
          <w:rFonts w:hint="eastAsia" w:ascii="宋体" w:hAnsi="宋体" w:cs="宋体"/>
          <w:sz w:val="24"/>
          <w:highlight w:val="none"/>
          <w:lang w:val="en-US" w:eastAsia="zh-CN"/>
        </w:rPr>
        <w:t>不</w:t>
      </w:r>
      <w:r>
        <w:rPr>
          <w:rFonts w:hint="eastAsia" w:ascii="宋体" w:hAnsi="宋体" w:cs="宋体"/>
          <w:sz w:val="24"/>
          <w:highlight w:val="none"/>
        </w:rPr>
        <w:t>允许</w:t>
      </w:r>
      <w:r>
        <w:rPr>
          <w:rFonts w:hint="eastAsia" w:ascii="宋体" w:hAnsi="宋体" w:cs="宋体"/>
          <w:sz w:val="24"/>
          <w:highlight w:val="none"/>
          <w:lang w:val="en-US" w:eastAsia="zh-CN"/>
        </w:rPr>
        <w:t>分包与</w:t>
      </w:r>
      <w:r>
        <w:rPr>
          <w:rFonts w:hint="eastAsia" w:ascii="宋体" w:hAnsi="宋体" w:cs="宋体"/>
          <w:sz w:val="24"/>
          <w:highlight w:val="none"/>
        </w:rPr>
        <w:t>转包。</w:t>
      </w:r>
      <w:r>
        <w:rPr>
          <w:rFonts w:hint="eastAsia" w:ascii="宋体" w:hAnsi="宋体" w:cs="宋体"/>
          <w:sz w:val="24"/>
          <w:highlight w:val="none"/>
          <w:lang w:val="en-US" w:eastAsia="zh-CN"/>
        </w:rPr>
        <w:t xml:space="preserve"> </w:t>
      </w:r>
    </w:p>
    <w:p w14:paraId="3A7B4256">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2.供应商须知前附表规定允许分包的，供应商应当在投标文件载明分包的具体情况，应符合采购人在供应商须知前附表规定的分包内容、分包金额和接受分包的第三人资质要求等限制条件。</w:t>
      </w:r>
    </w:p>
    <w:p w14:paraId="5E0A84F4">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ascii="宋体" w:hAnsi="宋体" w:cs="宋体"/>
          <w:b/>
          <w:sz w:val="24"/>
          <w:highlight w:val="none"/>
        </w:rPr>
      </w:pPr>
      <w:r>
        <w:rPr>
          <w:rFonts w:hint="eastAsia" w:ascii="宋体" w:hAnsi="宋体" w:cs="宋体"/>
          <w:b/>
          <w:sz w:val="24"/>
          <w:highlight w:val="none"/>
        </w:rPr>
        <w:t>（八）特别说明：</w:t>
      </w:r>
    </w:p>
    <w:p w14:paraId="411FEF74">
      <w:pPr>
        <w:pStyle w:val="16"/>
        <w:keepNext w:val="0"/>
        <w:keepLines w:val="0"/>
        <w:pageBreakBefore w:val="0"/>
        <w:kinsoku/>
        <w:wordWrap/>
        <w:overflowPunct/>
        <w:topLinePunct w:val="0"/>
        <w:bidi w:val="0"/>
        <w:snapToGrid w:val="0"/>
        <w:spacing w:before="120" w:after="120" w:line="360" w:lineRule="auto"/>
        <w:ind w:left="2" w:leftChars="1" w:firstLine="480" w:firstLineChars="200"/>
        <w:textAlignment w:val="auto"/>
        <w:rPr>
          <w:rFonts w:hAnsi="宋体" w:cs="宋体"/>
          <w:b w:val="0"/>
          <w:bCs w:val="0"/>
          <w:highlight w:val="none"/>
        </w:rPr>
      </w:pPr>
      <w:r>
        <w:rPr>
          <w:rFonts w:hint="eastAsia" w:hAnsi="宋体" w:cs="宋体"/>
          <w:b w:val="0"/>
          <w:bCs w:val="0"/>
          <w:highlight w:val="none"/>
        </w:rPr>
        <w:t>1.多家供应商参加投标，提供相同品牌产品且通过资格审查、符合性审查的不同投标人参加同一合同项下投标的，按一家投标人计算，评审后综合得分最高的同品牌投标人获得</w:t>
      </w:r>
      <w:r>
        <w:rPr>
          <w:rFonts w:hint="eastAsia" w:hAnsi="宋体" w:cs="宋体"/>
          <w:b w:val="0"/>
          <w:bCs w:val="0"/>
          <w:highlight w:val="none"/>
          <w:lang w:eastAsia="zh-CN"/>
        </w:rPr>
        <w:t>中标供应商</w:t>
      </w:r>
      <w:r>
        <w:rPr>
          <w:rFonts w:hint="eastAsia" w:hAnsi="宋体" w:cs="宋体"/>
          <w:b w:val="0"/>
          <w:bCs w:val="0"/>
          <w:highlight w:val="none"/>
        </w:rPr>
        <w:t>推荐资格；评审得分相同的，由采购人或者采购人委托评标委员会采取随机抽取方式确定一个投标人获得</w:t>
      </w:r>
      <w:r>
        <w:rPr>
          <w:rFonts w:hint="eastAsia" w:hAnsi="宋体" w:cs="宋体"/>
          <w:b w:val="0"/>
          <w:bCs w:val="0"/>
          <w:highlight w:val="none"/>
          <w:lang w:eastAsia="zh-CN"/>
        </w:rPr>
        <w:t>中标供应商</w:t>
      </w:r>
      <w:r>
        <w:rPr>
          <w:rFonts w:hint="eastAsia" w:hAnsi="宋体" w:cs="宋体"/>
          <w:b w:val="0"/>
          <w:bCs w:val="0"/>
          <w:highlight w:val="none"/>
        </w:rPr>
        <w:t>推荐资格，其他同品牌投标人不作为中标候选人。</w:t>
      </w:r>
    </w:p>
    <w:p w14:paraId="61C69901">
      <w:pPr>
        <w:pStyle w:val="16"/>
        <w:keepNext w:val="0"/>
        <w:keepLines w:val="0"/>
        <w:pageBreakBefore w:val="0"/>
        <w:kinsoku/>
        <w:wordWrap/>
        <w:overflowPunct/>
        <w:topLinePunct w:val="0"/>
        <w:bidi w:val="0"/>
        <w:snapToGrid w:val="0"/>
        <w:spacing w:before="120" w:after="120" w:line="360" w:lineRule="auto"/>
        <w:ind w:left="2" w:leftChars="1" w:firstLine="480" w:firstLineChars="200"/>
        <w:textAlignment w:val="auto"/>
        <w:rPr>
          <w:rFonts w:hAnsi="宋体" w:cs="宋体"/>
          <w:b w:val="0"/>
          <w:bCs w:val="0"/>
          <w:highlight w:val="none"/>
        </w:rPr>
      </w:pPr>
      <w:r>
        <w:rPr>
          <w:rFonts w:hint="eastAsia" w:hAnsi="宋体" w:cs="宋体"/>
          <w:b w:val="0"/>
          <w:bCs w:val="0"/>
          <w:highlight w:val="none"/>
        </w:rPr>
        <w:t>非单一产品采购项目，多家投标人提供相同品牌核心产品的，按前款规定处理。</w:t>
      </w:r>
    </w:p>
    <w:p w14:paraId="2DDF8F05">
      <w:pPr>
        <w:keepNext w:val="0"/>
        <w:keepLines w:val="0"/>
        <w:pageBreakBefore w:val="0"/>
        <w:widowControl/>
        <w:kinsoku/>
        <w:wordWrap/>
        <w:overflowPunct/>
        <w:topLinePunct w:val="0"/>
        <w:bidi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2.（1）投标人投标所使用的资格、信誉、荣誉、业绩与企业认证必须为本法人所拥有。</w:t>
      </w:r>
    </w:p>
    <w:p w14:paraId="0AA3FA82">
      <w:pPr>
        <w:keepNext w:val="0"/>
        <w:keepLines w:val="0"/>
        <w:pageBreakBefore w:val="0"/>
        <w:widowControl/>
        <w:kinsoku/>
        <w:wordWrap/>
        <w:overflowPunct/>
        <w:topLinePunct w:val="0"/>
        <w:bidi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（2）投标人投标所使用的采购项目实施人员必须为本法人员工（或必须为本法人或控股公司正式员工）。</w:t>
      </w:r>
    </w:p>
    <w:p w14:paraId="33167669">
      <w:pPr>
        <w:keepNext w:val="0"/>
        <w:keepLines w:val="0"/>
        <w:pageBreakBefore w:val="0"/>
        <w:widowControl/>
        <w:kinsoku/>
        <w:wordWrap/>
        <w:overflowPunct/>
        <w:topLinePunct w:val="0"/>
        <w:bidi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3.投标人应仔细阅读招标文件的所有内容，按照招标文件的要求提交投标文件，并对所提供的全部资料的真实性承担法律责任。</w:t>
      </w:r>
    </w:p>
    <w:p w14:paraId="6E0E00A1">
      <w:pPr>
        <w:keepNext w:val="0"/>
        <w:keepLines w:val="0"/>
        <w:pageBreakBefore w:val="0"/>
        <w:widowControl/>
        <w:kinsoku/>
        <w:wordWrap/>
        <w:overflowPunct/>
        <w:topLinePunct w:val="0"/>
        <w:bidi w:val="0"/>
        <w:spacing w:line="360" w:lineRule="auto"/>
        <w:ind w:firstLine="480" w:firstLineChars="200"/>
        <w:jc w:val="left"/>
        <w:textAlignment w:val="auto"/>
        <w:rPr>
          <w:rFonts w:ascii="宋体" w:hAnsi="宋体" w:cs="宋体"/>
          <w:highlight w:val="none"/>
        </w:rPr>
      </w:pPr>
      <w:r>
        <w:rPr>
          <w:rFonts w:hint="eastAsia" w:ascii="宋体" w:hAnsi="宋体" w:cs="宋体"/>
          <w:sz w:val="24"/>
          <w:highlight w:val="none"/>
        </w:rPr>
        <w:t>4.投标人在投标活动中提供任何虚假材料,其投标无效，并报监管部门查处；中标后发现的,</w:t>
      </w:r>
      <w:r>
        <w:rPr>
          <w:rFonts w:hint="eastAsia" w:ascii="宋体" w:hAnsi="宋体" w:cs="宋体"/>
          <w:sz w:val="24"/>
          <w:highlight w:val="none"/>
          <w:lang w:eastAsia="zh-CN"/>
        </w:rPr>
        <w:t>中标供应商</w:t>
      </w:r>
      <w:r>
        <w:rPr>
          <w:rFonts w:hint="eastAsia" w:ascii="宋体" w:hAnsi="宋体" w:cs="宋体"/>
          <w:sz w:val="24"/>
          <w:highlight w:val="none"/>
        </w:rPr>
        <w:t>须依照《中华人民共和国消费者权益保护法》第49条之规定双倍赔偿采购人，且民事赔偿并不免除违法投标人的行政与刑事责任。</w:t>
      </w:r>
    </w:p>
    <w:p w14:paraId="3F5AAD10">
      <w:pPr>
        <w:pStyle w:val="16"/>
        <w:keepNext w:val="0"/>
        <w:keepLines w:val="0"/>
        <w:pageBreakBefore w:val="0"/>
        <w:kinsoku/>
        <w:wordWrap/>
        <w:overflowPunct/>
        <w:topLinePunct w:val="0"/>
        <w:bidi w:val="0"/>
        <w:snapToGrid w:val="0"/>
        <w:spacing w:before="0" w:beforeLines="0" w:after="0" w:afterLines="0" w:line="360" w:lineRule="auto"/>
        <w:ind w:firstLine="482" w:firstLineChars="200"/>
        <w:textAlignment w:val="auto"/>
        <w:outlineLvl w:val="1"/>
        <w:rPr>
          <w:rFonts w:hAnsi="宋体" w:cs="宋体"/>
          <w:b/>
          <w:bCs/>
          <w:highlight w:val="none"/>
        </w:rPr>
      </w:pPr>
      <w:r>
        <w:rPr>
          <w:rFonts w:hint="eastAsia" w:hAnsi="宋体" w:cs="宋体"/>
          <w:b/>
          <w:bCs/>
          <w:highlight w:val="none"/>
        </w:rPr>
        <w:t>（九）质疑和投诉</w:t>
      </w:r>
    </w:p>
    <w:p w14:paraId="3CC168DC">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Ansi="宋体" w:cs="宋体"/>
          <w:bCs/>
          <w:highlight w:val="none"/>
        </w:rPr>
      </w:pPr>
      <w:r>
        <w:rPr>
          <w:rFonts w:hint="eastAsia" w:hAnsi="宋体" w:cs="宋体"/>
          <w:bCs/>
          <w:highlight w:val="none"/>
        </w:rPr>
        <w:t>1.投标人认为招标文件、招标过程或中标结果使自己的合法权益受到损害的，应当在知道或者应知其权益受到损害之日起七个工作日内，以书面形式向采购人、招标方提出质疑。</w:t>
      </w:r>
      <w:r>
        <w:rPr>
          <w:rFonts w:hint="eastAsia" w:hAnsi="宋体" w:cs="宋体"/>
          <w:highlight w:val="none"/>
        </w:rPr>
        <w:t>投标人对招标采购单位的质疑答复不满意或者招标采购单位未在规定时间内作出答复的，可以在答复期满后十五个工作日内向同级采购监管部门投诉。</w:t>
      </w:r>
    </w:p>
    <w:p w14:paraId="38D617AF">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2.质疑、投诉应当采用书面形式，质疑书、投诉书均应明确阐述招标文件、招标过程或中</w:t>
      </w:r>
      <w:r>
        <w:rPr>
          <w:rFonts w:hint="eastAsia" w:ascii="宋体" w:hAnsi="宋体" w:eastAsia="宋体" w:cs="宋体"/>
          <w:bCs/>
          <w:highlight w:val="none"/>
        </w:rPr>
        <w:t>标结果中使自己合法权益受到损害的实质性内容，提供相关事实、依据和证据及其来源或线索，便于有关单位调查、答复和处理。</w:t>
      </w:r>
    </w:p>
    <w:p w14:paraId="684F08A6">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ascii="宋体" w:hAnsi="宋体" w:cs="宋体"/>
          <w:b/>
          <w:sz w:val="24"/>
          <w:highlight w:val="none"/>
        </w:rPr>
      </w:pPr>
      <w:r>
        <w:rPr>
          <w:rFonts w:hint="eastAsia" w:ascii="宋体" w:hAnsi="宋体" w:cs="宋体"/>
          <w:b/>
          <w:sz w:val="24"/>
          <w:highlight w:val="none"/>
        </w:rPr>
        <w:t>（十）政府采购政策</w:t>
      </w:r>
    </w:p>
    <w:p w14:paraId="13FFF7EA">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hAnsi="宋体" w:cs="宋体"/>
          <w:bCs/>
          <w:highlight w:val="none"/>
          <w:lang w:val="en-US" w:eastAsia="zh-CN"/>
        </w:rPr>
        <w:t>1</w:t>
      </w:r>
      <w:r>
        <w:rPr>
          <w:rFonts w:hint="eastAsia" w:ascii="宋体" w:hAnsi="宋体" w:eastAsia="宋体" w:cs="宋体"/>
          <w:bCs/>
          <w:highlight w:val="none"/>
        </w:rPr>
        <w:t>.平等对待内外资企业和符合条件的破产重整企业</w:t>
      </w:r>
    </w:p>
    <w:p w14:paraId="2A8F8469">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平等对待内外资企业和符合条件的破产重整企业，切实保障企业公平竞争，平等维护</w:t>
      </w:r>
      <w:r>
        <w:rPr>
          <w:rFonts w:hint="eastAsia" w:ascii="宋体" w:hAnsi="宋体" w:eastAsia="宋体" w:cs="宋体"/>
          <w:bCs/>
          <w:highlight w:val="none"/>
        </w:rPr>
        <w:t>企业的合法利益。</w:t>
      </w:r>
    </w:p>
    <w:p w14:paraId="088A540F">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2.支持绿色发展</w:t>
      </w:r>
    </w:p>
    <w:p w14:paraId="5C08AC6D">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42D79E58">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2.2 修缮、装修类项目采购建材的，采购人应将绿色建筑和绿色建材性能、指标等作为实质性条件纳入采购文件和合同。</w:t>
      </w:r>
    </w:p>
    <w:p w14:paraId="1CCD039C">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57AB02F">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A6837FA">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3.支持中小企业发展</w:t>
      </w:r>
    </w:p>
    <w:p w14:paraId="7C053912">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9273417">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符合中小企业划分标准的个体工商户，在政府采购活动中视同中小企业。</w:t>
      </w:r>
    </w:p>
    <w:p w14:paraId="326993AB">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2C029B3">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以联合体形式参加政府采购活动，联合体各方均为中小企业的，联合体视同中小企业。其中，联合体各方均为小微企业的，联合体视同小微企业。</w:t>
      </w:r>
    </w:p>
    <w:p w14:paraId="009877E6">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联合体或者大中</w:t>
      </w:r>
      <w:r>
        <w:rPr>
          <w:rFonts w:hint="eastAsia" w:hAnsi="宋体" w:cs="宋体"/>
          <w:bCs/>
          <w:highlight w:val="none"/>
        </w:rPr>
        <w:t>型企业的报价给予4%-6%</w:t>
      </w:r>
      <w:r>
        <w:rPr>
          <w:rFonts w:hint="eastAsia" w:ascii="宋体" w:hAnsi="宋体" w:eastAsia="宋体" w:cs="宋体"/>
          <w:bCs/>
          <w:highlight w:val="none"/>
        </w:rPr>
        <w:t>的扣除，用扣除后的价格参加评审。组成联合体或者接受分包的小微企业与联合体内其他企业、分包企业之间存在直接控股、管理关系的，不享受价格扣除优惠政策。</w:t>
      </w:r>
    </w:p>
    <w:p w14:paraId="7FDBF542">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3.4符合《关于促进残疾人就业政府采购政策的通知》（财库〔2017〕141号）规定的条件并提供《残疾人福利性单位声明函》（附件1）的残疾人福利性单位视同小型、微型企业；</w:t>
      </w:r>
    </w:p>
    <w:p w14:paraId="4B83EC87">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481757">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3.6可享受中小企业扶持政策</w:t>
      </w:r>
      <w:r>
        <w:rPr>
          <w:rFonts w:hint="eastAsia" w:hAnsi="宋体" w:cs="宋体"/>
          <w:bCs/>
          <w:highlight w:val="none"/>
        </w:rPr>
        <w:t>的投标人应按照采购文件格式要求提供《中小企业声明</w:t>
      </w:r>
      <w:r>
        <w:rPr>
          <w:rFonts w:hint="eastAsia" w:ascii="宋体" w:hAnsi="宋体" w:eastAsia="宋体" w:cs="宋体"/>
          <w:bCs/>
          <w:highlight w:val="none"/>
        </w:rPr>
        <w:t>函》，投标人提供的《中小企业声明函》与实际情况不符的，不享受中小企业扶持政策。声明内容不实的，属于提供虚假材料谋取中标、成交的，依法承担法律责任。</w:t>
      </w:r>
    </w:p>
    <w:p w14:paraId="2B15082E">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3.7中小企业享受扶持政策获得政府采购合同的，小微企业不得将合同分包给大中型企业，中型企业不得将合同分包给大型企业。</w:t>
      </w:r>
    </w:p>
    <w:p w14:paraId="07ACE7A3">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4.支持创新发展</w:t>
      </w:r>
    </w:p>
    <w:p w14:paraId="2DC6641D">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4.1采购人优先采购被认定为首台套产品和“制造精品”的自主创新产品。</w:t>
      </w:r>
    </w:p>
    <w:p w14:paraId="1B18F4DA">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4.2对省级以上主管部门认定的首台套产品，自纳入《省推广应用指导目录》起三年内参加政府采购活动，视同已具备相应销售业绩，业绩分为满分。</w:t>
      </w:r>
    </w:p>
    <w:p w14:paraId="07215ED3">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二、招标文件</w:t>
      </w:r>
    </w:p>
    <w:p w14:paraId="51E389CD">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（一）招标文件的构成。本招标文件由以下部分组成：</w:t>
      </w:r>
    </w:p>
    <w:p w14:paraId="21D5BC4C">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1.招标公告</w:t>
      </w:r>
    </w:p>
    <w:p w14:paraId="76EBFD68">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2.招标需求</w:t>
      </w:r>
    </w:p>
    <w:p w14:paraId="42C0693B">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3.投标人须知</w:t>
      </w:r>
    </w:p>
    <w:p w14:paraId="1CFB5F4C">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4.评标办法及标准</w:t>
      </w:r>
    </w:p>
    <w:p w14:paraId="2BFFF636">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5.合同主要条款</w:t>
      </w:r>
    </w:p>
    <w:p w14:paraId="39C54DED">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6.投标文件格式</w:t>
      </w:r>
    </w:p>
    <w:p w14:paraId="2C0107BE">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szCs w:val="20"/>
          <w:highlight w:val="none"/>
        </w:rPr>
      </w:pPr>
      <w:r>
        <w:rPr>
          <w:rFonts w:hint="eastAsia" w:ascii="宋体" w:hAnsi="宋体" w:cs="宋体"/>
          <w:sz w:val="24"/>
          <w:highlight w:val="none"/>
        </w:rPr>
        <w:t>7.本项目招标文件的澄清、答复、修改、补充的内容</w:t>
      </w:r>
    </w:p>
    <w:p w14:paraId="4786A9FA">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rPr>
          <w:rFonts w:ascii="宋体" w:hAnsi="宋体" w:cs="宋体"/>
          <w:b/>
          <w:sz w:val="24"/>
          <w:szCs w:val="20"/>
          <w:highlight w:val="none"/>
        </w:rPr>
      </w:pPr>
      <w:r>
        <w:rPr>
          <w:rFonts w:hint="eastAsia" w:ascii="宋体" w:hAnsi="宋体" w:cs="宋体"/>
          <w:b/>
          <w:sz w:val="24"/>
          <w:highlight w:val="none"/>
        </w:rPr>
        <w:t>（二）投标人的风险</w:t>
      </w:r>
    </w:p>
    <w:p w14:paraId="0B0A6DF8">
      <w:pPr>
        <w:pStyle w:val="23"/>
        <w:keepNext w:val="0"/>
        <w:keepLines w:val="0"/>
        <w:pageBreakBefore w:val="0"/>
        <w:kinsoku/>
        <w:wordWrap/>
        <w:overflowPunct/>
        <w:topLinePunct w:val="0"/>
        <w:bidi w:val="0"/>
        <w:spacing w:line="360" w:lineRule="auto"/>
        <w:ind w:firstLine="480" w:firstLineChars="200"/>
        <w:textAlignment w:val="auto"/>
        <w:rPr>
          <w:rFonts w:ascii="宋体" w:eastAsia="宋体" w:cs="宋体"/>
          <w:color w:val="auto"/>
          <w:szCs w:val="20"/>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14:paraId="48ED64D6">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rPr>
          <w:rFonts w:hint="eastAsia" w:ascii="宋体" w:hAnsi="宋体" w:cs="宋体"/>
          <w:b/>
          <w:sz w:val="24"/>
          <w:highlight w:val="none"/>
        </w:rPr>
      </w:pPr>
      <w:r>
        <w:rPr>
          <w:rFonts w:hint="eastAsia" w:ascii="宋体" w:hAnsi="宋体" w:cs="宋体"/>
          <w:b/>
          <w:sz w:val="24"/>
          <w:highlight w:val="none"/>
        </w:rPr>
        <w:t>（三）招标文件的澄清与修改</w:t>
      </w:r>
    </w:p>
    <w:p w14:paraId="7322592C">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Ansi="宋体" w:cs="宋体"/>
          <w:highlight w:val="none"/>
        </w:rPr>
      </w:pPr>
      <w:r>
        <w:rPr>
          <w:rFonts w:hint="eastAsia" w:hAnsi="宋体" w:cs="宋体"/>
          <w:highlight w:val="none"/>
        </w:rPr>
        <w:t>1.</w:t>
      </w:r>
      <w:r>
        <w:rPr>
          <w:rFonts w:hint="eastAsia" w:hAnsi="宋体" w:cs="宋体"/>
          <w:bCs/>
          <w:highlight w:val="none"/>
        </w:rPr>
        <w:t>投标人应认真阅读本招标文件，发现其中有误或有不合理要求的，投标人必须在</w:t>
      </w:r>
      <w:r>
        <w:rPr>
          <w:rFonts w:hint="eastAsia" w:hAnsi="宋体" w:cs="宋体"/>
          <w:b/>
          <w:bCs/>
          <w:highlight w:val="none"/>
          <w:u w:val="single"/>
          <w:shd w:val="clear" w:color="auto" w:fill="FFFFFF"/>
        </w:rPr>
        <w:t>质疑期限届满之日</w:t>
      </w:r>
      <w:r>
        <w:rPr>
          <w:rFonts w:hint="eastAsia" w:hAnsi="宋体" w:cs="宋体"/>
          <w:bCs/>
          <w:highlight w:val="none"/>
        </w:rPr>
        <w:t>前以</w:t>
      </w:r>
      <w:r>
        <w:rPr>
          <w:rFonts w:hint="eastAsia" w:hAnsi="宋体" w:cs="宋体"/>
          <w:bCs/>
          <w:highlight w:val="none"/>
          <w:lang w:val="en-US" w:eastAsia="zh-CN"/>
        </w:rPr>
        <w:t>电子或</w:t>
      </w:r>
      <w:r>
        <w:rPr>
          <w:rFonts w:hint="eastAsia" w:hAnsi="宋体" w:cs="宋体"/>
          <w:bCs/>
          <w:highlight w:val="none"/>
        </w:rPr>
        <w:t>书面形式要求招标采购单位澄清</w:t>
      </w:r>
      <w:r>
        <w:rPr>
          <w:rFonts w:hint="eastAsia" w:hAnsi="宋体" w:cs="宋体"/>
          <w:highlight w:val="none"/>
        </w:rPr>
        <w:t>。招标方对已发出的招标文件进行必要澄清、答复、修改或补充的，将在招标文件要求提交投标文件截止时间五日前，在财政部门指定的政府采购信息发布媒体上发布更正公告，不另作通知。</w:t>
      </w:r>
    </w:p>
    <w:p w14:paraId="694AAB1C">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Ansi="宋体" w:cs="宋体"/>
          <w:highlight w:val="none"/>
        </w:rPr>
      </w:pPr>
      <w:r>
        <w:rPr>
          <w:rFonts w:hint="eastAsia" w:hAnsi="宋体" w:cs="宋体"/>
          <w:highlight w:val="none"/>
        </w:rPr>
        <w:t>2.招标方必须以书面形式答复投标人要求澄清的问题，并将不包含问题来源的答复书面通知所有购买招标文件的投标人，除书面答复以外的其他澄清方式及澄清内容均无效。</w:t>
      </w:r>
    </w:p>
    <w:p w14:paraId="274BE753">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Ansi="宋体" w:cs="宋体"/>
          <w:highlight w:val="none"/>
        </w:rPr>
      </w:pPr>
      <w:r>
        <w:rPr>
          <w:rFonts w:hint="eastAsia" w:hAnsi="宋体" w:cs="宋体"/>
          <w:highlight w:val="none"/>
        </w:rPr>
        <w:t>3.招标文件澄清、答复、修改、补充的内容为招标文件的组成部分。当招标文件与招标文件的答复、澄清、修改、补充通知就同一内容的表述不一致时，以最后发出的书面文件为准。</w:t>
      </w:r>
    </w:p>
    <w:p w14:paraId="103F761F">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Ansi="宋体" w:cs="宋体"/>
          <w:highlight w:val="none"/>
        </w:rPr>
      </w:pPr>
      <w:r>
        <w:rPr>
          <w:rFonts w:hint="eastAsia" w:hAnsi="宋体" w:cs="宋体"/>
          <w:highlight w:val="none"/>
        </w:rPr>
        <w:t>4.招标文件的澄清、答复、修改或补充都应该通过本招标机构以法定形式发布，采购人非通过本机构，不得擅自澄清、答复、修改或补充招标文件。</w:t>
      </w:r>
    </w:p>
    <w:p w14:paraId="72BF68CF">
      <w:pPr>
        <w:pStyle w:val="16"/>
        <w:keepNext w:val="0"/>
        <w:keepLines w:val="0"/>
        <w:pageBreakBefore w:val="0"/>
        <w:kinsoku/>
        <w:wordWrap/>
        <w:overflowPunct/>
        <w:topLinePunct w:val="0"/>
        <w:bidi w:val="0"/>
        <w:snapToGrid w:val="0"/>
        <w:spacing w:beforeLines="0" w:afterLines="0" w:line="360" w:lineRule="auto"/>
        <w:ind w:firstLine="562" w:firstLineChars="200"/>
        <w:textAlignment w:val="auto"/>
        <w:outlineLvl w:val="1"/>
        <w:rPr>
          <w:rFonts w:hint="eastAsia" w:ascii="宋体" w:hAnsi="宋体" w:cs="宋体"/>
          <w:b/>
          <w:sz w:val="24"/>
          <w:highlight w:val="none"/>
        </w:rPr>
      </w:pPr>
      <w:r>
        <w:rPr>
          <w:rFonts w:hint="eastAsia" w:hAnsi="宋体" w:cs="宋体"/>
          <w:b/>
          <w:sz w:val="28"/>
          <w:szCs w:val="28"/>
          <w:highlight w:val="none"/>
        </w:rPr>
        <w:t>三、投标文件的编制</w:t>
      </w:r>
    </w:p>
    <w:p w14:paraId="65B04181">
      <w:pPr>
        <w:keepNext w:val="0"/>
        <w:keepLines w:val="0"/>
        <w:pageBreakBefore w:val="0"/>
        <w:kinsoku/>
        <w:wordWrap/>
        <w:overflowPunct/>
        <w:topLinePunct w:val="0"/>
        <w:bidi w:val="0"/>
        <w:snapToGrid w:val="0"/>
        <w:spacing w:line="360" w:lineRule="auto"/>
        <w:ind w:firstLine="482" w:firstLineChars="200"/>
        <w:jc w:val="left"/>
        <w:textAlignment w:val="auto"/>
        <w:outlineLvl w:val="0"/>
        <w:rPr>
          <w:rFonts w:ascii="宋体" w:hAnsi="宋体" w:cs="宋体"/>
          <w:b/>
          <w:sz w:val="24"/>
          <w:szCs w:val="20"/>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一</w:t>
      </w:r>
      <w:r>
        <w:rPr>
          <w:rFonts w:hint="eastAsia" w:ascii="宋体" w:hAnsi="宋体" w:cs="宋体"/>
          <w:b/>
          <w:sz w:val="24"/>
          <w:highlight w:val="none"/>
        </w:rPr>
        <w:t>）投标文件的组成</w:t>
      </w:r>
    </w:p>
    <w:p w14:paraId="6C6D40C5">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投标文件由</w:t>
      </w:r>
      <w:r>
        <w:rPr>
          <w:rFonts w:hint="eastAsia" w:ascii="宋体" w:hAnsi="宋体" w:cs="宋体"/>
          <w:sz w:val="24"/>
          <w:highlight w:val="none"/>
          <w:lang w:eastAsia="zh-CN"/>
        </w:rPr>
        <w:t>资格文件</w:t>
      </w:r>
      <w:r>
        <w:rPr>
          <w:rFonts w:hint="eastAsia" w:ascii="宋体" w:hAnsi="宋体" w:cs="宋体"/>
          <w:sz w:val="24"/>
          <w:highlight w:val="none"/>
        </w:rPr>
        <w:t>、</w:t>
      </w:r>
      <w:r>
        <w:rPr>
          <w:rFonts w:hint="eastAsia" w:ascii="宋体" w:hAnsi="宋体" w:cs="宋体"/>
          <w:sz w:val="24"/>
          <w:highlight w:val="none"/>
          <w:lang w:eastAsia="zh-CN"/>
        </w:rPr>
        <w:t>报价文件</w:t>
      </w:r>
      <w:r>
        <w:rPr>
          <w:rFonts w:hint="eastAsia" w:ascii="宋体" w:hAnsi="宋体" w:cs="宋体"/>
          <w:sz w:val="24"/>
          <w:highlight w:val="none"/>
        </w:rPr>
        <w:t>、</w:t>
      </w:r>
      <w:r>
        <w:rPr>
          <w:rFonts w:hint="eastAsia" w:ascii="宋体" w:hAnsi="宋体" w:cs="宋体"/>
          <w:sz w:val="24"/>
          <w:highlight w:val="none"/>
          <w:lang w:eastAsia="zh-CN"/>
        </w:rPr>
        <w:t>商务技术文件</w:t>
      </w:r>
      <w:r>
        <w:rPr>
          <w:rFonts w:hint="eastAsia" w:ascii="宋体" w:hAnsi="宋体" w:cs="宋体"/>
          <w:sz w:val="24"/>
          <w:highlight w:val="none"/>
        </w:rPr>
        <w:t>三部份组成。</w:t>
      </w:r>
    </w:p>
    <w:p w14:paraId="3F93939E">
      <w:pPr>
        <w:keepNext w:val="0"/>
        <w:keepLines w:val="0"/>
        <w:pageBreakBefore w:val="0"/>
        <w:numPr>
          <w:ilvl w:val="0"/>
          <w:numId w:val="5"/>
        </w:numPr>
        <w:kinsoku/>
        <w:wordWrap/>
        <w:overflowPunct/>
        <w:topLinePunct w:val="0"/>
        <w:bidi w:val="0"/>
        <w:snapToGrid w:val="0"/>
        <w:spacing w:before="120" w:beforeLines="50" w:line="360" w:lineRule="auto"/>
        <w:ind w:firstLine="482" w:firstLineChars="200"/>
        <w:jc w:val="left"/>
        <w:textAlignment w:val="auto"/>
        <w:rPr>
          <w:rFonts w:ascii="宋体" w:hAnsi="宋体" w:cs="宋体"/>
          <w:b/>
          <w:bCs/>
          <w:sz w:val="24"/>
          <w:highlight w:val="none"/>
        </w:rPr>
      </w:pPr>
      <w:r>
        <w:rPr>
          <w:rFonts w:hint="eastAsia" w:ascii="宋体" w:hAnsi="宋体" w:cs="宋体"/>
          <w:b/>
          <w:bCs/>
          <w:sz w:val="24"/>
          <w:highlight w:val="none"/>
          <w:lang w:eastAsia="zh-CN"/>
        </w:rPr>
        <w:t>资格文件</w:t>
      </w:r>
      <w:r>
        <w:rPr>
          <w:rFonts w:hint="eastAsia" w:ascii="宋体" w:hAnsi="宋体" w:cs="宋体"/>
          <w:b/>
          <w:bCs/>
          <w:sz w:val="24"/>
          <w:highlight w:val="none"/>
        </w:rPr>
        <w:t>：</w:t>
      </w:r>
    </w:p>
    <w:p w14:paraId="63A78934">
      <w:pPr>
        <w:keepNext w:val="0"/>
        <w:keepLines w:val="0"/>
        <w:pageBreakBefore w:val="0"/>
        <w:numPr>
          <w:ilvl w:val="0"/>
          <w:numId w:val="6"/>
        </w:numPr>
        <w:kinsoku/>
        <w:wordWrap/>
        <w:overflowPunct/>
        <w:topLinePunct w:val="0"/>
        <w:bidi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bCs/>
          <w:sz w:val="24"/>
          <w:highlight w:val="none"/>
        </w:rPr>
        <w:t>有效期内营业执照（</w:t>
      </w:r>
      <w:r>
        <w:rPr>
          <w:rFonts w:hint="eastAsia" w:ascii="宋体" w:hAnsi="宋体"/>
          <w:color w:val="000000"/>
          <w:sz w:val="24"/>
          <w:highlight w:val="none"/>
        </w:rPr>
        <w:t>或事业单位法人证书）</w:t>
      </w:r>
      <w:r>
        <w:rPr>
          <w:rFonts w:hint="eastAsia" w:ascii="宋体" w:hAnsi="宋体" w:cs="宋体"/>
          <w:sz w:val="24"/>
          <w:highlight w:val="none"/>
        </w:rPr>
        <w:t>；</w:t>
      </w:r>
    </w:p>
    <w:p w14:paraId="5E2F0A39">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cs="宋体"/>
          <w:bCs/>
          <w:color w:val="000000"/>
          <w:spacing w:val="-6"/>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）法定代表人身份证明及本人身份证复印件</w:t>
      </w:r>
      <w:r>
        <w:rPr>
          <w:rFonts w:hint="eastAsia" w:ascii="宋体" w:hAnsi="宋体" w:cs="宋体"/>
          <w:bCs/>
          <w:color w:val="000000"/>
          <w:spacing w:val="-6"/>
          <w:sz w:val="24"/>
          <w:highlight w:val="none"/>
        </w:rPr>
        <w:t>（格式见附件）；</w:t>
      </w:r>
    </w:p>
    <w:p w14:paraId="653F5314">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）法定代表人的授权委托书及委托代理人身份证复印件</w:t>
      </w:r>
      <w:r>
        <w:rPr>
          <w:rFonts w:hint="eastAsia" w:ascii="宋体" w:hAnsi="宋体" w:cs="宋体"/>
          <w:bCs/>
          <w:color w:val="000000"/>
          <w:spacing w:val="-6"/>
          <w:sz w:val="24"/>
          <w:highlight w:val="none"/>
        </w:rPr>
        <w:t>（格</w:t>
      </w:r>
      <w:r>
        <w:rPr>
          <w:rFonts w:hint="eastAsia" w:ascii="宋体" w:hAnsi="宋体" w:cs="宋体"/>
          <w:bCs/>
          <w:color w:val="000000"/>
          <w:spacing w:val="-6"/>
          <w:sz w:val="24"/>
          <w:highlight w:val="none"/>
        </w:rPr>
        <w:t>式见附件）（委托人参加时提供）</w:t>
      </w:r>
      <w:r>
        <w:rPr>
          <w:rFonts w:hint="eastAsia" w:ascii="宋体" w:hAnsi="宋体" w:cs="宋体"/>
          <w:sz w:val="24"/>
          <w:highlight w:val="none"/>
        </w:rPr>
        <w:t>；</w:t>
      </w:r>
    </w:p>
    <w:p w14:paraId="14786936">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000000"/>
          <w:spacing w:val="-6"/>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bCs/>
          <w:sz w:val="24"/>
          <w:highlight w:val="none"/>
          <w:lang w:val="zh-CN"/>
        </w:rPr>
        <w:t>廉政承诺书</w:t>
      </w:r>
      <w:r>
        <w:rPr>
          <w:rFonts w:hint="eastAsia" w:ascii="宋体" w:hAnsi="宋体" w:cs="宋体"/>
          <w:bCs/>
          <w:color w:val="000000"/>
          <w:spacing w:val="-6"/>
          <w:sz w:val="24"/>
          <w:highlight w:val="none"/>
        </w:rPr>
        <w:t>（格式见附件）</w:t>
      </w:r>
      <w:r>
        <w:rPr>
          <w:rFonts w:hint="eastAsia" w:ascii="宋体" w:hAnsi="宋体" w:cs="宋体"/>
          <w:bCs/>
          <w:color w:val="000000"/>
          <w:spacing w:val="-6"/>
          <w:sz w:val="24"/>
          <w:highlight w:val="none"/>
          <w:lang w:eastAsia="zh-CN"/>
        </w:rPr>
        <w:t>；</w:t>
      </w:r>
    </w:p>
    <w:p w14:paraId="40B35ED3">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cs="宋体"/>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）政府采购供应商诚信承诺书（格式见附件）</w:t>
      </w:r>
      <w:r>
        <w:rPr>
          <w:rFonts w:hint="eastAsia" w:ascii="宋体" w:hAnsi="宋体" w:cs="宋体"/>
          <w:sz w:val="24"/>
          <w:highlight w:val="none"/>
          <w:lang w:eastAsia="zh-CN"/>
        </w:rPr>
        <w:t>；</w:t>
      </w:r>
    </w:p>
    <w:p w14:paraId="6888C732">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）符合参加政府采购活动应当具备的一般条件的承诺函</w:t>
      </w:r>
      <w:r>
        <w:rPr>
          <w:rFonts w:hint="eastAsia" w:ascii="宋体" w:hAnsi="宋体" w:cs="宋体"/>
          <w:sz w:val="24"/>
          <w:highlight w:val="none"/>
        </w:rPr>
        <w:t>（格式见附件）；</w:t>
      </w:r>
    </w:p>
    <w:p w14:paraId="0B25DD26">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）投标声明书(格式见附件)；</w:t>
      </w:r>
    </w:p>
    <w:p w14:paraId="280729B3">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cs="宋体"/>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）截至公告发布日止，相关主体在“信用中国”网站(www.creditchina.gov.cn)及中国政府采购网(www.ccgp.gov.cn)是否有失信行为的查询结果截图</w:t>
      </w:r>
      <w:r>
        <w:rPr>
          <w:rFonts w:hint="eastAsia" w:ascii="宋体" w:hAnsi="宋体" w:cs="宋体"/>
          <w:sz w:val="24"/>
          <w:highlight w:val="none"/>
          <w:lang w:eastAsia="zh-CN"/>
        </w:rPr>
        <w:t>；</w:t>
      </w:r>
    </w:p>
    <w:p w14:paraId="0F86F7E7">
      <w:pPr>
        <w:keepNext w:val="0"/>
        <w:keepLines w:val="0"/>
        <w:pageBreakBefore w:val="0"/>
        <w:kinsoku/>
        <w:wordWrap/>
        <w:overflowPunct/>
        <w:topLinePunct w:val="0"/>
        <w:bidi w:val="0"/>
        <w:snapToGrid w:val="0"/>
        <w:spacing w:line="360" w:lineRule="auto"/>
        <w:ind w:firstLine="456" w:firstLineChars="200"/>
        <w:jc w:val="left"/>
        <w:textAlignment w:val="auto"/>
        <w:rPr>
          <w:rFonts w:hint="eastAsia" w:ascii="宋体" w:hAnsi="宋体" w:cs="宋体"/>
          <w:bCs/>
          <w:color w:val="000000"/>
          <w:spacing w:val="-6"/>
          <w:sz w:val="24"/>
          <w:highlight w:val="none"/>
          <w:lang w:val="en-US" w:eastAsia="zh-CN"/>
        </w:rPr>
      </w:pPr>
      <w:r>
        <w:rPr>
          <w:rFonts w:hint="eastAsia" w:ascii="宋体" w:hAnsi="宋体" w:cs="宋体"/>
          <w:bCs/>
          <w:color w:val="000000"/>
          <w:spacing w:val="-6"/>
          <w:sz w:val="24"/>
          <w:highlight w:val="none"/>
          <w:lang w:eastAsia="zh-CN"/>
        </w:rPr>
        <w:t>（</w:t>
      </w:r>
      <w:r>
        <w:rPr>
          <w:rFonts w:hint="eastAsia" w:ascii="宋体" w:hAnsi="宋体" w:cs="宋体"/>
          <w:bCs/>
          <w:color w:val="000000"/>
          <w:spacing w:val="-6"/>
          <w:sz w:val="24"/>
          <w:highlight w:val="none"/>
          <w:lang w:val="en-US" w:eastAsia="zh-CN"/>
        </w:rPr>
        <w:t>9</w:t>
      </w:r>
      <w:r>
        <w:rPr>
          <w:rFonts w:hint="eastAsia" w:ascii="宋体" w:hAnsi="宋体" w:cs="宋体"/>
          <w:bCs/>
          <w:color w:val="000000"/>
          <w:spacing w:val="-6"/>
          <w:sz w:val="24"/>
          <w:highlight w:val="none"/>
          <w:lang w:eastAsia="zh-CN"/>
        </w:rPr>
        <w:t>）供应商如以联合体形式参加政府采购活动的，提供联合体协议书</w:t>
      </w:r>
      <w:r>
        <w:rPr>
          <w:rFonts w:hint="eastAsia" w:ascii="宋体" w:hAnsi="宋体" w:cs="宋体"/>
          <w:bCs/>
          <w:color w:val="000000"/>
          <w:spacing w:val="-6"/>
          <w:sz w:val="24"/>
          <w:highlight w:val="none"/>
          <w:lang w:val="en-US" w:eastAsia="zh-CN"/>
        </w:rPr>
        <w:t>（</w:t>
      </w:r>
      <w:r>
        <w:rPr>
          <w:rFonts w:hint="eastAsia" w:ascii="宋体" w:hAnsi="宋体" w:cs="宋体"/>
          <w:bCs/>
          <w:color w:val="000000"/>
          <w:spacing w:val="-6"/>
          <w:sz w:val="24"/>
          <w:highlight w:val="none"/>
          <w:lang w:eastAsia="zh-CN"/>
        </w:rPr>
        <w:t>格式见附件</w:t>
      </w:r>
      <w:r>
        <w:rPr>
          <w:rFonts w:hint="eastAsia" w:ascii="宋体" w:hAnsi="宋体" w:cs="宋体"/>
          <w:bCs/>
          <w:color w:val="000000"/>
          <w:spacing w:val="-6"/>
          <w:sz w:val="24"/>
          <w:highlight w:val="none"/>
          <w:lang w:val="en-US" w:eastAsia="zh-CN"/>
        </w:rPr>
        <w:t>）</w:t>
      </w:r>
      <w:r>
        <w:rPr>
          <w:rFonts w:hint="eastAsia" w:ascii="宋体" w:hAnsi="宋体" w:cs="宋体"/>
          <w:bCs/>
          <w:color w:val="000000"/>
          <w:spacing w:val="-6"/>
          <w:sz w:val="24"/>
          <w:highlight w:val="none"/>
          <w:lang w:eastAsia="zh-CN"/>
        </w:rPr>
        <w:t>、授权委托书以及联合体成员的营业执照；（提供原件的扫描件加盖</w:t>
      </w:r>
      <w:r>
        <w:rPr>
          <w:rFonts w:hint="eastAsia" w:ascii="宋体" w:hAnsi="宋体" w:cs="宋体"/>
          <w:bCs/>
          <w:color w:val="000000"/>
          <w:spacing w:val="-6"/>
          <w:sz w:val="24"/>
          <w:highlight w:val="none"/>
          <w:lang w:val="en-US" w:eastAsia="zh-CN"/>
        </w:rPr>
        <w:t>公</w:t>
      </w:r>
      <w:r>
        <w:rPr>
          <w:rFonts w:hint="eastAsia" w:ascii="宋体" w:hAnsi="宋体" w:cs="宋体"/>
          <w:bCs/>
          <w:color w:val="000000"/>
          <w:spacing w:val="-6"/>
          <w:sz w:val="24"/>
          <w:highlight w:val="none"/>
          <w:lang w:eastAsia="zh-CN"/>
        </w:rPr>
        <w:t>章）</w:t>
      </w:r>
      <w:r>
        <w:rPr>
          <w:rFonts w:hint="eastAsia" w:ascii="宋体" w:hAnsi="宋体" w:cs="宋体"/>
          <w:bCs/>
          <w:color w:val="000000"/>
          <w:spacing w:val="-6"/>
          <w:sz w:val="24"/>
          <w:highlight w:val="none"/>
          <w:lang w:val="en-US" w:eastAsia="zh-CN"/>
        </w:rPr>
        <w:t>；</w:t>
      </w:r>
    </w:p>
    <w:p w14:paraId="06BF1196">
      <w:pPr>
        <w:keepNext w:val="0"/>
        <w:keepLines w:val="0"/>
        <w:pageBreakBefore w:val="0"/>
        <w:kinsoku/>
        <w:wordWrap/>
        <w:overflowPunct/>
        <w:topLinePunct w:val="0"/>
        <w:bidi w:val="0"/>
        <w:snapToGrid w:val="0"/>
        <w:spacing w:line="360" w:lineRule="auto"/>
        <w:ind w:firstLine="480" w:firstLineChars="200"/>
        <w:jc w:val="left"/>
        <w:textAlignment w:val="auto"/>
        <w:rPr>
          <w:rFonts w:hint="default" w:ascii="宋体" w:hAnsi="宋体" w:cs="宋体"/>
          <w:bCs/>
          <w:color w:val="000000"/>
          <w:spacing w:val="-6"/>
          <w:sz w:val="24"/>
          <w:highlight w:val="none"/>
          <w:lang w:val="en-US" w:eastAsia="zh-CN"/>
        </w:rPr>
      </w:pPr>
      <w:r>
        <w:rPr>
          <w:rFonts w:hint="eastAsia" w:ascii="宋体" w:hAnsi="宋体" w:eastAsia="宋体" w:cs="宋体"/>
          <w:sz w:val="24"/>
          <w:highlight w:val="none"/>
          <w:lang w:val="en-US" w:eastAsia="zh-CN"/>
        </w:rPr>
        <w:t>（10）中小企业声明函（格式见附件）。</w:t>
      </w:r>
    </w:p>
    <w:p w14:paraId="3B88C256">
      <w:pPr>
        <w:keepNext w:val="0"/>
        <w:keepLines w:val="0"/>
        <w:pageBreakBefore w:val="0"/>
        <w:kinsoku/>
        <w:wordWrap/>
        <w:overflowPunct/>
        <w:topLinePunct w:val="0"/>
        <w:bidi w:val="0"/>
        <w:snapToGrid w:val="0"/>
        <w:spacing w:line="360" w:lineRule="auto"/>
        <w:ind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eastAsia="zh-CN"/>
        </w:rPr>
        <w:t>商务技术文件</w:t>
      </w:r>
      <w:r>
        <w:rPr>
          <w:rFonts w:hint="eastAsia" w:ascii="宋体" w:hAnsi="宋体" w:cs="宋体"/>
          <w:b/>
          <w:bCs/>
          <w:sz w:val="24"/>
          <w:highlight w:val="none"/>
        </w:rPr>
        <w:t>（按评分排序提供资料）：</w:t>
      </w:r>
    </w:p>
    <w:p w14:paraId="6E61F09A">
      <w:pPr>
        <w:pStyle w:val="7"/>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（1）</w:t>
      </w:r>
      <w:r>
        <w:rPr>
          <w:rFonts w:hint="eastAsia" w:ascii="宋体" w:hAnsi="宋体" w:eastAsia="宋体" w:cs="宋体"/>
          <w:color w:val="000000"/>
          <w:szCs w:val="21"/>
          <w:highlight w:val="none"/>
          <w:lang w:val="en-US" w:eastAsia="zh-CN"/>
        </w:rPr>
        <w:t>投标函</w:t>
      </w:r>
      <w:r>
        <w:rPr>
          <w:rFonts w:hint="eastAsia" w:ascii="宋体" w:hAnsi="宋体" w:eastAsia="宋体" w:cs="宋体"/>
          <w:color w:val="000000"/>
          <w:szCs w:val="21"/>
          <w:highlight w:val="none"/>
        </w:rPr>
        <w:t>；</w:t>
      </w:r>
      <w:r>
        <w:rPr>
          <w:rFonts w:hint="eastAsia" w:ascii="宋体" w:hAnsi="宋体" w:eastAsia="宋体" w:cs="宋体"/>
          <w:sz w:val="24"/>
          <w:highlight w:val="none"/>
          <w:lang w:val="en-US" w:eastAsia="zh-CN"/>
        </w:rPr>
        <w:t>（格式见附件）</w:t>
      </w:r>
    </w:p>
    <w:p w14:paraId="4A5CA8B5">
      <w:pPr>
        <w:pStyle w:val="7"/>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zh-CN"/>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lang w:val="zh-CN"/>
        </w:rPr>
        <w:t>）</w:t>
      </w:r>
      <w:r>
        <w:rPr>
          <w:rFonts w:hint="eastAsia" w:ascii="宋体" w:hAnsi="宋体" w:eastAsia="宋体" w:cs="宋体"/>
          <w:color w:val="auto"/>
          <w:sz w:val="24"/>
          <w:szCs w:val="24"/>
          <w:highlight w:val="none"/>
          <w:lang w:val="en-US" w:eastAsia="zh-CN"/>
        </w:rPr>
        <w:t>投标人认证证书</w:t>
      </w:r>
      <w:r>
        <w:rPr>
          <w:rFonts w:hint="eastAsia" w:ascii="宋体" w:hAnsi="宋体" w:eastAsia="宋体" w:cs="宋体"/>
          <w:color w:val="000000"/>
          <w:szCs w:val="21"/>
          <w:highlight w:val="none"/>
        </w:rPr>
        <w:t>；</w:t>
      </w:r>
    </w:p>
    <w:p w14:paraId="5FC0F767">
      <w:pPr>
        <w:pStyle w:val="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w:t>
      </w:r>
      <w:r>
        <w:rPr>
          <w:rFonts w:hint="eastAsia" w:ascii="宋体" w:hAnsi="宋体" w:eastAsia="宋体" w:cs="宋体"/>
          <w:color w:val="auto"/>
          <w:sz w:val="24"/>
          <w:szCs w:val="24"/>
          <w:highlight w:val="none"/>
          <w:lang w:val="en-US" w:eastAsia="zh-CN"/>
        </w:rPr>
        <w:t>投标人业绩</w:t>
      </w:r>
      <w:r>
        <w:rPr>
          <w:rFonts w:hint="eastAsia" w:ascii="宋体" w:hAnsi="宋体" w:eastAsia="宋体" w:cs="宋体"/>
          <w:color w:val="000000"/>
          <w:szCs w:val="21"/>
          <w:highlight w:val="none"/>
        </w:rPr>
        <w:t>；</w:t>
      </w:r>
      <w:r>
        <w:rPr>
          <w:rFonts w:hint="eastAsia" w:ascii="宋体" w:hAnsi="宋体" w:eastAsia="宋体" w:cs="宋体"/>
          <w:sz w:val="24"/>
          <w:highlight w:val="none"/>
          <w:lang w:val="en-US" w:eastAsia="zh-CN"/>
        </w:rPr>
        <w:t>（格式见附件）</w:t>
      </w:r>
    </w:p>
    <w:p w14:paraId="08E0077C">
      <w:pPr>
        <w:pStyle w:val="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w:t>
      </w:r>
      <w:r>
        <w:rPr>
          <w:rFonts w:hint="eastAsia" w:ascii="宋体" w:hAnsi="宋体" w:eastAsia="宋体" w:cs="宋体"/>
          <w:color w:val="auto"/>
          <w:sz w:val="24"/>
          <w:szCs w:val="24"/>
          <w:highlight w:val="none"/>
          <w:lang w:val="en-US" w:eastAsia="zh-CN"/>
        </w:rPr>
        <w:t>服务参数响应情况</w:t>
      </w:r>
      <w:r>
        <w:rPr>
          <w:rFonts w:hint="eastAsia" w:ascii="宋体" w:hAnsi="宋体" w:eastAsia="宋体" w:cs="宋体"/>
          <w:color w:val="000000"/>
          <w:szCs w:val="21"/>
          <w:highlight w:val="none"/>
        </w:rPr>
        <w:t>；</w:t>
      </w:r>
      <w:r>
        <w:rPr>
          <w:rFonts w:hint="eastAsia" w:ascii="宋体" w:hAnsi="宋体" w:eastAsia="宋体" w:cs="宋体"/>
          <w:sz w:val="24"/>
          <w:highlight w:val="none"/>
          <w:lang w:val="en-US" w:eastAsia="zh-CN"/>
        </w:rPr>
        <w:t>（格式见附件）</w:t>
      </w:r>
    </w:p>
    <w:p w14:paraId="541E4AD2">
      <w:pPr>
        <w:pStyle w:val="7"/>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w:t>
      </w:r>
      <w:r>
        <w:rPr>
          <w:rFonts w:hint="eastAsia" w:ascii="宋体" w:hAnsi="宋体" w:eastAsia="宋体" w:cs="宋体"/>
          <w:color w:val="auto"/>
          <w:sz w:val="24"/>
          <w:szCs w:val="24"/>
          <w:highlight w:val="none"/>
          <w:lang w:val="zh-CN"/>
        </w:rPr>
        <w:t>服务方案</w:t>
      </w:r>
      <w:r>
        <w:rPr>
          <w:rFonts w:hint="eastAsia" w:ascii="宋体" w:hAnsi="宋体" w:eastAsia="宋体" w:cs="宋体"/>
          <w:color w:val="000000"/>
          <w:szCs w:val="21"/>
          <w:highlight w:val="none"/>
          <w:lang w:val="zh-CN"/>
        </w:rPr>
        <w:t>；</w:t>
      </w:r>
    </w:p>
    <w:p w14:paraId="78C4C883">
      <w:pPr>
        <w:pStyle w:val="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应急响应方案；</w:t>
      </w:r>
    </w:p>
    <w:p w14:paraId="5974F2DA">
      <w:pPr>
        <w:pStyle w:val="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培训方案；</w:t>
      </w:r>
    </w:p>
    <w:p w14:paraId="6264A164">
      <w:pPr>
        <w:pStyle w:val="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（8）服务保障能力；</w:t>
      </w:r>
    </w:p>
    <w:p w14:paraId="036F6CFA">
      <w:pPr>
        <w:pStyle w:val="7"/>
        <w:rPr>
          <w:rFonts w:hint="eastAsia" w:ascii="宋体" w:hAnsi="宋体" w:eastAsia="宋体" w:cs="宋体"/>
          <w:sz w:val="24"/>
          <w:highlight w:val="none"/>
          <w:lang w:val="zh-CN"/>
        </w:rPr>
      </w:pPr>
      <w:r>
        <w:rPr>
          <w:rFonts w:hint="eastAsia" w:ascii="宋体" w:hAnsi="宋体" w:eastAsia="宋体" w:cs="宋体"/>
          <w:color w:val="auto"/>
          <w:sz w:val="24"/>
          <w:szCs w:val="24"/>
          <w:highlight w:val="none"/>
          <w:lang w:val="en-US" w:eastAsia="zh-CN"/>
        </w:rPr>
        <w:t>（9）供应商认为需要</w:t>
      </w:r>
      <w:r>
        <w:rPr>
          <w:rFonts w:hint="eastAsia" w:ascii="宋体" w:hAnsi="宋体" w:eastAsia="宋体" w:cs="宋体"/>
          <w:color w:val="000000"/>
          <w:szCs w:val="21"/>
          <w:highlight w:val="none"/>
        </w:rPr>
        <w:t>提供的其他资料</w:t>
      </w:r>
      <w:r>
        <w:rPr>
          <w:rFonts w:hint="eastAsia" w:ascii="宋体" w:hAnsi="宋体" w:eastAsia="宋体" w:cs="宋体"/>
          <w:sz w:val="24"/>
          <w:highlight w:val="none"/>
          <w:lang w:val="zh-CN"/>
        </w:rPr>
        <w:t>。</w:t>
      </w:r>
    </w:p>
    <w:p w14:paraId="6B621930">
      <w:pPr>
        <w:keepNext w:val="0"/>
        <w:keepLines w:val="0"/>
        <w:pageBreakBefore w:val="0"/>
        <w:kinsoku/>
        <w:wordWrap/>
        <w:overflowPunct/>
        <w:topLinePunct w:val="0"/>
        <w:bidi w:val="0"/>
        <w:snapToGrid w:val="0"/>
        <w:spacing w:line="360" w:lineRule="auto"/>
        <w:ind w:firstLine="482" w:firstLineChars="200"/>
        <w:jc w:val="left"/>
        <w:textAlignment w:val="auto"/>
        <w:rPr>
          <w:rFonts w:hint="eastAsia" w:ascii="宋体" w:hAnsi="宋体" w:eastAsia="宋体" w:cs="宋体"/>
          <w:sz w:val="24"/>
          <w:highlight w:val="none"/>
          <w:lang w:eastAsia="zh-CN"/>
        </w:rPr>
      </w:pPr>
      <w:r>
        <w:rPr>
          <w:rFonts w:hint="eastAsia" w:ascii="宋体" w:hAnsi="宋体" w:cs="宋体"/>
          <w:b/>
          <w:sz w:val="24"/>
          <w:highlight w:val="none"/>
        </w:rPr>
        <w:t>3.</w:t>
      </w:r>
      <w:r>
        <w:rPr>
          <w:rFonts w:hint="eastAsia" w:ascii="宋体" w:hAnsi="宋体" w:cs="宋体"/>
          <w:b/>
          <w:sz w:val="24"/>
          <w:highlight w:val="none"/>
          <w:lang w:eastAsia="zh-CN"/>
        </w:rPr>
        <w:t>报价文件</w:t>
      </w:r>
      <w:r>
        <w:rPr>
          <w:rFonts w:hint="eastAsia" w:ascii="宋体" w:hAnsi="宋体" w:cs="宋体"/>
          <w:b/>
          <w:sz w:val="24"/>
          <w:highlight w:val="none"/>
        </w:rPr>
        <w:t>：</w:t>
      </w:r>
    </w:p>
    <w:p w14:paraId="013A2357">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（1）开标一览表（格式见附件）；</w:t>
      </w:r>
    </w:p>
    <w:p w14:paraId="4D881DA2">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）投标人针对报价需要说明的其他</w:t>
      </w:r>
      <w:r>
        <w:rPr>
          <w:rFonts w:hint="eastAsia" w:ascii="宋体" w:hAnsi="宋体" w:cs="宋体"/>
          <w:sz w:val="24"/>
          <w:highlight w:val="none"/>
        </w:rPr>
        <w:t>文件和说明（不含报价）。</w:t>
      </w:r>
    </w:p>
    <w:p w14:paraId="552CFEF9">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0"/>
        <w:rPr>
          <w:rFonts w:ascii="宋体" w:hAnsi="宋体" w:cs="宋体"/>
          <w:b/>
          <w:sz w:val="24"/>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二</w:t>
      </w:r>
      <w:r>
        <w:rPr>
          <w:rFonts w:hint="eastAsia" w:ascii="宋体" w:hAnsi="宋体" w:cs="宋体"/>
          <w:b/>
          <w:sz w:val="24"/>
          <w:highlight w:val="none"/>
        </w:rPr>
        <w:t>）投标文件的语言及计量</w:t>
      </w:r>
    </w:p>
    <w:p w14:paraId="29833132">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szCs w:val="20"/>
          <w:highlight w:val="none"/>
        </w:rPr>
      </w:pPr>
      <w:r>
        <w:rPr>
          <w:rFonts w:hint="eastAsia" w:ascii="宋体" w:hAnsi="宋体" w:cs="宋体"/>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7355A411">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szCs w:val="20"/>
          <w:highlight w:val="none"/>
        </w:rPr>
      </w:pPr>
      <w:r>
        <w:rPr>
          <w:rFonts w:hint="eastAsia" w:ascii="宋体" w:hAnsi="宋体" w:cs="宋体"/>
          <w:sz w:val="24"/>
          <w:highlight w:val="none"/>
        </w:rPr>
        <w:t>2.投标计量单位，应采用中华人民共和国法定计量单位（货币单位：人民币元），否则视同未响应。</w:t>
      </w:r>
    </w:p>
    <w:p w14:paraId="36C97CE6">
      <w:pPr>
        <w:keepNext w:val="0"/>
        <w:keepLines w:val="0"/>
        <w:pageBreakBefore w:val="0"/>
        <w:kinsoku/>
        <w:wordWrap/>
        <w:overflowPunct/>
        <w:topLinePunct w:val="0"/>
        <w:bidi w:val="0"/>
        <w:snapToGrid w:val="0"/>
        <w:spacing w:before="120" w:beforeLines="50" w:after="120" w:afterLines="50" w:line="360" w:lineRule="auto"/>
        <w:ind w:firstLine="482" w:firstLineChars="200"/>
        <w:jc w:val="left"/>
        <w:textAlignment w:val="auto"/>
        <w:outlineLvl w:val="0"/>
        <w:rPr>
          <w:rFonts w:ascii="宋体" w:hAnsi="宋体" w:cs="宋体"/>
          <w:b/>
          <w:sz w:val="24"/>
          <w:szCs w:val="20"/>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三</w:t>
      </w:r>
      <w:r>
        <w:rPr>
          <w:rFonts w:hint="eastAsia" w:ascii="宋体" w:hAnsi="宋体" w:cs="宋体"/>
          <w:b/>
          <w:sz w:val="24"/>
          <w:highlight w:val="none"/>
        </w:rPr>
        <w:t>）投标报价</w:t>
      </w:r>
    </w:p>
    <w:p w14:paraId="35737193">
      <w:pPr>
        <w:pStyle w:val="16"/>
        <w:keepNext w:val="0"/>
        <w:keepLines w:val="0"/>
        <w:pageBreakBefore w:val="0"/>
        <w:kinsoku/>
        <w:wordWrap/>
        <w:overflowPunct/>
        <w:topLinePunct w:val="0"/>
        <w:bidi w:val="0"/>
        <w:snapToGrid w:val="0"/>
        <w:spacing w:before="0" w:beforeLines="0" w:after="120" w:line="360" w:lineRule="auto"/>
        <w:ind w:firstLine="480" w:firstLineChars="200"/>
        <w:jc w:val="left"/>
        <w:textAlignment w:val="auto"/>
        <w:rPr>
          <w:rFonts w:hint="eastAsia" w:hAnsi="宋体" w:cs="宋体"/>
          <w:highlight w:val="none"/>
        </w:rPr>
      </w:pPr>
      <w:r>
        <w:rPr>
          <w:rFonts w:hint="eastAsia" w:hAnsi="宋体" w:cs="宋体"/>
          <w:highlight w:val="none"/>
        </w:rPr>
        <w:t>1.投标报价应按招标文件中相关附表格式填写。</w:t>
      </w:r>
    </w:p>
    <w:p w14:paraId="0495D43D">
      <w:pPr>
        <w:pStyle w:val="16"/>
        <w:keepNext w:val="0"/>
        <w:keepLines w:val="0"/>
        <w:pageBreakBefore w:val="0"/>
        <w:kinsoku/>
        <w:wordWrap/>
        <w:overflowPunct/>
        <w:topLinePunct w:val="0"/>
        <w:bidi w:val="0"/>
        <w:snapToGrid w:val="0"/>
        <w:spacing w:before="0" w:beforeLines="0" w:after="120" w:line="360" w:lineRule="auto"/>
        <w:ind w:firstLine="480" w:firstLineChars="200"/>
        <w:jc w:val="left"/>
        <w:textAlignment w:val="auto"/>
        <w:rPr>
          <w:rFonts w:hint="eastAsia" w:hAnsi="宋体" w:cs="宋体"/>
          <w:highlight w:val="none"/>
          <w:lang w:val="en-US" w:eastAsia="zh-CN"/>
        </w:rPr>
      </w:pPr>
      <w:r>
        <w:rPr>
          <w:rFonts w:hint="eastAsia" w:hAnsi="宋体" w:cs="宋体"/>
          <w:highlight w:val="none"/>
          <w:lang w:val="en-US" w:eastAsia="zh-CN"/>
        </w:rPr>
        <w:t>2.</w:t>
      </w:r>
      <w:r>
        <w:rPr>
          <w:rFonts w:hint="eastAsia" w:hAnsi="宋体" w:cs="宋体"/>
          <w:b w:val="0"/>
          <w:bCs w:val="0"/>
          <w:highlight w:val="none"/>
          <w:u w:val="none"/>
        </w:rPr>
        <w:t>本项目</w:t>
      </w:r>
      <w:r>
        <w:rPr>
          <w:rFonts w:hint="eastAsia" w:hAnsi="宋体" w:cs="宋体"/>
          <w:b w:val="0"/>
          <w:bCs w:val="0"/>
          <w:highlight w:val="none"/>
          <w:u w:val="none"/>
          <w:lang w:val="en-US" w:eastAsia="zh-CN"/>
        </w:rPr>
        <w:t>最高限价</w:t>
      </w:r>
      <w:r>
        <w:rPr>
          <w:rFonts w:hint="eastAsia" w:hAnsi="宋体" w:cs="宋体"/>
          <w:b w:val="0"/>
          <w:bCs w:val="0"/>
          <w:highlight w:val="none"/>
          <w:u w:val="none"/>
        </w:rPr>
        <w:t>：</w:t>
      </w:r>
      <w:r>
        <w:rPr>
          <w:rFonts w:hint="eastAsia" w:hAnsi="宋体" w:cs="宋体"/>
          <w:b w:val="0"/>
          <w:bCs w:val="0"/>
          <w:highlight w:val="none"/>
          <w:u w:val="single"/>
          <w:lang w:val="en-US" w:eastAsia="zh-CN"/>
        </w:rPr>
        <w:t>54万元</w:t>
      </w:r>
      <w:r>
        <w:rPr>
          <w:rFonts w:hint="eastAsia" w:hAnsi="宋体" w:cs="宋体"/>
          <w:b w:val="0"/>
          <w:bCs w:val="0"/>
          <w:highlight w:val="none"/>
          <w:lang w:eastAsia="zh-CN"/>
        </w:rPr>
        <w:t>，投标人报价超过最高限价或最高单价限价的作无效报价处</w:t>
      </w:r>
      <w:r>
        <w:rPr>
          <w:rFonts w:hint="eastAsia" w:hAnsi="宋体" w:cs="宋体"/>
          <w:highlight w:val="none"/>
          <w:lang w:eastAsia="zh-CN"/>
        </w:rPr>
        <w:t>理，取消其投标资格。</w:t>
      </w:r>
    </w:p>
    <w:p w14:paraId="590A5213">
      <w:pPr>
        <w:pStyle w:val="16"/>
        <w:keepNext w:val="0"/>
        <w:keepLines w:val="0"/>
        <w:pageBreakBefore w:val="0"/>
        <w:kinsoku/>
        <w:wordWrap/>
        <w:overflowPunct/>
        <w:topLinePunct w:val="0"/>
        <w:bidi w:val="0"/>
        <w:snapToGrid w:val="0"/>
        <w:spacing w:before="0" w:beforeLines="0" w:after="0" w:afterLines="0" w:line="360" w:lineRule="auto"/>
        <w:ind w:firstLine="480" w:firstLineChars="200"/>
        <w:jc w:val="left"/>
        <w:textAlignment w:val="auto"/>
        <w:rPr>
          <w:rFonts w:hAnsi="宋体" w:cs="宋体"/>
          <w:highlight w:val="none"/>
        </w:rPr>
      </w:pPr>
      <w:r>
        <w:rPr>
          <w:rFonts w:hint="eastAsia" w:hAnsi="宋体" w:cs="宋体"/>
          <w:highlight w:val="none"/>
          <w:lang w:val="en-US" w:eastAsia="zh-CN"/>
        </w:rPr>
        <w:t>3</w:t>
      </w:r>
      <w:r>
        <w:rPr>
          <w:rFonts w:hint="eastAsia" w:hAnsi="宋体" w:cs="宋体"/>
          <w:highlight w:val="none"/>
        </w:rPr>
        <w:t>.</w:t>
      </w:r>
      <w:r>
        <w:rPr>
          <w:rFonts w:hint="eastAsia" w:hAnsi="宋体" w:cs="宋体"/>
          <w:sz w:val="24"/>
          <w:szCs w:val="24"/>
          <w:highlight w:val="none"/>
        </w:rPr>
        <w:t>投标报价是履行合同的最终价格，包括</w:t>
      </w:r>
      <w:r>
        <w:rPr>
          <w:rFonts w:hint="eastAsia" w:hAnsi="宋体" w:cs="宋体"/>
          <w:sz w:val="24"/>
          <w:szCs w:val="24"/>
          <w:highlight w:val="none"/>
          <w:lang w:val="en-US" w:eastAsia="zh-CN"/>
        </w:rPr>
        <w:t>但不限于</w:t>
      </w:r>
      <w:r>
        <w:rPr>
          <w:rFonts w:hint="eastAsia" w:ascii="宋体" w:hAnsi="宋体" w:eastAsia="宋体" w:cs="宋体"/>
          <w:sz w:val="24"/>
          <w:szCs w:val="24"/>
          <w:highlight w:val="none"/>
          <w:lang w:val="en-US" w:eastAsia="zh-CN"/>
        </w:rPr>
        <w:t>本项目整个服务期所需的一切</w:t>
      </w:r>
      <w:r>
        <w:rPr>
          <w:rFonts w:hint="eastAsia" w:hAnsi="宋体" w:cs="宋体"/>
          <w:sz w:val="24"/>
          <w:szCs w:val="24"/>
          <w:highlight w:val="none"/>
          <w:lang w:val="en-US" w:eastAsia="zh-CN"/>
        </w:rPr>
        <w:t>软硬</w:t>
      </w:r>
      <w:r>
        <w:rPr>
          <w:rFonts w:hint="eastAsia" w:ascii="宋体" w:hAnsi="宋体" w:eastAsia="宋体" w:cs="宋体"/>
          <w:sz w:val="24"/>
          <w:szCs w:val="24"/>
          <w:highlight w:val="none"/>
          <w:lang w:val="en-US" w:eastAsia="zh-CN"/>
        </w:rPr>
        <w:t>件</w:t>
      </w:r>
      <w:r>
        <w:rPr>
          <w:rFonts w:hint="eastAsia" w:hAnsi="宋体" w:cs="宋体"/>
          <w:sz w:val="24"/>
          <w:szCs w:val="24"/>
          <w:highlight w:val="none"/>
          <w:lang w:val="en-US" w:eastAsia="zh-CN"/>
        </w:rPr>
        <w:t>及</w:t>
      </w:r>
      <w:r>
        <w:rPr>
          <w:rFonts w:hint="eastAsia" w:ascii="宋体" w:hAnsi="宋体" w:eastAsia="宋体" w:cs="宋体"/>
          <w:sz w:val="24"/>
          <w:szCs w:val="24"/>
          <w:highlight w:val="none"/>
          <w:lang w:val="en-US" w:eastAsia="zh-CN"/>
        </w:rPr>
        <w:t>人工、工具、保险、交通、利润、税金、售后服务、保修（包含须由投标人承担的各种税费）、其它需投标人承担的费用及潜在可能涉及的一切费用。</w:t>
      </w:r>
      <w:r>
        <w:rPr>
          <w:rFonts w:hint="eastAsia" w:hAnsi="宋体" w:cs="宋体"/>
          <w:sz w:val="24"/>
          <w:szCs w:val="24"/>
          <w:highlight w:val="none"/>
        </w:rPr>
        <w:t>供应商应根据自身实际报价时予以考虑，如有漏项，视同已包含在其它项目中，价格不作调整，</w:t>
      </w:r>
      <w:r>
        <w:rPr>
          <w:rFonts w:hint="eastAsia" w:hAnsi="宋体" w:cs="宋体"/>
          <w:sz w:val="24"/>
          <w:szCs w:val="24"/>
          <w:highlight w:val="none"/>
          <w:lang w:eastAsia="zh-CN"/>
        </w:rPr>
        <w:t>成交</w:t>
      </w:r>
      <w:r>
        <w:rPr>
          <w:rFonts w:hint="eastAsia" w:hAnsi="宋体" w:cs="宋体"/>
          <w:sz w:val="24"/>
          <w:szCs w:val="24"/>
          <w:highlight w:val="none"/>
        </w:rPr>
        <w:t>后不允许擅自改变服务内容、质量标准、期限和追加项目费用</w:t>
      </w:r>
      <w:r>
        <w:rPr>
          <w:rFonts w:hint="eastAsia" w:hAnsi="宋体" w:cs="宋体"/>
          <w:sz w:val="24"/>
          <w:szCs w:val="24"/>
          <w:highlight w:val="none"/>
          <w:lang w:eastAsia="zh-CN"/>
        </w:rPr>
        <w:t>。</w:t>
      </w:r>
    </w:p>
    <w:p w14:paraId="0F3E34B1">
      <w:pPr>
        <w:keepNext w:val="0"/>
        <w:keepLines w:val="0"/>
        <w:pageBreakBefore w:val="0"/>
        <w:tabs>
          <w:tab w:val="left" w:pos="525"/>
        </w:tabs>
        <w:kinsoku/>
        <w:wordWrap/>
        <w:overflowPunct/>
        <w:topLinePunct w:val="0"/>
        <w:bidi w:val="0"/>
        <w:snapToGrid w:val="0"/>
        <w:spacing w:line="360" w:lineRule="auto"/>
        <w:ind w:firstLine="480" w:firstLineChars="200"/>
        <w:jc w:val="left"/>
        <w:textAlignment w:val="auto"/>
        <w:rPr>
          <w:rFonts w:ascii="宋体" w:hAnsi="宋体" w:cs="宋体"/>
          <w:sz w:val="24"/>
          <w:szCs w:val="20"/>
          <w:highlight w:val="none"/>
        </w:rPr>
      </w:pPr>
      <w:r>
        <w:rPr>
          <w:rFonts w:hint="eastAsia" w:ascii="宋体" w:hAnsi="宋体" w:cs="宋体"/>
          <w:sz w:val="24"/>
          <w:highlight w:val="none"/>
          <w:lang w:val="en-US" w:eastAsia="zh-CN"/>
        </w:rPr>
        <w:t>4</w:t>
      </w:r>
      <w:r>
        <w:rPr>
          <w:rFonts w:hint="eastAsia" w:ascii="宋体" w:hAnsi="宋体" w:cs="宋体"/>
          <w:sz w:val="24"/>
          <w:highlight w:val="none"/>
        </w:rPr>
        <w:t>.投标文件只允许有一个报价，有选择的或有条件的报价将不予接受。</w:t>
      </w:r>
    </w:p>
    <w:p w14:paraId="5AEE1972">
      <w:pPr>
        <w:pStyle w:val="16"/>
        <w:keepNext w:val="0"/>
        <w:keepLines w:val="0"/>
        <w:pageBreakBefore w:val="0"/>
        <w:kinsoku/>
        <w:wordWrap/>
        <w:overflowPunct/>
        <w:topLinePunct w:val="0"/>
        <w:bidi w:val="0"/>
        <w:snapToGrid w:val="0"/>
        <w:spacing w:before="0" w:beforeLines="0" w:after="0" w:afterLines="0"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）投标文件的有效期</w:t>
      </w:r>
    </w:p>
    <w:p w14:paraId="036D3228">
      <w:pPr>
        <w:pStyle w:val="16"/>
        <w:keepNext w:val="0"/>
        <w:keepLines w:val="0"/>
        <w:pageBreakBefore w:val="0"/>
        <w:kinsoku/>
        <w:wordWrap/>
        <w:overflowPunct/>
        <w:topLinePunct w:val="0"/>
        <w:bidi w:val="0"/>
        <w:snapToGrid w:val="0"/>
        <w:spacing w:before="0" w:beforeLines="0" w:after="0" w:afterLines="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1.投标文件从投标文件递交截止之日起，有效期为90天。</w:t>
      </w:r>
    </w:p>
    <w:p w14:paraId="3D95084E">
      <w:pPr>
        <w:pStyle w:val="16"/>
        <w:keepNext w:val="0"/>
        <w:keepLines w:val="0"/>
        <w:pageBreakBefore w:val="0"/>
        <w:kinsoku/>
        <w:wordWrap/>
        <w:overflowPunct/>
        <w:topLinePunct w:val="0"/>
        <w:bidi w:val="0"/>
        <w:snapToGrid w:val="0"/>
        <w:spacing w:before="0" w:beforeLines="0" w:after="0" w:afterLines="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在特殊情况下，招标人可与投标人协商延长投标书的有效期，这种要求和答复均以书面形式进行。 </w:t>
      </w:r>
    </w:p>
    <w:p w14:paraId="30E37572">
      <w:pPr>
        <w:pStyle w:val="16"/>
        <w:keepNext w:val="0"/>
        <w:keepLines w:val="0"/>
        <w:pageBreakBefore w:val="0"/>
        <w:kinsoku/>
        <w:wordWrap/>
        <w:overflowPunct/>
        <w:topLinePunct w:val="0"/>
        <w:bidi w:val="0"/>
        <w:snapToGrid w:val="0"/>
        <w:spacing w:before="0" w:beforeLines="0" w:after="0" w:afterLines="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的投标文件自开标之日起至合同履行完毕止均应保持有效。</w:t>
      </w:r>
    </w:p>
    <w:p w14:paraId="4D512B5F">
      <w:pPr>
        <w:pStyle w:val="16"/>
        <w:keepNext w:val="0"/>
        <w:keepLines w:val="0"/>
        <w:pageBreakBefore w:val="0"/>
        <w:kinsoku/>
        <w:wordWrap/>
        <w:overflowPunct/>
        <w:topLinePunct w:val="0"/>
        <w:bidi w:val="0"/>
        <w:snapToGrid w:val="0"/>
        <w:spacing w:before="0" w:beforeLines="0" w:after="0" w:afterLines="0"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（五）投标文件的签署和份数</w:t>
      </w:r>
    </w:p>
    <w:p w14:paraId="2D66D049">
      <w:pPr>
        <w:pStyle w:val="16"/>
        <w:keepNext w:val="0"/>
        <w:keepLines w:val="0"/>
        <w:pageBreakBefore w:val="0"/>
        <w:kinsoku/>
        <w:wordWrap/>
        <w:overflowPunct/>
        <w:topLinePunct w:val="0"/>
        <w:bidi w:val="0"/>
        <w:snapToGrid w:val="0"/>
        <w:spacing w:before="0" w:beforeLines="0" w:after="0" w:afterLines="0" w:line="360" w:lineRule="auto"/>
        <w:ind w:firstLine="480" w:firstLineChars="200"/>
        <w:jc w:val="left"/>
        <w:textAlignment w:val="auto"/>
        <w:rPr>
          <w:rFonts w:ascii="宋体" w:hAnsi="宋体" w:cs="宋体"/>
          <w:b w:val="0"/>
          <w:bCs w:val="0"/>
          <w:sz w:val="24"/>
          <w:highlight w:val="none"/>
        </w:rPr>
      </w:pPr>
      <w:r>
        <w:rPr>
          <w:rFonts w:hint="eastAsia" w:ascii="宋体" w:hAnsi="宋体" w:eastAsia="宋体" w:cs="宋体"/>
          <w:sz w:val="24"/>
          <w:szCs w:val="24"/>
          <w:highlight w:val="none"/>
        </w:rPr>
        <w:t>1.投标人应认真阅读招标文件所有内容，按本招标文件规定的要求、编制顺序和统一格式编制投标文件并标注页码，电子投标</w:t>
      </w:r>
      <w:r>
        <w:rPr>
          <w:rFonts w:hint="eastAsia" w:ascii="宋体" w:hAnsi="宋体" w:cs="宋体"/>
          <w:b w:val="0"/>
          <w:bCs w:val="0"/>
          <w:sz w:val="24"/>
          <w:highlight w:val="none"/>
        </w:rPr>
        <w:t>文件须根据评分标准进行关联定位。投标文件因内容不完整、编排混乱，或者电子投标文件未按评分标准进行关联定位或者关联定位不准确，导致投标文件被误读、漏读或者查找不到相关内容的，是投标人的责任。电子投标文件须按政采云平台供应商项目采购</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电子招投标操作指南及本招标文件要求制作和加密。（操作指南下载网址：https://help.zcygov.cn/web/site_2/2018/12-28/2573.html</w:t>
      </w:r>
      <w:r>
        <w:rPr>
          <w:rFonts w:hint="eastAsia" w:ascii="宋体" w:hAnsi="宋体" w:cs="宋体"/>
          <w:b w:val="0"/>
          <w:bCs w:val="0"/>
          <w:sz w:val="24"/>
          <w:highlight w:val="none"/>
          <w:lang w:eastAsia="zh-CN"/>
        </w:rPr>
        <w:t>)</w:t>
      </w:r>
    </w:p>
    <w:p w14:paraId="498335FC">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b w:val="0"/>
          <w:bCs w:val="0"/>
          <w:sz w:val="24"/>
          <w:highlight w:val="none"/>
        </w:rPr>
      </w:pPr>
      <w:r>
        <w:rPr>
          <w:rFonts w:hint="eastAsia" w:ascii="宋体" w:hAnsi="宋体" w:cs="宋体"/>
          <w:b w:val="0"/>
          <w:bCs w:val="0"/>
          <w:sz w:val="24"/>
          <w:highlight w:val="none"/>
        </w:rPr>
        <w:t>2.电子投标文件（包括资格文件、报价文件、商务技术文件）中招标文件要求加盖公章的部分均采用CA签章。电子投标文件的封面格式详见 附件1。</w:t>
      </w:r>
    </w:p>
    <w:p w14:paraId="27C6BA55">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b w:val="0"/>
          <w:bCs w:val="0"/>
          <w:sz w:val="24"/>
          <w:highlight w:val="none"/>
        </w:rPr>
      </w:pP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rPr>
        <w:t>电子投标文件中有签字要求的部分，投标人可以将签字后的扫描件上传至政采云系统，有盖章要求的部分，要求采用CA签章。投标人应写全称。</w:t>
      </w:r>
    </w:p>
    <w:p w14:paraId="62212FF8">
      <w:pPr>
        <w:keepNext w:val="0"/>
        <w:keepLines w:val="0"/>
        <w:pageBreakBefore w:val="0"/>
        <w:kinsoku/>
        <w:wordWrap/>
        <w:overflowPunct/>
        <w:topLinePunct w:val="0"/>
        <w:bidi w:val="0"/>
        <w:snapToGrid w:val="0"/>
        <w:spacing w:line="360" w:lineRule="auto"/>
        <w:ind w:firstLine="482" w:firstLineChars="200"/>
        <w:jc w:val="left"/>
        <w:textAlignment w:val="auto"/>
        <w:rPr>
          <w:rFonts w:ascii="宋体" w:hAnsi="宋体" w:cs="宋体"/>
          <w:b/>
          <w:sz w:val="24"/>
          <w:highlight w:val="none"/>
        </w:rPr>
      </w:pPr>
      <w:r>
        <w:rPr>
          <w:rFonts w:hint="eastAsia" w:ascii="宋体" w:hAnsi="宋体" w:cs="宋体"/>
          <w:b/>
          <w:sz w:val="24"/>
          <w:highlight w:val="none"/>
        </w:rPr>
        <w:t>（六）投标文件的递交、修改和撤回</w:t>
      </w:r>
    </w:p>
    <w:p w14:paraId="2E895961">
      <w:pPr>
        <w:keepNext w:val="0"/>
        <w:keepLines w:val="0"/>
        <w:pageBreakBefore w:val="0"/>
        <w:kinsoku/>
        <w:wordWrap/>
        <w:overflowPunct/>
        <w:topLinePunct w:val="0"/>
        <w:bidi w:val="0"/>
        <w:snapToGrid w:val="0"/>
        <w:spacing w:line="360" w:lineRule="auto"/>
        <w:ind w:firstLine="480" w:firstLineChars="200"/>
        <w:textAlignment w:val="auto"/>
        <w:outlineLvl w:val="1"/>
        <w:rPr>
          <w:rFonts w:ascii="宋体" w:hAnsi="宋体" w:cs="宋体"/>
          <w:b w:val="0"/>
          <w:bCs w:val="0"/>
          <w:sz w:val="24"/>
          <w:highlight w:val="none"/>
        </w:rPr>
      </w:pP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rPr>
        <w:t>电子投标文件按政采云平台供应商项目采购</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电子招投标操作指南（网址：</w:t>
      </w:r>
      <w:r>
        <w:rPr>
          <w:b w:val="0"/>
          <w:bCs w:val="0"/>
          <w:highlight w:val="none"/>
        </w:rPr>
        <w:fldChar w:fldCharType="begin"/>
      </w:r>
      <w:r>
        <w:rPr>
          <w:b w:val="0"/>
          <w:bCs w:val="0"/>
          <w:highlight w:val="none"/>
        </w:rPr>
        <w:instrText xml:space="preserve"> HYPERLINK "https://help.zcygov.cn/web/site_2/2018/12-28/2573.html）及本招标文件规定的的要求、编制顺序和统一格式编制电子投标文件并进行关联定位。" </w:instrText>
      </w:r>
      <w:r>
        <w:rPr>
          <w:b w:val="0"/>
          <w:bCs w:val="0"/>
          <w:highlight w:val="none"/>
        </w:rPr>
        <w:fldChar w:fldCharType="separate"/>
      </w:r>
      <w:r>
        <w:rPr>
          <w:rStyle w:val="34"/>
          <w:rFonts w:hint="eastAsia" w:ascii="宋体" w:hAnsi="宋体" w:cs="宋体"/>
          <w:b w:val="0"/>
          <w:bCs w:val="0"/>
          <w:color w:val="auto"/>
          <w:sz w:val="24"/>
          <w:highlight w:val="none"/>
        </w:rPr>
        <w:t>https://help.zcygov.cn/web/site_2/2018/12-28/2573.html）及本招标文件规定</w:t>
      </w:r>
      <w:r>
        <w:rPr>
          <w:rStyle w:val="34"/>
          <w:rFonts w:hint="eastAsia" w:ascii="宋体" w:hAnsi="宋体" w:cs="宋体"/>
          <w:b w:val="0"/>
          <w:bCs w:val="0"/>
          <w:color w:val="auto"/>
          <w:sz w:val="24"/>
          <w:highlight w:val="none"/>
          <w:lang w:eastAsia="zh-CN"/>
        </w:rPr>
        <w:t>的</w:t>
      </w:r>
      <w:r>
        <w:rPr>
          <w:rStyle w:val="34"/>
          <w:rFonts w:hint="eastAsia" w:ascii="宋体" w:hAnsi="宋体" w:cs="宋体"/>
          <w:b w:val="0"/>
          <w:bCs w:val="0"/>
          <w:color w:val="auto"/>
          <w:sz w:val="24"/>
          <w:highlight w:val="none"/>
        </w:rPr>
        <w:t>要求、编制顺序和统一格式编制电子投标文件并进行关联定位。</w:t>
      </w:r>
      <w:r>
        <w:rPr>
          <w:rStyle w:val="34"/>
          <w:rFonts w:hint="eastAsia" w:ascii="宋体" w:hAnsi="宋体" w:cs="宋体"/>
          <w:b w:val="0"/>
          <w:bCs w:val="0"/>
          <w:color w:val="auto"/>
          <w:sz w:val="24"/>
          <w:highlight w:val="none"/>
        </w:rPr>
        <w:fldChar w:fldCharType="end"/>
      </w:r>
    </w:p>
    <w:p w14:paraId="3ADECFD2">
      <w:pPr>
        <w:keepNext w:val="0"/>
        <w:keepLines w:val="0"/>
        <w:pageBreakBefore w:val="0"/>
        <w:kinsoku/>
        <w:wordWrap/>
        <w:overflowPunct/>
        <w:topLinePunct w:val="0"/>
        <w:bidi w:val="0"/>
        <w:snapToGrid w:val="0"/>
        <w:spacing w:line="360" w:lineRule="auto"/>
        <w:ind w:firstLine="480" w:firstLineChars="200"/>
        <w:textAlignment w:val="auto"/>
        <w:outlineLvl w:val="1"/>
        <w:rPr>
          <w:rFonts w:ascii="宋体" w:hAnsi="宋体" w:cs="宋体"/>
          <w:b w:val="0"/>
          <w:bCs w:val="0"/>
          <w:sz w:val="24"/>
          <w:highlight w:val="none"/>
        </w:rPr>
      </w:pP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投标人可以在投标截止时间前将电子备份投标文件（经政采云电子交易客户端和CA驱动制作出的加密电子备份投标文件）发送至邮箱：</w:t>
      </w:r>
      <w:r>
        <w:rPr>
          <w:rFonts w:hint="eastAsia" w:ascii="宋体" w:hAnsi="宋体" w:cs="宋体"/>
          <w:b w:val="0"/>
          <w:bCs w:val="0"/>
          <w:sz w:val="24"/>
          <w:highlight w:val="none"/>
          <w:lang w:eastAsia="zh-CN"/>
        </w:rPr>
        <w:t>3611630580</w:t>
      </w:r>
      <w:r>
        <w:rPr>
          <w:rFonts w:hint="eastAsia" w:ascii="宋体" w:hAnsi="宋体" w:cs="宋体"/>
          <w:b w:val="0"/>
          <w:bCs w:val="0"/>
          <w:sz w:val="24"/>
          <w:highlight w:val="none"/>
        </w:rPr>
        <w:t>@qq.com，逾期发送或发错的电子备份投标文件将被视为无效；电子备份投标文件的提交不作强制性要求。电子备份投标文件的递交截止时间：</w:t>
      </w:r>
      <w:r>
        <w:rPr>
          <w:rFonts w:hint="eastAsia" w:ascii="宋体" w:hAnsi="宋体" w:cs="宋体"/>
          <w:b/>
          <w:bCs/>
          <w:sz w:val="24"/>
          <w:highlight w:val="none"/>
          <w:u w:val="single"/>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25</w:t>
      </w:r>
      <w:r>
        <w:rPr>
          <w:rFonts w:hint="eastAsia" w:ascii="宋体" w:hAnsi="宋体" w:cs="宋体"/>
          <w:b/>
          <w:bCs/>
          <w:sz w:val="24"/>
          <w:highlight w:val="none"/>
          <w:u w:val="single"/>
        </w:rPr>
        <w:t>日</w:t>
      </w:r>
      <w:r>
        <w:rPr>
          <w:rFonts w:hint="eastAsia" w:ascii="宋体" w:hAnsi="宋体" w:cs="宋体"/>
          <w:b/>
          <w:bCs/>
          <w:sz w:val="24"/>
          <w:highlight w:val="none"/>
          <w:u w:val="single"/>
          <w:lang w:val="en-US" w:eastAsia="zh-CN"/>
        </w:rPr>
        <w:t>14</w:t>
      </w:r>
      <w:r>
        <w:rPr>
          <w:rFonts w:hint="eastAsia" w:ascii="宋体" w:hAnsi="宋体" w:cs="宋体"/>
          <w:b/>
          <w:bCs/>
          <w:sz w:val="24"/>
          <w:highlight w:val="none"/>
          <w:u w:val="single"/>
        </w:rPr>
        <w:t>时30分</w:t>
      </w:r>
      <w:r>
        <w:rPr>
          <w:rFonts w:hint="eastAsia" w:ascii="宋体" w:hAnsi="宋体" w:cs="宋体"/>
          <w:b w:val="0"/>
          <w:bCs w:val="0"/>
          <w:sz w:val="24"/>
          <w:highlight w:val="none"/>
        </w:rPr>
        <w:t>，逾期未递交的视为自动放弃递交电子备份投标文件。</w:t>
      </w:r>
    </w:p>
    <w:p w14:paraId="5975F8C1">
      <w:pPr>
        <w:keepNext w:val="0"/>
        <w:keepLines w:val="0"/>
        <w:pageBreakBefore w:val="0"/>
        <w:kinsoku/>
        <w:wordWrap/>
        <w:overflowPunct/>
        <w:topLinePunct w:val="0"/>
        <w:bidi w:val="0"/>
        <w:snapToGrid w:val="0"/>
        <w:spacing w:line="360" w:lineRule="auto"/>
        <w:ind w:firstLine="480" w:firstLineChars="200"/>
        <w:textAlignment w:val="auto"/>
        <w:outlineLvl w:val="1"/>
        <w:rPr>
          <w:rFonts w:ascii="宋体" w:hAnsi="宋体" w:cs="宋体"/>
          <w:b w:val="0"/>
          <w:bCs w:val="0"/>
          <w:sz w:val="24"/>
          <w:highlight w:val="none"/>
        </w:rPr>
      </w:pP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rPr>
        <w:t>未按规定上传的电子投标文件将被拒绝，由此造成投标文件解密失败或被误投的风险由投标人承担。</w:t>
      </w:r>
    </w:p>
    <w:p w14:paraId="4605E7E2">
      <w:pPr>
        <w:keepNext w:val="0"/>
        <w:keepLines w:val="0"/>
        <w:pageBreakBefore w:val="0"/>
        <w:kinsoku/>
        <w:wordWrap/>
        <w:overflowPunct/>
        <w:topLinePunct w:val="0"/>
        <w:bidi w:val="0"/>
        <w:spacing w:line="360" w:lineRule="auto"/>
        <w:ind w:firstLine="480" w:firstLineChars="200"/>
        <w:textAlignment w:val="auto"/>
        <w:rPr>
          <w:rFonts w:ascii="宋体" w:hAnsi="宋体" w:cs="宋体"/>
          <w:b w:val="0"/>
          <w:bCs w:val="0"/>
          <w:sz w:val="24"/>
          <w:highlight w:val="none"/>
        </w:rPr>
      </w:pP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p w14:paraId="13992E95">
      <w:pPr>
        <w:keepNext w:val="0"/>
        <w:keepLines w:val="0"/>
        <w:pageBreakBefore w:val="0"/>
        <w:kinsoku/>
        <w:wordWrap/>
        <w:overflowPunct/>
        <w:topLinePunct w:val="0"/>
        <w:bidi w:val="0"/>
        <w:spacing w:line="360" w:lineRule="auto"/>
        <w:ind w:firstLine="480" w:firstLineChars="200"/>
        <w:textAlignment w:val="auto"/>
        <w:rPr>
          <w:rFonts w:ascii="宋体" w:hAnsi="宋体" w:cs="宋体"/>
          <w:b w:val="0"/>
          <w:bCs w:val="0"/>
          <w:sz w:val="24"/>
          <w:highlight w:val="none"/>
        </w:rPr>
      </w:pP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电子投标文件无法解密或解密失败时，投标人提供了电子备份投标文件的，以电子备份投标文件作为评审依据；否则视为投标文件无效。投标文件已按时解密的，电子备份投标文件自动失效。</w:t>
      </w:r>
    </w:p>
    <w:p w14:paraId="350CD2D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6.</w:t>
      </w:r>
      <w:r>
        <w:rPr>
          <w:rFonts w:hint="eastAsia" w:ascii="宋体" w:hAnsi="宋体" w:eastAsia="宋体" w:cs="宋体"/>
          <w:b w:val="0"/>
          <w:bCs w:val="0"/>
          <w:sz w:val="24"/>
          <w:highlight w:val="none"/>
        </w:rPr>
        <w:t>投标人在递交投标文件后，可以修改或撤回其投标文件：递交投标文件截止时间之前补充或者修改电子投标文件的，应当先行撤回原文件，补充、修改后重新传输递交。</w:t>
      </w:r>
    </w:p>
    <w:p w14:paraId="455CD69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7.</w:t>
      </w:r>
      <w:r>
        <w:rPr>
          <w:rFonts w:hint="eastAsia" w:ascii="宋体" w:hAnsi="宋体" w:eastAsia="宋体" w:cs="宋体"/>
          <w:b w:val="0"/>
          <w:bCs w:val="0"/>
          <w:sz w:val="24"/>
          <w:highlight w:val="none"/>
        </w:rPr>
        <w:t>投标人修改后的投标文件应按原来的规定编制、标记和递交。</w:t>
      </w:r>
    </w:p>
    <w:p w14:paraId="5A8DF10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8.</w:t>
      </w:r>
      <w:r>
        <w:rPr>
          <w:rFonts w:hint="eastAsia" w:ascii="宋体" w:hAnsi="宋体" w:eastAsia="宋体" w:cs="宋体"/>
          <w:b w:val="0"/>
          <w:bCs w:val="0"/>
          <w:sz w:val="24"/>
          <w:highlight w:val="none"/>
        </w:rPr>
        <w:t>在递交投标文件截止期之后，投标人不得对其投标文件做任何修改。</w:t>
      </w:r>
    </w:p>
    <w:p w14:paraId="73E6033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9.</w:t>
      </w:r>
      <w:r>
        <w:rPr>
          <w:rFonts w:hint="eastAsia" w:ascii="宋体" w:hAnsi="宋体" w:eastAsia="宋体" w:cs="宋体"/>
          <w:b w:val="0"/>
          <w:bCs w:val="0"/>
          <w:sz w:val="24"/>
          <w:highlight w:val="none"/>
        </w:rPr>
        <w:t>递交投标文件截止期后，投标人不得撤回其投标文件。</w:t>
      </w:r>
    </w:p>
    <w:p w14:paraId="570E62C2">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eastAsia="宋体" w:cs="宋体"/>
          <w:b w:val="0"/>
          <w:bCs w:val="0"/>
          <w:sz w:val="24"/>
          <w:highlight w:val="none"/>
          <w:lang w:val="en-US" w:eastAsia="zh-CN"/>
        </w:rPr>
        <w:t>10.</w:t>
      </w:r>
      <w:r>
        <w:rPr>
          <w:rFonts w:hint="eastAsia" w:ascii="宋体" w:hAnsi="宋体" w:eastAsia="宋体" w:cs="宋体"/>
          <w:b w:val="0"/>
          <w:bCs w:val="0"/>
          <w:sz w:val="24"/>
          <w:highlight w:val="none"/>
        </w:rPr>
        <w:t>实质上没有响应本文件要求的投标文件将被拒绝。投标人不得通过修正或撤销不合要求的偏离或保留从而使其投标文件成为实质上响应的文件。</w:t>
      </w:r>
    </w:p>
    <w:p w14:paraId="2B50CFD2">
      <w:pPr>
        <w:keepNext w:val="0"/>
        <w:keepLines w:val="0"/>
        <w:pageBreakBefore w:val="0"/>
        <w:kinsoku/>
        <w:wordWrap/>
        <w:overflowPunct/>
        <w:topLinePunct w:val="0"/>
        <w:bidi w:val="0"/>
        <w:snapToGrid w:val="0"/>
        <w:spacing w:before="120" w:beforeLines="50" w:line="360" w:lineRule="auto"/>
        <w:ind w:firstLine="482" w:firstLineChars="200"/>
        <w:textAlignment w:val="auto"/>
        <w:outlineLvl w:val="2"/>
        <w:rPr>
          <w:rFonts w:hint="eastAsia" w:ascii="宋体" w:hAnsi="宋体" w:cs="宋体"/>
          <w:b/>
          <w:sz w:val="24"/>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七</w:t>
      </w:r>
      <w:r>
        <w:rPr>
          <w:rFonts w:hint="eastAsia" w:ascii="宋体" w:hAnsi="宋体" w:cs="宋体"/>
          <w:b/>
          <w:sz w:val="24"/>
          <w:highlight w:val="none"/>
        </w:rPr>
        <w:t>）投标无效的情形</w:t>
      </w:r>
    </w:p>
    <w:p w14:paraId="15F0A4F3">
      <w:pPr>
        <w:keepNext w:val="0"/>
        <w:keepLines w:val="0"/>
        <w:pageBreakBefore w:val="0"/>
        <w:kinsoku/>
        <w:wordWrap/>
        <w:overflowPunct/>
        <w:topLinePunct w:val="0"/>
        <w:bidi w:val="0"/>
        <w:snapToGrid w:val="0"/>
        <w:spacing w:before="120" w:beforeLines="50" w:line="360" w:lineRule="auto"/>
        <w:ind w:firstLine="480" w:firstLineChars="200"/>
        <w:textAlignment w:val="auto"/>
        <w:outlineLvl w:val="2"/>
        <w:rPr>
          <w:rFonts w:hint="eastAsia" w:ascii="宋体" w:hAnsi="宋体" w:cs="宋体"/>
          <w:b/>
          <w:sz w:val="24"/>
          <w:highlight w:val="none"/>
        </w:rPr>
      </w:pPr>
      <w:r>
        <w:rPr>
          <w:rFonts w:hint="eastAsia" w:ascii="宋体" w:hAnsi="宋体" w:cs="宋体"/>
          <w:sz w:val="24"/>
          <w:highlight w:val="none"/>
        </w:rPr>
        <w:t>实质上没有响应招标文件要求的投标将被视为无效投标。投标人不得通过修正或</w:t>
      </w:r>
      <w:r>
        <w:rPr>
          <w:rFonts w:hint="eastAsia" w:ascii="宋体" w:hAnsi="宋体" w:cs="宋体"/>
          <w:sz w:val="24"/>
          <w:highlight w:val="none"/>
          <w:lang w:eastAsia="zh-CN"/>
        </w:rPr>
        <w:t>撤销</w:t>
      </w:r>
      <w:r>
        <w:rPr>
          <w:rFonts w:hint="eastAsia" w:ascii="宋体" w:hAnsi="宋体" w:cs="宋体"/>
          <w:sz w:val="24"/>
          <w:highlight w:val="none"/>
        </w:rPr>
        <w:t>不合要求的偏离或保留从而使其投标成为实质上响应的投标，但经评标委员会认定属于投标人疏忽、笔误所造成的差错（带▲的条款不得更正），应当允许其在评标结束之前进行修改或者补正，修改或者补</w:t>
      </w:r>
      <w:r>
        <w:rPr>
          <w:rFonts w:hint="eastAsia" w:ascii="宋体" w:hAnsi="宋体" w:cs="宋体"/>
          <w:sz w:val="24"/>
          <w:highlight w:val="none"/>
          <w:lang w:eastAsia="zh-CN"/>
        </w:rPr>
        <w:t>正的</w:t>
      </w:r>
      <w:r>
        <w:rPr>
          <w:rFonts w:hint="eastAsia" w:ascii="宋体" w:hAnsi="宋体" w:cs="宋体"/>
          <w:sz w:val="24"/>
          <w:highlight w:val="none"/>
        </w:rPr>
        <w:t>投标文件必须以书面形式进行。投标人修改、补正投标文件后，不影响评标委员会对其投标文件所作的评价和评分结果。</w:t>
      </w:r>
    </w:p>
    <w:p w14:paraId="316D3BEF">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cs="宋体"/>
          <w:b/>
          <w:sz w:val="24"/>
          <w:highlight w:val="none"/>
        </w:rPr>
      </w:pPr>
      <w:r>
        <w:rPr>
          <w:rFonts w:hint="eastAsia" w:ascii="宋体" w:hAnsi="宋体" w:cs="宋体"/>
          <w:b/>
          <w:sz w:val="24"/>
          <w:highlight w:val="none"/>
        </w:rPr>
        <w:t>1.有下列情形之一的，视为投标人串通投标，其投标无效：</w:t>
      </w:r>
    </w:p>
    <w:p w14:paraId="1205B8B2">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不同投标人的投标文件由同一单位或者个人编制；</w:t>
      </w:r>
    </w:p>
    <w:p w14:paraId="23E5F965">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不同投标人委托同一单位或者个人办理投标事宜；</w:t>
      </w:r>
    </w:p>
    <w:p w14:paraId="481E99C3">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不同投标人的投标文件载明的项目管理成员或者联系人员为同一人；</w:t>
      </w:r>
    </w:p>
    <w:p w14:paraId="44729195">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 xml:space="preserve">不同投标人的投标文件异常一致或者投标报价呈规律性差异； </w:t>
      </w:r>
    </w:p>
    <w:p w14:paraId="0A781265">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w:t>
      </w:r>
      <w:r>
        <w:rPr>
          <w:rFonts w:hint="eastAsia" w:ascii="宋体" w:hAnsi="宋体" w:cs="宋体"/>
          <w:sz w:val="24"/>
          <w:highlight w:val="none"/>
        </w:rPr>
        <w:t>其他严重扰乱招投标程序的</w:t>
      </w:r>
      <w:r>
        <w:rPr>
          <w:rFonts w:hint="eastAsia" w:ascii="宋体" w:hAnsi="宋体" w:cs="宋体"/>
          <w:sz w:val="24"/>
          <w:highlight w:val="none"/>
          <w:lang w:eastAsia="zh-CN"/>
        </w:rPr>
        <w:t>；</w:t>
      </w:r>
    </w:p>
    <w:p w14:paraId="3BC403E7">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6）参与同一标段的供应商，存在以下几种情形：</w:t>
      </w:r>
      <w:r>
        <w:rPr>
          <w:rFonts w:hint="eastAsia" w:ascii="宋体" w:hAnsi="宋体"/>
          <w:b w:val="0"/>
          <w:bCs w:val="0"/>
          <w:color w:val="auto"/>
          <w:sz w:val="24"/>
          <w:highlight w:val="none"/>
        </w:rPr>
        <w:t>MAC地址相同；计算机硬盘序列号相同；投标文件细节错误一致且无合理解释的</w:t>
      </w:r>
      <w:r>
        <w:rPr>
          <w:rFonts w:hint="eastAsia" w:ascii="宋体" w:hAnsi="宋体"/>
          <w:b w:val="0"/>
          <w:bCs w:val="0"/>
          <w:color w:val="auto"/>
          <w:sz w:val="24"/>
          <w:highlight w:val="none"/>
          <w:lang w:eastAsia="zh-CN"/>
        </w:rPr>
        <w:t>。</w:t>
      </w:r>
    </w:p>
    <w:p w14:paraId="08480AA9">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cs="宋体"/>
          <w:b/>
          <w:bCs/>
          <w:sz w:val="24"/>
          <w:highlight w:val="none"/>
        </w:rPr>
      </w:pPr>
      <w:r>
        <w:rPr>
          <w:rFonts w:hint="eastAsia" w:ascii="宋体" w:hAnsi="宋体" w:cs="宋体"/>
          <w:b/>
          <w:bCs/>
          <w:sz w:val="24"/>
          <w:highlight w:val="none"/>
        </w:rPr>
        <w:t>2.在资格审查、符合性审查和商务评审时，如发现下列情形之一的，投标文件将被视为无效：</w:t>
      </w:r>
    </w:p>
    <w:p w14:paraId="680C436C">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（1）资格文件内有商务报价出现的；</w:t>
      </w:r>
    </w:p>
    <w:p w14:paraId="36357820">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）资格文件不全的，或者不符合招标文件标明的资格要求的；</w:t>
      </w:r>
    </w:p>
    <w:p w14:paraId="76957186">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bCs/>
          <w:kern w:val="0"/>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）投标文件无法定代表人（或营业执照上注明的企业负责人）签字</w:t>
      </w:r>
      <w:r>
        <w:rPr>
          <w:rFonts w:hint="eastAsia" w:ascii="宋体" w:hAnsi="宋体" w:cs="宋体"/>
          <w:sz w:val="24"/>
          <w:highlight w:val="none"/>
          <w:lang w:eastAsia="zh-CN"/>
        </w:rPr>
        <w:t>，</w:t>
      </w:r>
      <w:r>
        <w:rPr>
          <w:rFonts w:hint="eastAsia" w:ascii="宋体" w:hAnsi="宋体" w:cs="宋体"/>
          <w:sz w:val="24"/>
          <w:highlight w:val="none"/>
        </w:rPr>
        <w:t>或未</w:t>
      </w:r>
      <w:r>
        <w:rPr>
          <w:rFonts w:hint="eastAsia" w:ascii="宋体" w:hAnsi="宋体" w:cs="宋体"/>
          <w:bCs/>
          <w:kern w:val="0"/>
          <w:sz w:val="24"/>
          <w:highlight w:val="none"/>
        </w:rPr>
        <w:t>提供法定代表人授权委托书；</w:t>
      </w:r>
    </w:p>
    <w:p w14:paraId="5F4168BA">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highlight w:val="none"/>
        </w:rPr>
      </w:pPr>
      <w:r>
        <w:rPr>
          <w:rFonts w:hint="eastAsia" w:hAnsi="宋体" w:cs="宋体"/>
          <w:sz w:val="24"/>
          <w:szCs w:val="24"/>
          <w:highlight w:val="none"/>
        </w:rPr>
        <w:t>（</w:t>
      </w:r>
      <w:r>
        <w:rPr>
          <w:rFonts w:hint="eastAsia" w:hAnsi="宋体" w:cs="宋体"/>
          <w:snapToGrid w:val="0"/>
          <w:sz w:val="24"/>
          <w:szCs w:val="24"/>
          <w:highlight w:val="none"/>
          <w:lang w:val="en-US" w:eastAsia="zh-CN"/>
        </w:rPr>
        <w:t>4</w:t>
      </w:r>
      <w:r>
        <w:rPr>
          <w:rFonts w:hint="eastAsia" w:hAnsi="宋体" w:cs="宋体"/>
          <w:snapToGrid w:val="0"/>
          <w:sz w:val="24"/>
          <w:szCs w:val="24"/>
          <w:highlight w:val="none"/>
        </w:rPr>
        <w:t>）</w:t>
      </w:r>
      <w:r>
        <w:rPr>
          <w:rFonts w:hint="eastAsia" w:hAnsi="宋体" w:cs="宋体"/>
          <w:sz w:val="24"/>
          <w:szCs w:val="24"/>
          <w:highlight w:val="none"/>
        </w:rPr>
        <w:t>投标文件格式不规</w:t>
      </w:r>
      <w:r>
        <w:rPr>
          <w:rFonts w:hint="eastAsia" w:hAnsi="宋体" w:cs="宋体"/>
          <w:sz w:val="24"/>
          <w:highlight w:val="none"/>
        </w:rPr>
        <w:t>范、项目不齐全或者内容虚假的；</w:t>
      </w:r>
    </w:p>
    <w:p w14:paraId="2D83786D">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napToGrid w:val="0"/>
          <w:sz w:val="24"/>
          <w:szCs w:val="24"/>
          <w:highlight w:val="none"/>
        </w:rPr>
      </w:pPr>
      <w:r>
        <w:rPr>
          <w:rFonts w:hint="eastAsia" w:hAnsi="宋体" w:cs="宋体"/>
          <w:sz w:val="24"/>
          <w:highlight w:val="none"/>
        </w:rPr>
        <w:t>（</w:t>
      </w:r>
      <w:r>
        <w:rPr>
          <w:rFonts w:hint="eastAsia" w:hAnsi="宋体" w:cs="宋体"/>
          <w:sz w:val="24"/>
          <w:highlight w:val="none"/>
          <w:lang w:val="en-US" w:eastAsia="zh-CN"/>
        </w:rPr>
        <w:t>5</w:t>
      </w:r>
      <w:r>
        <w:rPr>
          <w:rFonts w:hint="eastAsia" w:hAnsi="宋体" w:cs="宋体"/>
          <w:sz w:val="24"/>
          <w:highlight w:val="none"/>
        </w:rPr>
        <w:t>）投标文件的实质性内容未使用中文表述、意思表述不明确、前后矛盾或者使用计量单位不符合招标文件要求的（经评标委员会认定并允许其当场更正的笔误除外）；</w:t>
      </w:r>
    </w:p>
    <w:p w14:paraId="15F30E05">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napToGrid w:val="0"/>
          <w:sz w:val="24"/>
          <w:szCs w:val="24"/>
          <w:highlight w:val="none"/>
        </w:rPr>
      </w:pPr>
      <w:r>
        <w:rPr>
          <w:rFonts w:hint="eastAsia" w:hAnsi="宋体" w:cs="宋体"/>
          <w:snapToGrid w:val="0"/>
          <w:sz w:val="24"/>
          <w:szCs w:val="24"/>
          <w:highlight w:val="none"/>
        </w:rPr>
        <w:t>（</w:t>
      </w:r>
      <w:r>
        <w:rPr>
          <w:rFonts w:hint="eastAsia" w:hAnsi="宋体" w:cs="宋体"/>
          <w:snapToGrid w:val="0"/>
          <w:sz w:val="24"/>
          <w:szCs w:val="24"/>
          <w:highlight w:val="none"/>
          <w:lang w:val="en-US" w:eastAsia="zh-CN"/>
        </w:rPr>
        <w:t>6</w:t>
      </w:r>
      <w:r>
        <w:rPr>
          <w:rFonts w:hint="eastAsia" w:hAnsi="宋体" w:cs="宋体"/>
          <w:snapToGrid w:val="0"/>
          <w:sz w:val="24"/>
          <w:szCs w:val="24"/>
          <w:highlight w:val="none"/>
        </w:rPr>
        <w:t>）投标有效期、交货时间、质保期等商务条款不能满足招标文件要求的；</w:t>
      </w:r>
    </w:p>
    <w:p w14:paraId="661D09B5">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napToGrid w:val="0"/>
          <w:sz w:val="24"/>
          <w:szCs w:val="24"/>
          <w:highlight w:val="none"/>
        </w:rPr>
      </w:pPr>
      <w:r>
        <w:rPr>
          <w:rFonts w:hint="eastAsia" w:hAnsi="宋体" w:cs="宋体"/>
          <w:snapToGrid w:val="0"/>
          <w:sz w:val="24"/>
          <w:szCs w:val="24"/>
          <w:highlight w:val="none"/>
        </w:rPr>
        <w:t>（</w:t>
      </w:r>
      <w:r>
        <w:rPr>
          <w:rFonts w:hint="eastAsia" w:hAnsi="宋体" w:cs="宋体"/>
          <w:snapToGrid w:val="0"/>
          <w:sz w:val="24"/>
          <w:szCs w:val="24"/>
          <w:highlight w:val="none"/>
          <w:lang w:val="en-US" w:eastAsia="zh-CN"/>
        </w:rPr>
        <w:t>7</w:t>
      </w:r>
      <w:r>
        <w:rPr>
          <w:rFonts w:hint="eastAsia" w:hAnsi="宋体" w:cs="宋体"/>
          <w:snapToGrid w:val="0"/>
          <w:sz w:val="24"/>
          <w:szCs w:val="24"/>
          <w:highlight w:val="none"/>
        </w:rPr>
        <w:t>）未实质性响应招标文件中标有“▲”条款要求的；</w:t>
      </w:r>
    </w:p>
    <w:p w14:paraId="7EDB7E8C">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ascii="宋体" w:hAnsi="宋体" w:cs="宋体"/>
          <w:b/>
          <w:bCs/>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b/>
          <w:bCs/>
          <w:sz w:val="24"/>
          <w:highlight w:val="none"/>
        </w:rPr>
        <w:t>电子投标文件未按规定要求进行签字、电子签章的。</w:t>
      </w:r>
    </w:p>
    <w:p w14:paraId="35BB7D52">
      <w:pPr>
        <w:keepNext w:val="0"/>
        <w:keepLines w:val="0"/>
        <w:pageBreakBefore w:val="0"/>
        <w:kinsoku/>
        <w:wordWrap/>
        <w:overflowPunct/>
        <w:topLinePunct w:val="0"/>
        <w:bidi w:val="0"/>
        <w:snapToGrid w:val="0"/>
        <w:spacing w:line="360" w:lineRule="auto"/>
        <w:ind w:firstLine="464" w:firstLineChars="200"/>
        <w:textAlignment w:val="auto"/>
        <w:rPr>
          <w:rFonts w:ascii="宋体" w:hAnsi="宋体" w:cs="宋体"/>
          <w:spacing w:val="-4"/>
          <w:sz w:val="24"/>
          <w:szCs w:val="20"/>
          <w:highlight w:val="none"/>
        </w:rPr>
      </w:pPr>
      <w:r>
        <w:rPr>
          <w:rFonts w:hint="eastAsia" w:ascii="宋体" w:hAnsi="宋体" w:cs="宋体"/>
          <w:spacing w:val="-4"/>
          <w:sz w:val="24"/>
          <w:szCs w:val="20"/>
          <w:highlight w:val="none"/>
        </w:rPr>
        <w:t>（</w:t>
      </w:r>
      <w:r>
        <w:rPr>
          <w:rFonts w:hint="eastAsia" w:ascii="宋体" w:hAnsi="宋体" w:cs="宋体"/>
          <w:spacing w:val="-4"/>
          <w:sz w:val="24"/>
          <w:szCs w:val="20"/>
          <w:highlight w:val="none"/>
          <w:lang w:val="en-US" w:eastAsia="zh-CN"/>
        </w:rPr>
        <w:t>9</w:t>
      </w:r>
      <w:r>
        <w:rPr>
          <w:rFonts w:hint="eastAsia" w:ascii="宋体" w:hAnsi="宋体" w:cs="宋体"/>
          <w:spacing w:val="-4"/>
          <w:sz w:val="24"/>
          <w:szCs w:val="20"/>
          <w:highlight w:val="none"/>
        </w:rPr>
        <w:t>）本项目投标截止之日前三年内，相关主体在“信用中国”网站、中国政府采购网有失信行为或被列入受惩黑名单。</w:t>
      </w:r>
    </w:p>
    <w:p w14:paraId="4D7515E2">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lang w:val="en-US" w:eastAsia="zh-CN"/>
        </w:rPr>
        <w:t>0</w:t>
      </w:r>
      <w:r>
        <w:rPr>
          <w:rFonts w:hint="eastAsia" w:hAnsi="宋体" w:cs="宋体"/>
          <w:sz w:val="24"/>
          <w:szCs w:val="24"/>
          <w:highlight w:val="none"/>
        </w:rPr>
        <w:t>）投标文件有招标方不能接受的附加条件的。</w:t>
      </w:r>
    </w:p>
    <w:p w14:paraId="3555A7D6">
      <w:pPr>
        <w:pStyle w:val="14"/>
        <w:keepNext w:val="0"/>
        <w:keepLines w:val="0"/>
        <w:pageBreakBefore w:val="0"/>
        <w:kinsoku/>
        <w:wordWrap/>
        <w:overflowPunct/>
        <w:topLinePunct w:val="0"/>
        <w:bidi w:val="0"/>
        <w:snapToGrid w:val="0"/>
        <w:spacing w:line="360" w:lineRule="auto"/>
        <w:ind w:firstLine="466" w:firstLineChars="200"/>
        <w:textAlignment w:val="auto"/>
        <w:rPr>
          <w:rFonts w:hAnsi="宋体" w:cs="宋体"/>
          <w:b/>
          <w:bCs/>
          <w:sz w:val="24"/>
          <w:szCs w:val="24"/>
          <w:highlight w:val="none"/>
        </w:rPr>
      </w:pPr>
      <w:r>
        <w:rPr>
          <w:rFonts w:hint="eastAsia" w:hAnsi="宋体" w:cs="宋体"/>
          <w:b/>
          <w:bCs/>
          <w:sz w:val="24"/>
          <w:szCs w:val="24"/>
          <w:highlight w:val="none"/>
        </w:rPr>
        <w:t>3.在技术评审时，如发现下列情形之一的，投标文件将被视为无效：</w:t>
      </w:r>
    </w:p>
    <w:p w14:paraId="04B63DB8">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（1）未提供或未如实提供投标货物的技术参数，或者投标文件标明的响应或偏离与事实不符或虚假投标的；</w:t>
      </w:r>
    </w:p>
    <w:p w14:paraId="219BF7C9">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（2）</w:t>
      </w:r>
      <w:r>
        <w:rPr>
          <w:rFonts w:hint="eastAsia" w:hAnsi="宋体" w:cs="宋体"/>
          <w:snapToGrid w:val="0"/>
          <w:sz w:val="24"/>
          <w:szCs w:val="24"/>
          <w:highlight w:val="none"/>
        </w:rPr>
        <w:t>明显不符合招标文件要求的规格型号、质量标准，或者与</w:t>
      </w:r>
      <w:r>
        <w:rPr>
          <w:rFonts w:hint="eastAsia" w:hAnsi="宋体" w:cs="宋体"/>
          <w:sz w:val="24"/>
          <w:szCs w:val="24"/>
          <w:highlight w:val="none"/>
        </w:rPr>
        <w:t>招标文件中标有“▲”的技术指标、主要功能项目发生实质性偏离的；</w:t>
      </w:r>
    </w:p>
    <w:p w14:paraId="4FB94EFB">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（3）投标技术方案不明确，存在一个或一个以上备选（替代）投标方案的；</w:t>
      </w:r>
    </w:p>
    <w:p w14:paraId="5D508FFA">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cs="宋体"/>
          <w:b/>
          <w:bCs/>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）电子投标文件未按规定要求进行签字、电子签章的。</w:t>
      </w:r>
    </w:p>
    <w:p w14:paraId="0A2CF1F6">
      <w:pPr>
        <w:pStyle w:val="14"/>
        <w:keepNext w:val="0"/>
        <w:keepLines w:val="0"/>
        <w:pageBreakBefore w:val="0"/>
        <w:kinsoku/>
        <w:wordWrap/>
        <w:overflowPunct/>
        <w:topLinePunct w:val="0"/>
        <w:bidi w:val="0"/>
        <w:snapToGrid w:val="0"/>
        <w:spacing w:line="360" w:lineRule="auto"/>
        <w:ind w:firstLine="466" w:firstLineChars="200"/>
        <w:textAlignment w:val="auto"/>
        <w:rPr>
          <w:rFonts w:hAnsi="宋体" w:cs="宋体"/>
          <w:b/>
          <w:bCs/>
          <w:sz w:val="24"/>
          <w:szCs w:val="24"/>
          <w:highlight w:val="none"/>
        </w:rPr>
      </w:pPr>
      <w:r>
        <w:rPr>
          <w:rFonts w:hint="eastAsia" w:hAnsi="宋体" w:cs="宋体"/>
          <w:b/>
          <w:bCs/>
          <w:sz w:val="24"/>
          <w:szCs w:val="24"/>
          <w:highlight w:val="none"/>
        </w:rPr>
        <w:t>4.在报价评审时，如发现下列情形之一的，投标文件将被视为无效：</w:t>
      </w:r>
    </w:p>
    <w:p w14:paraId="212F4933">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（1）未采用人民币报价或者未按照招标文件标明的币种报价的；</w:t>
      </w:r>
    </w:p>
    <w:p w14:paraId="45EF5ABE">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（2）报价超出招标文件规定的预算金额或者最高限价的；</w:t>
      </w:r>
    </w:p>
    <w:p w14:paraId="26AD1994">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（3）投标报价具有选择性。</w:t>
      </w:r>
    </w:p>
    <w:p w14:paraId="52EF6CA3">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（4）投标报价文件格式不符合招标文件要求格式的；</w:t>
      </w:r>
    </w:p>
    <w:p w14:paraId="536DDACC">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）电子投标文件未按规定要求进行签字、电子签章的。</w:t>
      </w:r>
    </w:p>
    <w:p w14:paraId="41B12050">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）商务技术得分低于商务技术总分60%的。</w:t>
      </w:r>
    </w:p>
    <w:p w14:paraId="76694960">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hAnsi="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）对仅出现以上1、2、3情形之一中小项情况的，经审定凡没有实质性影响和损害的，可不作无效标处理。</w:t>
      </w:r>
    </w:p>
    <w:p w14:paraId="16F4B00E">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C239E26">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.有</w:t>
      </w:r>
      <w:r>
        <w:rPr>
          <w:rFonts w:hint="eastAsia" w:ascii="宋体" w:hAnsi="宋体" w:eastAsia="宋体" w:cs="宋体"/>
          <w:sz w:val="24"/>
          <w:szCs w:val="24"/>
          <w:highlight w:val="none"/>
        </w:rPr>
        <w:t>政府采购法第七十一条、第七十二条规定的违法行为之一，影响或者可能影响中标结果的，依照下列规定处理：</w:t>
      </w:r>
    </w:p>
    <w:p w14:paraId="23A3ADB2">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.1未确定中标供应商的，终止本次政府采购活动，重新开展政府采购活动。</w:t>
      </w:r>
    </w:p>
    <w:p w14:paraId="7C0BC2A1">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.2已确定中标供应商但尚未签订政府采购合同的，中标结果无效，从合格的中标候选人中另行确定中标供应商；没有合格的中标候选人的，重新开展政府采购活动。</w:t>
      </w:r>
    </w:p>
    <w:p w14:paraId="591A197F">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.3政府采购合同已签订但尚未履行的，撤销合同，从合格的中标候选人中另行确定中标供应商；没有合格的中标候选人的，重新开展政府采购活动。</w:t>
      </w:r>
    </w:p>
    <w:p w14:paraId="5249110C">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.4政府采购合同已经履行，给采购人、供应商造成损失的，由责任人承担赔偿责任。</w:t>
      </w:r>
    </w:p>
    <w:p w14:paraId="1AAC395D">
      <w:pPr>
        <w:pStyle w:val="7"/>
        <w:keepNext w:val="0"/>
        <w:keepLines w:val="0"/>
        <w:pageBreakBefore w:val="0"/>
        <w:kinsoku/>
        <w:wordWrap/>
        <w:overflowPunct/>
        <w:topLinePunct w:val="0"/>
        <w:bidi w:val="0"/>
        <w:spacing w:line="360" w:lineRule="auto"/>
        <w:ind w:firstLine="480" w:firstLineChars="200"/>
        <w:textAlignment w:val="auto"/>
        <w:rPr>
          <w:rFonts w:hAnsi="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.5政府采购当事人有其他违反政府采购法或者政府采购法实施条例等法律法规规定的行为，经改正后仍然影响或者可能影响中标结果或者依法被认定为中标无效的，依照</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.4规定处理。</w:t>
      </w:r>
    </w:p>
    <w:p w14:paraId="2443F2B3">
      <w:pPr>
        <w:pStyle w:val="7"/>
        <w:keepNext w:val="0"/>
        <w:keepLines w:val="0"/>
        <w:pageBreakBefore w:val="0"/>
        <w:kinsoku/>
        <w:wordWrap/>
        <w:overflowPunct/>
        <w:topLinePunct w:val="0"/>
        <w:bidi w:val="0"/>
        <w:spacing w:line="360" w:lineRule="auto"/>
        <w:ind w:left="0" w:leftChars="0" w:firstLine="562" w:firstLineChars="200"/>
        <w:textAlignment w:val="auto"/>
        <w:rPr>
          <w:rFonts w:ascii="宋体" w:hAnsi="宋体" w:cs="宋体"/>
          <w:b/>
          <w:bCs/>
          <w:sz w:val="28"/>
          <w:szCs w:val="28"/>
          <w:highlight w:val="none"/>
        </w:rPr>
      </w:pPr>
      <w:r>
        <w:rPr>
          <w:rFonts w:hint="eastAsia" w:ascii="宋体" w:hAnsi="宋体" w:cs="宋体"/>
          <w:b/>
          <w:bCs/>
          <w:sz w:val="28"/>
          <w:szCs w:val="28"/>
          <w:highlight w:val="none"/>
        </w:rPr>
        <w:t>四、开标、资格审查与信用信息查询</w:t>
      </w:r>
    </w:p>
    <w:p w14:paraId="304EE4FD">
      <w:pPr>
        <w:pStyle w:val="59"/>
        <w:keepNext w:val="0"/>
        <w:keepLines w:val="0"/>
        <w:pageBreakBefore w:val="0"/>
        <w:kinsoku/>
        <w:wordWrap/>
        <w:overflowPunct/>
        <w:topLinePunct w:val="0"/>
        <w:bidi w:val="0"/>
        <w:spacing w:before="0" w:line="360" w:lineRule="auto"/>
        <w:ind w:left="0" w:firstLine="482" w:firstLineChars="200"/>
        <w:contextualSpacing/>
        <w:textAlignment w:val="auto"/>
        <w:rPr>
          <w:rFonts w:ascii="宋体" w:hAnsi="宋体" w:cs="宋体"/>
          <w:sz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一</w:t>
      </w:r>
      <w:r>
        <w:rPr>
          <w:rFonts w:hint="eastAsia" w:ascii="宋体" w:hAnsi="宋体" w:cs="宋体"/>
          <w:b/>
          <w:sz w:val="24"/>
          <w:szCs w:val="24"/>
          <w:highlight w:val="none"/>
          <w:lang w:eastAsia="zh-CN"/>
        </w:rPr>
        <w:t>）</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3A2487FA">
      <w:pPr>
        <w:pStyle w:val="59"/>
        <w:keepNext w:val="0"/>
        <w:keepLines w:val="0"/>
        <w:pageBreakBefore w:val="0"/>
        <w:kinsoku/>
        <w:wordWrap/>
        <w:overflowPunct/>
        <w:topLinePunct w:val="0"/>
        <w:bidi w:val="0"/>
        <w:spacing w:before="0" w:line="360" w:lineRule="auto"/>
        <w:ind w:left="0" w:firstLine="480" w:firstLineChars="200"/>
        <w:contextualSpacing/>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1D21CA82">
      <w:pPr>
        <w:pStyle w:val="59"/>
        <w:keepNext w:val="0"/>
        <w:keepLines w:val="0"/>
        <w:pageBreakBefore w:val="0"/>
        <w:kinsoku/>
        <w:wordWrap/>
        <w:overflowPunct/>
        <w:topLinePunct w:val="0"/>
        <w:bidi w:val="0"/>
        <w:spacing w:before="0" w:line="360" w:lineRule="auto"/>
        <w:ind w:left="0" w:firstLine="480" w:firstLineChars="200"/>
        <w:contextualSpacing/>
        <w:textAlignment w:val="auto"/>
        <w:rPr>
          <w:rFonts w:ascii="宋体" w:hAnsi="宋体" w:cs="宋体"/>
          <w:sz w:val="24"/>
          <w:highlight w:val="none"/>
        </w:rPr>
      </w:pPr>
      <w:r>
        <w:rPr>
          <w:rFonts w:hint="eastAsia" w:ascii="宋体" w:hAnsi="宋体" w:cs="宋体"/>
          <w:sz w:val="24"/>
          <w:highlight w:val="none"/>
        </w:rPr>
        <w:t>　2</w:t>
      </w:r>
      <w:r>
        <w:rPr>
          <w:rFonts w:hint="eastAsia" w:ascii="宋体" w:hAnsi="宋体" w:cs="宋体"/>
          <w:sz w:val="24"/>
          <w:highlight w:val="none"/>
          <w:lang w:val="en-US" w:eastAsia="zh-CN"/>
        </w:rPr>
        <w:t>.</w:t>
      </w:r>
      <w:r>
        <w:rPr>
          <w:rFonts w:hint="eastAsia" w:ascii="宋体" w:hAnsi="宋体" w:cs="宋体"/>
          <w:sz w:val="24"/>
          <w:highlight w:val="none"/>
        </w:rPr>
        <w:t>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依托电子交易平台发起开始解密指令，投标人按照平台提示和招标文件的规定在半小时内完成在线解密（投标人如以联合体形式参加政府采购活动的，参加开标会议的人员由联合体牵头人负责。）。</w:t>
      </w:r>
    </w:p>
    <w:p w14:paraId="38CC76D5">
      <w:pPr>
        <w:pStyle w:val="59"/>
        <w:keepNext w:val="0"/>
        <w:keepLines w:val="0"/>
        <w:pageBreakBefore w:val="0"/>
        <w:kinsoku/>
        <w:wordWrap/>
        <w:overflowPunct/>
        <w:topLinePunct w:val="0"/>
        <w:bidi w:val="0"/>
        <w:spacing w:before="0" w:line="360" w:lineRule="auto"/>
        <w:ind w:left="0" w:firstLine="480" w:firstLineChars="200"/>
        <w:contextualSpacing/>
        <w:textAlignment w:val="auto"/>
        <w:rPr>
          <w:rFonts w:ascii="宋体" w:hAnsi="宋体" w:cs="宋体"/>
          <w:b w:val="0"/>
          <w:bCs w:val="0"/>
          <w:sz w:val="24"/>
          <w:highlight w:val="none"/>
        </w:rPr>
      </w:pPr>
      <w:r>
        <w:rPr>
          <w:rFonts w:hint="eastAsia" w:ascii="宋体" w:hAnsi="宋体" w:cs="宋体"/>
          <w:b w:val="0"/>
          <w:bCs w:val="0"/>
          <w:sz w:val="24"/>
          <w:highlight w:val="none"/>
        </w:rPr>
        <w:t>　3</w:t>
      </w:r>
      <w:r>
        <w:rPr>
          <w:rFonts w:hint="eastAsia" w:ascii="宋体" w:hAnsi="宋体" w:cs="宋体"/>
          <w:b w:val="0"/>
          <w:bCs w:val="0"/>
          <w:sz w:val="24"/>
          <w:highlight w:val="none"/>
          <w:lang w:val="en-US" w:eastAsia="zh-CN"/>
        </w:rPr>
        <w:t>.</w:t>
      </w:r>
      <w:r>
        <w:rPr>
          <w:rFonts w:hint="eastAsia" w:ascii="宋体" w:hAnsi="宋体" w:cs="宋体"/>
          <w:b w:val="0"/>
          <w:bCs w:val="0"/>
          <w:sz w:val="24"/>
          <w:highlight w:val="none"/>
        </w:rPr>
        <w:t>投标文件未按时解密，投标人提供了备份投标文件的，以备份投标文件作为依据，否则视为投标文件撤回。投标文件已按时解密的，备份投标文件自动失效。</w:t>
      </w:r>
    </w:p>
    <w:p w14:paraId="51978B58">
      <w:pPr>
        <w:pStyle w:val="59"/>
        <w:keepNext w:val="0"/>
        <w:keepLines w:val="0"/>
        <w:pageBreakBefore w:val="0"/>
        <w:kinsoku/>
        <w:wordWrap/>
        <w:overflowPunct/>
        <w:topLinePunct w:val="0"/>
        <w:bidi w:val="0"/>
        <w:spacing w:before="0" w:line="360" w:lineRule="auto"/>
        <w:ind w:left="0" w:firstLine="482" w:firstLineChars="200"/>
        <w:contextualSpacing/>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lang w:eastAsia="zh-CN"/>
        </w:rPr>
        <w:t>）资格审查</w:t>
      </w:r>
    </w:p>
    <w:p w14:paraId="152A6464">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kern w:val="0"/>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6D84B500">
      <w:pPr>
        <w:pStyle w:val="48"/>
        <w:keepNext w:val="0"/>
        <w:keepLines w:val="0"/>
        <w:pageBreakBefore w:val="0"/>
        <w:kinsoku/>
        <w:wordWrap/>
        <w:overflowPunct/>
        <w:topLinePunct w:val="0"/>
        <w:bidi w:val="0"/>
        <w:spacing w:before="0"/>
        <w:ind w:firstLine="480" w:firstLineChars="200"/>
        <w:textAlignment w:val="auto"/>
        <w:rPr>
          <w:rFonts w:ascii="宋体" w:hAnsi="宋体" w:cs="宋体"/>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1A056776">
      <w:pPr>
        <w:pStyle w:val="48"/>
        <w:keepNext w:val="0"/>
        <w:keepLines w:val="0"/>
        <w:pageBreakBefore w:val="0"/>
        <w:kinsoku/>
        <w:wordWrap/>
        <w:overflowPunct/>
        <w:topLinePunct w:val="0"/>
        <w:bidi w:val="0"/>
        <w:spacing w:before="0"/>
        <w:ind w:firstLine="480" w:firstLineChars="200"/>
        <w:textAlignment w:val="auto"/>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合格投标人不足3家的，不再评标。</w:t>
      </w:r>
    </w:p>
    <w:p w14:paraId="4A32EB30">
      <w:pPr>
        <w:pStyle w:val="48"/>
        <w:keepNext w:val="0"/>
        <w:keepLines w:val="0"/>
        <w:pageBreakBefore w:val="0"/>
        <w:kinsoku/>
        <w:wordWrap/>
        <w:overflowPunct/>
        <w:topLinePunct w:val="0"/>
        <w:bidi w:val="0"/>
        <w:spacing w:before="0"/>
        <w:ind w:firstLine="482" w:firstLineChars="200"/>
        <w:textAlignment w:val="auto"/>
        <w:rPr>
          <w:rFonts w:ascii="宋体" w:hAnsi="宋体" w:cs="宋体"/>
          <w:b/>
          <w:szCs w:val="24"/>
          <w:highlight w:val="none"/>
        </w:rPr>
      </w:pPr>
      <w:r>
        <w:rPr>
          <w:rFonts w:hint="eastAsia" w:ascii="宋体" w:hAnsi="宋体" w:cs="宋体"/>
          <w:b/>
          <w:szCs w:val="24"/>
          <w:highlight w:val="none"/>
          <w:lang w:eastAsia="zh-CN"/>
        </w:rPr>
        <w:t>（</w:t>
      </w:r>
      <w:r>
        <w:rPr>
          <w:rFonts w:hint="eastAsia" w:ascii="宋体" w:hAnsi="宋体" w:cs="宋体"/>
          <w:b/>
          <w:szCs w:val="24"/>
          <w:highlight w:val="none"/>
          <w:lang w:val="en-US" w:eastAsia="zh-CN"/>
        </w:rPr>
        <w:t>三</w:t>
      </w:r>
      <w:r>
        <w:rPr>
          <w:rFonts w:hint="eastAsia" w:ascii="宋体" w:hAnsi="宋体" w:cs="宋体"/>
          <w:b/>
          <w:szCs w:val="24"/>
          <w:highlight w:val="none"/>
          <w:lang w:eastAsia="zh-CN"/>
        </w:rPr>
        <w:t>）</w:t>
      </w:r>
      <w:r>
        <w:rPr>
          <w:rFonts w:hint="eastAsia" w:ascii="宋体" w:hAnsi="宋体" w:cs="宋体"/>
          <w:b/>
          <w:szCs w:val="24"/>
          <w:highlight w:val="none"/>
        </w:rPr>
        <w:t>信用信息查询</w:t>
      </w:r>
    </w:p>
    <w:p w14:paraId="5DBB12C8">
      <w:pPr>
        <w:pStyle w:val="48"/>
        <w:keepNext w:val="0"/>
        <w:keepLines w:val="0"/>
        <w:pageBreakBefore w:val="0"/>
        <w:kinsoku/>
        <w:wordWrap/>
        <w:overflowPunct/>
        <w:topLinePunct w:val="0"/>
        <w:bidi w:val="0"/>
        <w:spacing w:before="0"/>
        <w:ind w:firstLine="480" w:firstLineChars="200"/>
        <w:textAlignment w:val="auto"/>
        <w:rPr>
          <w:rFonts w:ascii="宋体" w:hAnsi="宋体" w:cs="宋体"/>
          <w:kern w:val="0"/>
          <w:szCs w:val="24"/>
          <w:highlight w:val="none"/>
        </w:rPr>
      </w:pPr>
      <w:r>
        <w:rPr>
          <w:rFonts w:hint="eastAsia" w:ascii="宋体" w:hAnsi="宋体" w:cs="宋体"/>
          <w:kern w:val="0"/>
          <w:szCs w:val="24"/>
          <w:highlight w:val="none"/>
        </w:rPr>
        <w:t>1</w:t>
      </w:r>
      <w:r>
        <w:rPr>
          <w:rFonts w:hint="eastAsia" w:ascii="宋体" w:hAnsi="宋体" w:cs="宋体"/>
          <w:kern w:val="0"/>
          <w:szCs w:val="24"/>
          <w:highlight w:val="none"/>
          <w:lang w:val="en-US" w:eastAsia="zh-CN"/>
        </w:rPr>
        <w:t>.</w:t>
      </w:r>
      <w:r>
        <w:rPr>
          <w:rFonts w:hint="eastAsia" w:ascii="宋体" w:hAnsi="宋体" w:cs="宋体"/>
          <w:kern w:val="0"/>
          <w:szCs w:val="24"/>
          <w:highlight w:val="none"/>
        </w:rPr>
        <w:t>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将在资格审查时通过“信用中国”网站(www.creditchina.gov.cn)、中国政府采购网(www.ccgp.gov.cn)渠道查询投标人接受资格时的信用记录。</w:t>
      </w:r>
    </w:p>
    <w:p w14:paraId="540B0BC6">
      <w:pPr>
        <w:pStyle w:val="48"/>
        <w:keepNext w:val="0"/>
        <w:keepLines w:val="0"/>
        <w:pageBreakBefore w:val="0"/>
        <w:kinsoku/>
        <w:wordWrap/>
        <w:overflowPunct/>
        <w:topLinePunct w:val="0"/>
        <w:bidi w:val="0"/>
        <w:spacing w:before="0"/>
        <w:ind w:firstLine="480" w:firstLineChars="200"/>
        <w:textAlignment w:val="auto"/>
        <w:rPr>
          <w:rFonts w:ascii="宋体" w:hAnsi="宋体" w:cs="宋体"/>
          <w:kern w:val="0"/>
          <w:szCs w:val="24"/>
          <w:highlight w:val="none"/>
        </w:rPr>
      </w:pPr>
      <w:r>
        <w:rPr>
          <w:rFonts w:hint="eastAsia" w:ascii="宋体" w:hAnsi="宋体" w:cs="宋体"/>
          <w:kern w:val="0"/>
          <w:szCs w:val="24"/>
          <w:highlight w:val="none"/>
        </w:rPr>
        <w:t>2</w:t>
      </w:r>
      <w:r>
        <w:rPr>
          <w:rFonts w:hint="eastAsia" w:ascii="宋体" w:hAnsi="宋体" w:cs="宋体"/>
          <w:kern w:val="0"/>
          <w:szCs w:val="24"/>
          <w:highlight w:val="none"/>
          <w:lang w:val="en-US" w:eastAsia="zh-CN"/>
        </w:rPr>
        <w:t>.</w:t>
      </w:r>
      <w:r>
        <w:rPr>
          <w:rFonts w:hint="eastAsia" w:ascii="宋体" w:hAnsi="宋体" w:cs="宋体"/>
          <w:kern w:val="0"/>
          <w:szCs w:val="24"/>
          <w:highlight w:val="none"/>
        </w:rPr>
        <w:t>信用信息查询记录和证据留存的具体方式：现场查询的投标人的信用记录、查询结果经确认后将与采购文件一起存档。</w:t>
      </w:r>
    </w:p>
    <w:p w14:paraId="285867DA">
      <w:pPr>
        <w:pStyle w:val="48"/>
        <w:keepNext w:val="0"/>
        <w:keepLines w:val="0"/>
        <w:pageBreakBefore w:val="0"/>
        <w:kinsoku/>
        <w:wordWrap/>
        <w:overflowPunct/>
        <w:topLinePunct w:val="0"/>
        <w:bidi w:val="0"/>
        <w:spacing w:before="0"/>
        <w:ind w:firstLine="480" w:firstLineChars="200"/>
        <w:textAlignment w:val="auto"/>
        <w:rPr>
          <w:rFonts w:hint="eastAsia" w:ascii="宋体" w:hAnsi="宋体" w:cs="宋体"/>
          <w:kern w:val="0"/>
          <w:szCs w:val="24"/>
          <w:highlight w:val="none"/>
        </w:rPr>
      </w:pPr>
      <w:r>
        <w:rPr>
          <w:rFonts w:hint="eastAsia" w:ascii="宋体" w:hAnsi="宋体" w:cs="宋体"/>
          <w:kern w:val="0"/>
          <w:szCs w:val="24"/>
          <w:highlight w:val="none"/>
        </w:rPr>
        <w:t>3</w:t>
      </w:r>
      <w:r>
        <w:rPr>
          <w:rFonts w:hint="eastAsia" w:ascii="宋体" w:hAnsi="宋体" w:cs="宋体"/>
          <w:kern w:val="0"/>
          <w:szCs w:val="24"/>
          <w:highlight w:val="none"/>
          <w:lang w:val="en-US" w:eastAsia="zh-CN"/>
        </w:rPr>
        <w:t>.</w:t>
      </w:r>
      <w:r>
        <w:rPr>
          <w:rFonts w:hint="eastAsia" w:ascii="宋体" w:hAnsi="宋体" w:cs="宋体"/>
          <w:kern w:val="0"/>
          <w:szCs w:val="24"/>
          <w:highlight w:val="none"/>
        </w:rPr>
        <w:t>信用信息的使用规则：经查询列入失信被执行人名单、重大税收违法案件当事人名单、</w:t>
      </w:r>
      <w:r>
        <w:rPr>
          <w:rFonts w:hint="eastAsia" w:ascii="宋体" w:hAnsi="宋体" w:cs="宋体"/>
          <w:kern w:val="0"/>
          <w:szCs w:val="24"/>
          <w:highlight w:val="none"/>
          <w:lang w:eastAsia="zh-CN"/>
        </w:rPr>
        <w:t>重大税收违法失信主体</w:t>
      </w:r>
      <w:r>
        <w:rPr>
          <w:rFonts w:hint="eastAsia" w:ascii="宋体" w:hAnsi="宋体" w:cs="宋体"/>
          <w:kern w:val="0"/>
          <w:szCs w:val="24"/>
          <w:highlight w:val="none"/>
        </w:rPr>
        <w:t>的投标人将被拒绝参与政府采购活动。</w:t>
      </w:r>
    </w:p>
    <w:p w14:paraId="0AC566D8">
      <w:pPr>
        <w:pStyle w:val="48"/>
        <w:keepNext w:val="0"/>
        <w:keepLines w:val="0"/>
        <w:pageBreakBefore w:val="0"/>
        <w:kinsoku/>
        <w:wordWrap/>
        <w:overflowPunct/>
        <w:topLinePunct w:val="0"/>
        <w:bidi w:val="0"/>
        <w:spacing w:before="0"/>
        <w:ind w:firstLine="480" w:firstLineChars="200"/>
        <w:textAlignment w:val="auto"/>
        <w:rPr>
          <w:rFonts w:hint="eastAsia" w:ascii="宋体" w:hAnsi="宋体" w:cs="宋体"/>
          <w:kern w:val="0"/>
          <w:szCs w:val="24"/>
          <w:highlight w:val="none"/>
        </w:rPr>
      </w:pPr>
      <w:r>
        <w:rPr>
          <w:rFonts w:hint="eastAsia" w:ascii="宋体" w:hAnsi="宋体" w:cs="宋体"/>
          <w:kern w:val="0"/>
          <w:szCs w:val="24"/>
          <w:highlight w:val="none"/>
        </w:rPr>
        <w:t>4</w:t>
      </w:r>
      <w:r>
        <w:rPr>
          <w:rFonts w:hint="eastAsia" w:ascii="宋体" w:hAnsi="宋体" w:cs="宋体"/>
          <w:kern w:val="0"/>
          <w:szCs w:val="24"/>
          <w:highlight w:val="none"/>
          <w:lang w:val="en-US" w:eastAsia="zh-CN"/>
        </w:rPr>
        <w:t>.</w:t>
      </w:r>
      <w:r>
        <w:rPr>
          <w:rFonts w:hint="eastAsia" w:ascii="宋体" w:hAnsi="宋体" w:cs="宋体"/>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823B2B1">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562" w:firstLineChars="200"/>
        <w:textAlignment w:val="auto"/>
        <w:outlineLvl w:val="1"/>
        <w:rPr>
          <w:rFonts w:hAnsi="宋体" w:cs="宋体"/>
          <w:b/>
          <w:sz w:val="28"/>
          <w:szCs w:val="28"/>
          <w:highlight w:val="none"/>
        </w:rPr>
      </w:pPr>
      <w:r>
        <w:rPr>
          <w:rFonts w:hint="eastAsia" w:hAnsi="宋体" w:cs="宋体"/>
          <w:b/>
          <w:sz w:val="28"/>
          <w:szCs w:val="28"/>
          <w:highlight w:val="none"/>
        </w:rPr>
        <w:t>五、评标</w:t>
      </w:r>
    </w:p>
    <w:p w14:paraId="0862DB64">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2" w:firstLineChars="200"/>
        <w:textAlignment w:val="auto"/>
        <w:rPr>
          <w:rFonts w:hAnsi="宋体" w:cs="宋体"/>
          <w:b/>
          <w:highlight w:val="none"/>
        </w:rPr>
      </w:pPr>
      <w:r>
        <w:rPr>
          <w:rFonts w:hint="eastAsia" w:hAnsi="宋体" w:cs="宋体"/>
          <w:b/>
          <w:highlight w:val="none"/>
        </w:rPr>
        <w:t>（一）组建评标委员会</w:t>
      </w:r>
    </w:p>
    <w:p w14:paraId="53EA75A1">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cs="宋体"/>
          <w:highlight w:val="none"/>
        </w:rPr>
      </w:pPr>
      <w:r>
        <w:rPr>
          <w:rFonts w:hint="eastAsia" w:hAnsi="宋体" w:cs="宋体"/>
          <w:highlight w:val="none"/>
        </w:rPr>
        <w:t>本项目评标委员会由政府采购评审专家</w:t>
      </w:r>
      <w:r>
        <w:rPr>
          <w:rFonts w:hint="eastAsia" w:hAnsi="宋体" w:cs="宋体"/>
          <w:highlight w:val="none"/>
          <w:u w:val="single"/>
          <w:lang w:val="en-US" w:eastAsia="zh-CN"/>
        </w:rPr>
        <w:t>4</w:t>
      </w:r>
      <w:r>
        <w:rPr>
          <w:rFonts w:hint="eastAsia" w:hAnsi="宋体" w:cs="宋体"/>
          <w:highlight w:val="none"/>
        </w:rPr>
        <w:t>人和采购人代表</w:t>
      </w:r>
      <w:r>
        <w:rPr>
          <w:rFonts w:hint="eastAsia" w:hAnsi="宋体" w:cs="宋体"/>
          <w:highlight w:val="none"/>
          <w:u w:val="single"/>
          <w:lang w:val="en-US" w:eastAsia="zh-CN"/>
        </w:rPr>
        <w:t>1</w:t>
      </w:r>
      <w:r>
        <w:rPr>
          <w:rFonts w:hint="eastAsia" w:hAnsi="宋体" w:cs="宋体"/>
          <w:highlight w:val="none"/>
        </w:rPr>
        <w:t>人,共</w:t>
      </w:r>
      <w:r>
        <w:rPr>
          <w:rFonts w:hint="eastAsia" w:hAnsi="宋体" w:cs="宋体"/>
          <w:highlight w:val="none"/>
          <w:u w:val="single"/>
          <w:lang w:val="en-US" w:eastAsia="zh-CN"/>
        </w:rPr>
        <w:t>5</w:t>
      </w:r>
      <w:r>
        <w:rPr>
          <w:rFonts w:hint="eastAsia" w:hAnsi="宋体" w:cs="宋体"/>
          <w:highlight w:val="none"/>
        </w:rPr>
        <w:t>人组成。</w:t>
      </w:r>
    </w:p>
    <w:p w14:paraId="112D037B">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2" w:firstLineChars="200"/>
        <w:textAlignment w:val="auto"/>
        <w:rPr>
          <w:rFonts w:hAnsi="宋体" w:cs="宋体"/>
          <w:b/>
          <w:highlight w:val="none"/>
        </w:rPr>
      </w:pPr>
      <w:r>
        <w:rPr>
          <w:rFonts w:hint="eastAsia" w:hAnsi="宋体" w:cs="宋体"/>
          <w:b/>
          <w:highlight w:val="none"/>
        </w:rPr>
        <w:t>（二）评标的方式</w:t>
      </w:r>
    </w:p>
    <w:p w14:paraId="3536235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highlight w:val="none"/>
        </w:rPr>
      </w:pP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w:t>
      </w:r>
      <w:r>
        <w:rPr>
          <w:rFonts w:hint="eastAsia" w:ascii="宋体" w:hAnsi="宋体" w:cs="宋体"/>
          <w:b w:val="0"/>
          <w:bCs w:val="0"/>
          <w:sz w:val="24"/>
          <w:highlight w:val="none"/>
        </w:rPr>
        <w:t>荐中标的投标人的先后顺序，并按顺序提出授标建议。详见招标文件第四章评标办法及评分标准。</w:t>
      </w:r>
    </w:p>
    <w:p w14:paraId="4FE0FDB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ascii="宋体" w:hAnsi="宋体" w:cs="宋体"/>
          <w:b/>
          <w:sz w:val="24"/>
          <w:szCs w:val="20"/>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三</w:t>
      </w:r>
      <w:r>
        <w:rPr>
          <w:rFonts w:hint="eastAsia" w:ascii="宋体" w:hAnsi="宋体" w:cs="宋体"/>
          <w:b/>
          <w:sz w:val="24"/>
          <w:highlight w:val="none"/>
        </w:rPr>
        <w:t>）澄清问题的形式</w:t>
      </w:r>
    </w:p>
    <w:p w14:paraId="664B7F2C">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highlight w:val="none"/>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w:t>
      </w:r>
      <w:r>
        <w:rPr>
          <w:rFonts w:hint="eastAsia" w:hAnsi="宋体" w:cs="宋体"/>
          <w:sz w:val="24"/>
          <w:szCs w:val="24"/>
          <w:highlight w:val="none"/>
        </w:rPr>
        <w:t>内容。</w:t>
      </w:r>
    </w:p>
    <w:p w14:paraId="21B43C16">
      <w:pPr>
        <w:pStyle w:val="14"/>
        <w:keepNext w:val="0"/>
        <w:keepLines w:val="0"/>
        <w:pageBreakBefore w:val="0"/>
        <w:kinsoku/>
        <w:wordWrap/>
        <w:overflowPunct/>
        <w:topLinePunct w:val="0"/>
        <w:bidi w:val="0"/>
        <w:snapToGrid w:val="0"/>
        <w:spacing w:line="360" w:lineRule="auto"/>
        <w:ind w:firstLine="466" w:firstLineChars="200"/>
        <w:textAlignment w:val="auto"/>
        <w:rPr>
          <w:rFonts w:hAnsi="宋体" w:cs="宋体"/>
          <w:b/>
          <w:bCs/>
          <w:sz w:val="24"/>
          <w:szCs w:val="24"/>
          <w:highlight w:val="none"/>
        </w:rPr>
      </w:pPr>
      <w:r>
        <w:rPr>
          <w:rFonts w:hint="eastAsia" w:hAnsi="宋体" w:cs="宋体"/>
          <w:b/>
          <w:bCs/>
          <w:sz w:val="24"/>
          <w:szCs w:val="24"/>
          <w:highlight w:val="none"/>
        </w:rPr>
        <w:t>（</w:t>
      </w:r>
      <w:r>
        <w:rPr>
          <w:rFonts w:hint="eastAsia" w:hAnsi="宋体" w:cs="宋体"/>
          <w:b/>
          <w:bCs/>
          <w:sz w:val="24"/>
          <w:szCs w:val="24"/>
          <w:highlight w:val="none"/>
          <w:lang w:val="en-US" w:eastAsia="zh-CN"/>
        </w:rPr>
        <w:t>四</w:t>
      </w:r>
      <w:r>
        <w:rPr>
          <w:rFonts w:hint="eastAsia" w:hAnsi="宋体" w:cs="宋体"/>
          <w:b/>
          <w:bCs/>
          <w:sz w:val="24"/>
          <w:szCs w:val="24"/>
          <w:highlight w:val="none"/>
        </w:rPr>
        <w:t>）</w:t>
      </w:r>
      <w:r>
        <w:rPr>
          <w:rFonts w:hint="eastAsia" w:hAnsi="宋体" w:cs="宋体"/>
          <w:b/>
          <w:bCs/>
          <w:sz w:val="24"/>
          <w:szCs w:val="24"/>
          <w:highlight w:val="none"/>
          <w:lang w:val="en-US" w:eastAsia="zh-CN"/>
        </w:rPr>
        <w:t>报价</w:t>
      </w:r>
      <w:r>
        <w:rPr>
          <w:rFonts w:hint="eastAsia" w:hAnsi="宋体" w:cs="宋体"/>
          <w:b/>
          <w:bCs/>
          <w:sz w:val="24"/>
          <w:szCs w:val="24"/>
          <w:highlight w:val="none"/>
        </w:rPr>
        <w:t>错误修正</w:t>
      </w:r>
    </w:p>
    <w:p w14:paraId="71265406">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投标文件如果出现计算或表达上的错误，修正错误的原则如下：</w:t>
      </w:r>
    </w:p>
    <w:p w14:paraId="0492BFFF">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1.开标一览表总价与投标报价明细表汇总数不一致的，以开标一览表为准；</w:t>
      </w:r>
    </w:p>
    <w:p w14:paraId="2629648F">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2.投标文件的大写金额和小写金额不一致的，以大写金额为准；</w:t>
      </w:r>
    </w:p>
    <w:p w14:paraId="2716F4CF">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rPr>
        <w:t>3.单价金额小数点或者百分比有明显错位的，以开标一览表的总价为准，并修改单价</w:t>
      </w:r>
      <w:r>
        <w:rPr>
          <w:rFonts w:hint="eastAsia" w:ascii="宋体" w:hAnsi="宋体" w:cs="宋体"/>
          <w:sz w:val="24"/>
          <w:highlight w:val="none"/>
          <w:lang w:eastAsia="zh-CN"/>
        </w:rPr>
        <w:t>；</w:t>
      </w:r>
    </w:p>
    <w:p w14:paraId="61C64936">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4.总价金额与按单价汇总金额不一致的，以单价金额计算结果为准；</w:t>
      </w:r>
    </w:p>
    <w:p w14:paraId="43C43B10">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5.对不同文字文本投标文件的解释发生异议的，以中文文本为准。</w:t>
      </w:r>
    </w:p>
    <w:p w14:paraId="00BC4D61">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同时出现两种以上不一致的，按照前款规定的顺序修正。修正后的报价经投标人同意并签字确认，经投标人确认后的投标报价对投标人具有约束力，投标人不确认的，如果投标人不接受修正后的报价，则其投标将作为无效投标处理。</w:t>
      </w:r>
    </w:p>
    <w:p w14:paraId="5E1F6D5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如响应文件中报价明细表分项价格或单价有遗报，应视作已含在投标总价中；其投标总价在评标过程中不予调整。其分项价或单价由评标委员会在投标总价不变的前提下根据合理的原则对其予以确定。</w:t>
      </w:r>
    </w:p>
    <w:p w14:paraId="6FABD265">
      <w:pPr>
        <w:pStyle w:val="16"/>
        <w:keepNext w:val="0"/>
        <w:keepLines w:val="0"/>
        <w:pageBreakBefore w:val="0"/>
        <w:widowControl w:val="0"/>
        <w:tabs>
          <w:tab w:val="left" w:pos="630"/>
        </w:tabs>
        <w:kinsoku/>
        <w:wordWrap/>
        <w:overflowPunct/>
        <w:topLinePunct w:val="0"/>
        <w:autoSpaceDE/>
        <w:autoSpaceDN/>
        <w:bidi w:val="0"/>
        <w:adjustRightInd/>
        <w:snapToGrid w:val="0"/>
        <w:spacing w:beforeLines="0" w:afterLines="0" w:line="400" w:lineRule="exact"/>
        <w:ind w:firstLine="482" w:firstLineChars="200"/>
        <w:textAlignment w:val="auto"/>
        <w:rPr>
          <w:rFonts w:hAnsi="宋体" w:cs="宋体"/>
          <w:b/>
          <w:highlight w:val="none"/>
        </w:rPr>
      </w:pPr>
      <w:r>
        <w:rPr>
          <w:rFonts w:hint="eastAsia" w:hAnsi="宋体" w:cs="宋体"/>
          <w:b/>
          <w:highlight w:val="none"/>
        </w:rPr>
        <w:t>（</w:t>
      </w:r>
      <w:r>
        <w:rPr>
          <w:rFonts w:hint="eastAsia" w:hAnsi="宋体" w:cs="宋体"/>
          <w:b/>
          <w:highlight w:val="none"/>
          <w:lang w:val="en-US" w:eastAsia="zh-CN"/>
        </w:rPr>
        <w:t>五</w:t>
      </w:r>
      <w:r>
        <w:rPr>
          <w:rFonts w:hint="eastAsia" w:hAnsi="宋体" w:cs="宋体"/>
          <w:b/>
          <w:highlight w:val="none"/>
        </w:rPr>
        <w:t>）评标原则、办法及依据</w:t>
      </w:r>
    </w:p>
    <w:p w14:paraId="3E10AB5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39586E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2.评标办法。本项目评标办法是综合评分法，具体评标内容及评分标准等详见《第四章：评标办法及评分标准》。</w:t>
      </w:r>
    </w:p>
    <w:p w14:paraId="18AED36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评标依据：评标委员会决定投标的响应性只根据投标文件的内容，而不寻求外部的证据。</w:t>
      </w:r>
    </w:p>
    <w:p w14:paraId="394922D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在投标文件评审过程中，如果出现评标委员会成员意见不一致的情况，按照少数服从多数的原则确定。</w:t>
      </w:r>
    </w:p>
    <w:p w14:paraId="7C7AECCC">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2" w:firstLineChars="200"/>
        <w:textAlignment w:val="auto"/>
        <w:rPr>
          <w:rFonts w:hAnsi="宋体" w:cs="宋体"/>
          <w:b/>
          <w:highlight w:val="none"/>
        </w:rPr>
      </w:pPr>
      <w:r>
        <w:rPr>
          <w:rFonts w:hint="eastAsia" w:hAnsi="宋体" w:cs="宋体"/>
          <w:b/>
          <w:highlight w:val="none"/>
        </w:rPr>
        <w:t>（</w:t>
      </w:r>
      <w:r>
        <w:rPr>
          <w:rFonts w:hint="eastAsia" w:hAnsi="宋体" w:cs="宋体"/>
          <w:b/>
          <w:highlight w:val="none"/>
          <w:lang w:val="en-US" w:eastAsia="zh-CN"/>
        </w:rPr>
        <w:t>六</w:t>
      </w:r>
      <w:r>
        <w:rPr>
          <w:rFonts w:hint="eastAsia" w:hAnsi="宋体" w:cs="宋体"/>
          <w:b/>
          <w:highlight w:val="none"/>
        </w:rPr>
        <w:t>）评标过程的监控</w:t>
      </w:r>
    </w:p>
    <w:p w14:paraId="623E9A40">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cs="宋体"/>
          <w:highlight w:val="none"/>
        </w:rPr>
      </w:pPr>
      <w:r>
        <w:rPr>
          <w:rFonts w:hint="eastAsia" w:hAnsi="宋体" w:cs="宋体"/>
          <w:highlight w:val="none"/>
        </w:rPr>
        <w:t>本项目评标过程实行全程录音、录像监控，投标人在评标过程中所进行的试图影响评标结果的不公正活动，可能导致其投标被拒绝。</w:t>
      </w:r>
    </w:p>
    <w:p w14:paraId="7EC2E514">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562" w:firstLineChars="200"/>
        <w:textAlignment w:val="auto"/>
        <w:outlineLvl w:val="1"/>
        <w:rPr>
          <w:rFonts w:hAnsi="宋体" w:cs="宋体"/>
          <w:b/>
          <w:sz w:val="28"/>
          <w:szCs w:val="28"/>
          <w:highlight w:val="none"/>
        </w:rPr>
      </w:pPr>
      <w:r>
        <w:rPr>
          <w:rFonts w:hint="eastAsia" w:hAnsi="宋体" w:cs="宋体"/>
          <w:b/>
          <w:sz w:val="28"/>
          <w:szCs w:val="28"/>
          <w:highlight w:val="none"/>
        </w:rPr>
        <w:t>六、定标</w:t>
      </w:r>
    </w:p>
    <w:p w14:paraId="6B2319C1">
      <w:pPr>
        <w:pStyle w:val="16"/>
        <w:keepNext w:val="0"/>
        <w:keepLines w:val="0"/>
        <w:pageBreakBefore w:val="0"/>
        <w:widowControl w:val="0"/>
        <w:kinsoku/>
        <w:wordWrap/>
        <w:overflowPunct/>
        <w:topLinePunct w:val="0"/>
        <w:autoSpaceDE/>
        <w:autoSpaceDN/>
        <w:bidi w:val="0"/>
        <w:adjustRightInd/>
        <w:snapToGrid w:val="0"/>
        <w:spacing w:before="120" w:after="120" w:line="400" w:lineRule="exact"/>
        <w:ind w:firstLine="482" w:firstLineChars="200"/>
        <w:textAlignment w:val="auto"/>
        <w:outlineLvl w:val="1"/>
        <w:rPr>
          <w:rFonts w:hAnsi="宋体" w:cs="宋体"/>
          <w:b/>
          <w:bCs/>
          <w:highlight w:val="none"/>
        </w:rPr>
      </w:pPr>
      <w:r>
        <w:rPr>
          <w:rFonts w:hint="eastAsia" w:hAnsi="宋体" w:cs="宋体"/>
          <w:b/>
          <w:bCs/>
          <w:highlight w:val="none"/>
        </w:rPr>
        <w:t>（一）确定</w:t>
      </w:r>
      <w:r>
        <w:rPr>
          <w:rFonts w:hint="eastAsia" w:hAnsi="宋体" w:cs="宋体"/>
          <w:b/>
          <w:bCs/>
          <w:highlight w:val="none"/>
          <w:lang w:eastAsia="zh-CN"/>
        </w:rPr>
        <w:t>中标供应商</w:t>
      </w:r>
      <w:r>
        <w:rPr>
          <w:rFonts w:hint="eastAsia" w:hAnsi="宋体" w:cs="宋体"/>
          <w:b/>
          <w:bCs/>
          <w:highlight w:val="none"/>
        </w:rPr>
        <w:t>。本项目由采购人或者采购代理机构授权评标委员会确定</w:t>
      </w:r>
      <w:r>
        <w:rPr>
          <w:rFonts w:hint="eastAsia" w:hAnsi="宋体" w:cs="宋体"/>
          <w:b/>
          <w:bCs/>
          <w:highlight w:val="none"/>
          <w:lang w:eastAsia="zh-CN"/>
        </w:rPr>
        <w:t>中标供应商</w:t>
      </w:r>
      <w:r>
        <w:rPr>
          <w:rFonts w:hint="eastAsia" w:hAnsi="宋体" w:cs="宋体"/>
          <w:b/>
          <w:bCs/>
          <w:highlight w:val="none"/>
        </w:rPr>
        <w:t>。</w:t>
      </w:r>
    </w:p>
    <w:p w14:paraId="225E74F5">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highlight w:val="none"/>
        </w:rPr>
      </w:pPr>
      <w:r>
        <w:rPr>
          <w:rFonts w:hint="eastAsia" w:hAnsi="宋体"/>
          <w:highlight w:val="none"/>
        </w:rPr>
        <w:t>1．排名第一的候选</w:t>
      </w:r>
      <w:r>
        <w:rPr>
          <w:rFonts w:hint="eastAsia" w:hAnsi="宋体"/>
          <w:highlight w:val="none"/>
        </w:rPr>
        <w:t>供应商，因自身原因放弃中标成交或因不可抗力不能履行合同的，</w:t>
      </w:r>
      <w:r>
        <w:rPr>
          <w:rFonts w:hAnsi="宋体"/>
          <w:highlight w:val="none"/>
        </w:rPr>
        <w:t>采购人</w:t>
      </w:r>
      <w:r>
        <w:rPr>
          <w:rFonts w:hint="eastAsia" w:hAnsi="宋体"/>
          <w:highlight w:val="none"/>
        </w:rPr>
        <w:t>或者采购人授权的评标委员会</w:t>
      </w:r>
      <w:r>
        <w:rPr>
          <w:rFonts w:hAnsi="宋体"/>
          <w:highlight w:val="none"/>
        </w:rPr>
        <w:t>可以按照评审报告推荐的中标或者成交候选人名单排序，确定下一候选人为中标或者成交供应商，也可以重新开展政府采购活动。</w:t>
      </w:r>
    </w:p>
    <w:p w14:paraId="50451CCC">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highlight w:val="none"/>
        </w:rPr>
      </w:pPr>
      <w:r>
        <w:rPr>
          <w:rFonts w:hint="eastAsia" w:hAnsi="宋体"/>
          <w:highlight w:val="none"/>
        </w:rPr>
        <w:t>2.经质疑，采购组织机构审查确认因排名第一的候选供应商在本次采购活动中存在违法违规行为或其他原因使质疑成立的，</w:t>
      </w:r>
      <w:r>
        <w:rPr>
          <w:rFonts w:hint="eastAsia" w:ascii="宋体" w:hAnsi="宋体"/>
          <w:color w:val="auto"/>
          <w:sz w:val="24"/>
          <w:highlight w:val="none"/>
          <w:lang w:eastAsia="zh-CN"/>
        </w:rPr>
        <w:t>合格供应商符合法定数量时，</w:t>
      </w:r>
      <w:r>
        <w:rPr>
          <w:rFonts w:hint="eastAsia" w:ascii="宋体" w:hAnsi="宋体" w:cs="宋体"/>
          <w:sz w:val="24"/>
          <w:highlight w:val="none"/>
        </w:rPr>
        <w:t>采购人可以与排位在</w:t>
      </w:r>
      <w:r>
        <w:rPr>
          <w:rFonts w:hint="eastAsia" w:hAnsi="宋体" w:cs="宋体"/>
          <w:sz w:val="24"/>
          <w:highlight w:val="none"/>
          <w:lang w:eastAsia="zh-CN"/>
        </w:rPr>
        <w:t>中标供应商</w:t>
      </w:r>
      <w:r>
        <w:rPr>
          <w:rFonts w:hint="eastAsia" w:ascii="宋体" w:hAnsi="宋体" w:cs="宋体"/>
          <w:sz w:val="24"/>
          <w:highlight w:val="none"/>
        </w:rPr>
        <w:t>之后的第二中标候选人签订政府采购合同；第二中标候选人也无法履行合同时，采购人可以与排名之后的第三中标候选人签订政府采购合同</w:t>
      </w:r>
      <w:r>
        <w:rPr>
          <w:rFonts w:hint="eastAsia" w:ascii="宋体" w:hAnsi="宋体" w:cs="宋体"/>
          <w:sz w:val="24"/>
          <w:highlight w:val="none"/>
          <w:lang w:eastAsia="zh-CN"/>
        </w:rPr>
        <w:t>；也可以</w:t>
      </w:r>
      <w:r>
        <w:rPr>
          <w:rFonts w:hint="eastAsia" w:ascii="宋体" w:hAnsi="宋体"/>
          <w:sz w:val="24"/>
          <w:highlight w:val="none"/>
        </w:rPr>
        <w:t>重新开展政府采购活动。</w:t>
      </w:r>
      <w:r>
        <w:rPr>
          <w:rFonts w:hint="eastAsia" w:hAnsi="宋体"/>
          <w:highlight w:val="none"/>
        </w:rPr>
        <w:t>。</w:t>
      </w:r>
    </w:p>
    <w:p w14:paraId="034CD809">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highlight w:val="none"/>
        </w:rPr>
      </w:pPr>
      <w:r>
        <w:rPr>
          <w:rFonts w:hint="eastAsia" w:hAnsi="宋体" w:cs="宋体"/>
          <w:highlight w:val="none"/>
        </w:rPr>
        <w:t>3.采购人应当自收到评审报告之日起5个工作日内在评审报告推荐的中标或者成交候选人中按顺序确定中标或者成交供应商。如有投标人对评标结果提出质疑的，采购人可在质疑处理完毕后确定</w:t>
      </w:r>
      <w:r>
        <w:rPr>
          <w:rFonts w:hint="eastAsia" w:hAnsi="宋体" w:cs="宋体"/>
          <w:highlight w:val="none"/>
          <w:lang w:eastAsia="zh-CN"/>
        </w:rPr>
        <w:t>中标供应商</w:t>
      </w:r>
      <w:r>
        <w:rPr>
          <w:rFonts w:hAnsi="宋体"/>
          <w:highlight w:val="none"/>
        </w:rPr>
        <w:t>，也可以重新开展政府采购活动。</w:t>
      </w:r>
    </w:p>
    <w:p w14:paraId="26F8E506">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cs="宋体"/>
          <w:highlight w:val="none"/>
        </w:rPr>
      </w:pPr>
      <w:r>
        <w:rPr>
          <w:rFonts w:hint="eastAsia" w:hAnsi="宋体" w:cs="宋体"/>
          <w:highlight w:val="none"/>
        </w:rPr>
        <w:t>4.</w:t>
      </w:r>
      <w:r>
        <w:rPr>
          <w:rFonts w:hint="eastAsia" w:hAnsi="宋体" w:cs="宋体"/>
          <w:highlight w:val="none"/>
          <w:lang w:eastAsia="zh-CN"/>
        </w:rPr>
        <w:t>中</w:t>
      </w:r>
      <w:r>
        <w:rPr>
          <w:rFonts w:hint="eastAsia" w:hAnsi="宋体" w:cs="宋体"/>
          <w:highlight w:val="none"/>
        </w:rPr>
        <w:t>标公告期限为一个工作日。</w:t>
      </w:r>
    </w:p>
    <w:p w14:paraId="06743200">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outlineLvl w:val="1"/>
        <w:rPr>
          <w:rFonts w:hint="eastAsia" w:hAnsi="宋体" w:cs="宋体"/>
          <w:highlight w:val="none"/>
        </w:rPr>
      </w:pPr>
      <w:r>
        <w:rPr>
          <w:rFonts w:hint="eastAsia" w:hAnsi="宋体" w:cs="宋体"/>
          <w:highlight w:val="none"/>
        </w:rPr>
        <w:t>5.采购人或者采购代理机构应当自中标、成交供应商确定之日起2个工作日内，发出中标、成交通知书，并在省级以上人民政府财政部门指定的媒体上公告中标、成交结果。</w:t>
      </w:r>
    </w:p>
    <w:p w14:paraId="0DDA22FE">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562" w:firstLineChars="200"/>
        <w:textAlignment w:val="auto"/>
        <w:outlineLvl w:val="1"/>
        <w:rPr>
          <w:rFonts w:hint="default" w:hAnsi="宋体" w:cs="宋体"/>
          <w:b/>
          <w:sz w:val="28"/>
          <w:szCs w:val="28"/>
          <w:highlight w:val="none"/>
          <w:lang w:val="en-US" w:eastAsia="zh-CN"/>
        </w:rPr>
      </w:pPr>
      <w:r>
        <w:rPr>
          <w:rFonts w:hint="eastAsia" w:hAnsi="宋体" w:cs="宋体"/>
          <w:b/>
          <w:sz w:val="28"/>
          <w:szCs w:val="28"/>
          <w:highlight w:val="none"/>
          <w:lang w:val="en-US" w:eastAsia="zh-CN"/>
        </w:rPr>
        <w:t>七、纸质投标文件</w:t>
      </w:r>
    </w:p>
    <w:p w14:paraId="4D903BD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.投标文件纸质版本需打印或用不褪色的墨水填写，投标文件纸质版本正本除本《投标人须知》中规定的可提供复印件外均须提供原件。副本可为正本的复印件。</w:t>
      </w:r>
    </w:p>
    <w:p w14:paraId="40E4641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.招标文件对签字、盖章有特别要求的地方，纸质版本投标文件无论正本或副本（副本可以是正本的复印件）必须由投标人法定代表人或法定代表人的授权委托人签署并加盖单位公章。</w:t>
      </w:r>
    </w:p>
    <w:p w14:paraId="51F408A3">
      <w:pPr>
        <w:pStyle w:val="16"/>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outlineLvl w:val="1"/>
        <w:rPr>
          <w:rFonts w:hint="eastAsia"/>
          <w:highlight w:val="none"/>
        </w:rPr>
      </w:pPr>
      <w:r>
        <w:rPr>
          <w:rFonts w:hint="eastAsia" w:hAnsi="宋体" w:cs="宋体"/>
          <w:b w:val="0"/>
          <w:bCs/>
          <w:color w:val="auto"/>
          <w:sz w:val="24"/>
          <w:highlight w:val="none"/>
          <w:lang w:val="en-US" w:eastAsia="zh-CN"/>
        </w:rPr>
        <w:t>3</w:t>
      </w:r>
      <w:r>
        <w:rPr>
          <w:rFonts w:hint="eastAsia" w:ascii="宋体" w:hAnsi="宋体" w:cs="宋体"/>
          <w:b w:val="0"/>
          <w:bCs/>
          <w:color w:val="auto"/>
          <w:sz w:val="24"/>
          <w:highlight w:val="none"/>
        </w:rPr>
        <w:t>.纸质投标文件须与电子投标文件保持一致。</w:t>
      </w:r>
    </w:p>
    <w:p w14:paraId="3B253B83">
      <w:pPr>
        <w:pStyle w:val="16"/>
        <w:keepNext w:val="0"/>
        <w:keepLines w:val="0"/>
        <w:pageBreakBefore w:val="0"/>
        <w:kinsoku/>
        <w:wordWrap/>
        <w:overflowPunct/>
        <w:topLinePunct w:val="0"/>
        <w:autoSpaceDE/>
        <w:autoSpaceDN/>
        <w:bidi w:val="0"/>
        <w:adjustRightInd/>
        <w:snapToGrid w:val="0"/>
        <w:spacing w:beforeLines="0" w:afterLines="0" w:line="400" w:lineRule="exact"/>
        <w:ind w:firstLine="562" w:firstLineChars="200"/>
        <w:textAlignment w:val="auto"/>
        <w:outlineLvl w:val="1"/>
        <w:rPr>
          <w:rFonts w:hAnsi="宋体" w:cs="宋体"/>
          <w:b/>
          <w:sz w:val="28"/>
          <w:szCs w:val="28"/>
          <w:highlight w:val="none"/>
        </w:rPr>
      </w:pPr>
      <w:r>
        <w:rPr>
          <w:rFonts w:hint="eastAsia" w:hAnsi="宋体" w:cs="宋体"/>
          <w:b/>
          <w:sz w:val="28"/>
          <w:szCs w:val="28"/>
          <w:highlight w:val="none"/>
          <w:lang w:val="en-US" w:eastAsia="zh-CN"/>
        </w:rPr>
        <w:t>八</w:t>
      </w:r>
      <w:r>
        <w:rPr>
          <w:rFonts w:hint="eastAsia" w:hAnsi="宋体" w:cs="宋体"/>
          <w:b/>
          <w:sz w:val="28"/>
          <w:szCs w:val="28"/>
          <w:highlight w:val="none"/>
        </w:rPr>
        <w:t>、合同授予</w:t>
      </w:r>
    </w:p>
    <w:p w14:paraId="6622F927">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cs="宋体"/>
          <w:b/>
          <w:bCs/>
          <w:sz w:val="24"/>
          <w:szCs w:val="20"/>
          <w:highlight w:val="none"/>
        </w:rPr>
      </w:pPr>
      <w:r>
        <w:rPr>
          <w:rFonts w:hint="eastAsia" w:ascii="宋体" w:hAnsi="宋体" w:cs="宋体"/>
          <w:b/>
          <w:bCs/>
          <w:sz w:val="24"/>
          <w:highlight w:val="none"/>
        </w:rPr>
        <w:t>（一）签订合同</w:t>
      </w:r>
    </w:p>
    <w:p w14:paraId="510BAD6F">
      <w:pPr>
        <w:keepNext w:val="0"/>
        <w:keepLines w:val="0"/>
        <w:pageBreakBefore w:val="0"/>
        <w:widowControl/>
        <w:shd w:val="clear" w:color="auto" w:fill="FFFFFF"/>
        <w:kinsoku/>
        <w:wordWrap/>
        <w:overflowPunct/>
        <w:topLinePunct w:val="0"/>
        <w:autoSpaceDE/>
        <w:autoSpaceDN/>
        <w:bidi w:val="0"/>
        <w:adjustRightInd/>
        <w:spacing w:line="400" w:lineRule="exact"/>
        <w:ind w:firstLine="480" w:firstLineChars="200"/>
        <w:jc w:val="left"/>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26FD32FB">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2.中标人拖延、拒签合同的</w:t>
      </w:r>
      <w:r>
        <w:rPr>
          <w:rFonts w:hint="eastAsia" w:ascii="宋体" w:hAnsi="宋体" w:cs="宋体"/>
          <w:sz w:val="24"/>
          <w:highlight w:val="none"/>
          <w:lang w:eastAsia="zh-CN"/>
        </w:rPr>
        <w:t>，</w:t>
      </w:r>
      <w:r>
        <w:rPr>
          <w:rFonts w:hint="eastAsia" w:ascii="宋体" w:hAnsi="宋体" w:cs="宋体"/>
          <w:sz w:val="24"/>
          <w:highlight w:val="none"/>
        </w:rPr>
        <w:t>将取消中标资格，并按有关规定报有关部门处罚。中标通知书发出后，若中标人放弃中标，应当承担相应的法律责任，中标通知书对采购人和中标人具有同等法律效力。当确定的中标人放弃中标，采购人可以依次类推，由下一中标候选人中标，或重新组织招标。</w:t>
      </w:r>
    </w:p>
    <w:p w14:paraId="41A1A31E">
      <w:pPr>
        <w:pStyle w:val="48"/>
        <w:keepNext w:val="0"/>
        <w:keepLines w:val="0"/>
        <w:pageBreakBefore w:val="0"/>
        <w:kinsoku/>
        <w:wordWrap/>
        <w:overflowPunct/>
        <w:topLinePunct w:val="0"/>
        <w:autoSpaceDE/>
        <w:autoSpaceDN/>
        <w:bidi w:val="0"/>
        <w:adjustRightInd/>
        <w:snapToGrid w:val="0"/>
        <w:spacing w:before="0" w:line="400" w:lineRule="exact"/>
        <w:ind w:firstLine="480" w:firstLineChars="200"/>
        <w:textAlignment w:val="auto"/>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0A6C62AB">
      <w:pPr>
        <w:pStyle w:val="48"/>
        <w:keepNext w:val="0"/>
        <w:keepLines w:val="0"/>
        <w:pageBreakBefore w:val="0"/>
        <w:kinsoku/>
        <w:wordWrap/>
        <w:overflowPunct/>
        <w:topLinePunct w:val="0"/>
        <w:autoSpaceDE/>
        <w:autoSpaceDN/>
        <w:bidi w:val="0"/>
        <w:adjustRightInd/>
        <w:snapToGrid w:val="0"/>
        <w:spacing w:before="0" w:line="4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4.如签订合同并生效后，供应商无故拒绝或延期，除按照合同条款处理外，列入不良行为记录一次，并给予通报。</w:t>
      </w:r>
    </w:p>
    <w:p w14:paraId="494FA7A2">
      <w:pPr>
        <w:pStyle w:val="48"/>
        <w:keepNext w:val="0"/>
        <w:keepLines w:val="0"/>
        <w:pageBreakBefore w:val="0"/>
        <w:kinsoku/>
        <w:wordWrap/>
        <w:overflowPunct/>
        <w:topLinePunct w:val="0"/>
        <w:autoSpaceDE/>
        <w:autoSpaceDN/>
        <w:bidi w:val="0"/>
        <w:adjustRightInd/>
        <w:snapToGrid w:val="0"/>
        <w:spacing w:before="0" w:line="400" w:lineRule="exact"/>
        <w:ind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九、履约保证金</w:t>
      </w:r>
    </w:p>
    <w:p w14:paraId="72DF448F">
      <w:pPr>
        <w:pStyle w:val="48"/>
        <w:keepNext w:val="0"/>
        <w:keepLines w:val="0"/>
        <w:pageBreakBefore w:val="0"/>
        <w:kinsoku/>
        <w:wordWrap/>
        <w:overflowPunct/>
        <w:topLinePunct w:val="0"/>
        <w:autoSpaceDE/>
        <w:autoSpaceDN/>
        <w:bidi w:val="0"/>
        <w:adjustRightInd/>
        <w:snapToGrid w:val="0"/>
        <w:spacing w:before="0" w:line="4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545AAB9">
      <w:pPr>
        <w:pStyle w:val="16"/>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outlineLvl w:val="1"/>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ACE23E5">
      <w:pPr>
        <w:pStyle w:val="16"/>
        <w:keepNext w:val="0"/>
        <w:keepLines w:val="0"/>
        <w:pageBreakBefore w:val="0"/>
        <w:kinsoku/>
        <w:wordWrap/>
        <w:overflowPunct/>
        <w:topLinePunct w:val="0"/>
        <w:autoSpaceDE/>
        <w:autoSpaceDN/>
        <w:bidi w:val="0"/>
        <w:adjustRightInd/>
        <w:snapToGrid w:val="0"/>
        <w:spacing w:beforeLines="0" w:afterLines="0" w:line="400" w:lineRule="exact"/>
        <w:ind w:firstLine="562" w:firstLineChars="200"/>
        <w:textAlignment w:val="auto"/>
        <w:outlineLvl w:val="1"/>
        <w:rPr>
          <w:rFonts w:hint="eastAsia" w:hAnsi="宋体" w:cs="宋体"/>
          <w:b/>
          <w:sz w:val="28"/>
          <w:szCs w:val="28"/>
          <w:highlight w:val="none"/>
        </w:rPr>
      </w:pPr>
      <w:r>
        <w:rPr>
          <w:rFonts w:hint="eastAsia" w:hAnsi="宋体" w:cs="宋体"/>
          <w:b/>
          <w:sz w:val="28"/>
          <w:szCs w:val="28"/>
          <w:highlight w:val="none"/>
          <w:lang w:val="en-US" w:eastAsia="zh-CN"/>
        </w:rPr>
        <w:t>十、招标代理服务费</w:t>
      </w:r>
    </w:p>
    <w:p w14:paraId="2B303C44">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lang w:eastAsia="zh-Hans"/>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本次采购，采购代理服务费</w:t>
      </w:r>
      <w:r>
        <w:rPr>
          <w:rFonts w:hint="eastAsia" w:ascii="宋体" w:hAnsi="宋体" w:cs="宋体"/>
          <w:sz w:val="24"/>
          <w:highlight w:val="none"/>
          <w:lang w:val="en-US" w:eastAsia="zh-CN"/>
        </w:rPr>
        <w:t>按</w:t>
      </w:r>
      <w:r>
        <w:rPr>
          <w:rFonts w:hint="eastAsia" w:ascii="宋体" w:hAnsi="宋体" w:cs="宋体"/>
          <w:sz w:val="24"/>
          <w:highlight w:val="none"/>
        </w:rPr>
        <w:t>国家计委计价格[2002]1980号规定中服务招标标准收取</w:t>
      </w:r>
      <w:r>
        <w:rPr>
          <w:rFonts w:hint="eastAsia" w:ascii="宋体" w:hAnsi="宋体" w:cs="宋体"/>
          <w:sz w:val="24"/>
          <w:highlight w:val="none"/>
          <w:lang w:eastAsia="zh-CN"/>
        </w:rPr>
        <w:t>，</w:t>
      </w:r>
      <w:r>
        <w:rPr>
          <w:rFonts w:hint="eastAsia" w:ascii="宋体" w:hAnsi="宋体" w:cs="宋体"/>
          <w:color w:val="auto"/>
          <w:kern w:val="2"/>
          <w:sz w:val="24"/>
          <w:szCs w:val="20"/>
          <w:highlight w:val="none"/>
          <w:lang w:val="en-US" w:eastAsia="zh-CN" w:bidi="ar-SA"/>
        </w:rPr>
        <w:t>高于7</w:t>
      </w:r>
      <w:r>
        <w:rPr>
          <w:rFonts w:hint="eastAsia" w:ascii="宋体" w:hAnsi="宋体" w:eastAsia="宋体" w:cs="宋体"/>
          <w:color w:val="auto"/>
          <w:kern w:val="2"/>
          <w:sz w:val="24"/>
          <w:szCs w:val="20"/>
          <w:highlight w:val="none"/>
          <w:lang w:val="en-US" w:eastAsia="zh-CN" w:bidi="ar-SA"/>
        </w:rPr>
        <w:t>000元，按</w:t>
      </w:r>
      <w:r>
        <w:rPr>
          <w:rFonts w:hint="eastAsia" w:ascii="宋体" w:hAnsi="宋体" w:cs="宋体"/>
          <w:color w:val="auto"/>
          <w:kern w:val="2"/>
          <w:sz w:val="24"/>
          <w:szCs w:val="20"/>
          <w:highlight w:val="none"/>
          <w:lang w:val="en-US" w:eastAsia="zh-CN" w:bidi="ar-SA"/>
        </w:rPr>
        <w:t>7</w:t>
      </w:r>
      <w:r>
        <w:rPr>
          <w:rFonts w:hint="eastAsia" w:ascii="宋体" w:hAnsi="宋体" w:eastAsia="宋体" w:cs="宋体"/>
          <w:color w:val="auto"/>
          <w:kern w:val="2"/>
          <w:sz w:val="24"/>
          <w:szCs w:val="20"/>
          <w:highlight w:val="none"/>
          <w:lang w:val="en-US" w:eastAsia="zh-CN" w:bidi="ar-SA"/>
        </w:rPr>
        <w:t>000元收取</w:t>
      </w:r>
      <w:r>
        <w:rPr>
          <w:rFonts w:hint="eastAsia" w:ascii="宋体" w:hAnsi="宋体" w:cs="宋体"/>
          <w:sz w:val="24"/>
          <w:highlight w:val="none"/>
          <w:lang w:eastAsia="zh-Hans"/>
        </w:rPr>
        <w:t>。</w:t>
      </w:r>
    </w:p>
    <w:tbl>
      <w:tblPr>
        <w:tblStyle w:val="29"/>
        <w:tblW w:w="0" w:type="auto"/>
        <w:jc w:val="center"/>
        <w:tblCellSpacing w:w="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3701"/>
        <w:gridCol w:w="1775"/>
        <w:gridCol w:w="1522"/>
        <w:gridCol w:w="1747"/>
      </w:tblGrid>
      <w:tr w14:paraId="4998D193">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3701" w:type="dxa"/>
            <w:noWrap w:val="0"/>
            <w:vAlign w:val="center"/>
          </w:tcPr>
          <w:p w14:paraId="023F161B">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 xml:space="preserve">  中标金额（万元）</w:t>
            </w:r>
          </w:p>
        </w:tc>
        <w:tc>
          <w:tcPr>
            <w:tcW w:w="1775" w:type="dxa"/>
            <w:noWrap w:val="0"/>
            <w:vAlign w:val="center"/>
          </w:tcPr>
          <w:p w14:paraId="1A7C505E">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货物招标</w:t>
            </w:r>
          </w:p>
        </w:tc>
        <w:tc>
          <w:tcPr>
            <w:tcW w:w="1522" w:type="dxa"/>
            <w:noWrap w:val="0"/>
            <w:vAlign w:val="center"/>
          </w:tcPr>
          <w:p w14:paraId="48B5CAB1">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服务招标</w:t>
            </w:r>
          </w:p>
        </w:tc>
        <w:tc>
          <w:tcPr>
            <w:tcW w:w="1747" w:type="dxa"/>
            <w:noWrap w:val="0"/>
            <w:vAlign w:val="center"/>
          </w:tcPr>
          <w:p w14:paraId="121005F4">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工程招标</w:t>
            </w:r>
          </w:p>
        </w:tc>
      </w:tr>
      <w:tr w14:paraId="620EEC49">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0"/>
            <w:vAlign w:val="center"/>
          </w:tcPr>
          <w:p w14:paraId="3ADC5EBE">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100以下</w:t>
            </w:r>
          </w:p>
        </w:tc>
        <w:tc>
          <w:tcPr>
            <w:tcW w:w="1775" w:type="dxa"/>
            <w:noWrap w:val="0"/>
            <w:vAlign w:val="center"/>
          </w:tcPr>
          <w:p w14:paraId="728BDEC6">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1.5％</w:t>
            </w:r>
          </w:p>
        </w:tc>
        <w:tc>
          <w:tcPr>
            <w:tcW w:w="1522" w:type="dxa"/>
            <w:noWrap w:val="0"/>
            <w:vAlign w:val="center"/>
          </w:tcPr>
          <w:p w14:paraId="73A1C811">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1.5％</w:t>
            </w:r>
          </w:p>
        </w:tc>
        <w:tc>
          <w:tcPr>
            <w:tcW w:w="1747" w:type="dxa"/>
            <w:noWrap w:val="0"/>
            <w:vAlign w:val="center"/>
          </w:tcPr>
          <w:p w14:paraId="6575727C">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1.0％</w:t>
            </w:r>
          </w:p>
        </w:tc>
      </w:tr>
      <w:tr w14:paraId="619D3FF3">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0"/>
            <w:vAlign w:val="center"/>
          </w:tcPr>
          <w:p w14:paraId="5637B0B8">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100—500</w:t>
            </w:r>
          </w:p>
        </w:tc>
        <w:tc>
          <w:tcPr>
            <w:tcW w:w="1775" w:type="dxa"/>
            <w:noWrap w:val="0"/>
            <w:vAlign w:val="center"/>
          </w:tcPr>
          <w:p w14:paraId="34CF0592">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1.1％</w:t>
            </w:r>
          </w:p>
        </w:tc>
        <w:tc>
          <w:tcPr>
            <w:tcW w:w="1522" w:type="dxa"/>
            <w:noWrap w:val="0"/>
            <w:vAlign w:val="center"/>
          </w:tcPr>
          <w:p w14:paraId="7D0E4F23">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0.8％</w:t>
            </w:r>
          </w:p>
        </w:tc>
        <w:tc>
          <w:tcPr>
            <w:tcW w:w="1747" w:type="dxa"/>
            <w:noWrap w:val="0"/>
            <w:vAlign w:val="center"/>
          </w:tcPr>
          <w:p w14:paraId="31A4E166">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0.7％</w:t>
            </w:r>
          </w:p>
        </w:tc>
      </w:tr>
      <w:tr w14:paraId="032DFA43">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452" w:hRule="atLeast"/>
          <w:tblCellSpacing w:w="0" w:type="dxa"/>
          <w:jc w:val="center"/>
        </w:trPr>
        <w:tc>
          <w:tcPr>
            <w:tcW w:w="3701" w:type="dxa"/>
            <w:noWrap w:val="0"/>
            <w:vAlign w:val="center"/>
          </w:tcPr>
          <w:p w14:paraId="18338405">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500-1000</w:t>
            </w:r>
          </w:p>
        </w:tc>
        <w:tc>
          <w:tcPr>
            <w:tcW w:w="1775" w:type="dxa"/>
            <w:noWrap w:val="0"/>
            <w:vAlign w:val="center"/>
          </w:tcPr>
          <w:p w14:paraId="020473C0">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0.8％</w:t>
            </w:r>
          </w:p>
        </w:tc>
        <w:tc>
          <w:tcPr>
            <w:tcW w:w="1522" w:type="dxa"/>
            <w:noWrap w:val="0"/>
            <w:vAlign w:val="center"/>
          </w:tcPr>
          <w:p w14:paraId="25ABDAC9">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0.45％</w:t>
            </w:r>
          </w:p>
        </w:tc>
        <w:tc>
          <w:tcPr>
            <w:tcW w:w="1747" w:type="dxa"/>
            <w:noWrap w:val="0"/>
            <w:vAlign w:val="center"/>
          </w:tcPr>
          <w:p w14:paraId="23D421D1">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0.55％</w:t>
            </w:r>
          </w:p>
        </w:tc>
      </w:tr>
    </w:tbl>
    <w:p w14:paraId="15DD63A0">
      <w:pPr>
        <w:keepNext w:val="0"/>
        <w:keepLines w:val="0"/>
        <w:pageBreakBefore w:val="0"/>
        <w:tabs>
          <w:tab w:val="left" w:pos="666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收款单位（户名）：浙江五石中正工程咨询有限公司衢州分公司</w:t>
      </w:r>
    </w:p>
    <w:p w14:paraId="7F069074">
      <w:pPr>
        <w:keepNext w:val="0"/>
        <w:keepLines w:val="0"/>
        <w:pageBreakBefore w:val="0"/>
        <w:tabs>
          <w:tab w:val="left" w:pos="666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开  户：中国工商银行股份有限公司衢州南湖支行</w:t>
      </w:r>
    </w:p>
    <w:p w14:paraId="2067B810">
      <w:pPr>
        <w:keepNext w:val="0"/>
        <w:keepLines w:val="0"/>
        <w:pageBreakBefore w:val="0"/>
        <w:tabs>
          <w:tab w:val="left" w:pos="666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highlight w:val="none"/>
        </w:rPr>
      </w:pPr>
      <w:r>
        <w:rPr>
          <w:rFonts w:hint="eastAsia" w:ascii="宋体" w:hAnsi="宋体" w:eastAsia="宋体" w:cs="宋体"/>
          <w:b w:val="0"/>
          <w:bCs w:val="0"/>
          <w:sz w:val="24"/>
          <w:highlight w:val="none"/>
        </w:rPr>
        <w:t>账  号：1209210009200035561</w:t>
      </w:r>
    </w:p>
    <w:p w14:paraId="32FFD93E">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eastAsia="宋体" w:cs="宋体"/>
          <w:sz w:val="24"/>
          <w:highlight w:val="none"/>
        </w:rPr>
        <w:t>评委费</w:t>
      </w:r>
      <w:r>
        <w:rPr>
          <w:rFonts w:hint="eastAsia" w:ascii="宋体" w:hAnsi="宋体" w:eastAsia="宋体" w:cs="宋体"/>
          <w:sz w:val="24"/>
          <w:highlight w:val="none"/>
          <w:lang w:val="en-US" w:eastAsia="zh-CN"/>
        </w:rPr>
        <w:t>按实</w:t>
      </w:r>
      <w:r>
        <w:rPr>
          <w:rFonts w:hint="eastAsia" w:ascii="宋体" w:hAnsi="宋体" w:eastAsia="宋体" w:cs="宋体"/>
          <w:sz w:val="24"/>
          <w:highlight w:val="none"/>
        </w:rPr>
        <w:t>支付</w:t>
      </w:r>
      <w:r>
        <w:rPr>
          <w:rFonts w:hint="eastAsia" w:ascii="宋体" w:hAnsi="宋体" w:cs="宋体"/>
          <w:sz w:val="24"/>
          <w:highlight w:val="none"/>
        </w:rPr>
        <w:t>。</w:t>
      </w:r>
    </w:p>
    <w:p w14:paraId="7C9CDACF">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以上费用由</w:t>
      </w:r>
      <w:r>
        <w:rPr>
          <w:rFonts w:hint="eastAsia" w:ascii="宋体" w:hAnsi="宋体" w:cs="宋体"/>
          <w:sz w:val="24"/>
          <w:highlight w:val="none"/>
          <w:lang w:eastAsia="zh-CN"/>
        </w:rPr>
        <w:t>中标供应商</w:t>
      </w:r>
      <w:r>
        <w:rPr>
          <w:rFonts w:hint="eastAsia" w:ascii="宋体" w:hAnsi="宋体" w:cs="宋体"/>
          <w:sz w:val="24"/>
          <w:highlight w:val="none"/>
        </w:rPr>
        <w:t>在领取中标通知书当时一次性支付给采购代理机构。</w:t>
      </w:r>
    </w:p>
    <w:p w14:paraId="74D49688">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hint="eastAsia" w:hAnsi="宋体" w:cs="宋体"/>
          <w:b/>
          <w:bCs/>
          <w:sz w:val="32"/>
          <w:szCs w:val="32"/>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以上费用不在报价中单列，请供应商在报价中予以考虑。</w:t>
      </w:r>
    </w:p>
    <w:p w14:paraId="1A340273">
      <w:pPr>
        <w:rPr>
          <w:rFonts w:hint="eastAsia" w:hAnsi="宋体" w:cs="宋体"/>
          <w:b/>
          <w:bCs/>
          <w:sz w:val="32"/>
          <w:szCs w:val="32"/>
          <w:highlight w:val="none"/>
          <w:lang w:val="en-US" w:eastAsia="zh-CN"/>
        </w:rPr>
      </w:pPr>
      <w:r>
        <w:rPr>
          <w:rFonts w:hint="eastAsia" w:hAnsi="宋体" w:cs="宋体"/>
          <w:b/>
          <w:bCs/>
          <w:sz w:val="32"/>
          <w:szCs w:val="32"/>
          <w:highlight w:val="none"/>
          <w:lang w:val="en-US" w:eastAsia="zh-CN"/>
        </w:rPr>
        <w:br w:type="page"/>
      </w:r>
    </w:p>
    <w:p w14:paraId="433D41CF">
      <w:pPr>
        <w:pStyle w:val="16"/>
        <w:numPr>
          <w:ilvl w:val="0"/>
          <w:numId w:val="0"/>
        </w:numPr>
        <w:snapToGrid w:val="0"/>
        <w:spacing w:before="120" w:after="120" w:line="360" w:lineRule="auto"/>
        <w:jc w:val="center"/>
        <w:outlineLvl w:val="0"/>
        <w:rPr>
          <w:rFonts w:hint="eastAsia" w:hAnsi="宋体" w:cs="宋体"/>
          <w:b/>
          <w:bCs/>
          <w:sz w:val="32"/>
          <w:szCs w:val="32"/>
          <w:highlight w:val="none"/>
        </w:rPr>
      </w:pPr>
      <w:r>
        <w:rPr>
          <w:rFonts w:hint="eastAsia" w:hAnsi="宋体" w:cs="宋体"/>
          <w:b/>
          <w:bCs/>
          <w:sz w:val="32"/>
          <w:szCs w:val="32"/>
          <w:highlight w:val="none"/>
          <w:lang w:val="en-US" w:eastAsia="zh-CN"/>
        </w:rPr>
        <w:t>第三章</w:t>
      </w:r>
      <w:r>
        <w:rPr>
          <w:rFonts w:hint="eastAsia" w:hAnsi="宋体" w:cs="宋体"/>
          <w:b/>
          <w:bCs/>
          <w:sz w:val="32"/>
          <w:szCs w:val="32"/>
          <w:highlight w:val="none"/>
        </w:rPr>
        <w:t>招标需求</w:t>
      </w:r>
    </w:p>
    <w:p w14:paraId="5FD263B2">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000000"/>
          <w:sz w:val="24"/>
          <w:szCs w:val="24"/>
          <w:highlight w:val="none"/>
        </w:rPr>
        <w:t>一、</w:t>
      </w:r>
      <w:r>
        <w:rPr>
          <w:rFonts w:hint="eastAsia" w:ascii="宋体" w:hAnsi="宋体" w:eastAsia="宋体" w:cs="宋体"/>
          <w:b/>
          <w:color w:val="000000"/>
          <w:sz w:val="24"/>
          <w:szCs w:val="24"/>
          <w:highlight w:val="none"/>
          <w:lang w:val="en-US" w:eastAsia="zh-CN"/>
        </w:rPr>
        <w:t>项目背景</w:t>
      </w:r>
    </w:p>
    <w:p w14:paraId="7E404D24">
      <w:pPr>
        <w:pStyle w:val="36"/>
        <w:spacing w:line="560" w:lineRule="exact"/>
        <w:ind w:firstLine="65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本次信息安全运维服务主要以衢江区卫生健康局为核心，打造衢州市衢江区医疗行业专属的安全服务体系，</w:t>
      </w:r>
      <w:r>
        <w:rPr>
          <w:rFonts w:hint="eastAsia" w:ascii="宋体" w:hAnsi="宋体" w:eastAsia="宋体" w:cs="宋体"/>
          <w:color w:val="auto"/>
          <w:kern w:val="2"/>
          <w:sz w:val="24"/>
          <w:szCs w:val="24"/>
          <w:highlight w:val="none"/>
          <w:lang w:val="en-US" w:eastAsia="zh-Hans" w:bidi="ar-SA"/>
        </w:rPr>
        <w:t>为衢江区卫生健康局及其下属医疗单位构建坚实的信息安全防护屏障。通过专业的运维服务团队和先进的技术手段，确保信息系统的稳定、高效运行，不仅能有效预防各类网络攻击、数据泄露等安全风险，还能提升信息化服务水平，保障医疗业务的连续性和数据资源的安全性。</w:t>
      </w:r>
    </w:p>
    <w:p w14:paraId="59014350">
      <w:pPr>
        <w:pStyle w:val="36"/>
        <w:spacing w:line="560" w:lineRule="exact"/>
        <w:ind w:firstLine="65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通过建立衢江区卫生医疗行业常态化安全运营体系，实时掌握整体安全态势，了解重点单位、重点系统面临的网络安全威胁、风险和隐患，监测并防御信息安全漏洞及其带来的网络攻击，统一管理并整合威胁情报数据，提升区域内网络安全防护水平。</w:t>
      </w:r>
    </w:p>
    <w:p w14:paraId="68D6A028">
      <w:pPr>
        <w:pStyle w:val="36"/>
        <w:spacing w:line="560" w:lineRule="exact"/>
        <w:ind w:firstLine="65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服务对象：</w:t>
      </w:r>
    </w:p>
    <w:tbl>
      <w:tblPr>
        <w:tblStyle w:val="29"/>
        <w:tblpPr w:leftFromText="180" w:rightFromText="180" w:vertAnchor="text" w:horzAnchor="page" w:tblpXSpec="center" w:tblpY="55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3511"/>
        <w:gridCol w:w="3559"/>
      </w:tblGrid>
      <w:tr w14:paraId="0457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89" w:type="dxa"/>
            <w:shd w:val="clear" w:color="auto" w:fill="auto"/>
            <w:noWrap w:val="0"/>
            <w:vAlign w:val="center"/>
          </w:tcPr>
          <w:p w14:paraId="56C7E5A3">
            <w:pPr>
              <w:keepNext w:val="0"/>
              <w:keepLines w:val="0"/>
              <w:pageBreakBefore w:val="0"/>
              <w:widowControl w:val="0"/>
              <w:kinsoku/>
              <w:wordWrap/>
              <w:overflowPunct/>
              <w:topLinePunct w:val="0"/>
              <w:autoSpaceDE/>
              <w:autoSpaceDN/>
              <w:bidi w:val="0"/>
              <w:adjustRightInd/>
              <w:ind w:firstLine="0" w:firstLineChars="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序号</w:t>
            </w:r>
          </w:p>
        </w:tc>
        <w:tc>
          <w:tcPr>
            <w:tcW w:w="3511" w:type="dxa"/>
            <w:shd w:val="clear" w:color="auto" w:fill="auto"/>
            <w:noWrap w:val="0"/>
            <w:vAlign w:val="center"/>
          </w:tcPr>
          <w:p w14:paraId="2C520A5A">
            <w:pPr>
              <w:keepNext w:val="0"/>
              <w:keepLines w:val="0"/>
              <w:pageBreakBefore w:val="0"/>
              <w:widowControl w:val="0"/>
              <w:kinsoku/>
              <w:wordWrap/>
              <w:overflowPunct/>
              <w:topLinePunct w:val="0"/>
              <w:autoSpaceDE/>
              <w:autoSpaceDN/>
              <w:bidi w:val="0"/>
              <w:adjustRightInd/>
              <w:ind w:firstLine="0" w:firstLineChars="0"/>
              <w:jc w:val="center"/>
              <w:textAlignment w:val="center"/>
              <w:rPr>
                <w:rFonts w:hint="eastAsia" w:ascii="宋体" w:hAnsi="宋体" w:eastAsia="宋体" w:cs="宋体"/>
                <w:b/>
                <w:bCs/>
                <w:color w:val="000000"/>
                <w:sz w:val="24"/>
                <w:szCs w:val="24"/>
                <w:highlight w:val="none"/>
                <w:lang w:eastAsia="zh-CN" w:bidi="ar"/>
              </w:rPr>
            </w:pPr>
            <w:r>
              <w:rPr>
                <w:rFonts w:hint="eastAsia" w:ascii="宋体" w:hAnsi="宋体" w:eastAsia="宋体" w:cs="宋体"/>
                <w:b/>
                <w:bCs/>
                <w:color w:val="000000"/>
                <w:sz w:val="24"/>
                <w:szCs w:val="24"/>
                <w:highlight w:val="none"/>
                <w:lang w:val="en-US" w:eastAsia="zh-CN" w:bidi="ar"/>
              </w:rPr>
              <w:t>卫健及</w:t>
            </w:r>
            <w:r>
              <w:rPr>
                <w:rFonts w:hint="eastAsia" w:ascii="宋体" w:hAnsi="宋体" w:eastAsia="宋体" w:cs="宋体"/>
                <w:b/>
                <w:bCs/>
                <w:color w:val="000000"/>
                <w:sz w:val="24"/>
                <w:szCs w:val="24"/>
                <w:highlight w:val="none"/>
                <w:lang w:eastAsia="zh-CN" w:bidi="ar"/>
              </w:rPr>
              <w:t>医院</w:t>
            </w:r>
          </w:p>
        </w:tc>
        <w:tc>
          <w:tcPr>
            <w:tcW w:w="3559" w:type="dxa"/>
            <w:shd w:val="clear" w:color="auto" w:fill="auto"/>
            <w:noWrap w:val="0"/>
            <w:vAlign w:val="center"/>
          </w:tcPr>
          <w:p w14:paraId="7C3F9E0F">
            <w:pPr>
              <w:keepNext w:val="0"/>
              <w:keepLines w:val="0"/>
              <w:pageBreakBefore w:val="0"/>
              <w:widowControl w:val="0"/>
              <w:kinsoku/>
              <w:wordWrap/>
              <w:overflowPunct/>
              <w:topLinePunct w:val="0"/>
              <w:autoSpaceDE/>
              <w:autoSpaceDN/>
              <w:bidi w:val="0"/>
              <w:adjustRightInd/>
              <w:ind w:firstLine="0" w:firstLineChars="0"/>
              <w:jc w:val="center"/>
              <w:textAlignment w:val="center"/>
              <w:rPr>
                <w:rFonts w:hint="eastAsia" w:ascii="宋体" w:hAnsi="宋体" w:eastAsia="宋体" w:cs="宋体"/>
                <w:b/>
                <w:bCs/>
                <w:color w:val="000000"/>
                <w:sz w:val="24"/>
                <w:szCs w:val="24"/>
                <w:highlight w:val="none"/>
                <w:lang w:eastAsia="zh-CN" w:bidi="ar"/>
              </w:rPr>
            </w:pPr>
            <w:r>
              <w:rPr>
                <w:rFonts w:hint="eastAsia" w:ascii="宋体" w:hAnsi="宋体" w:eastAsia="宋体" w:cs="宋体"/>
                <w:b/>
                <w:bCs/>
                <w:color w:val="000000"/>
                <w:sz w:val="24"/>
                <w:szCs w:val="24"/>
                <w:highlight w:val="none"/>
                <w:lang w:eastAsia="zh-CN" w:bidi="ar"/>
              </w:rPr>
              <w:t>卫生院/卫生所</w:t>
            </w:r>
          </w:p>
        </w:tc>
      </w:tr>
      <w:tr w14:paraId="4561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shd w:val="clear" w:color="auto" w:fill="auto"/>
            <w:noWrap w:val="0"/>
            <w:vAlign w:val="center"/>
          </w:tcPr>
          <w:p w14:paraId="61000164">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w:t>
            </w:r>
          </w:p>
        </w:tc>
        <w:tc>
          <w:tcPr>
            <w:tcW w:w="3511" w:type="dxa"/>
            <w:shd w:val="clear" w:color="auto" w:fill="auto"/>
            <w:noWrap w:val="0"/>
            <w:vAlign w:val="center"/>
          </w:tcPr>
          <w:p w14:paraId="1F1567BE">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衢江区卫生健康局</w:t>
            </w:r>
          </w:p>
        </w:tc>
        <w:tc>
          <w:tcPr>
            <w:tcW w:w="3559" w:type="dxa"/>
            <w:shd w:val="clear" w:color="auto" w:fill="auto"/>
            <w:noWrap w:val="0"/>
            <w:vAlign w:val="center"/>
          </w:tcPr>
          <w:p w14:paraId="4AE8145D">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衢江区莲花镇卫生院</w:t>
            </w:r>
          </w:p>
        </w:tc>
      </w:tr>
      <w:tr w14:paraId="5BC6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shd w:val="clear" w:color="auto" w:fill="auto"/>
            <w:noWrap w:val="0"/>
            <w:vAlign w:val="center"/>
          </w:tcPr>
          <w:p w14:paraId="5B2B5C8E">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2</w:t>
            </w:r>
          </w:p>
        </w:tc>
        <w:tc>
          <w:tcPr>
            <w:tcW w:w="3511" w:type="dxa"/>
            <w:shd w:val="clear" w:color="auto" w:fill="auto"/>
            <w:noWrap w:val="0"/>
            <w:vAlign w:val="center"/>
          </w:tcPr>
          <w:p w14:paraId="347E5759">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衢江区妇幼保健院</w:t>
            </w:r>
          </w:p>
        </w:tc>
        <w:tc>
          <w:tcPr>
            <w:tcW w:w="3559" w:type="dxa"/>
            <w:shd w:val="clear" w:color="auto" w:fill="auto"/>
            <w:noWrap w:val="0"/>
            <w:vAlign w:val="center"/>
          </w:tcPr>
          <w:p w14:paraId="3F5A7EE3">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衢江区后溪镇卫生院</w:t>
            </w:r>
          </w:p>
        </w:tc>
      </w:tr>
      <w:tr w14:paraId="2F88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89" w:type="dxa"/>
            <w:shd w:val="clear" w:color="auto" w:fill="auto"/>
            <w:noWrap w:val="0"/>
            <w:vAlign w:val="center"/>
          </w:tcPr>
          <w:p w14:paraId="10A05B25">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3</w:t>
            </w:r>
          </w:p>
        </w:tc>
        <w:tc>
          <w:tcPr>
            <w:tcW w:w="3511" w:type="dxa"/>
            <w:shd w:val="clear" w:color="auto" w:fill="auto"/>
            <w:noWrap w:val="0"/>
            <w:vAlign w:val="center"/>
          </w:tcPr>
          <w:p w14:paraId="1A843651">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衢江区第二人民医院</w:t>
            </w:r>
          </w:p>
        </w:tc>
        <w:tc>
          <w:tcPr>
            <w:tcW w:w="3559" w:type="dxa"/>
            <w:shd w:val="clear" w:color="auto" w:fill="auto"/>
            <w:noWrap w:val="0"/>
            <w:vAlign w:val="center"/>
          </w:tcPr>
          <w:p w14:paraId="0B63287F">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衢江区岭洋乡卫生院</w:t>
            </w:r>
          </w:p>
        </w:tc>
      </w:tr>
      <w:tr w14:paraId="06A3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shd w:val="clear" w:color="auto" w:fill="auto"/>
            <w:noWrap w:val="0"/>
            <w:vAlign w:val="center"/>
          </w:tcPr>
          <w:p w14:paraId="26D555F8">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4</w:t>
            </w:r>
          </w:p>
        </w:tc>
        <w:tc>
          <w:tcPr>
            <w:tcW w:w="3511" w:type="dxa"/>
            <w:shd w:val="clear" w:color="auto" w:fill="auto"/>
            <w:noWrap w:val="0"/>
            <w:vAlign w:val="center"/>
          </w:tcPr>
          <w:p w14:paraId="441745F2">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衢江区中医院</w:t>
            </w:r>
          </w:p>
        </w:tc>
        <w:tc>
          <w:tcPr>
            <w:tcW w:w="3559" w:type="dxa"/>
            <w:shd w:val="clear" w:color="auto" w:fill="auto"/>
            <w:noWrap w:val="0"/>
            <w:vAlign w:val="center"/>
          </w:tcPr>
          <w:p w14:paraId="02E41805">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衢江区全旺镇卫生院</w:t>
            </w:r>
          </w:p>
        </w:tc>
      </w:tr>
      <w:tr w14:paraId="758B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shd w:val="clear" w:color="auto" w:fill="auto"/>
            <w:noWrap w:val="0"/>
            <w:vAlign w:val="center"/>
          </w:tcPr>
          <w:p w14:paraId="3865A472">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5</w:t>
            </w:r>
          </w:p>
        </w:tc>
        <w:tc>
          <w:tcPr>
            <w:tcW w:w="3511" w:type="dxa"/>
            <w:shd w:val="clear" w:color="auto" w:fill="auto"/>
            <w:noWrap w:val="0"/>
            <w:vAlign w:val="center"/>
          </w:tcPr>
          <w:p w14:paraId="33A01243">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5DBB2A17">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衢江区高家中心卫生院</w:t>
            </w:r>
          </w:p>
        </w:tc>
      </w:tr>
      <w:tr w14:paraId="41F0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shd w:val="clear" w:color="auto" w:fill="auto"/>
            <w:noWrap w:val="0"/>
            <w:vAlign w:val="center"/>
          </w:tcPr>
          <w:p w14:paraId="56120B2E">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6</w:t>
            </w:r>
          </w:p>
        </w:tc>
        <w:tc>
          <w:tcPr>
            <w:tcW w:w="3511" w:type="dxa"/>
            <w:shd w:val="clear" w:color="auto" w:fill="auto"/>
            <w:noWrap w:val="0"/>
            <w:vAlign w:val="center"/>
          </w:tcPr>
          <w:p w14:paraId="65C03DFD">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7FA07883">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衢江区上方中心卫生院</w:t>
            </w:r>
          </w:p>
        </w:tc>
      </w:tr>
      <w:tr w14:paraId="6D79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shd w:val="clear" w:color="auto" w:fill="auto"/>
            <w:noWrap w:val="0"/>
            <w:vAlign w:val="center"/>
          </w:tcPr>
          <w:p w14:paraId="61DD20AD">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7</w:t>
            </w:r>
          </w:p>
        </w:tc>
        <w:tc>
          <w:tcPr>
            <w:tcW w:w="3511" w:type="dxa"/>
            <w:shd w:val="clear" w:color="auto" w:fill="auto"/>
            <w:noWrap w:val="0"/>
            <w:vAlign w:val="center"/>
          </w:tcPr>
          <w:p w14:paraId="6CB27382">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328CDD76">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衢江区乌溪江中心卫生院</w:t>
            </w:r>
          </w:p>
        </w:tc>
      </w:tr>
      <w:tr w14:paraId="15A5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shd w:val="clear" w:color="auto" w:fill="auto"/>
            <w:noWrap w:val="0"/>
            <w:vAlign w:val="center"/>
          </w:tcPr>
          <w:p w14:paraId="0B8E4D0D">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8</w:t>
            </w:r>
          </w:p>
        </w:tc>
        <w:tc>
          <w:tcPr>
            <w:tcW w:w="3511" w:type="dxa"/>
            <w:shd w:val="clear" w:color="auto" w:fill="auto"/>
            <w:noWrap w:val="0"/>
            <w:vAlign w:val="center"/>
          </w:tcPr>
          <w:p w14:paraId="1E21CA12">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7960BA72">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衢江区廿里中心卫生院</w:t>
            </w:r>
          </w:p>
        </w:tc>
      </w:tr>
      <w:tr w14:paraId="2209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shd w:val="clear" w:color="auto" w:fill="auto"/>
            <w:noWrap w:val="0"/>
            <w:vAlign w:val="center"/>
          </w:tcPr>
          <w:p w14:paraId="777191E8">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9</w:t>
            </w:r>
          </w:p>
        </w:tc>
        <w:tc>
          <w:tcPr>
            <w:tcW w:w="3511" w:type="dxa"/>
            <w:shd w:val="clear" w:color="auto" w:fill="auto"/>
            <w:noWrap w:val="0"/>
            <w:vAlign w:val="center"/>
          </w:tcPr>
          <w:p w14:paraId="34FFF4BE">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79044FD9">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衢江区杜泽镇中心卫生院</w:t>
            </w:r>
          </w:p>
        </w:tc>
      </w:tr>
      <w:tr w14:paraId="7013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shd w:val="clear" w:color="auto" w:fill="auto"/>
            <w:noWrap w:val="0"/>
            <w:vAlign w:val="center"/>
          </w:tcPr>
          <w:p w14:paraId="2FE17068">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10</w:t>
            </w:r>
          </w:p>
        </w:tc>
        <w:tc>
          <w:tcPr>
            <w:tcW w:w="3511" w:type="dxa"/>
            <w:shd w:val="clear" w:color="auto" w:fill="auto"/>
            <w:noWrap w:val="0"/>
            <w:vAlign w:val="center"/>
          </w:tcPr>
          <w:p w14:paraId="58D4B5C7">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445FDA05">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衢江区大洲中心卫生院</w:t>
            </w:r>
          </w:p>
        </w:tc>
      </w:tr>
      <w:tr w14:paraId="538E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shd w:val="clear" w:color="auto" w:fill="auto"/>
            <w:noWrap w:val="0"/>
            <w:vAlign w:val="center"/>
          </w:tcPr>
          <w:p w14:paraId="1C4BAD1C">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11</w:t>
            </w:r>
          </w:p>
        </w:tc>
        <w:tc>
          <w:tcPr>
            <w:tcW w:w="3511" w:type="dxa"/>
            <w:shd w:val="clear" w:color="auto" w:fill="auto"/>
            <w:noWrap w:val="0"/>
            <w:vAlign w:val="center"/>
          </w:tcPr>
          <w:p w14:paraId="655FA6F0">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656BC107">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衢江区樟潭中心卫生院</w:t>
            </w:r>
          </w:p>
        </w:tc>
      </w:tr>
      <w:tr w14:paraId="5D20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shd w:val="clear" w:color="auto" w:fill="auto"/>
            <w:noWrap w:val="0"/>
            <w:vAlign w:val="center"/>
          </w:tcPr>
          <w:p w14:paraId="5BE21490">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12</w:t>
            </w:r>
          </w:p>
        </w:tc>
        <w:tc>
          <w:tcPr>
            <w:tcW w:w="3511" w:type="dxa"/>
            <w:shd w:val="clear" w:color="auto" w:fill="auto"/>
            <w:noWrap w:val="0"/>
            <w:vAlign w:val="center"/>
          </w:tcPr>
          <w:p w14:paraId="50A6D0EF">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28F8E7A2">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衢江区灰坪乡卫生院</w:t>
            </w:r>
          </w:p>
        </w:tc>
      </w:tr>
      <w:tr w14:paraId="279F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shd w:val="clear" w:color="auto" w:fill="auto"/>
            <w:noWrap w:val="0"/>
            <w:vAlign w:val="center"/>
          </w:tcPr>
          <w:p w14:paraId="48536255">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13</w:t>
            </w:r>
          </w:p>
        </w:tc>
        <w:tc>
          <w:tcPr>
            <w:tcW w:w="3511" w:type="dxa"/>
            <w:shd w:val="clear" w:color="auto" w:fill="auto"/>
            <w:noWrap w:val="0"/>
            <w:vAlign w:val="center"/>
          </w:tcPr>
          <w:p w14:paraId="45F7D84A">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3657CC50">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衢江区浮石街道卫生院</w:t>
            </w:r>
          </w:p>
        </w:tc>
      </w:tr>
      <w:tr w14:paraId="2ECA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9" w:type="dxa"/>
            <w:shd w:val="clear" w:color="auto" w:fill="auto"/>
            <w:noWrap w:val="0"/>
            <w:vAlign w:val="center"/>
          </w:tcPr>
          <w:p w14:paraId="685EADA2">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14</w:t>
            </w:r>
          </w:p>
        </w:tc>
        <w:tc>
          <w:tcPr>
            <w:tcW w:w="3511" w:type="dxa"/>
            <w:shd w:val="clear" w:color="auto" w:fill="auto"/>
            <w:noWrap w:val="0"/>
            <w:vAlign w:val="center"/>
          </w:tcPr>
          <w:p w14:paraId="1A7FB3FB">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49E998FA">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衢江区黄坛口乡卫生院</w:t>
            </w:r>
          </w:p>
        </w:tc>
      </w:tr>
      <w:tr w14:paraId="500A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9" w:type="dxa"/>
            <w:shd w:val="clear" w:color="auto" w:fill="auto"/>
            <w:noWrap w:val="0"/>
            <w:vAlign w:val="center"/>
          </w:tcPr>
          <w:p w14:paraId="6C336667">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15</w:t>
            </w:r>
          </w:p>
        </w:tc>
        <w:tc>
          <w:tcPr>
            <w:tcW w:w="3511" w:type="dxa"/>
            <w:shd w:val="clear" w:color="auto" w:fill="auto"/>
            <w:noWrap w:val="0"/>
            <w:vAlign w:val="center"/>
          </w:tcPr>
          <w:p w14:paraId="159FF0AB">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4EF56EEE">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衢江区峡川镇卫生院</w:t>
            </w:r>
          </w:p>
        </w:tc>
      </w:tr>
      <w:tr w14:paraId="6491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9" w:type="dxa"/>
            <w:shd w:val="clear" w:color="auto" w:fill="auto"/>
            <w:noWrap w:val="0"/>
            <w:vAlign w:val="center"/>
          </w:tcPr>
          <w:p w14:paraId="0824D541">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16</w:t>
            </w:r>
          </w:p>
        </w:tc>
        <w:tc>
          <w:tcPr>
            <w:tcW w:w="3511" w:type="dxa"/>
            <w:shd w:val="clear" w:color="auto" w:fill="auto"/>
            <w:noWrap w:val="0"/>
            <w:vAlign w:val="center"/>
          </w:tcPr>
          <w:p w14:paraId="354D3F11">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3CAD5885">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衢江区双桥乡卫生院</w:t>
            </w:r>
          </w:p>
        </w:tc>
      </w:tr>
      <w:tr w14:paraId="6C10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9" w:type="dxa"/>
            <w:shd w:val="clear" w:color="auto" w:fill="auto"/>
            <w:noWrap w:val="0"/>
            <w:vAlign w:val="center"/>
          </w:tcPr>
          <w:p w14:paraId="565ADC7D">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17</w:t>
            </w:r>
          </w:p>
        </w:tc>
        <w:tc>
          <w:tcPr>
            <w:tcW w:w="3511" w:type="dxa"/>
            <w:shd w:val="clear" w:color="auto" w:fill="auto"/>
            <w:noWrap w:val="0"/>
            <w:vAlign w:val="center"/>
          </w:tcPr>
          <w:p w14:paraId="277D1E5B">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37FF79D6">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衢江区太真乡卫生院</w:t>
            </w:r>
          </w:p>
        </w:tc>
      </w:tr>
      <w:tr w14:paraId="0156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9" w:type="dxa"/>
            <w:shd w:val="clear" w:color="auto" w:fill="auto"/>
            <w:noWrap w:val="0"/>
            <w:vAlign w:val="center"/>
          </w:tcPr>
          <w:p w14:paraId="48B76513">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18</w:t>
            </w:r>
          </w:p>
        </w:tc>
        <w:tc>
          <w:tcPr>
            <w:tcW w:w="3511" w:type="dxa"/>
            <w:shd w:val="clear" w:color="auto" w:fill="auto"/>
            <w:noWrap w:val="0"/>
            <w:vAlign w:val="center"/>
          </w:tcPr>
          <w:p w14:paraId="19D00979">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34D9BE7A">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衢江区横路卫生院</w:t>
            </w:r>
          </w:p>
        </w:tc>
      </w:tr>
      <w:tr w14:paraId="151A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9" w:type="dxa"/>
            <w:shd w:val="clear" w:color="auto" w:fill="auto"/>
            <w:noWrap w:val="0"/>
            <w:vAlign w:val="center"/>
          </w:tcPr>
          <w:p w14:paraId="70E43999">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19</w:t>
            </w:r>
          </w:p>
        </w:tc>
        <w:tc>
          <w:tcPr>
            <w:tcW w:w="3511" w:type="dxa"/>
            <w:shd w:val="clear" w:color="auto" w:fill="auto"/>
            <w:noWrap w:val="0"/>
            <w:vAlign w:val="center"/>
          </w:tcPr>
          <w:p w14:paraId="2D77B4F3">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35E9AFCE">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衢江区周家乡卫生院</w:t>
            </w:r>
          </w:p>
        </w:tc>
      </w:tr>
      <w:tr w14:paraId="6C6F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9" w:type="dxa"/>
            <w:shd w:val="clear" w:color="auto" w:fill="auto"/>
            <w:noWrap w:val="0"/>
            <w:vAlign w:val="center"/>
          </w:tcPr>
          <w:p w14:paraId="504E24A7">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20</w:t>
            </w:r>
          </w:p>
        </w:tc>
        <w:tc>
          <w:tcPr>
            <w:tcW w:w="3511" w:type="dxa"/>
            <w:shd w:val="clear" w:color="auto" w:fill="auto"/>
            <w:noWrap w:val="0"/>
            <w:vAlign w:val="center"/>
          </w:tcPr>
          <w:p w14:paraId="56919F0A">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4BC9DABA">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衢江区云溪乡卫生院</w:t>
            </w:r>
          </w:p>
        </w:tc>
      </w:tr>
      <w:tr w14:paraId="299E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9" w:type="dxa"/>
            <w:shd w:val="clear" w:color="auto" w:fill="auto"/>
            <w:noWrap w:val="0"/>
            <w:vAlign w:val="center"/>
          </w:tcPr>
          <w:p w14:paraId="174C8910">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21</w:t>
            </w:r>
          </w:p>
        </w:tc>
        <w:tc>
          <w:tcPr>
            <w:tcW w:w="3511" w:type="dxa"/>
            <w:shd w:val="clear" w:color="auto" w:fill="auto"/>
            <w:noWrap w:val="0"/>
            <w:vAlign w:val="center"/>
          </w:tcPr>
          <w:p w14:paraId="07F11AB6">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p>
        </w:tc>
        <w:tc>
          <w:tcPr>
            <w:tcW w:w="3559" w:type="dxa"/>
            <w:shd w:val="clear" w:color="auto" w:fill="auto"/>
            <w:noWrap w:val="0"/>
            <w:vAlign w:val="center"/>
          </w:tcPr>
          <w:p w14:paraId="33CF8479">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color w:val="000000"/>
                <w:kern w:val="0"/>
                <w:sz w:val="24"/>
                <w:szCs w:val="24"/>
                <w:highlight w:val="none"/>
                <w:lang w:bidi="ar"/>
              </w:rPr>
              <w:t>衢江区举村乡卫生院</w:t>
            </w:r>
          </w:p>
        </w:tc>
      </w:tr>
    </w:tbl>
    <w:p w14:paraId="7177C1B6">
      <w:pPr>
        <w:pStyle w:val="36"/>
        <w:spacing w:line="560" w:lineRule="exact"/>
        <w:jc w:val="both"/>
        <w:rPr>
          <w:rFonts w:hint="eastAsia" w:ascii="宋体" w:hAnsi="宋体" w:eastAsia="宋体" w:cs="宋体"/>
          <w:color w:val="auto"/>
          <w:kern w:val="2"/>
          <w:sz w:val="24"/>
          <w:szCs w:val="24"/>
          <w:highlight w:val="none"/>
          <w:lang w:val="en-US" w:eastAsia="zh-CN" w:bidi="ar-SA"/>
        </w:rPr>
      </w:pPr>
    </w:p>
    <w:p w14:paraId="3A66E5B6">
      <w:pPr>
        <w:spacing w:line="360" w:lineRule="auto"/>
        <w:outlineLvl w:val="0"/>
        <w:rPr>
          <w:rFonts w:hint="eastAsia" w:ascii="宋体" w:hAnsi="宋体" w:eastAsia="宋体" w:cs="宋体"/>
          <w:b/>
          <w:color w:val="000000"/>
          <w:sz w:val="24"/>
          <w:szCs w:val="24"/>
          <w:highlight w:val="none"/>
          <w:lang w:val="en-US" w:eastAsia="zh-CN"/>
        </w:rPr>
      </w:pPr>
    </w:p>
    <w:p w14:paraId="47189C98">
      <w:pPr>
        <w:spacing w:line="360" w:lineRule="auto"/>
        <w:outlineLvl w:val="0"/>
        <w:rPr>
          <w:rFonts w:hint="eastAsia" w:ascii="宋体" w:hAnsi="宋体" w:eastAsia="宋体" w:cs="宋体"/>
          <w:b/>
          <w:color w:val="000000"/>
          <w:sz w:val="24"/>
          <w:szCs w:val="24"/>
          <w:highlight w:val="none"/>
          <w:lang w:val="en-US" w:eastAsia="zh-CN"/>
        </w:rPr>
      </w:pPr>
    </w:p>
    <w:p w14:paraId="49E4445C">
      <w:pPr>
        <w:spacing w:line="360" w:lineRule="auto"/>
        <w:outlineLvl w:val="0"/>
        <w:rPr>
          <w:rFonts w:hint="eastAsia" w:ascii="宋体" w:hAnsi="宋体" w:eastAsia="宋体" w:cs="宋体"/>
          <w:b/>
          <w:color w:val="000000"/>
          <w:sz w:val="24"/>
          <w:szCs w:val="24"/>
          <w:highlight w:val="none"/>
          <w:lang w:val="en-US" w:eastAsia="zh-CN"/>
        </w:rPr>
      </w:pPr>
    </w:p>
    <w:p w14:paraId="1F4273FC">
      <w:pPr>
        <w:spacing w:line="360" w:lineRule="auto"/>
        <w:outlineLvl w:val="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采购内容</w:t>
      </w:r>
    </w:p>
    <w:tbl>
      <w:tblPr>
        <w:tblStyle w:val="29"/>
        <w:tblW w:w="4998" w:type="pct"/>
        <w:jc w:val="center"/>
        <w:tblLayout w:type="autofit"/>
        <w:tblCellMar>
          <w:top w:w="0" w:type="dxa"/>
          <w:left w:w="108" w:type="dxa"/>
          <w:bottom w:w="0" w:type="dxa"/>
          <w:right w:w="108" w:type="dxa"/>
        </w:tblCellMar>
      </w:tblPr>
      <w:tblGrid>
        <w:gridCol w:w="691"/>
        <w:gridCol w:w="1681"/>
        <w:gridCol w:w="1153"/>
        <w:gridCol w:w="4893"/>
        <w:gridCol w:w="1206"/>
      </w:tblGrid>
      <w:tr w14:paraId="57B1FC92">
        <w:tblPrEx>
          <w:tblCellMar>
            <w:top w:w="0" w:type="dxa"/>
            <w:left w:w="108" w:type="dxa"/>
            <w:bottom w:w="0" w:type="dxa"/>
            <w:right w:w="108" w:type="dxa"/>
          </w:tblCellMar>
        </w:tblPrEx>
        <w:trPr>
          <w:trHeight w:val="703"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78649078">
            <w:pPr>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序号</w:t>
            </w:r>
          </w:p>
        </w:tc>
        <w:tc>
          <w:tcPr>
            <w:tcW w:w="873" w:type="pct"/>
            <w:tcBorders>
              <w:top w:val="single" w:color="auto" w:sz="4" w:space="0"/>
              <w:left w:val="single" w:color="auto" w:sz="4" w:space="0"/>
              <w:bottom w:val="single" w:color="auto" w:sz="4" w:space="0"/>
              <w:right w:val="single" w:color="auto" w:sz="4" w:space="0"/>
            </w:tcBorders>
            <w:noWrap w:val="0"/>
            <w:vAlign w:val="center"/>
          </w:tcPr>
          <w:p w14:paraId="60A83C72">
            <w:pPr>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项目名称</w:t>
            </w:r>
          </w:p>
        </w:tc>
        <w:tc>
          <w:tcPr>
            <w:tcW w:w="599" w:type="pct"/>
            <w:tcBorders>
              <w:top w:val="single" w:color="auto" w:sz="4" w:space="0"/>
              <w:left w:val="single" w:color="auto" w:sz="4" w:space="0"/>
              <w:bottom w:val="single" w:color="auto" w:sz="4" w:space="0"/>
              <w:right w:val="single" w:color="auto" w:sz="4" w:space="0"/>
            </w:tcBorders>
            <w:noWrap w:val="0"/>
            <w:vAlign w:val="center"/>
          </w:tcPr>
          <w:p w14:paraId="3B40E047">
            <w:pPr>
              <w:spacing w:line="360" w:lineRule="auto"/>
              <w:ind w:firstLine="0" w:firstLineChars="0"/>
              <w:jc w:val="cente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服务</w:t>
            </w:r>
          </w:p>
          <w:p w14:paraId="2E1A4E60">
            <w:pPr>
              <w:spacing w:line="360" w:lineRule="auto"/>
              <w:ind w:firstLine="0" w:firstLineChars="0"/>
              <w:jc w:val="cente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期限</w:t>
            </w:r>
          </w:p>
        </w:tc>
        <w:tc>
          <w:tcPr>
            <w:tcW w:w="2541" w:type="pct"/>
            <w:tcBorders>
              <w:top w:val="single" w:color="auto" w:sz="4" w:space="0"/>
              <w:left w:val="single" w:color="auto" w:sz="4" w:space="0"/>
              <w:bottom w:val="single" w:color="auto" w:sz="4" w:space="0"/>
              <w:right w:val="single" w:color="auto" w:sz="4" w:space="0"/>
            </w:tcBorders>
            <w:noWrap w:val="0"/>
            <w:vAlign w:val="center"/>
          </w:tcPr>
          <w:p w14:paraId="0ABFB69B">
            <w:pPr>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服务内容</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4B20D9A1">
            <w:pPr>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
              </w:rPr>
              <w:t>限价</w:t>
            </w:r>
            <w:r>
              <w:rPr>
                <w:rFonts w:hint="eastAsia" w:ascii="宋体" w:hAnsi="宋体" w:eastAsia="宋体" w:cs="宋体"/>
                <w:sz w:val="24"/>
                <w:szCs w:val="24"/>
                <w:highlight w:val="none"/>
                <w:lang w:bidi="ar"/>
              </w:rPr>
              <w:t>（元）</w:t>
            </w:r>
          </w:p>
        </w:tc>
      </w:tr>
      <w:tr w14:paraId="72D5AC5B">
        <w:tblPrEx>
          <w:tblCellMar>
            <w:top w:w="0" w:type="dxa"/>
            <w:left w:w="108" w:type="dxa"/>
            <w:bottom w:w="0" w:type="dxa"/>
            <w:right w:w="108" w:type="dxa"/>
          </w:tblCellMar>
        </w:tblPrEx>
        <w:trPr>
          <w:trHeight w:val="2798"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0A901A02">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w:t>
            </w:r>
          </w:p>
        </w:tc>
        <w:tc>
          <w:tcPr>
            <w:tcW w:w="873" w:type="pct"/>
            <w:tcBorders>
              <w:top w:val="single" w:color="auto" w:sz="4" w:space="0"/>
              <w:left w:val="single" w:color="auto" w:sz="4" w:space="0"/>
              <w:bottom w:val="single" w:color="auto" w:sz="4" w:space="0"/>
              <w:right w:val="single" w:color="auto" w:sz="4" w:space="0"/>
            </w:tcBorders>
            <w:noWrap w:val="0"/>
            <w:vAlign w:val="center"/>
          </w:tcPr>
          <w:p w14:paraId="6AC5C025">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衢江区卫生健康局信息安全运维服务项目</w:t>
            </w:r>
          </w:p>
        </w:tc>
        <w:tc>
          <w:tcPr>
            <w:tcW w:w="599" w:type="pct"/>
            <w:tcBorders>
              <w:top w:val="single" w:color="auto" w:sz="4" w:space="0"/>
              <w:left w:val="single" w:color="auto" w:sz="4" w:space="0"/>
              <w:bottom w:val="single" w:color="auto" w:sz="4" w:space="0"/>
              <w:right w:val="single" w:color="auto" w:sz="4" w:space="0"/>
            </w:tcBorders>
            <w:noWrap w:val="0"/>
            <w:vAlign w:val="center"/>
          </w:tcPr>
          <w:p w14:paraId="4C23D099">
            <w:pPr>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3年</w:t>
            </w:r>
          </w:p>
        </w:tc>
        <w:tc>
          <w:tcPr>
            <w:tcW w:w="2541" w:type="pct"/>
            <w:tcBorders>
              <w:top w:val="single" w:color="auto" w:sz="4" w:space="0"/>
              <w:left w:val="single" w:color="auto" w:sz="4" w:space="0"/>
              <w:bottom w:val="single" w:color="auto" w:sz="4" w:space="0"/>
              <w:right w:val="single" w:color="auto" w:sz="4" w:space="0"/>
            </w:tcBorders>
            <w:noWrap w:val="0"/>
            <w:vAlign w:val="center"/>
          </w:tcPr>
          <w:p w14:paraId="5EF2237B">
            <w:pPr>
              <w:spacing w:line="360" w:lineRule="auto"/>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涵盖</w:t>
            </w:r>
            <w:r>
              <w:rPr>
                <w:rFonts w:hint="eastAsia" w:ascii="宋体" w:hAnsi="宋体" w:eastAsia="宋体" w:cs="宋体"/>
                <w:sz w:val="24"/>
                <w:szCs w:val="24"/>
                <w:highlight w:val="none"/>
              </w:rPr>
              <w:t>衢江区卫生健康局及衢州市第二人民医院、衢江区中医院、衢江区妇幼保健院等单位，包含漏洞攻击防护服务、漏洞仿真服务、安全威胁检测服务、数据资源共享服务、渗透测试服务、安全风险评估服务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资产测绘服务、定期巡检服务、漏洞扫描服务、安全日志分析与响应服务、重要时期安全保障服务、安全培训服务</w:t>
            </w:r>
            <w:r>
              <w:rPr>
                <w:rFonts w:hint="eastAsia" w:ascii="宋体" w:hAnsi="宋体" w:eastAsia="宋体" w:cs="宋体"/>
                <w:sz w:val="24"/>
                <w:szCs w:val="24"/>
                <w:highlight w:val="none"/>
                <w:lang w:val="en-US" w:eastAsia="zh-CN"/>
              </w:rPr>
              <w:t>等信息安全运维</w:t>
            </w:r>
            <w:r>
              <w:rPr>
                <w:rFonts w:hint="eastAsia" w:ascii="宋体" w:hAnsi="宋体" w:eastAsia="宋体" w:cs="宋体"/>
                <w:sz w:val="24"/>
                <w:szCs w:val="24"/>
                <w:highlight w:val="none"/>
              </w:rPr>
              <w:t>内容。</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419DBF75">
            <w:pPr>
              <w:spacing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540000</w:t>
            </w:r>
          </w:p>
        </w:tc>
      </w:tr>
    </w:tbl>
    <w:p w14:paraId="7FC04F41">
      <w:pPr>
        <w:spacing w:line="360" w:lineRule="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三、详细清单</w:t>
      </w:r>
    </w:p>
    <w:tbl>
      <w:tblPr>
        <w:tblStyle w:val="29"/>
        <w:tblW w:w="4998" w:type="pct"/>
        <w:tblInd w:w="0" w:type="dxa"/>
        <w:tblLayout w:type="autofit"/>
        <w:tblCellMar>
          <w:top w:w="0" w:type="dxa"/>
          <w:left w:w="108" w:type="dxa"/>
          <w:bottom w:w="0" w:type="dxa"/>
          <w:right w:w="108" w:type="dxa"/>
        </w:tblCellMar>
      </w:tblPr>
      <w:tblGrid>
        <w:gridCol w:w="943"/>
        <w:gridCol w:w="1361"/>
        <w:gridCol w:w="4130"/>
        <w:gridCol w:w="822"/>
        <w:gridCol w:w="2368"/>
      </w:tblGrid>
      <w:tr w14:paraId="0BE51A3B">
        <w:tblPrEx>
          <w:tblCellMar>
            <w:top w:w="0" w:type="dxa"/>
            <w:left w:w="108" w:type="dxa"/>
            <w:bottom w:w="0" w:type="dxa"/>
            <w:right w:w="108" w:type="dxa"/>
          </w:tblCellMar>
        </w:tblPrEx>
        <w:trPr>
          <w:trHeight w:val="318" w:hRule="atLeast"/>
        </w:trPr>
        <w:tc>
          <w:tcPr>
            <w:tcW w:w="490" w:type="pct"/>
            <w:vMerge w:val="restart"/>
            <w:tcBorders>
              <w:top w:val="single" w:color="000000" w:sz="8" w:space="0"/>
              <w:left w:val="single" w:color="000000" w:sz="8" w:space="0"/>
              <w:bottom w:val="single" w:color="000000" w:sz="8" w:space="0"/>
              <w:right w:val="single" w:color="000000" w:sz="8" w:space="0"/>
            </w:tcBorders>
            <w:noWrap/>
            <w:vAlign w:val="center"/>
          </w:tcPr>
          <w:p w14:paraId="189C0664">
            <w:pPr>
              <w:spacing w:line="360" w:lineRule="auto"/>
              <w:ind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序号</w:t>
            </w:r>
          </w:p>
        </w:tc>
        <w:tc>
          <w:tcPr>
            <w:tcW w:w="707" w:type="pct"/>
            <w:vMerge w:val="restart"/>
            <w:tcBorders>
              <w:top w:val="single" w:color="000000" w:sz="8" w:space="0"/>
              <w:left w:val="nil"/>
              <w:bottom w:val="single" w:color="000000" w:sz="8" w:space="0"/>
              <w:right w:val="single" w:color="000000" w:sz="8" w:space="0"/>
            </w:tcBorders>
            <w:noWrap w:val="0"/>
            <w:vAlign w:val="center"/>
          </w:tcPr>
          <w:p w14:paraId="73F3CEEB">
            <w:pPr>
              <w:spacing w:line="360" w:lineRule="auto"/>
              <w:ind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服务项</w:t>
            </w:r>
          </w:p>
        </w:tc>
        <w:tc>
          <w:tcPr>
            <w:tcW w:w="2145" w:type="pct"/>
            <w:vMerge w:val="restart"/>
            <w:tcBorders>
              <w:top w:val="single" w:color="000000" w:sz="8" w:space="0"/>
              <w:left w:val="nil"/>
              <w:bottom w:val="single" w:color="000000" w:sz="8" w:space="0"/>
              <w:right w:val="single" w:color="000000" w:sz="8" w:space="0"/>
            </w:tcBorders>
            <w:noWrap w:val="0"/>
            <w:vAlign w:val="center"/>
          </w:tcPr>
          <w:p w14:paraId="3B1F9072">
            <w:pPr>
              <w:spacing w:line="360" w:lineRule="auto"/>
              <w:ind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服务内容</w:t>
            </w:r>
          </w:p>
        </w:tc>
        <w:tc>
          <w:tcPr>
            <w:tcW w:w="427" w:type="pct"/>
            <w:vMerge w:val="restart"/>
            <w:tcBorders>
              <w:top w:val="single" w:color="000000" w:sz="8" w:space="0"/>
              <w:left w:val="nil"/>
              <w:bottom w:val="single" w:color="000000" w:sz="8" w:space="0"/>
              <w:right w:val="single" w:color="000000" w:sz="8" w:space="0"/>
            </w:tcBorders>
            <w:noWrap w:val="0"/>
            <w:vAlign w:val="center"/>
          </w:tcPr>
          <w:p w14:paraId="0F699287">
            <w:pPr>
              <w:spacing w:line="360" w:lineRule="auto"/>
              <w:ind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服务期限</w:t>
            </w:r>
          </w:p>
        </w:tc>
        <w:tc>
          <w:tcPr>
            <w:tcW w:w="1230" w:type="pct"/>
            <w:vMerge w:val="restart"/>
            <w:tcBorders>
              <w:top w:val="single" w:color="000000" w:sz="8" w:space="0"/>
              <w:left w:val="nil"/>
              <w:bottom w:val="single" w:color="000000" w:sz="8" w:space="0"/>
              <w:right w:val="single" w:color="000000" w:sz="8" w:space="0"/>
            </w:tcBorders>
            <w:noWrap w:val="0"/>
            <w:vAlign w:val="center"/>
          </w:tcPr>
          <w:p w14:paraId="37255CC9">
            <w:pPr>
              <w:spacing w:line="360" w:lineRule="auto"/>
              <w:ind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服务范围</w:t>
            </w:r>
          </w:p>
        </w:tc>
      </w:tr>
      <w:tr w14:paraId="517EADA2">
        <w:tblPrEx>
          <w:tblCellMar>
            <w:top w:w="0" w:type="dxa"/>
            <w:left w:w="108" w:type="dxa"/>
            <w:bottom w:w="0" w:type="dxa"/>
            <w:right w:w="108" w:type="dxa"/>
          </w:tblCellMar>
        </w:tblPrEx>
        <w:trPr>
          <w:trHeight w:val="312" w:hRule="atLeast"/>
        </w:trPr>
        <w:tc>
          <w:tcPr>
            <w:tcW w:w="490" w:type="pct"/>
            <w:vMerge w:val="continue"/>
            <w:tcBorders>
              <w:top w:val="single" w:color="000000" w:sz="8" w:space="0"/>
              <w:left w:val="single" w:color="000000" w:sz="8" w:space="0"/>
              <w:bottom w:val="single" w:color="000000" w:sz="8" w:space="0"/>
              <w:right w:val="single" w:color="000000" w:sz="8" w:space="0"/>
            </w:tcBorders>
            <w:noWrap/>
            <w:vAlign w:val="center"/>
          </w:tcPr>
          <w:p w14:paraId="27846873">
            <w:pPr>
              <w:spacing w:line="360" w:lineRule="auto"/>
              <w:ind w:firstLine="0" w:firstLineChars="0"/>
              <w:rPr>
                <w:rFonts w:hint="eastAsia" w:ascii="宋体" w:hAnsi="宋体" w:eastAsia="宋体" w:cs="宋体"/>
                <w:strike w:val="0"/>
                <w:dstrike w:val="0"/>
                <w:sz w:val="24"/>
                <w:szCs w:val="24"/>
                <w:highlight w:val="none"/>
              </w:rPr>
            </w:pPr>
          </w:p>
        </w:tc>
        <w:tc>
          <w:tcPr>
            <w:tcW w:w="707" w:type="pct"/>
            <w:vMerge w:val="continue"/>
            <w:tcBorders>
              <w:top w:val="single" w:color="000000" w:sz="8" w:space="0"/>
              <w:left w:val="nil"/>
              <w:bottom w:val="single" w:color="000000" w:sz="8" w:space="0"/>
              <w:right w:val="single" w:color="000000" w:sz="8" w:space="0"/>
            </w:tcBorders>
            <w:noWrap w:val="0"/>
            <w:vAlign w:val="center"/>
          </w:tcPr>
          <w:p w14:paraId="413CF562">
            <w:pPr>
              <w:spacing w:line="360" w:lineRule="auto"/>
              <w:ind w:firstLine="0" w:firstLineChars="0"/>
              <w:rPr>
                <w:rFonts w:hint="eastAsia" w:ascii="宋体" w:hAnsi="宋体" w:eastAsia="宋体" w:cs="宋体"/>
                <w:strike w:val="0"/>
                <w:dstrike w:val="0"/>
                <w:sz w:val="24"/>
                <w:szCs w:val="24"/>
                <w:highlight w:val="none"/>
              </w:rPr>
            </w:pPr>
          </w:p>
        </w:tc>
        <w:tc>
          <w:tcPr>
            <w:tcW w:w="2145" w:type="pct"/>
            <w:vMerge w:val="continue"/>
            <w:tcBorders>
              <w:top w:val="single" w:color="000000" w:sz="8" w:space="0"/>
              <w:left w:val="nil"/>
              <w:bottom w:val="single" w:color="000000" w:sz="8" w:space="0"/>
              <w:right w:val="single" w:color="000000" w:sz="8" w:space="0"/>
            </w:tcBorders>
            <w:noWrap w:val="0"/>
            <w:vAlign w:val="center"/>
          </w:tcPr>
          <w:p w14:paraId="470B65AC">
            <w:pPr>
              <w:spacing w:line="360" w:lineRule="auto"/>
              <w:ind w:firstLine="0" w:firstLineChars="0"/>
              <w:rPr>
                <w:rFonts w:hint="eastAsia" w:ascii="宋体" w:hAnsi="宋体" w:eastAsia="宋体" w:cs="宋体"/>
                <w:strike w:val="0"/>
                <w:dstrike w:val="0"/>
                <w:sz w:val="24"/>
                <w:szCs w:val="24"/>
                <w:highlight w:val="none"/>
              </w:rPr>
            </w:pPr>
          </w:p>
        </w:tc>
        <w:tc>
          <w:tcPr>
            <w:tcW w:w="427" w:type="pct"/>
            <w:vMerge w:val="continue"/>
            <w:tcBorders>
              <w:top w:val="single" w:color="000000" w:sz="8" w:space="0"/>
              <w:left w:val="nil"/>
              <w:bottom w:val="single" w:color="000000" w:sz="8" w:space="0"/>
              <w:right w:val="single" w:color="000000" w:sz="8" w:space="0"/>
            </w:tcBorders>
            <w:noWrap w:val="0"/>
            <w:vAlign w:val="center"/>
          </w:tcPr>
          <w:p w14:paraId="660D2001">
            <w:pPr>
              <w:spacing w:line="360" w:lineRule="auto"/>
              <w:ind w:firstLine="0" w:firstLineChars="0"/>
              <w:rPr>
                <w:rFonts w:hint="eastAsia" w:ascii="宋体" w:hAnsi="宋体" w:eastAsia="宋体" w:cs="宋体"/>
                <w:strike w:val="0"/>
                <w:dstrike w:val="0"/>
                <w:sz w:val="24"/>
                <w:szCs w:val="24"/>
                <w:highlight w:val="none"/>
              </w:rPr>
            </w:pPr>
          </w:p>
        </w:tc>
        <w:tc>
          <w:tcPr>
            <w:tcW w:w="1230" w:type="pct"/>
            <w:vMerge w:val="continue"/>
            <w:tcBorders>
              <w:top w:val="single" w:color="000000" w:sz="8" w:space="0"/>
              <w:left w:val="nil"/>
              <w:bottom w:val="single" w:color="000000" w:sz="8" w:space="0"/>
              <w:right w:val="single" w:color="000000" w:sz="8" w:space="0"/>
            </w:tcBorders>
            <w:noWrap w:val="0"/>
            <w:vAlign w:val="center"/>
          </w:tcPr>
          <w:p w14:paraId="2B38F052">
            <w:pPr>
              <w:spacing w:line="360" w:lineRule="auto"/>
              <w:ind w:firstLine="0" w:firstLineChars="0"/>
              <w:rPr>
                <w:rFonts w:hint="eastAsia" w:ascii="宋体" w:hAnsi="宋体" w:eastAsia="宋体" w:cs="宋体"/>
                <w:strike w:val="0"/>
                <w:dstrike w:val="0"/>
                <w:sz w:val="24"/>
                <w:szCs w:val="24"/>
                <w:highlight w:val="none"/>
              </w:rPr>
            </w:pPr>
          </w:p>
        </w:tc>
      </w:tr>
      <w:tr w14:paraId="46F704D4">
        <w:tblPrEx>
          <w:tblCellMar>
            <w:top w:w="0" w:type="dxa"/>
            <w:left w:w="108" w:type="dxa"/>
            <w:bottom w:w="0" w:type="dxa"/>
            <w:right w:w="108" w:type="dxa"/>
          </w:tblCellMar>
        </w:tblPrEx>
        <w:trPr>
          <w:trHeight w:val="689" w:hRule="atLeast"/>
        </w:trPr>
        <w:tc>
          <w:tcPr>
            <w:tcW w:w="490" w:type="pct"/>
            <w:tcBorders>
              <w:top w:val="nil"/>
              <w:left w:val="single" w:color="000000" w:sz="8" w:space="0"/>
              <w:bottom w:val="single" w:color="000000" w:sz="8" w:space="0"/>
              <w:right w:val="single" w:color="000000" w:sz="8" w:space="0"/>
            </w:tcBorders>
            <w:noWrap/>
            <w:vAlign w:val="center"/>
          </w:tcPr>
          <w:p w14:paraId="1E7E8B43">
            <w:pPr>
              <w:spacing w:line="360" w:lineRule="auto"/>
              <w:ind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1</w:t>
            </w:r>
          </w:p>
        </w:tc>
        <w:tc>
          <w:tcPr>
            <w:tcW w:w="707" w:type="pct"/>
            <w:tcBorders>
              <w:top w:val="nil"/>
              <w:left w:val="nil"/>
              <w:bottom w:val="single" w:color="000000" w:sz="8" w:space="0"/>
              <w:right w:val="single" w:color="000000" w:sz="8" w:space="0"/>
            </w:tcBorders>
            <w:noWrap w:val="0"/>
            <w:vAlign w:val="center"/>
          </w:tcPr>
          <w:p w14:paraId="72DDC19D">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漏洞攻击防护服务（含入侵检测防护系统3套）</w:t>
            </w:r>
          </w:p>
        </w:tc>
        <w:tc>
          <w:tcPr>
            <w:tcW w:w="2145" w:type="pct"/>
            <w:tcBorders>
              <w:top w:val="nil"/>
              <w:left w:val="nil"/>
              <w:bottom w:val="single" w:color="000000" w:sz="8" w:space="0"/>
              <w:right w:val="single" w:color="000000" w:sz="8" w:space="0"/>
            </w:tcBorders>
            <w:noWrap w:val="0"/>
            <w:vAlign w:val="center"/>
          </w:tcPr>
          <w:p w14:paraId="1E03760E">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部署入侵检测防护系统，结合安全服务工程师通过开展漏洞攻击防护服务，实现对漏洞利用攻击的自动防护。对漏洞利用攻击行为的风险IP秒级发现、智能处置</w:t>
            </w:r>
            <w:r>
              <w:rPr>
                <w:rFonts w:hint="eastAsia" w:ascii="宋体" w:hAnsi="宋体" w:eastAsia="宋体" w:cs="宋体"/>
                <w:strike w:val="0"/>
                <w:dstrike w:val="0"/>
                <w:sz w:val="24"/>
                <w:szCs w:val="24"/>
                <w:highlight w:val="none"/>
                <w:lang w:val="en-US" w:eastAsia="zh-CN" w:bidi="ar"/>
              </w:rPr>
              <w:t>和屏蔽拦截</w:t>
            </w:r>
            <w:r>
              <w:rPr>
                <w:rFonts w:hint="eastAsia" w:ascii="宋体" w:hAnsi="宋体" w:eastAsia="宋体" w:cs="宋体"/>
                <w:strike w:val="0"/>
                <w:dstrike w:val="0"/>
                <w:sz w:val="24"/>
                <w:szCs w:val="24"/>
                <w:highlight w:val="none"/>
                <w:lang w:bidi="ar"/>
              </w:rPr>
              <w:t>，保障整体网络安全。</w:t>
            </w:r>
          </w:p>
        </w:tc>
        <w:tc>
          <w:tcPr>
            <w:tcW w:w="427" w:type="pct"/>
            <w:tcBorders>
              <w:top w:val="nil"/>
              <w:left w:val="nil"/>
              <w:bottom w:val="single" w:color="000000" w:sz="8" w:space="0"/>
              <w:right w:val="single" w:color="000000" w:sz="8" w:space="0"/>
            </w:tcBorders>
            <w:noWrap w:val="0"/>
            <w:vAlign w:val="center"/>
          </w:tcPr>
          <w:p w14:paraId="20A91634">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1D924F40">
            <w:pPr>
              <w:spacing w:line="360" w:lineRule="auto"/>
              <w:ind w:firstLine="0" w:firstLineChars="0"/>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color w:val="000000"/>
                <w:kern w:val="0"/>
                <w:sz w:val="24"/>
                <w:szCs w:val="24"/>
                <w:highlight w:val="none"/>
                <w:lang w:bidi="ar"/>
              </w:rPr>
              <w:t>。</w:t>
            </w:r>
          </w:p>
        </w:tc>
      </w:tr>
      <w:tr w14:paraId="23022A57">
        <w:tblPrEx>
          <w:tblCellMar>
            <w:top w:w="0" w:type="dxa"/>
            <w:left w:w="108" w:type="dxa"/>
            <w:bottom w:w="0" w:type="dxa"/>
            <w:right w:w="108" w:type="dxa"/>
          </w:tblCellMar>
        </w:tblPrEx>
        <w:trPr>
          <w:trHeight w:val="831" w:hRule="atLeast"/>
        </w:trPr>
        <w:tc>
          <w:tcPr>
            <w:tcW w:w="490" w:type="pct"/>
            <w:tcBorders>
              <w:top w:val="nil"/>
              <w:left w:val="single" w:color="000000" w:sz="8" w:space="0"/>
              <w:bottom w:val="single" w:color="000000" w:sz="8" w:space="0"/>
              <w:right w:val="single" w:color="000000" w:sz="8" w:space="0"/>
            </w:tcBorders>
            <w:noWrap/>
            <w:vAlign w:val="center"/>
          </w:tcPr>
          <w:p w14:paraId="13B4D4C1">
            <w:pPr>
              <w:spacing w:line="360" w:lineRule="auto"/>
              <w:ind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2</w:t>
            </w:r>
          </w:p>
        </w:tc>
        <w:tc>
          <w:tcPr>
            <w:tcW w:w="707" w:type="pct"/>
            <w:tcBorders>
              <w:top w:val="nil"/>
              <w:left w:val="nil"/>
              <w:bottom w:val="single" w:color="000000" w:sz="8" w:space="0"/>
              <w:right w:val="single" w:color="000000" w:sz="8" w:space="0"/>
            </w:tcBorders>
            <w:noWrap w:val="0"/>
            <w:vAlign w:val="center"/>
          </w:tcPr>
          <w:p w14:paraId="71E9D954">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漏洞仿真服务（含漏洞仿真系统3套）</w:t>
            </w:r>
          </w:p>
        </w:tc>
        <w:tc>
          <w:tcPr>
            <w:tcW w:w="2145" w:type="pct"/>
            <w:tcBorders>
              <w:top w:val="nil"/>
              <w:left w:val="nil"/>
              <w:bottom w:val="single" w:color="000000" w:sz="8" w:space="0"/>
              <w:right w:val="single" w:color="000000" w:sz="8" w:space="0"/>
            </w:tcBorders>
            <w:noWrap w:val="0"/>
            <w:vAlign w:val="center"/>
          </w:tcPr>
          <w:p w14:paraId="69FCFF1E">
            <w:pPr>
              <w:pStyle w:val="36"/>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通过部署漏洞仿真系统与人工服务结合，</w:t>
            </w:r>
            <w:r>
              <w:rPr>
                <w:rFonts w:hint="eastAsia" w:ascii="宋体" w:hAnsi="宋体" w:eastAsia="宋体" w:cs="宋体"/>
                <w:strike w:val="0"/>
                <w:dstrike w:val="0"/>
                <w:sz w:val="24"/>
                <w:szCs w:val="24"/>
                <w:highlight w:val="none"/>
              </w:rPr>
              <w:t>构建动态诱捕环境，模拟各种业务和漏洞信息，隐匿真实资产信息和弱点漏洞并展现实时攻击检测与告警，运用AI技术解析攻击手法，精确攻击路径的还原，实现联动响应与防御优化，提前预警、抵御未知威胁，降低网络安全事件发生概率</w:t>
            </w:r>
          </w:p>
        </w:tc>
        <w:tc>
          <w:tcPr>
            <w:tcW w:w="427" w:type="pct"/>
            <w:tcBorders>
              <w:top w:val="nil"/>
              <w:left w:val="nil"/>
              <w:bottom w:val="single" w:color="000000" w:sz="8" w:space="0"/>
              <w:right w:val="single" w:color="000000" w:sz="8" w:space="0"/>
            </w:tcBorders>
            <w:noWrap w:val="0"/>
            <w:vAlign w:val="center"/>
          </w:tcPr>
          <w:p w14:paraId="6D2311EC">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7D524030">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color w:val="000000"/>
                <w:kern w:val="0"/>
                <w:sz w:val="24"/>
                <w:szCs w:val="24"/>
                <w:highlight w:val="none"/>
                <w:lang w:bidi="ar"/>
              </w:rPr>
              <w:t>。</w:t>
            </w:r>
          </w:p>
        </w:tc>
      </w:tr>
      <w:tr w14:paraId="50DCD720">
        <w:tblPrEx>
          <w:tblCellMar>
            <w:top w:w="0" w:type="dxa"/>
            <w:left w:w="108" w:type="dxa"/>
            <w:bottom w:w="0" w:type="dxa"/>
            <w:right w:w="108" w:type="dxa"/>
          </w:tblCellMar>
        </w:tblPrEx>
        <w:trPr>
          <w:trHeight w:val="3460" w:hRule="atLeast"/>
        </w:trPr>
        <w:tc>
          <w:tcPr>
            <w:tcW w:w="490" w:type="pct"/>
            <w:tcBorders>
              <w:top w:val="nil"/>
              <w:left w:val="single" w:color="000000" w:sz="8" w:space="0"/>
              <w:bottom w:val="single" w:color="000000" w:sz="8" w:space="0"/>
              <w:right w:val="single" w:color="000000" w:sz="8" w:space="0"/>
            </w:tcBorders>
            <w:noWrap/>
            <w:vAlign w:val="center"/>
          </w:tcPr>
          <w:p w14:paraId="73FC64E5">
            <w:pPr>
              <w:spacing w:line="360" w:lineRule="auto"/>
              <w:ind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3</w:t>
            </w:r>
          </w:p>
        </w:tc>
        <w:tc>
          <w:tcPr>
            <w:tcW w:w="707" w:type="pct"/>
            <w:tcBorders>
              <w:top w:val="nil"/>
              <w:left w:val="nil"/>
              <w:bottom w:val="single" w:color="000000" w:sz="8" w:space="0"/>
              <w:right w:val="single" w:color="000000" w:sz="8" w:space="0"/>
            </w:tcBorders>
            <w:noWrap w:val="0"/>
            <w:vAlign w:val="center"/>
          </w:tcPr>
          <w:p w14:paraId="0B571474">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安全威胁检测服务（含安全威胁管理平台3套）</w:t>
            </w:r>
          </w:p>
        </w:tc>
        <w:tc>
          <w:tcPr>
            <w:tcW w:w="2145" w:type="pct"/>
            <w:tcBorders>
              <w:top w:val="nil"/>
              <w:left w:val="nil"/>
              <w:bottom w:val="single" w:color="000000" w:sz="8" w:space="0"/>
              <w:right w:val="single" w:color="000000" w:sz="8" w:space="0"/>
            </w:tcBorders>
            <w:noWrap w:val="0"/>
            <w:vAlign w:val="center"/>
          </w:tcPr>
          <w:p w14:paraId="4748C4CB">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通过部署安全威胁管理平台，7*24检测分析安全威胁情况，结合人工服务分析，及时发现并应对各种安全威胁。实现对网络流量、系统日志、应用程序事件等数据的实时监测和分析，发现潜在的恶意行为、漏洞利用和攻击行为，全面整合内网多种安全日志，与边界防火墙做对接，实现智能联动阻断。</w:t>
            </w:r>
          </w:p>
        </w:tc>
        <w:tc>
          <w:tcPr>
            <w:tcW w:w="427" w:type="pct"/>
            <w:tcBorders>
              <w:top w:val="nil"/>
              <w:left w:val="nil"/>
              <w:bottom w:val="single" w:color="000000" w:sz="8" w:space="0"/>
              <w:right w:val="single" w:color="000000" w:sz="8" w:space="0"/>
            </w:tcBorders>
            <w:noWrap w:val="0"/>
            <w:vAlign w:val="center"/>
          </w:tcPr>
          <w:p w14:paraId="65AB3838">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409B801C">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color w:val="000000"/>
                <w:kern w:val="0"/>
                <w:sz w:val="24"/>
                <w:szCs w:val="24"/>
                <w:highlight w:val="none"/>
                <w:lang w:bidi="ar"/>
              </w:rPr>
              <w:t>。</w:t>
            </w:r>
          </w:p>
        </w:tc>
      </w:tr>
      <w:tr w14:paraId="24DF53D7">
        <w:tblPrEx>
          <w:tblCellMar>
            <w:top w:w="0" w:type="dxa"/>
            <w:left w:w="108" w:type="dxa"/>
            <w:bottom w:w="0" w:type="dxa"/>
            <w:right w:w="108" w:type="dxa"/>
          </w:tblCellMar>
        </w:tblPrEx>
        <w:trPr>
          <w:trHeight w:val="1018" w:hRule="atLeast"/>
        </w:trPr>
        <w:tc>
          <w:tcPr>
            <w:tcW w:w="490" w:type="pct"/>
            <w:tcBorders>
              <w:top w:val="nil"/>
              <w:left w:val="single" w:color="000000" w:sz="8" w:space="0"/>
              <w:bottom w:val="single" w:color="000000" w:sz="8" w:space="0"/>
              <w:right w:val="single" w:color="000000" w:sz="8" w:space="0"/>
            </w:tcBorders>
            <w:noWrap/>
            <w:vAlign w:val="center"/>
          </w:tcPr>
          <w:p w14:paraId="704007BE">
            <w:pPr>
              <w:spacing w:line="360" w:lineRule="auto"/>
              <w:ind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4</w:t>
            </w:r>
          </w:p>
        </w:tc>
        <w:tc>
          <w:tcPr>
            <w:tcW w:w="707" w:type="pct"/>
            <w:tcBorders>
              <w:top w:val="nil"/>
              <w:left w:val="nil"/>
              <w:bottom w:val="single" w:color="000000" w:sz="8" w:space="0"/>
              <w:right w:val="single" w:color="000000" w:sz="8" w:space="0"/>
            </w:tcBorders>
            <w:noWrap w:val="0"/>
            <w:vAlign w:val="center"/>
          </w:tcPr>
          <w:p w14:paraId="13A516E4">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定期巡检服务</w:t>
            </w:r>
          </w:p>
        </w:tc>
        <w:tc>
          <w:tcPr>
            <w:tcW w:w="2145" w:type="pct"/>
            <w:tcBorders>
              <w:top w:val="nil"/>
              <w:left w:val="nil"/>
              <w:bottom w:val="single" w:color="000000" w:sz="8" w:space="0"/>
              <w:right w:val="single" w:color="000000" w:sz="8" w:space="0"/>
            </w:tcBorders>
            <w:noWrap w:val="0"/>
            <w:vAlign w:val="center"/>
          </w:tcPr>
          <w:p w14:paraId="3B7C0FB1">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服务频率：每年四次。</w:t>
            </w:r>
          </w:p>
          <w:p w14:paraId="49A96342">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对数据中心物理环境、软硬件设备运行状态、网络设备的安全策略弱点、多余端口开放、访问权限分配管理等进行巡检和故障排除，协助进行管理规范和制度的完善。</w:t>
            </w:r>
          </w:p>
        </w:tc>
        <w:tc>
          <w:tcPr>
            <w:tcW w:w="427" w:type="pct"/>
            <w:tcBorders>
              <w:top w:val="nil"/>
              <w:left w:val="nil"/>
              <w:bottom w:val="single" w:color="000000" w:sz="8" w:space="0"/>
              <w:right w:val="single" w:color="000000" w:sz="8" w:space="0"/>
            </w:tcBorders>
            <w:noWrap w:val="0"/>
            <w:vAlign w:val="center"/>
          </w:tcPr>
          <w:p w14:paraId="26D8C009">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17D70B8D">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sz w:val="24"/>
                <w:szCs w:val="24"/>
                <w:highlight w:val="none"/>
                <w:lang w:bidi="ar"/>
              </w:rPr>
              <w:t>。</w:t>
            </w:r>
          </w:p>
        </w:tc>
      </w:tr>
      <w:tr w14:paraId="5C09E316">
        <w:tblPrEx>
          <w:tblCellMar>
            <w:top w:w="0" w:type="dxa"/>
            <w:left w:w="108" w:type="dxa"/>
            <w:bottom w:w="0" w:type="dxa"/>
            <w:right w:w="108" w:type="dxa"/>
          </w:tblCellMar>
        </w:tblPrEx>
        <w:trPr>
          <w:trHeight w:val="954" w:hRule="atLeast"/>
        </w:trPr>
        <w:tc>
          <w:tcPr>
            <w:tcW w:w="490" w:type="pct"/>
            <w:tcBorders>
              <w:top w:val="nil"/>
              <w:left w:val="single" w:color="000000" w:sz="8" w:space="0"/>
              <w:bottom w:val="single" w:color="000000" w:sz="8" w:space="0"/>
              <w:right w:val="single" w:color="000000" w:sz="8" w:space="0"/>
            </w:tcBorders>
            <w:noWrap/>
            <w:vAlign w:val="center"/>
          </w:tcPr>
          <w:p w14:paraId="50B11991">
            <w:pPr>
              <w:spacing w:line="360" w:lineRule="auto"/>
              <w:ind w:firstLine="0" w:firstLineChars="0"/>
              <w:jc w:val="center"/>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5</w:t>
            </w:r>
          </w:p>
        </w:tc>
        <w:tc>
          <w:tcPr>
            <w:tcW w:w="707" w:type="pct"/>
            <w:tcBorders>
              <w:top w:val="nil"/>
              <w:left w:val="nil"/>
              <w:bottom w:val="single" w:color="000000" w:sz="8" w:space="0"/>
              <w:right w:val="single" w:color="000000" w:sz="8" w:space="0"/>
            </w:tcBorders>
            <w:noWrap w:val="0"/>
            <w:vAlign w:val="center"/>
          </w:tcPr>
          <w:p w14:paraId="0CBD9DD7">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渗透测试服务</w:t>
            </w:r>
          </w:p>
        </w:tc>
        <w:tc>
          <w:tcPr>
            <w:tcW w:w="2145" w:type="pct"/>
            <w:tcBorders>
              <w:top w:val="nil"/>
              <w:left w:val="nil"/>
              <w:bottom w:val="single" w:color="000000" w:sz="8" w:space="0"/>
              <w:right w:val="single" w:color="000000" w:sz="8" w:space="0"/>
            </w:tcBorders>
            <w:noWrap w:val="0"/>
            <w:vAlign w:val="center"/>
          </w:tcPr>
          <w:p w14:paraId="0D5D3A26">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服务频率：每年</w:t>
            </w:r>
            <w:r>
              <w:rPr>
                <w:rFonts w:hint="eastAsia" w:ascii="宋体" w:hAnsi="宋体" w:eastAsia="宋体" w:cs="宋体"/>
                <w:strike w:val="0"/>
                <w:dstrike w:val="0"/>
                <w:sz w:val="24"/>
                <w:szCs w:val="24"/>
                <w:highlight w:val="none"/>
                <w:lang w:val="en-US" w:eastAsia="zh-CN" w:bidi="ar"/>
              </w:rPr>
              <w:t>四</w:t>
            </w:r>
            <w:r>
              <w:rPr>
                <w:rFonts w:hint="eastAsia" w:ascii="宋体" w:hAnsi="宋体" w:eastAsia="宋体" w:cs="宋体"/>
                <w:strike w:val="0"/>
                <w:dstrike w:val="0"/>
                <w:sz w:val="24"/>
                <w:szCs w:val="24"/>
                <w:highlight w:val="none"/>
                <w:lang w:bidi="ar"/>
              </w:rPr>
              <w:t>次。</w:t>
            </w:r>
          </w:p>
          <w:p w14:paraId="196CA5FD">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通过模拟黑客可能使用的攻击技术和漏洞发现技术，采用黑盒测试的方法对目标系统的安全做深入的探测，发现系统最脆弱的环节，了解自身网络所面临的问题并针对安全问题进行处置。</w:t>
            </w:r>
          </w:p>
        </w:tc>
        <w:tc>
          <w:tcPr>
            <w:tcW w:w="427" w:type="pct"/>
            <w:tcBorders>
              <w:top w:val="nil"/>
              <w:left w:val="nil"/>
              <w:bottom w:val="single" w:color="000000" w:sz="8" w:space="0"/>
              <w:right w:val="single" w:color="000000" w:sz="8" w:space="0"/>
            </w:tcBorders>
            <w:noWrap w:val="0"/>
            <w:vAlign w:val="center"/>
          </w:tcPr>
          <w:p w14:paraId="0BACA056">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48BC4936">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color w:val="000000"/>
                <w:kern w:val="0"/>
                <w:sz w:val="24"/>
                <w:szCs w:val="24"/>
                <w:highlight w:val="none"/>
                <w:lang w:bidi="ar"/>
              </w:rPr>
              <w:t>。</w:t>
            </w:r>
          </w:p>
        </w:tc>
      </w:tr>
      <w:tr w14:paraId="4A31275C">
        <w:tblPrEx>
          <w:tblCellMar>
            <w:top w:w="0" w:type="dxa"/>
            <w:left w:w="108" w:type="dxa"/>
            <w:bottom w:w="0" w:type="dxa"/>
            <w:right w:w="108" w:type="dxa"/>
          </w:tblCellMar>
        </w:tblPrEx>
        <w:trPr>
          <w:trHeight w:val="1743" w:hRule="atLeast"/>
        </w:trPr>
        <w:tc>
          <w:tcPr>
            <w:tcW w:w="490" w:type="pct"/>
            <w:tcBorders>
              <w:top w:val="nil"/>
              <w:left w:val="single" w:color="000000" w:sz="8" w:space="0"/>
              <w:bottom w:val="single" w:color="000000" w:sz="8" w:space="0"/>
              <w:right w:val="single" w:color="000000" w:sz="8" w:space="0"/>
            </w:tcBorders>
            <w:noWrap/>
            <w:vAlign w:val="center"/>
          </w:tcPr>
          <w:p w14:paraId="41563514">
            <w:pPr>
              <w:spacing w:line="360" w:lineRule="auto"/>
              <w:ind w:firstLine="0" w:firstLineChars="0"/>
              <w:jc w:val="center"/>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6</w:t>
            </w:r>
          </w:p>
        </w:tc>
        <w:tc>
          <w:tcPr>
            <w:tcW w:w="707" w:type="pct"/>
            <w:tcBorders>
              <w:top w:val="nil"/>
              <w:left w:val="nil"/>
              <w:bottom w:val="single" w:color="000000" w:sz="8" w:space="0"/>
              <w:right w:val="single" w:color="000000" w:sz="8" w:space="0"/>
            </w:tcBorders>
            <w:noWrap w:val="0"/>
            <w:vAlign w:val="center"/>
          </w:tcPr>
          <w:p w14:paraId="47740AF4">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基线核查服务</w:t>
            </w:r>
          </w:p>
        </w:tc>
        <w:tc>
          <w:tcPr>
            <w:tcW w:w="2145" w:type="pct"/>
            <w:tcBorders>
              <w:top w:val="nil"/>
              <w:left w:val="nil"/>
              <w:bottom w:val="single" w:color="000000" w:sz="8" w:space="0"/>
              <w:right w:val="single" w:color="000000" w:sz="8" w:space="0"/>
            </w:tcBorders>
            <w:noWrap w:val="0"/>
            <w:vAlign w:val="center"/>
          </w:tcPr>
          <w:p w14:paraId="4727F0E9">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服务频率：每年四次。</w:t>
            </w:r>
          </w:p>
          <w:p w14:paraId="1AFABC72">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针对业务系统的账号配置安全、口令配置安全、授权配置、日志配置、IP通信配置等方面内容进行检查。以发现薄弱或未满足要求的配置问题并进行整改。</w:t>
            </w:r>
          </w:p>
        </w:tc>
        <w:tc>
          <w:tcPr>
            <w:tcW w:w="427" w:type="pct"/>
            <w:tcBorders>
              <w:top w:val="nil"/>
              <w:left w:val="nil"/>
              <w:bottom w:val="single" w:color="000000" w:sz="8" w:space="0"/>
              <w:right w:val="single" w:color="000000" w:sz="8" w:space="0"/>
            </w:tcBorders>
            <w:noWrap w:val="0"/>
            <w:vAlign w:val="center"/>
          </w:tcPr>
          <w:p w14:paraId="27E553FE">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574DBD56">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color w:val="000000"/>
                <w:kern w:val="0"/>
                <w:sz w:val="24"/>
                <w:szCs w:val="24"/>
                <w:highlight w:val="none"/>
                <w:lang w:bidi="ar"/>
              </w:rPr>
              <w:t>。</w:t>
            </w:r>
          </w:p>
        </w:tc>
      </w:tr>
      <w:tr w14:paraId="2EE3CC57">
        <w:tblPrEx>
          <w:tblCellMar>
            <w:top w:w="0" w:type="dxa"/>
            <w:left w:w="108" w:type="dxa"/>
            <w:bottom w:w="0" w:type="dxa"/>
            <w:right w:w="108" w:type="dxa"/>
          </w:tblCellMar>
        </w:tblPrEx>
        <w:trPr>
          <w:trHeight w:val="1743" w:hRule="atLeast"/>
        </w:trPr>
        <w:tc>
          <w:tcPr>
            <w:tcW w:w="490" w:type="pct"/>
            <w:tcBorders>
              <w:top w:val="nil"/>
              <w:left w:val="single" w:color="000000" w:sz="8" w:space="0"/>
              <w:bottom w:val="single" w:color="000000" w:sz="8" w:space="0"/>
              <w:right w:val="single" w:color="000000" w:sz="8" w:space="0"/>
            </w:tcBorders>
            <w:noWrap/>
            <w:vAlign w:val="center"/>
          </w:tcPr>
          <w:p w14:paraId="33725182">
            <w:pPr>
              <w:spacing w:line="360" w:lineRule="auto"/>
              <w:ind w:firstLine="0" w:firstLineChars="0"/>
              <w:jc w:val="center"/>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7</w:t>
            </w:r>
          </w:p>
        </w:tc>
        <w:tc>
          <w:tcPr>
            <w:tcW w:w="707" w:type="pct"/>
            <w:tcBorders>
              <w:top w:val="nil"/>
              <w:left w:val="nil"/>
              <w:bottom w:val="single" w:color="000000" w:sz="8" w:space="0"/>
              <w:right w:val="single" w:color="000000" w:sz="8" w:space="0"/>
            </w:tcBorders>
            <w:noWrap w:val="0"/>
            <w:vAlign w:val="center"/>
          </w:tcPr>
          <w:p w14:paraId="31CBE914">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风险评估服务</w:t>
            </w:r>
          </w:p>
        </w:tc>
        <w:tc>
          <w:tcPr>
            <w:tcW w:w="2145" w:type="pct"/>
            <w:tcBorders>
              <w:top w:val="nil"/>
              <w:left w:val="nil"/>
              <w:bottom w:val="single" w:color="000000" w:sz="8" w:space="0"/>
              <w:right w:val="single" w:color="000000" w:sz="8" w:space="0"/>
            </w:tcBorders>
            <w:noWrap w:val="0"/>
            <w:vAlign w:val="center"/>
          </w:tcPr>
          <w:p w14:paraId="3A395716">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服务频率：每年四次。</w:t>
            </w:r>
          </w:p>
          <w:p w14:paraId="75D93576">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通过识别资产现有的脆弱性，可能面临的威胁，并充分调研已有安全控制措施，以综合判断存在的风险，预知可能发生的安全事件。最终提供全面的风险评估报告。</w:t>
            </w:r>
          </w:p>
        </w:tc>
        <w:tc>
          <w:tcPr>
            <w:tcW w:w="427" w:type="pct"/>
            <w:tcBorders>
              <w:top w:val="nil"/>
              <w:left w:val="nil"/>
              <w:bottom w:val="single" w:color="000000" w:sz="8" w:space="0"/>
              <w:right w:val="single" w:color="000000" w:sz="8" w:space="0"/>
            </w:tcBorders>
            <w:noWrap w:val="0"/>
            <w:vAlign w:val="center"/>
          </w:tcPr>
          <w:p w14:paraId="5D34E6A2">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4C93F4CF">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color w:val="000000"/>
                <w:kern w:val="0"/>
                <w:sz w:val="24"/>
                <w:szCs w:val="24"/>
                <w:highlight w:val="none"/>
                <w:lang w:bidi="ar"/>
              </w:rPr>
              <w:t>。</w:t>
            </w:r>
          </w:p>
        </w:tc>
      </w:tr>
      <w:tr w14:paraId="630CD496">
        <w:tblPrEx>
          <w:tblCellMar>
            <w:top w:w="0" w:type="dxa"/>
            <w:left w:w="108" w:type="dxa"/>
            <w:bottom w:w="0" w:type="dxa"/>
            <w:right w:w="108" w:type="dxa"/>
          </w:tblCellMar>
        </w:tblPrEx>
        <w:trPr>
          <w:trHeight w:val="985" w:hRule="atLeast"/>
        </w:trPr>
        <w:tc>
          <w:tcPr>
            <w:tcW w:w="490" w:type="pct"/>
            <w:tcBorders>
              <w:top w:val="nil"/>
              <w:left w:val="single" w:color="000000" w:sz="8" w:space="0"/>
              <w:bottom w:val="single" w:color="000000" w:sz="8" w:space="0"/>
              <w:right w:val="single" w:color="000000" w:sz="8" w:space="0"/>
            </w:tcBorders>
            <w:noWrap/>
            <w:vAlign w:val="center"/>
          </w:tcPr>
          <w:p w14:paraId="586246AB">
            <w:pPr>
              <w:spacing w:line="360" w:lineRule="auto"/>
              <w:ind w:firstLine="0" w:firstLineChars="0"/>
              <w:jc w:val="center"/>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8</w:t>
            </w:r>
          </w:p>
        </w:tc>
        <w:tc>
          <w:tcPr>
            <w:tcW w:w="707" w:type="pct"/>
            <w:tcBorders>
              <w:top w:val="nil"/>
              <w:left w:val="nil"/>
              <w:bottom w:val="single" w:color="000000" w:sz="8" w:space="0"/>
              <w:right w:val="single" w:color="000000" w:sz="8" w:space="0"/>
            </w:tcBorders>
            <w:noWrap w:val="0"/>
            <w:vAlign w:val="center"/>
          </w:tcPr>
          <w:p w14:paraId="5C28A3CE">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资产测绘服务</w:t>
            </w:r>
          </w:p>
        </w:tc>
        <w:tc>
          <w:tcPr>
            <w:tcW w:w="2145" w:type="pct"/>
            <w:tcBorders>
              <w:top w:val="nil"/>
              <w:left w:val="nil"/>
              <w:bottom w:val="single" w:color="000000" w:sz="8" w:space="0"/>
              <w:right w:val="single" w:color="000000" w:sz="8" w:space="0"/>
            </w:tcBorders>
            <w:noWrap w:val="0"/>
            <w:vAlign w:val="center"/>
          </w:tcPr>
          <w:p w14:paraId="4AD8CB49">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服务频率：每年两次。</w:t>
            </w:r>
          </w:p>
          <w:p w14:paraId="2CE33BA5">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通过对网络空间中的各种资源进行实时监测和分析，明确信息系统的边界、设备、数据、应用等资产，并且覆盖绝大多数已知的安全漏洞，提供全面的漏洞检测能力。</w:t>
            </w:r>
          </w:p>
        </w:tc>
        <w:tc>
          <w:tcPr>
            <w:tcW w:w="427" w:type="pct"/>
            <w:tcBorders>
              <w:top w:val="nil"/>
              <w:left w:val="nil"/>
              <w:bottom w:val="single" w:color="000000" w:sz="8" w:space="0"/>
              <w:right w:val="single" w:color="000000" w:sz="8" w:space="0"/>
            </w:tcBorders>
            <w:noWrap w:val="0"/>
            <w:vAlign w:val="center"/>
          </w:tcPr>
          <w:p w14:paraId="3C83C8CE">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6D04643A">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color w:val="000000"/>
                <w:kern w:val="0"/>
                <w:sz w:val="24"/>
                <w:szCs w:val="24"/>
                <w:highlight w:val="none"/>
                <w:lang w:bidi="ar"/>
              </w:rPr>
              <w:t>。</w:t>
            </w:r>
          </w:p>
        </w:tc>
      </w:tr>
      <w:tr w14:paraId="7E52D8F9">
        <w:tblPrEx>
          <w:tblCellMar>
            <w:top w:w="0" w:type="dxa"/>
            <w:left w:w="108" w:type="dxa"/>
            <w:bottom w:w="0" w:type="dxa"/>
            <w:right w:w="108" w:type="dxa"/>
          </w:tblCellMar>
        </w:tblPrEx>
        <w:trPr>
          <w:trHeight w:val="1743" w:hRule="atLeast"/>
        </w:trPr>
        <w:tc>
          <w:tcPr>
            <w:tcW w:w="490" w:type="pct"/>
            <w:tcBorders>
              <w:top w:val="nil"/>
              <w:left w:val="single" w:color="000000" w:sz="8" w:space="0"/>
              <w:bottom w:val="single" w:color="000000" w:sz="8" w:space="0"/>
              <w:right w:val="single" w:color="000000" w:sz="8" w:space="0"/>
            </w:tcBorders>
            <w:noWrap/>
            <w:vAlign w:val="center"/>
          </w:tcPr>
          <w:p w14:paraId="20C24F93">
            <w:pPr>
              <w:spacing w:line="360" w:lineRule="auto"/>
              <w:ind w:firstLine="0" w:firstLineChars="0"/>
              <w:jc w:val="center"/>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9</w:t>
            </w:r>
          </w:p>
        </w:tc>
        <w:tc>
          <w:tcPr>
            <w:tcW w:w="707" w:type="pct"/>
            <w:tcBorders>
              <w:top w:val="nil"/>
              <w:left w:val="nil"/>
              <w:bottom w:val="single" w:color="000000" w:sz="8" w:space="0"/>
              <w:right w:val="single" w:color="000000" w:sz="8" w:space="0"/>
            </w:tcBorders>
            <w:noWrap w:val="0"/>
            <w:vAlign w:val="center"/>
          </w:tcPr>
          <w:p w14:paraId="5D954150">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新系统上线检查</w:t>
            </w:r>
          </w:p>
        </w:tc>
        <w:tc>
          <w:tcPr>
            <w:tcW w:w="2145" w:type="pct"/>
            <w:tcBorders>
              <w:top w:val="nil"/>
              <w:left w:val="nil"/>
              <w:bottom w:val="single" w:color="000000" w:sz="8" w:space="0"/>
              <w:right w:val="single" w:color="000000" w:sz="8" w:space="0"/>
            </w:tcBorders>
            <w:noWrap w:val="0"/>
            <w:vAlign w:val="center"/>
          </w:tcPr>
          <w:p w14:paraId="6B1D966A">
            <w:pPr>
              <w:spacing w:line="360" w:lineRule="auto"/>
              <w:ind w:firstLine="0" w:firstLineChars="0"/>
              <w:rPr>
                <w:rFonts w:hint="eastAsia" w:ascii="宋体" w:hAnsi="宋体" w:eastAsia="宋体" w:cs="宋体"/>
                <w:strike w:val="0"/>
                <w:dstrike w:val="0"/>
                <w:sz w:val="24"/>
                <w:szCs w:val="24"/>
                <w:highlight w:val="none"/>
                <w:lang w:val="en-US" w:eastAsia="zh-CN" w:bidi="ar"/>
              </w:rPr>
            </w:pPr>
            <w:r>
              <w:rPr>
                <w:rFonts w:hint="eastAsia" w:ascii="宋体" w:hAnsi="宋体" w:eastAsia="宋体" w:cs="宋体"/>
                <w:strike w:val="0"/>
                <w:dstrike w:val="0"/>
                <w:sz w:val="24"/>
                <w:szCs w:val="24"/>
                <w:highlight w:val="none"/>
                <w:lang w:bidi="ar"/>
              </w:rPr>
              <w:t>服务频率：</w:t>
            </w:r>
            <w:r>
              <w:rPr>
                <w:rFonts w:hint="eastAsia" w:ascii="宋体" w:hAnsi="宋体" w:eastAsia="宋体" w:cs="宋体"/>
                <w:strike w:val="0"/>
                <w:dstrike w:val="0"/>
                <w:sz w:val="24"/>
                <w:szCs w:val="24"/>
                <w:highlight w:val="none"/>
                <w:lang w:val="en-US" w:eastAsia="zh-CN" w:bidi="ar"/>
              </w:rPr>
              <w:t>按需</w:t>
            </w:r>
          </w:p>
          <w:p w14:paraId="5DCB48E4">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按需开展新系统上线前安全检查服务工作。对新系统环境及代码进行安全评估。评估包括代码安全检测、渗透测试、APP安全评估服务</w:t>
            </w:r>
          </w:p>
        </w:tc>
        <w:tc>
          <w:tcPr>
            <w:tcW w:w="427" w:type="pct"/>
            <w:tcBorders>
              <w:top w:val="nil"/>
              <w:left w:val="nil"/>
              <w:bottom w:val="single" w:color="000000" w:sz="8" w:space="0"/>
              <w:right w:val="single" w:color="000000" w:sz="8" w:space="0"/>
            </w:tcBorders>
            <w:noWrap w:val="0"/>
            <w:vAlign w:val="center"/>
          </w:tcPr>
          <w:p w14:paraId="054F21CB">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0D1FEF4B">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sz w:val="24"/>
                <w:szCs w:val="24"/>
                <w:highlight w:val="none"/>
                <w:lang w:bidi="ar"/>
              </w:rPr>
              <w:t>及下属21家卫生院等医疗单位。</w:t>
            </w:r>
          </w:p>
        </w:tc>
      </w:tr>
      <w:tr w14:paraId="0619CFD8">
        <w:tblPrEx>
          <w:tblCellMar>
            <w:top w:w="0" w:type="dxa"/>
            <w:left w:w="108" w:type="dxa"/>
            <w:bottom w:w="0" w:type="dxa"/>
            <w:right w:w="108" w:type="dxa"/>
          </w:tblCellMar>
        </w:tblPrEx>
        <w:trPr>
          <w:trHeight w:val="1743" w:hRule="atLeast"/>
        </w:trPr>
        <w:tc>
          <w:tcPr>
            <w:tcW w:w="490" w:type="pct"/>
            <w:tcBorders>
              <w:top w:val="nil"/>
              <w:left w:val="single" w:color="000000" w:sz="8" w:space="0"/>
              <w:bottom w:val="single" w:color="000000" w:sz="8" w:space="0"/>
              <w:right w:val="single" w:color="000000" w:sz="8" w:space="0"/>
            </w:tcBorders>
            <w:noWrap/>
            <w:vAlign w:val="center"/>
          </w:tcPr>
          <w:p w14:paraId="62F95C89">
            <w:pPr>
              <w:spacing w:line="360" w:lineRule="auto"/>
              <w:ind w:firstLine="0" w:firstLineChars="0"/>
              <w:jc w:val="center"/>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10</w:t>
            </w:r>
          </w:p>
        </w:tc>
        <w:tc>
          <w:tcPr>
            <w:tcW w:w="707" w:type="pct"/>
            <w:tcBorders>
              <w:top w:val="nil"/>
              <w:left w:val="nil"/>
              <w:bottom w:val="single" w:color="000000" w:sz="8" w:space="0"/>
              <w:right w:val="single" w:color="000000" w:sz="8" w:space="0"/>
            </w:tcBorders>
            <w:noWrap w:val="0"/>
            <w:vAlign w:val="center"/>
          </w:tcPr>
          <w:p w14:paraId="7A38216C">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专项威胁预警排查</w:t>
            </w:r>
          </w:p>
        </w:tc>
        <w:tc>
          <w:tcPr>
            <w:tcW w:w="2145" w:type="pct"/>
            <w:tcBorders>
              <w:top w:val="nil"/>
              <w:left w:val="nil"/>
              <w:bottom w:val="single" w:color="000000" w:sz="8" w:space="0"/>
              <w:right w:val="single" w:color="000000" w:sz="8" w:space="0"/>
            </w:tcBorders>
            <w:noWrap w:val="0"/>
            <w:vAlign w:val="center"/>
          </w:tcPr>
          <w:p w14:paraId="797501BC">
            <w:pPr>
              <w:spacing w:line="360" w:lineRule="auto"/>
              <w:ind w:firstLine="0" w:firstLineChars="0"/>
              <w:rPr>
                <w:rFonts w:hint="eastAsia" w:ascii="宋体" w:hAnsi="宋体" w:eastAsia="宋体" w:cs="宋体"/>
                <w:strike w:val="0"/>
                <w:dstrike w:val="0"/>
                <w:sz w:val="24"/>
                <w:szCs w:val="24"/>
                <w:highlight w:val="none"/>
                <w:lang w:val="en-US" w:eastAsia="zh-CN" w:bidi="ar"/>
              </w:rPr>
            </w:pPr>
            <w:r>
              <w:rPr>
                <w:rFonts w:hint="eastAsia" w:ascii="宋体" w:hAnsi="宋体" w:eastAsia="宋体" w:cs="宋体"/>
                <w:strike w:val="0"/>
                <w:dstrike w:val="0"/>
                <w:sz w:val="24"/>
                <w:szCs w:val="24"/>
                <w:highlight w:val="none"/>
                <w:lang w:bidi="ar"/>
              </w:rPr>
              <w:t>针对服务频率：</w:t>
            </w:r>
            <w:r>
              <w:rPr>
                <w:rFonts w:hint="eastAsia" w:ascii="宋体" w:hAnsi="宋体" w:eastAsia="宋体" w:cs="宋体"/>
                <w:strike w:val="0"/>
                <w:dstrike w:val="0"/>
                <w:sz w:val="24"/>
                <w:szCs w:val="24"/>
                <w:highlight w:val="none"/>
                <w:lang w:val="en-US" w:eastAsia="zh-CN" w:bidi="ar"/>
              </w:rPr>
              <w:t>按需</w:t>
            </w:r>
          </w:p>
          <w:p w14:paraId="312EA070">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社会面突发热点漏洞、病毒木马等威胁开展专项排查和预警工作，提供专项整改建议，防患于未然。</w:t>
            </w:r>
          </w:p>
        </w:tc>
        <w:tc>
          <w:tcPr>
            <w:tcW w:w="427" w:type="pct"/>
            <w:tcBorders>
              <w:top w:val="nil"/>
              <w:left w:val="nil"/>
              <w:bottom w:val="single" w:color="000000" w:sz="8" w:space="0"/>
              <w:right w:val="single" w:color="000000" w:sz="8" w:space="0"/>
            </w:tcBorders>
            <w:noWrap w:val="0"/>
            <w:vAlign w:val="center"/>
          </w:tcPr>
          <w:p w14:paraId="3D77DC94">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1E5432D4">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sz w:val="24"/>
                <w:szCs w:val="24"/>
                <w:highlight w:val="none"/>
                <w:lang w:bidi="ar"/>
              </w:rPr>
              <w:t>及下属21家卫生院等医疗单位。</w:t>
            </w:r>
          </w:p>
        </w:tc>
      </w:tr>
      <w:tr w14:paraId="2884268A">
        <w:tblPrEx>
          <w:tblCellMar>
            <w:top w:w="0" w:type="dxa"/>
            <w:left w:w="108" w:type="dxa"/>
            <w:bottom w:w="0" w:type="dxa"/>
            <w:right w:w="108" w:type="dxa"/>
          </w:tblCellMar>
        </w:tblPrEx>
        <w:trPr>
          <w:trHeight w:val="406" w:hRule="atLeast"/>
        </w:trPr>
        <w:tc>
          <w:tcPr>
            <w:tcW w:w="490" w:type="pct"/>
            <w:tcBorders>
              <w:top w:val="nil"/>
              <w:left w:val="single" w:color="000000" w:sz="8" w:space="0"/>
              <w:bottom w:val="single" w:color="000000" w:sz="8" w:space="0"/>
              <w:right w:val="single" w:color="000000" w:sz="8" w:space="0"/>
            </w:tcBorders>
            <w:noWrap/>
            <w:vAlign w:val="center"/>
          </w:tcPr>
          <w:p w14:paraId="45C1FEF5">
            <w:pPr>
              <w:spacing w:line="360" w:lineRule="auto"/>
              <w:ind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11</w:t>
            </w:r>
          </w:p>
        </w:tc>
        <w:tc>
          <w:tcPr>
            <w:tcW w:w="707" w:type="pct"/>
            <w:tcBorders>
              <w:top w:val="nil"/>
              <w:left w:val="nil"/>
              <w:bottom w:val="single" w:color="000000" w:sz="8" w:space="0"/>
              <w:right w:val="single" w:color="000000" w:sz="8" w:space="0"/>
            </w:tcBorders>
            <w:noWrap w:val="0"/>
            <w:vAlign w:val="center"/>
          </w:tcPr>
          <w:p w14:paraId="285A1FE9">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漏洞扫描、研判及协助修复</w:t>
            </w:r>
          </w:p>
        </w:tc>
        <w:tc>
          <w:tcPr>
            <w:tcW w:w="2145" w:type="pct"/>
            <w:tcBorders>
              <w:top w:val="nil"/>
              <w:left w:val="nil"/>
              <w:bottom w:val="single" w:color="000000" w:sz="8" w:space="0"/>
              <w:right w:val="single" w:color="000000" w:sz="8" w:space="0"/>
            </w:tcBorders>
            <w:noWrap w:val="0"/>
            <w:vAlign w:val="center"/>
          </w:tcPr>
          <w:p w14:paraId="7C7A7AA6">
            <w:pPr>
              <w:pStyle w:val="36"/>
              <w:spacing w:line="360" w:lineRule="auto"/>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服务频率：每年四次。</w:t>
            </w:r>
          </w:p>
          <w:p w14:paraId="2FA78AB7">
            <w:pPr>
              <w:pStyle w:val="36"/>
              <w:spacing w:line="360" w:lineRule="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使用系统漏洞扫描工具对数据库、操作系统、中间件等进行漏洞、端口、弱口令扫描。在漏洞发现的基础上，从大量漏洞中研判出有价值的漏洞，并协助应用和系统厂商进行漏洞修复、修复结果验证等工作，</w:t>
            </w:r>
            <w:r>
              <w:rPr>
                <w:rFonts w:hint="eastAsia" w:ascii="宋体" w:hAnsi="宋体" w:eastAsia="宋体" w:cs="宋体"/>
                <w:strike w:val="0"/>
                <w:dstrike w:val="0"/>
                <w:sz w:val="24"/>
                <w:szCs w:val="24"/>
                <w:highlight w:val="none"/>
              </w:rPr>
              <w:t>漏洞修复采取能补尽补原则，对于无法修复的漏洞，根据漏洞防护服务提供的相关工具进行漏洞的专项防护。</w:t>
            </w:r>
          </w:p>
        </w:tc>
        <w:tc>
          <w:tcPr>
            <w:tcW w:w="427" w:type="pct"/>
            <w:tcBorders>
              <w:top w:val="nil"/>
              <w:left w:val="nil"/>
              <w:bottom w:val="single" w:color="000000" w:sz="8" w:space="0"/>
              <w:right w:val="single" w:color="000000" w:sz="8" w:space="0"/>
            </w:tcBorders>
            <w:noWrap w:val="0"/>
            <w:vAlign w:val="center"/>
          </w:tcPr>
          <w:p w14:paraId="299C5200">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61FA3273">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sz w:val="24"/>
                <w:szCs w:val="24"/>
                <w:highlight w:val="none"/>
                <w:lang w:bidi="ar"/>
              </w:rPr>
              <w:t>及下属21家卫生院等医疗单位。</w:t>
            </w:r>
          </w:p>
        </w:tc>
      </w:tr>
      <w:tr w14:paraId="5A1ADA62">
        <w:tblPrEx>
          <w:tblCellMar>
            <w:top w:w="0" w:type="dxa"/>
            <w:left w:w="108" w:type="dxa"/>
            <w:bottom w:w="0" w:type="dxa"/>
            <w:right w:w="108" w:type="dxa"/>
          </w:tblCellMar>
        </w:tblPrEx>
        <w:trPr>
          <w:trHeight w:val="782" w:hRule="atLeast"/>
        </w:trPr>
        <w:tc>
          <w:tcPr>
            <w:tcW w:w="490" w:type="pct"/>
            <w:tcBorders>
              <w:top w:val="nil"/>
              <w:left w:val="single" w:color="000000" w:sz="8" w:space="0"/>
              <w:bottom w:val="single" w:color="000000" w:sz="8" w:space="0"/>
              <w:right w:val="single" w:color="000000" w:sz="8" w:space="0"/>
            </w:tcBorders>
            <w:noWrap/>
            <w:vAlign w:val="center"/>
          </w:tcPr>
          <w:p w14:paraId="5C81C73B">
            <w:pPr>
              <w:spacing w:line="360" w:lineRule="auto"/>
              <w:ind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12</w:t>
            </w:r>
          </w:p>
        </w:tc>
        <w:tc>
          <w:tcPr>
            <w:tcW w:w="707" w:type="pct"/>
            <w:tcBorders>
              <w:top w:val="nil"/>
              <w:left w:val="nil"/>
              <w:bottom w:val="single" w:color="000000" w:sz="8" w:space="0"/>
              <w:right w:val="single" w:color="000000" w:sz="8" w:space="0"/>
            </w:tcBorders>
            <w:noWrap w:val="0"/>
            <w:vAlign w:val="center"/>
          </w:tcPr>
          <w:p w14:paraId="33825B45">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安全日志分析与响应服务</w:t>
            </w:r>
          </w:p>
        </w:tc>
        <w:tc>
          <w:tcPr>
            <w:tcW w:w="2145" w:type="pct"/>
            <w:tcBorders>
              <w:top w:val="nil"/>
              <w:left w:val="nil"/>
              <w:bottom w:val="single" w:color="000000" w:sz="8" w:space="0"/>
              <w:right w:val="single" w:color="000000" w:sz="8" w:space="0"/>
            </w:tcBorders>
            <w:noWrap w:val="0"/>
            <w:vAlign w:val="center"/>
          </w:tcPr>
          <w:p w14:paraId="1EE38CAD">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服务频率：</w:t>
            </w:r>
            <w:r>
              <w:rPr>
                <w:rFonts w:hint="eastAsia" w:ascii="宋体" w:hAnsi="宋体" w:eastAsia="宋体" w:cs="宋体"/>
                <w:strike w:val="0"/>
                <w:dstrike w:val="0"/>
                <w:sz w:val="24"/>
                <w:szCs w:val="24"/>
                <w:highlight w:val="none"/>
                <w:lang w:val="en-US" w:eastAsia="zh-CN" w:bidi="ar"/>
              </w:rPr>
              <w:t>按需</w:t>
            </w:r>
            <w:r>
              <w:rPr>
                <w:rFonts w:hint="eastAsia" w:ascii="宋体" w:hAnsi="宋体" w:eastAsia="宋体" w:cs="宋体"/>
                <w:strike w:val="0"/>
                <w:dstrike w:val="0"/>
                <w:sz w:val="24"/>
                <w:szCs w:val="24"/>
                <w:highlight w:val="none"/>
                <w:lang w:bidi="ar"/>
              </w:rPr>
              <w:t>不限次数。</w:t>
            </w:r>
          </w:p>
          <w:p w14:paraId="7E2DA71F">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当发生外部黑客入侵、数据泄露、木马病毒等突发安全事件时，提供包括事件检测与分析、风险抑制、问题根除、协助业务恢复的服务，能够协助用户快速止损，最大化降低安全事件带来的影响</w:t>
            </w:r>
          </w:p>
        </w:tc>
        <w:tc>
          <w:tcPr>
            <w:tcW w:w="427" w:type="pct"/>
            <w:tcBorders>
              <w:top w:val="nil"/>
              <w:left w:val="nil"/>
              <w:bottom w:val="single" w:color="000000" w:sz="8" w:space="0"/>
              <w:right w:val="single" w:color="000000" w:sz="8" w:space="0"/>
            </w:tcBorders>
            <w:noWrap w:val="0"/>
            <w:vAlign w:val="center"/>
          </w:tcPr>
          <w:p w14:paraId="7288956C">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25F55BF3">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sz w:val="24"/>
                <w:szCs w:val="24"/>
                <w:highlight w:val="none"/>
                <w:lang w:bidi="ar"/>
              </w:rPr>
              <w:t>及下属21家卫生院等医疗单位。</w:t>
            </w:r>
          </w:p>
        </w:tc>
      </w:tr>
      <w:tr w14:paraId="22670CEB">
        <w:tblPrEx>
          <w:tblCellMar>
            <w:top w:w="0" w:type="dxa"/>
            <w:left w:w="108" w:type="dxa"/>
            <w:bottom w:w="0" w:type="dxa"/>
            <w:right w:w="108" w:type="dxa"/>
          </w:tblCellMar>
        </w:tblPrEx>
        <w:trPr>
          <w:trHeight w:val="2325" w:hRule="atLeast"/>
        </w:trPr>
        <w:tc>
          <w:tcPr>
            <w:tcW w:w="490" w:type="pct"/>
            <w:tcBorders>
              <w:top w:val="nil"/>
              <w:left w:val="single" w:color="000000" w:sz="8" w:space="0"/>
              <w:bottom w:val="single" w:color="000000" w:sz="8" w:space="0"/>
              <w:right w:val="single" w:color="000000" w:sz="8" w:space="0"/>
            </w:tcBorders>
            <w:noWrap/>
            <w:vAlign w:val="center"/>
          </w:tcPr>
          <w:p w14:paraId="32642735">
            <w:pPr>
              <w:spacing w:line="360" w:lineRule="auto"/>
              <w:ind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13</w:t>
            </w:r>
          </w:p>
        </w:tc>
        <w:tc>
          <w:tcPr>
            <w:tcW w:w="707" w:type="pct"/>
            <w:tcBorders>
              <w:top w:val="nil"/>
              <w:left w:val="nil"/>
              <w:bottom w:val="single" w:color="000000" w:sz="8" w:space="0"/>
              <w:right w:val="single" w:color="000000" w:sz="8" w:space="0"/>
            </w:tcBorders>
            <w:noWrap w:val="0"/>
            <w:vAlign w:val="center"/>
          </w:tcPr>
          <w:p w14:paraId="1B922E1F">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重要时期安全保障服务</w:t>
            </w:r>
          </w:p>
        </w:tc>
        <w:tc>
          <w:tcPr>
            <w:tcW w:w="2145" w:type="pct"/>
            <w:tcBorders>
              <w:top w:val="nil"/>
              <w:left w:val="nil"/>
              <w:bottom w:val="single" w:color="000000" w:sz="8" w:space="0"/>
              <w:right w:val="single" w:color="000000" w:sz="8" w:space="0"/>
            </w:tcBorders>
            <w:noWrap w:val="0"/>
            <w:vAlign w:val="center"/>
          </w:tcPr>
          <w:p w14:paraId="300D4B34">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服务频率：每年</w:t>
            </w:r>
            <w:r>
              <w:rPr>
                <w:rFonts w:hint="eastAsia" w:ascii="宋体" w:hAnsi="宋体" w:eastAsia="宋体" w:cs="宋体"/>
                <w:strike w:val="0"/>
                <w:dstrike w:val="0"/>
                <w:sz w:val="24"/>
                <w:szCs w:val="24"/>
                <w:highlight w:val="none"/>
                <w:lang w:val="en-US" w:eastAsia="zh-CN" w:bidi="ar"/>
              </w:rPr>
              <w:t>四</w:t>
            </w:r>
            <w:r>
              <w:rPr>
                <w:rFonts w:hint="eastAsia" w:ascii="宋体" w:hAnsi="宋体" w:eastAsia="宋体" w:cs="宋体"/>
                <w:strike w:val="0"/>
                <w:dstrike w:val="0"/>
                <w:sz w:val="24"/>
                <w:szCs w:val="24"/>
                <w:highlight w:val="none"/>
                <w:lang w:bidi="ar"/>
              </w:rPr>
              <w:t>十人天（根据实际情况可调整</w:t>
            </w:r>
            <w:r>
              <w:rPr>
                <w:rFonts w:hint="eastAsia" w:ascii="宋体" w:hAnsi="宋体" w:eastAsia="宋体" w:cs="宋体"/>
                <w:strike w:val="0"/>
                <w:dstrike w:val="0"/>
                <w:sz w:val="24"/>
                <w:szCs w:val="24"/>
                <w:highlight w:val="none"/>
                <w:lang w:val="en-US" w:eastAsia="zh-CN" w:bidi="ar"/>
              </w:rPr>
              <w:t>增加</w:t>
            </w:r>
            <w:r>
              <w:rPr>
                <w:rFonts w:hint="eastAsia" w:ascii="宋体" w:hAnsi="宋体" w:eastAsia="宋体" w:cs="宋体"/>
                <w:strike w:val="0"/>
                <w:dstrike w:val="0"/>
                <w:sz w:val="24"/>
                <w:szCs w:val="24"/>
                <w:highlight w:val="none"/>
                <w:lang w:bidi="ar"/>
              </w:rPr>
              <w:t>）。</w:t>
            </w:r>
          </w:p>
          <w:p w14:paraId="09528FA9">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在重要时期（如重大会议、重大节假日），对业务系统进行保障支持和检查，具体包括信息安全监测、值守、封堵、研判、溯源、护网前安全巡检、资产梳理、方案规划、整体协调等内容。针对卫生院等单位提供线上支持服务，必要时可提供人员值守服务。</w:t>
            </w:r>
          </w:p>
        </w:tc>
        <w:tc>
          <w:tcPr>
            <w:tcW w:w="427" w:type="pct"/>
            <w:tcBorders>
              <w:top w:val="nil"/>
              <w:left w:val="nil"/>
              <w:bottom w:val="single" w:color="000000" w:sz="8" w:space="0"/>
              <w:right w:val="single" w:color="000000" w:sz="8" w:space="0"/>
            </w:tcBorders>
            <w:noWrap w:val="0"/>
            <w:vAlign w:val="center"/>
          </w:tcPr>
          <w:p w14:paraId="5DF400C4">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28FA697C">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sz w:val="24"/>
                <w:szCs w:val="24"/>
                <w:highlight w:val="none"/>
                <w:lang w:bidi="ar"/>
              </w:rPr>
              <w:t>及下属21家卫生院等医疗单位。</w:t>
            </w:r>
          </w:p>
        </w:tc>
      </w:tr>
      <w:tr w14:paraId="381BABC5">
        <w:tblPrEx>
          <w:tblCellMar>
            <w:top w:w="0" w:type="dxa"/>
            <w:left w:w="108" w:type="dxa"/>
            <w:bottom w:w="0" w:type="dxa"/>
            <w:right w:w="108" w:type="dxa"/>
          </w:tblCellMar>
        </w:tblPrEx>
        <w:trPr>
          <w:trHeight w:val="1820" w:hRule="atLeast"/>
        </w:trPr>
        <w:tc>
          <w:tcPr>
            <w:tcW w:w="490" w:type="pct"/>
            <w:tcBorders>
              <w:top w:val="nil"/>
              <w:left w:val="single" w:color="000000" w:sz="8" w:space="0"/>
              <w:bottom w:val="single" w:color="000000" w:sz="8" w:space="0"/>
              <w:right w:val="single" w:color="000000" w:sz="8" w:space="0"/>
            </w:tcBorders>
            <w:noWrap/>
            <w:vAlign w:val="center"/>
          </w:tcPr>
          <w:p w14:paraId="32887156">
            <w:pPr>
              <w:spacing w:line="360" w:lineRule="auto"/>
              <w:ind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14</w:t>
            </w:r>
          </w:p>
        </w:tc>
        <w:tc>
          <w:tcPr>
            <w:tcW w:w="707" w:type="pct"/>
            <w:tcBorders>
              <w:top w:val="nil"/>
              <w:left w:val="nil"/>
              <w:bottom w:val="single" w:color="000000" w:sz="8" w:space="0"/>
              <w:right w:val="single" w:color="000000" w:sz="8" w:space="0"/>
            </w:tcBorders>
            <w:noWrap w:val="0"/>
            <w:vAlign w:val="center"/>
          </w:tcPr>
          <w:p w14:paraId="0DC2D6F4">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安全培训服务</w:t>
            </w:r>
          </w:p>
        </w:tc>
        <w:tc>
          <w:tcPr>
            <w:tcW w:w="2145" w:type="pct"/>
            <w:tcBorders>
              <w:top w:val="nil"/>
              <w:left w:val="nil"/>
              <w:bottom w:val="single" w:color="000000" w:sz="8" w:space="0"/>
              <w:right w:val="single" w:color="000000" w:sz="8" w:space="0"/>
            </w:tcBorders>
            <w:noWrap w:val="0"/>
            <w:vAlign w:val="center"/>
          </w:tcPr>
          <w:p w14:paraId="41B58BA1">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服务频率：每年</w:t>
            </w:r>
            <w:r>
              <w:rPr>
                <w:rFonts w:hint="eastAsia" w:ascii="宋体" w:hAnsi="宋体" w:eastAsia="宋体" w:cs="宋体"/>
                <w:strike w:val="0"/>
                <w:dstrike w:val="0"/>
                <w:sz w:val="24"/>
                <w:szCs w:val="24"/>
                <w:highlight w:val="none"/>
                <w:lang w:val="en-US" w:eastAsia="zh-CN" w:bidi="ar"/>
              </w:rPr>
              <w:t>两</w:t>
            </w:r>
            <w:r>
              <w:rPr>
                <w:rFonts w:hint="eastAsia" w:ascii="宋体" w:hAnsi="宋体" w:eastAsia="宋体" w:cs="宋体"/>
                <w:strike w:val="0"/>
                <w:dstrike w:val="0"/>
                <w:sz w:val="24"/>
                <w:szCs w:val="24"/>
                <w:highlight w:val="none"/>
                <w:lang w:bidi="ar"/>
              </w:rPr>
              <w:t>次。</w:t>
            </w:r>
          </w:p>
          <w:p w14:paraId="465C19BF">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开展集中安全培训，使各运维人员达到强化安全意识，理解安全理论，掌握安全技术，获得安全实践经验，使得信息安全人员能够掌握安全方面必要的专业理论和技能，全面提升从事信息安全工作人员的管理和技术水平。</w:t>
            </w:r>
          </w:p>
        </w:tc>
        <w:tc>
          <w:tcPr>
            <w:tcW w:w="427" w:type="pct"/>
            <w:tcBorders>
              <w:top w:val="nil"/>
              <w:left w:val="nil"/>
              <w:bottom w:val="single" w:color="000000" w:sz="8" w:space="0"/>
              <w:right w:val="single" w:color="000000" w:sz="8" w:space="0"/>
            </w:tcBorders>
            <w:noWrap w:val="0"/>
            <w:vAlign w:val="center"/>
          </w:tcPr>
          <w:p w14:paraId="0AA9A345">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43295F18">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sz w:val="24"/>
                <w:szCs w:val="24"/>
                <w:highlight w:val="none"/>
                <w:lang w:bidi="ar"/>
              </w:rPr>
              <w:t>及下属21家卫生院等医疗单位。</w:t>
            </w:r>
          </w:p>
        </w:tc>
      </w:tr>
      <w:tr w14:paraId="0A5424CC">
        <w:tblPrEx>
          <w:tblCellMar>
            <w:top w:w="0" w:type="dxa"/>
            <w:left w:w="108" w:type="dxa"/>
            <w:bottom w:w="0" w:type="dxa"/>
            <w:right w:w="108" w:type="dxa"/>
          </w:tblCellMar>
        </w:tblPrEx>
        <w:trPr>
          <w:trHeight w:val="525" w:hRule="atLeast"/>
        </w:trPr>
        <w:tc>
          <w:tcPr>
            <w:tcW w:w="490" w:type="pct"/>
            <w:tcBorders>
              <w:top w:val="nil"/>
              <w:left w:val="single" w:color="000000" w:sz="8" w:space="0"/>
              <w:bottom w:val="single" w:color="000000" w:sz="8" w:space="0"/>
              <w:right w:val="single" w:color="000000" w:sz="8" w:space="0"/>
            </w:tcBorders>
            <w:noWrap/>
            <w:vAlign w:val="center"/>
          </w:tcPr>
          <w:p w14:paraId="5962B252">
            <w:pPr>
              <w:spacing w:line="360" w:lineRule="auto"/>
              <w:ind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15</w:t>
            </w:r>
          </w:p>
        </w:tc>
        <w:tc>
          <w:tcPr>
            <w:tcW w:w="707" w:type="pct"/>
            <w:tcBorders>
              <w:top w:val="nil"/>
              <w:left w:val="nil"/>
              <w:bottom w:val="single" w:color="000000" w:sz="8" w:space="0"/>
              <w:right w:val="single" w:color="000000" w:sz="8" w:space="0"/>
            </w:tcBorders>
            <w:noWrap w:val="0"/>
            <w:vAlign w:val="center"/>
          </w:tcPr>
          <w:p w14:paraId="047F53B2">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安全演练服务</w:t>
            </w:r>
          </w:p>
        </w:tc>
        <w:tc>
          <w:tcPr>
            <w:tcW w:w="2145" w:type="pct"/>
            <w:tcBorders>
              <w:top w:val="nil"/>
              <w:left w:val="nil"/>
              <w:bottom w:val="single" w:color="000000" w:sz="8" w:space="0"/>
              <w:right w:val="single" w:color="000000" w:sz="8" w:space="0"/>
            </w:tcBorders>
            <w:noWrap w:val="0"/>
            <w:vAlign w:val="center"/>
          </w:tcPr>
          <w:p w14:paraId="6B2D66B6">
            <w:pPr>
              <w:spacing w:line="360" w:lineRule="auto"/>
              <w:ind w:firstLine="0" w:firstLineChars="0"/>
              <w:rPr>
                <w:rFonts w:hint="eastAsia" w:ascii="宋体" w:hAnsi="宋体" w:eastAsia="宋体" w:cs="宋体"/>
                <w:strike w:val="0"/>
                <w:dstrike w:val="0"/>
                <w:sz w:val="24"/>
                <w:szCs w:val="24"/>
                <w:highlight w:val="none"/>
                <w:lang w:bidi="ar"/>
              </w:rPr>
            </w:pPr>
            <w:r>
              <w:rPr>
                <w:rFonts w:hint="eastAsia" w:ascii="宋体" w:hAnsi="宋体" w:eastAsia="宋体" w:cs="宋体"/>
                <w:strike w:val="0"/>
                <w:dstrike w:val="0"/>
                <w:sz w:val="24"/>
                <w:szCs w:val="24"/>
                <w:highlight w:val="none"/>
                <w:lang w:bidi="ar"/>
              </w:rPr>
              <w:t>服务频率：每年两次。</w:t>
            </w:r>
          </w:p>
          <w:p w14:paraId="01A0B098">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开展安全演练服务，制定应急演练预案，并协助开展预案演练。加强网络信息系统安全管理，增强工作人员信息安全意识，进一步提高应急保障能力，保证信息网络系统应急工作高效有序进行，最大限度减小突发事件对医疗服务的影响。</w:t>
            </w:r>
          </w:p>
        </w:tc>
        <w:tc>
          <w:tcPr>
            <w:tcW w:w="427" w:type="pct"/>
            <w:tcBorders>
              <w:top w:val="nil"/>
              <w:left w:val="nil"/>
              <w:bottom w:val="single" w:color="000000" w:sz="8" w:space="0"/>
              <w:right w:val="single" w:color="000000" w:sz="8" w:space="0"/>
            </w:tcBorders>
            <w:noWrap w:val="0"/>
            <w:vAlign w:val="center"/>
          </w:tcPr>
          <w:p w14:paraId="63181C27">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三年</w:t>
            </w:r>
          </w:p>
        </w:tc>
        <w:tc>
          <w:tcPr>
            <w:tcW w:w="1230" w:type="pct"/>
            <w:tcBorders>
              <w:top w:val="nil"/>
              <w:left w:val="nil"/>
              <w:bottom w:val="single" w:color="000000" w:sz="8" w:space="0"/>
              <w:right w:val="single" w:color="000000" w:sz="8" w:space="0"/>
            </w:tcBorders>
            <w:noWrap w:val="0"/>
            <w:vAlign w:val="center"/>
          </w:tcPr>
          <w:p w14:paraId="76E21620">
            <w:pPr>
              <w:spacing w:line="360" w:lineRule="auto"/>
              <w:ind w:firstLine="0" w:firstLineChars="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bidi="ar"/>
              </w:rPr>
              <w:t>衢江区卫生健康局</w:t>
            </w:r>
            <w:r>
              <w:rPr>
                <w:rFonts w:hint="eastAsia" w:ascii="宋体" w:hAnsi="宋体" w:eastAsia="宋体" w:cs="宋体"/>
                <w:strike w:val="0"/>
                <w:dstrike w:val="0"/>
                <w:sz w:val="24"/>
                <w:szCs w:val="24"/>
                <w:highlight w:val="none"/>
              </w:rPr>
              <w:t>、衢州市第二人民医院、衢江区中医院、衢江区妇保院</w:t>
            </w:r>
            <w:r>
              <w:rPr>
                <w:rFonts w:hint="eastAsia" w:ascii="宋体" w:hAnsi="宋体" w:eastAsia="宋体" w:cs="宋体"/>
                <w:strike w:val="0"/>
                <w:dstrike w:val="0"/>
                <w:sz w:val="24"/>
                <w:szCs w:val="24"/>
                <w:highlight w:val="none"/>
                <w:lang w:bidi="ar"/>
              </w:rPr>
              <w:t>及下属21家卫生院等医疗单位。</w:t>
            </w:r>
          </w:p>
        </w:tc>
      </w:tr>
    </w:tbl>
    <w:p w14:paraId="284DD646">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四</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服务</w:t>
      </w:r>
      <w:r>
        <w:rPr>
          <w:rFonts w:hint="eastAsia" w:ascii="宋体" w:hAnsi="宋体" w:eastAsia="宋体" w:cs="宋体"/>
          <w:b/>
          <w:color w:val="000000"/>
          <w:sz w:val="24"/>
          <w:szCs w:val="24"/>
          <w:highlight w:val="none"/>
        </w:rPr>
        <w:t>要求</w:t>
      </w:r>
    </w:p>
    <w:p w14:paraId="3AA0C3A5">
      <w:pPr>
        <w:pStyle w:val="36"/>
        <w:spacing w:line="360" w:lineRule="auto"/>
        <w:ind w:firstLine="654"/>
        <w:jc w:val="both"/>
        <w:outlineLvl w:val="1"/>
        <w:rPr>
          <w:rFonts w:hint="eastAsia" w:ascii="宋体" w:hAnsi="宋体" w:eastAsia="宋体" w:cs="宋体"/>
          <w:b/>
          <w:bCs/>
          <w:sz w:val="24"/>
          <w:szCs w:val="24"/>
          <w:highlight w:val="none"/>
        </w:rPr>
      </w:pPr>
      <w:bookmarkStart w:id="1" w:name="_Toc175671814"/>
      <w:bookmarkStart w:id="2" w:name="_Toc664"/>
      <w:bookmarkStart w:id="3" w:name="_Toc21619"/>
      <w:r>
        <w:rPr>
          <w:rFonts w:hint="eastAsia" w:ascii="宋体" w:hAnsi="宋体" w:eastAsia="宋体" w:cs="宋体"/>
          <w:b/>
          <w:bCs/>
          <w:sz w:val="24"/>
          <w:szCs w:val="24"/>
          <w:highlight w:val="none"/>
        </w:rPr>
        <w:t>1.漏洞攻击防护服务</w:t>
      </w:r>
      <w:bookmarkEnd w:id="1"/>
      <w:bookmarkEnd w:id="2"/>
    </w:p>
    <w:p w14:paraId="18F95191">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val="en-US" w:eastAsia="zh-CN"/>
        </w:rPr>
        <w:t>内容</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部署入侵检测防护系统（漏洞防护），通过开展漏洞攻击防护服务，实现对漏洞利用攻击的防护方案。对漏洞利用攻击行为的风险IP发现、处置，保障整体网络安全，保护</w:t>
      </w:r>
      <w:r>
        <w:rPr>
          <w:rFonts w:hint="eastAsia" w:ascii="宋体" w:hAnsi="宋体" w:eastAsia="宋体" w:cs="宋体"/>
          <w:sz w:val="24"/>
          <w:szCs w:val="24"/>
          <w:highlight w:val="none"/>
          <w:lang w:bidi="ar"/>
        </w:rPr>
        <w:t>衢江区卫生健康局</w:t>
      </w:r>
      <w:r>
        <w:rPr>
          <w:rFonts w:hint="eastAsia" w:ascii="宋体" w:hAnsi="宋体" w:eastAsia="宋体" w:cs="宋体"/>
          <w:sz w:val="24"/>
          <w:szCs w:val="24"/>
          <w:highlight w:val="none"/>
          <w:lang w:val="en-US" w:eastAsia="zh-CN" w:bidi="ar"/>
        </w:rPr>
        <w:t>及人民医院、中医院、妇保院</w:t>
      </w:r>
      <w:r>
        <w:rPr>
          <w:rFonts w:hint="eastAsia" w:ascii="宋体" w:hAnsi="宋体" w:eastAsia="宋体" w:cs="宋体"/>
          <w:sz w:val="24"/>
          <w:szCs w:val="24"/>
          <w:highlight w:val="none"/>
        </w:rPr>
        <w:t>的网络和系统整体安全。</w:t>
      </w:r>
    </w:p>
    <w:p w14:paraId="0D5C24BB">
      <w:pPr>
        <w:pStyle w:val="36"/>
        <w:spacing w:line="360" w:lineRule="auto"/>
        <w:ind w:firstLine="65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val="en-US" w:eastAsia="zh-CN"/>
        </w:rPr>
        <w:t>工具要求</w:t>
      </w:r>
      <w:r>
        <w:rPr>
          <w:rFonts w:hint="eastAsia" w:ascii="宋体" w:hAnsi="宋体" w:eastAsia="宋体" w:cs="宋体"/>
          <w:b/>
          <w:bCs/>
          <w:sz w:val="24"/>
          <w:szCs w:val="24"/>
          <w:highlight w:val="none"/>
        </w:rPr>
        <w:t>：</w:t>
      </w:r>
    </w:p>
    <w:p w14:paraId="6C4ADB46">
      <w:pPr>
        <w:pStyle w:val="36"/>
        <w:numPr>
          <w:ilvl w:val="0"/>
          <w:numId w:val="7"/>
        </w:numPr>
        <w:spacing w:line="360" w:lineRule="auto"/>
        <w:ind w:firstLine="654"/>
        <w:jc w:val="both"/>
        <w:rPr>
          <w:rFonts w:hint="eastAsia" w:ascii="宋体" w:hAnsi="宋体" w:eastAsia="宋体" w:cs="宋体"/>
          <w:b w:val="0"/>
          <w:bCs w:val="0"/>
          <w:sz w:val="24"/>
          <w:szCs w:val="24"/>
          <w:highlight w:val="none"/>
        </w:rPr>
      </w:pPr>
      <w:bookmarkStart w:id="4" w:name="_Toc175671815"/>
      <w:r>
        <w:rPr>
          <w:rFonts w:hint="eastAsia" w:ascii="宋体" w:hAnsi="宋体" w:eastAsia="宋体" w:cs="宋体"/>
          <w:b w:val="0"/>
          <w:bCs w:val="0"/>
          <w:sz w:val="24"/>
          <w:szCs w:val="24"/>
          <w:highlight w:val="none"/>
        </w:rPr>
        <w:t>采用旁路部署的模式接入网络，不改变组网结构，通过镜像流量智能分析，不对正常业务造成干扰。</w:t>
      </w:r>
    </w:p>
    <w:p w14:paraId="1E361E14">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具有网络安全专用产品安全检测证书，提供证书复印件。</w:t>
      </w:r>
    </w:p>
    <w:p w14:paraId="085425EE">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支持主动屏蔽。采用大流量分析技术，对含有漏洞探测行为的流量进行针对性屏蔽，使其无法获取到目的资产的漏洞信息。</w:t>
      </w:r>
    </w:p>
    <w:p w14:paraId="5D0A50B8">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基于高频触发、部分爬虫行为的风险分析。采用流量分析手段匹配系统底层内置规则，识别恶意工具的访问、扫描、攻击行为。</w:t>
      </w:r>
    </w:p>
    <w:p w14:paraId="71D8ACF8">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基于规则库的攻击行为分析，库内支持30w+规则，采用漏洞规则比对手段检测中间件、系统框架、数据库、病毒木马等恶意攻击行为。</w:t>
      </w:r>
    </w:p>
    <w:p w14:paraId="1C0FFAD6">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支持对攻击行为准确判断，根据预设警报规则对异常情况进行记录，并提供系统捕捉到的相关异常信息，包括风险IP、风险等级、告警次数、预警时间等。</w:t>
      </w:r>
    </w:p>
    <w:p w14:paraId="1DDA3E75">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具备风险IP自处理能力。支持批量对风险IP执行阻断/告警两种应对模式，提供通道能够人工对风险IP进行风险等级划分</w:t>
      </w:r>
    </w:p>
    <w:p w14:paraId="0CB69F0E">
      <w:pPr>
        <w:pStyle w:val="36"/>
        <w:numPr>
          <w:ilvl w:val="0"/>
          <w:numId w:val="7"/>
        </w:numPr>
        <w:spacing w:line="360" w:lineRule="auto"/>
        <w:ind w:firstLine="654"/>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★支持在IP路由协议(RIP、IGRP、OSPF、IS-IS、BGP、MPLS-VPN）下实现漏洞自动屏蔽。</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1D97FC15">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★双向阻断：同步监听东西向与南北向环境中的多重风险，监听从任意一端发起的攻击、访问、扫描行为及是否存在被攻击的风险，并对其行为采取预警/阻断处理。</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30607453">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二次扫描：具备二次扫描能力。在初次扫描并过滤流量信息后，触发二次扫描机制，对已经过滤的流量数据进行更为深入和详尽的再次审查，提升安全检测的精准度，降低误报漏报情况。</w:t>
      </w:r>
    </w:p>
    <w:p w14:paraId="1C310E5A">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支持对内网重要网段进行批量上传防护，对导入的数据进行解析、验证，结合安全策略和规则。支持对防护网段划分“隔离”和“放行”操作。</w:t>
      </w:r>
    </w:p>
    <w:p w14:paraId="19A3BECF">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支持内网防护配置列表，对列表内IP开启漏洞防护功能，对蜜罐、诱饵、仿真类主机不加入防护列表。</w:t>
      </w:r>
    </w:p>
    <w:p w14:paraId="177C7B6A">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支持手动录入或自动发现风险IP信息，能够更好地进行风险管理和决策制定。</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5598CD27">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★支持配置风险白名单，允许部分IP进入内网扫描。应用于内网自查漏洞风险、内网存在探测设备等场景。</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4DCF06FB">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2.漏洞仿真服务</w:t>
      </w:r>
      <w:bookmarkEnd w:id="4"/>
    </w:p>
    <w:p w14:paraId="414EB5B6">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部署漏洞仿真系统，通过漏洞仿真服务的建设，模拟各种业务和漏洞信息，隐匿真实资产信息和弱点漏洞，诱捕攻击者信息，发现潜在的安全威胁，并及时进行处置，从而提高系统的安全性和可靠性。</w:t>
      </w:r>
    </w:p>
    <w:p w14:paraId="3B136482">
      <w:pPr>
        <w:pStyle w:val="36"/>
        <w:spacing w:line="360" w:lineRule="auto"/>
        <w:ind w:firstLine="654"/>
        <w:jc w:val="both"/>
        <w:rPr>
          <w:rFonts w:hint="eastAsia" w:ascii="宋体" w:hAnsi="宋体" w:eastAsia="宋体" w:cs="宋体"/>
          <w:b/>
          <w:bCs/>
          <w:sz w:val="24"/>
          <w:szCs w:val="24"/>
          <w:highlight w:val="none"/>
        </w:rPr>
      </w:pPr>
      <w:bookmarkStart w:id="5" w:name="_Toc175671816"/>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val="en-US" w:eastAsia="zh-CN"/>
        </w:rPr>
        <w:t>工具要求</w:t>
      </w:r>
      <w:r>
        <w:rPr>
          <w:rFonts w:hint="eastAsia" w:ascii="宋体" w:hAnsi="宋体" w:eastAsia="宋体" w:cs="宋体"/>
          <w:b/>
          <w:bCs/>
          <w:sz w:val="24"/>
          <w:szCs w:val="24"/>
          <w:highlight w:val="none"/>
        </w:rPr>
        <w:t>：</w:t>
      </w:r>
    </w:p>
    <w:p w14:paraId="25883D74">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采用旁路部署模式接入网络，无需对原始的网络架构和业务流程进行任何修改，不干扰正常业务运行对网络流量进行捕获和分析。</w:t>
      </w:r>
    </w:p>
    <w:p w14:paraId="164BEDAA">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在攻击者入侵的关键路径上部署诱饵和节点，不占用业务环境内实际资源，诱导攻击者转移攻击目标进入与真实网络隔离的蜜网。</w:t>
      </w:r>
    </w:p>
    <w:p w14:paraId="3B9D67B4">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采用图表、图形、仪表盘等可视化元素，将节点情况、攻击事件统计、攻击源IP、攻击趋势等以直观易懂的方式展现。</w:t>
      </w:r>
    </w:p>
    <w:p w14:paraId="5EF7E68A">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支持在</w:t>
      </w:r>
      <w:r>
        <w:rPr>
          <w:rFonts w:hint="eastAsia" w:ascii="宋体" w:hAnsi="宋体" w:eastAsia="宋体" w:cs="宋体"/>
          <w:b w:val="0"/>
          <w:bCs w:val="0"/>
          <w:sz w:val="24"/>
          <w:szCs w:val="24"/>
          <w:highlight w:val="none"/>
        </w:rPr>
        <w:t>不改变本地现有资源情况下，利用空闲IP虚拟出泛漏洞信息散布，扩散业务量将真实业务藏身于虚拟环境内。</w:t>
      </w:r>
    </w:p>
    <w:p w14:paraId="49A4E9A0">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★虚拟出泛漏洞信息，支持选择系统模板内的漏洞信息，支持自定义新增端口开放型风险，支持对风险进行威胁程度设定，扩大漏洞散布范围。</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0D7A518E">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系统内置4</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条漏洞服务且不含敏感信息，便于用户部署诱饵系统，通过主动暴露非关键漏洞，诱捕并分析黑客攻击行为，增强安全防护的主动性与智能性。</w:t>
      </w:r>
    </w:p>
    <w:p w14:paraId="3B5711B6">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★通过虚拟引流技术识别具有异常的行为特征的流量，引导流量优先走向虚拟业务、仿真漏洞内。</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6207996D">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★实时监听诱饵、沙箱以及各个节点的失陷状态，即是否被未经授权的第三方入侵或控制。</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12D8F8DE">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发现攻击者触发仿真系统节点，其所有操作都会被详细记录，包括源目IP、源目端口、路径、请求包以及攻击行为记录等。</w:t>
      </w:r>
    </w:p>
    <w:p w14:paraId="0FDD735B">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对少量触发漏洞服务的行为判断为疑似攻击，根据内置策略达到一定程度的攻击次数后判断为风险并记录在系统内，疑似攻击获取信息包括但不限于漏洞信息、攻击目标、威胁等级、攻击次数、开始/结束时间</w:t>
      </w:r>
    </w:p>
    <w:p w14:paraId="3990591E">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★支持对风险事件的时间序列数据进行综合分析并产生总结报告。允许总结报告存放在系统内，便于后续下载与查阅，确保风险管理流程的高效性与数据的安全性。</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18F41016">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将恶意程序与命令、文本、工具等正常程序捆绑成一个文件，并通过伪装漏洞、虚拟业务等方式发送给攻击者。</w:t>
      </w:r>
    </w:p>
    <w:p w14:paraId="4136D542">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攻击者执行被伪装的木马程序后，管理设备支持通过木马程序远程控制用户计算机，并在后台建立与服务器的连接。反制手段包括文件操作、进程管理、键盘记录、屏幕监控、摄像头控制、权限访问等。</w:t>
      </w:r>
    </w:p>
    <w:p w14:paraId="7FF0A9FF">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攻击者执行被伪装的木马程序后</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支持获取目标计算机上的敏感信息，包括但不限于账号密码、文件资料、设备指纹信息、网址信息、手机号、社交账号等。</w:t>
      </w:r>
    </w:p>
    <w:p w14:paraId="53C2E261">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3.安全威胁检测服务</w:t>
      </w:r>
      <w:bookmarkEnd w:id="5"/>
    </w:p>
    <w:p w14:paraId="44F6B2A0">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部署安全威胁统一管理系统及工具，通过安全威胁检测服务，及时发现并应对各种安全威胁。实现对网络流量、系统日志、应用程序事件等数据的实时监测和分析，发现潜在的恶意行为、漏洞利用和攻击行为，并联动防火墙和漏洞防护设备进行自动阻断。</w:t>
      </w:r>
    </w:p>
    <w:p w14:paraId="321113F6">
      <w:pPr>
        <w:pStyle w:val="36"/>
        <w:spacing w:line="360" w:lineRule="auto"/>
        <w:ind w:firstLine="65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val="en-US" w:eastAsia="zh-CN"/>
        </w:rPr>
        <w:t>工具要求</w:t>
      </w:r>
      <w:r>
        <w:rPr>
          <w:rFonts w:hint="eastAsia" w:ascii="宋体" w:hAnsi="宋体" w:eastAsia="宋体" w:cs="宋体"/>
          <w:b/>
          <w:bCs/>
          <w:sz w:val="24"/>
          <w:szCs w:val="24"/>
          <w:highlight w:val="none"/>
        </w:rPr>
        <w:t>：</w:t>
      </w:r>
    </w:p>
    <w:p w14:paraId="3601BA07">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★支持主流厂商的态势感知、防火墙、入侵检测、蜜罐等安全设备对接并收集互联网风险告警信息。</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24B89B75">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系统区分“监测类型设备”和“处理类型设备”，对接入设备进行类型和功能区分。</w:t>
      </w:r>
    </w:p>
    <w:p w14:paraId="40AEF694">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提供定制化设备对接服务，配合拓宽产品联动领域，对产品新版本或是其他厂商或类型的安全产品进行对接。</w:t>
      </w:r>
    </w:p>
    <w:p w14:paraId="408C933D">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采用图表、图形、仪表盘等可视化元素，将第三方设备联动情况、攻击情况、攻击事件统计和详情、风险处置统计等以直观易懂的方式展现。</w:t>
      </w:r>
    </w:p>
    <w:p w14:paraId="1397B5FC">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支持对接入信息进行数据识别分析，列举展示攻击名称、源/目地址、源/目端口、协议、威胁级别、数据来源、开始/结束时间等。</w:t>
      </w:r>
    </w:p>
    <w:p w14:paraId="21C7DA1D">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支持对异常告警信息的内容进行判断，通过内部核心动态数据分析技术实现数据来源定位，危险等级判断。</w:t>
      </w:r>
    </w:p>
    <w:p w14:paraId="5ADC1DE0">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通过第三方对接收集到的数据包，对多条数据包进行大规模数据处理、数据清洗和数据分析，比较字段值的相似度和重复性，经过拆分、搭建、选择、重组、整合流程，将多条有效信息组合成一条新的风险告警数据信息进行展示。</w:t>
      </w:r>
    </w:p>
    <w:p w14:paraId="36F6B677">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★支持各类安全设备关键数据的集中可视化</w:t>
      </w:r>
      <w:r>
        <w:rPr>
          <w:rFonts w:hint="eastAsia" w:ascii="宋体" w:hAnsi="宋体" w:eastAsia="宋体" w:cs="宋体"/>
          <w:b w:val="0"/>
          <w:bCs w:val="0"/>
          <w:sz w:val="24"/>
          <w:szCs w:val="24"/>
          <w:highlight w:val="none"/>
          <w:lang w:val="en-US" w:eastAsia="zh-CN"/>
        </w:rPr>
        <w:t>大屏</w:t>
      </w:r>
      <w:r>
        <w:rPr>
          <w:rFonts w:hint="eastAsia" w:ascii="宋体" w:hAnsi="宋体" w:eastAsia="宋体" w:cs="宋体"/>
          <w:b w:val="0"/>
          <w:bCs w:val="0"/>
          <w:sz w:val="24"/>
          <w:szCs w:val="24"/>
          <w:highlight w:val="none"/>
        </w:rPr>
        <w:t>展示，支持展示内容包括但不限于</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以下提供产品证明截图</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w:t>
      </w:r>
    </w:p>
    <w:p w14:paraId="54DBA321">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蜜罐相关指标：蜜罐被攻击漏洞TOP5、攻击源IP TOP5、蜜罐部署及沙箱节点情况。</w:t>
      </w:r>
    </w:p>
    <w:p w14:paraId="1A12FE12">
      <w:pPr>
        <w:pStyle w:val="36"/>
        <w:spacing w:line="360" w:lineRule="auto"/>
        <w:ind w:firstLine="652"/>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外联检测指标：违规外联行为预警统计。</w:t>
      </w:r>
    </w:p>
    <w:p w14:paraId="12C3B138">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威胁入侵指标：威胁入侵事件预警以及风险分布，包括已处置风险IP、新增风险IP处置情况以及各类风险分布情况。</w:t>
      </w:r>
    </w:p>
    <w:p w14:paraId="2E514466">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联动处置指标：威胁处置中心联动设备情况、事件处置进展及攻击事件统计情况。</w:t>
      </w:r>
    </w:p>
    <w:p w14:paraId="444D1924">
      <w:pPr>
        <w:pStyle w:val="36"/>
        <w:numPr>
          <w:ilvl w:val="0"/>
          <w:numId w:val="9"/>
        </w:numPr>
        <w:spacing w:line="360" w:lineRule="auto"/>
        <w:ind w:firstLine="654"/>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★支持运营中心大屏与AI数字人联动，具备可视化数据分析与智能交互能力。AI数字人可基于大屏展示的安全数据，进行自动分析与辅助解读，支持快捷提问与自然语言交互，实现</w:t>
      </w:r>
      <w:r>
        <w:rPr>
          <w:rFonts w:hint="eastAsia" w:ascii="宋体" w:hAnsi="宋体" w:eastAsia="宋体" w:cs="宋体"/>
          <w:b w:val="0"/>
          <w:bCs w:val="0"/>
          <w:sz w:val="24"/>
          <w:szCs w:val="24"/>
          <w:highlight w:val="none"/>
          <w:lang w:val="en-US" w:eastAsia="zh-CN"/>
        </w:rPr>
        <w:t>设置</w:t>
      </w:r>
      <w:r>
        <w:rPr>
          <w:rFonts w:hint="eastAsia" w:ascii="宋体" w:hAnsi="宋体" w:eastAsia="宋体" w:cs="宋体"/>
          <w:b w:val="0"/>
          <w:bCs w:val="0"/>
          <w:sz w:val="24"/>
          <w:szCs w:val="24"/>
          <w:highlight w:val="none"/>
        </w:rPr>
        <w:t>对系统功能、日志查询、威胁处理、策略配置等内容的智能问答，提升安全运营智能化与便捷性。</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提供产品界面截图</w:t>
      </w:r>
      <w:r>
        <w:rPr>
          <w:rFonts w:hint="eastAsia" w:ascii="宋体" w:hAnsi="宋体" w:eastAsia="宋体" w:cs="宋体"/>
          <w:b w:val="0"/>
          <w:bCs w:val="0"/>
          <w:sz w:val="24"/>
          <w:szCs w:val="24"/>
          <w:highlight w:val="none"/>
          <w:lang w:eastAsia="zh-CN"/>
        </w:rPr>
        <w:t>）</w:t>
      </w:r>
    </w:p>
    <w:p w14:paraId="37139E83">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支持调动处置设备，自动对已发现的异常风险进行快速处置，并在风险处置页面记录相关风险信息，包括风险IP、风险类型、风险来源、处置设备、处置结果等信息。</w:t>
      </w:r>
    </w:p>
    <w:p w14:paraId="63ABA6F6">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支持自主新增风险IP进行提前预防，增加客户对网络环境的把控和灵活应对的手段。</w:t>
      </w:r>
    </w:p>
    <w:p w14:paraId="07939963">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★横向处置：自定义处置范围，开启横向处置则对内外网所有存在攻击行为的风险IP均进行阻断处置，关闭则对保护网段外的风险进行处置。</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4BCF6AD7">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支持配置内网地址白名单，允许任何IP与白名单内地址进行访问和通信(包括本身);支持配置事件白名单，自动根据规则放行白名单中的事件。</w:t>
      </w:r>
    </w:p>
    <w:p w14:paraId="5FBD102E">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具备溯源功能，可追踪登录和操作日志，确保用户身份可信，并提供详细的操作记录，以实现对系统安全性和合规性的监控和审计。</w:t>
      </w:r>
    </w:p>
    <w:p w14:paraId="749D0036">
      <w:pPr>
        <w:pStyle w:val="36"/>
        <w:spacing w:line="360" w:lineRule="auto"/>
        <w:ind w:firstLine="654"/>
        <w:jc w:val="both"/>
        <w:outlineLvl w:val="1"/>
        <w:rPr>
          <w:rFonts w:hint="eastAsia" w:ascii="宋体" w:hAnsi="宋体" w:eastAsia="宋体" w:cs="宋体"/>
          <w:b/>
          <w:bCs/>
          <w:sz w:val="24"/>
          <w:szCs w:val="24"/>
          <w:highlight w:val="none"/>
        </w:rPr>
      </w:pPr>
      <w:bookmarkStart w:id="6" w:name="_Toc3567"/>
      <w:bookmarkStart w:id="7" w:name="_Toc175671819"/>
      <w:r>
        <w:rPr>
          <w:rFonts w:hint="eastAsia" w:ascii="宋体" w:hAnsi="宋体" w:eastAsia="宋体" w:cs="宋体"/>
          <w:b/>
          <w:bCs/>
          <w:sz w:val="24"/>
          <w:szCs w:val="24"/>
          <w:highlight w:val="none"/>
        </w:rPr>
        <w:t>4.定期巡检服务</w:t>
      </w:r>
      <w:bookmarkEnd w:id="6"/>
      <w:bookmarkEnd w:id="7"/>
    </w:p>
    <w:p w14:paraId="1F4CEAC3">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对数据中心物理环境、软硬件设备运行状态、网络设备的安全策略弱点、多余端口开放、访问权限分配管理等进行巡检和故障排除，协助医院进行管理规范和制度的完善。</w:t>
      </w:r>
    </w:p>
    <w:p w14:paraId="28C9BAE9">
      <w:pPr>
        <w:pStyle w:val="36"/>
        <w:spacing w:line="360" w:lineRule="auto"/>
        <w:ind w:firstLine="65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p w14:paraId="21FF6014">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设备检查：对数据中心的服务器、存储设备、网络设备等关键设备进行检查，包括设备的运行状态、硬件故障、软件问题等，以确保设备正常运行，没有故障或潜在问题。</w:t>
      </w:r>
    </w:p>
    <w:p w14:paraId="437B3B26">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网络检查：对数据中心的内网和互联网连接进行测试和检查，包括网络带宽、延迟、丢包率等指标，以确保网络连接稳定可靠，没有断线或延迟等问题。</w:t>
      </w:r>
    </w:p>
    <w:p w14:paraId="2681F787">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网络与安全设备检查：包括对防火墙、路由器、交换机等网络和安全设备的检查。</w:t>
      </w:r>
    </w:p>
    <w:p w14:paraId="5722F061">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数据库、中间件等内容检查：包括对Oracle、Redis、MySQL等数据库的安全性检查以及涉及对Apache、Weblogic、Tomcat等中间件的安全性检查。</w:t>
      </w:r>
    </w:p>
    <w:p w14:paraId="4DC9467C">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系统检查：对数据中心的操作系统、数据库、应用程序等系统进行全面的检查，包括系统的日志、进程、资源使用情况等，以确保系统运行正常，没有异常或潜在的安全风险。</w:t>
      </w:r>
    </w:p>
    <w:p w14:paraId="4C3F12EE">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安全检查：对数据中心的物理安全、网络安全、数据安全等进行全面的检查，包括访问控制、加密技术、防火墙等措施，以确保数据中心的安全性得到保障。</w:t>
      </w:r>
    </w:p>
    <w:p w14:paraId="73A5ABBB">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备份与恢复检查：对数据中心的备份和恢复方案进行检查和测试，包括备份数据的完整性、可恢复性等指标，以确保备份和恢复方案有效可行。</w:t>
      </w:r>
    </w:p>
    <w:p w14:paraId="0B315A01">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提供有效的修复建议：基于巡检的结果，提供具体的修复建议，帮助其及时解决安全问题，提升系统的安全性。</w:t>
      </w:r>
    </w:p>
    <w:p w14:paraId="2FC51038">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通过以上巡检内容，对数据中心定期巡检服务过程中，可以及时发现并解决潜在的安全风险和问题，保障数据中心的稳定性和安全性。同时还可以提供设备的维护保养建议，延长设备的使用寿命。</w:t>
      </w:r>
    </w:p>
    <w:p w14:paraId="21064A82">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交付物：出具《巡检报告》，报告内容包含巡检内容、故障问题记录、处理建议等，并协助完成故障处理。</w:t>
      </w:r>
    </w:p>
    <w:p w14:paraId="72F5C88B">
      <w:pPr>
        <w:pStyle w:val="36"/>
        <w:spacing w:line="360" w:lineRule="auto"/>
        <w:ind w:firstLine="654"/>
        <w:jc w:val="both"/>
        <w:outlineLvl w:val="1"/>
        <w:rPr>
          <w:rFonts w:hint="eastAsia" w:ascii="宋体" w:hAnsi="宋体" w:eastAsia="宋体" w:cs="宋体"/>
          <w:b/>
          <w:bCs/>
          <w:sz w:val="24"/>
          <w:szCs w:val="24"/>
          <w:highlight w:val="none"/>
        </w:rPr>
      </w:pPr>
      <w:bookmarkStart w:id="8" w:name="_Toc16361"/>
      <w:bookmarkStart w:id="9" w:name="_Toc175671823"/>
      <w:bookmarkStart w:id="10" w:name="_Toc175671820"/>
      <w:bookmarkStart w:id="11" w:name="_Toc21790"/>
      <w:r>
        <w:rPr>
          <w:rFonts w:hint="eastAsia" w:ascii="宋体" w:hAnsi="宋体" w:eastAsia="宋体" w:cs="宋体"/>
          <w:b/>
          <w:bCs/>
          <w:sz w:val="24"/>
          <w:szCs w:val="24"/>
          <w:highlight w:val="none"/>
        </w:rPr>
        <w:t>5.渗透测试服务</w:t>
      </w:r>
      <w:bookmarkEnd w:id="8"/>
      <w:bookmarkEnd w:id="9"/>
    </w:p>
    <w:p w14:paraId="1539028B">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通过模拟黑客可能使用的攻击技术和漏洞发现技术，采用黑盒测试的方法对目标系统的安全做深入的探测，发现系统最脆弱的环节，了解自身网络所面临的问题并针对安全问题进行处置。</w:t>
      </w:r>
    </w:p>
    <w:p w14:paraId="5AAC8ED7">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服务内容：</w:t>
      </w:r>
    </w:p>
    <w:p w14:paraId="2A869656">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主机操作系统渗透：包括WINDOWS、SOLARIS、AIX、LINUX、SCO、SGI等。</w:t>
      </w:r>
    </w:p>
    <w:p w14:paraId="54526180">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数据库系统渗透：包括MS-SQL、ORACLE、MYSQL、INFORMIX、SYBASE、DB2等。</w:t>
      </w:r>
    </w:p>
    <w:p w14:paraId="7FCD18AB">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应用系统渗透：对各种应用系统进行渗透测试，如WWW、E-mail、DNS、FTP等。</w:t>
      </w:r>
    </w:p>
    <w:p w14:paraId="4A0F7820">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交付物：出具《渗透测试报告》，包含详细的渗透测试过程、内容和渗透结果，根据渗透结果发现的薄弱点提出整改加固建议。</w:t>
      </w:r>
    </w:p>
    <w:p w14:paraId="23404536">
      <w:pPr>
        <w:pStyle w:val="36"/>
        <w:spacing w:line="360" w:lineRule="auto"/>
        <w:ind w:firstLine="654"/>
        <w:jc w:val="both"/>
        <w:outlineLvl w:val="1"/>
        <w:rPr>
          <w:rFonts w:hint="eastAsia" w:ascii="宋体" w:hAnsi="宋体" w:eastAsia="宋体" w:cs="宋体"/>
          <w:b/>
          <w:bCs/>
          <w:sz w:val="24"/>
          <w:szCs w:val="24"/>
          <w:highlight w:val="none"/>
        </w:rPr>
      </w:pPr>
      <w:bookmarkStart w:id="12" w:name="_Toc175671824"/>
      <w:r>
        <w:rPr>
          <w:rFonts w:hint="eastAsia" w:ascii="宋体" w:hAnsi="宋体" w:eastAsia="宋体" w:cs="宋体"/>
          <w:b/>
          <w:bCs/>
          <w:sz w:val="24"/>
          <w:szCs w:val="24"/>
          <w:highlight w:val="none"/>
        </w:rPr>
        <w:t>6.基线核查服务</w:t>
      </w:r>
      <w:bookmarkEnd w:id="12"/>
    </w:p>
    <w:p w14:paraId="19536DCD">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针对业务系统的账号配置安全、口令配置安全、授权配置、日志配置、IP通信配置等方面内容进行检查。以发现薄弱或未满足要求的配置问题并进行整改。</w:t>
      </w:r>
    </w:p>
    <w:p w14:paraId="40E0EC83">
      <w:pPr>
        <w:pStyle w:val="36"/>
        <w:spacing w:line="360" w:lineRule="auto"/>
        <w:ind w:firstLine="65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p w14:paraId="118EC358">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主机安全检查：主要包括对Windows、Linux等类型的操作系统的安全检查。</w:t>
      </w:r>
    </w:p>
    <w:p w14:paraId="6B68AC02">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数据库安全检查：包括Oracle、Redis、MySQL等数据库的安全性检查。</w:t>
      </w:r>
    </w:p>
    <w:p w14:paraId="1BCE9C79">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中间件安全检查：涉及对Apache、Weblogic、Tomcat等中间件的安全性检查。</w:t>
      </w:r>
    </w:p>
    <w:p w14:paraId="42F45F06">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网络与安全设备检查：包括对堡垒机、防火墙、路由器、交换机等网络和安全设备的检查。</w:t>
      </w:r>
    </w:p>
    <w:p w14:paraId="1AECAC5C">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提供全面的安全评估：基线核查服务可以全面评估网络和信息系统的安全性，帮助了解系统中存在的安全隐患和风险。</w:t>
      </w:r>
    </w:p>
    <w:p w14:paraId="4EEC64CD">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提供有效的修复建议：基于基线核查的结果，提供具体的修复建议，帮助其及时解决安全问题，提升系统的安全性。</w:t>
      </w:r>
    </w:p>
    <w:p w14:paraId="321A3FEE">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交付物：出具《基线核查服务报告》，内容应包含检查服务的具体应用系统情况以及安全评估建议。</w:t>
      </w:r>
    </w:p>
    <w:p w14:paraId="28B4713F">
      <w:pPr>
        <w:pStyle w:val="36"/>
        <w:spacing w:line="360" w:lineRule="auto"/>
        <w:ind w:firstLine="654"/>
        <w:jc w:val="both"/>
        <w:outlineLvl w:val="1"/>
        <w:rPr>
          <w:rFonts w:hint="eastAsia" w:ascii="宋体" w:hAnsi="宋体" w:eastAsia="宋体" w:cs="宋体"/>
          <w:b/>
          <w:bCs/>
          <w:sz w:val="24"/>
          <w:szCs w:val="24"/>
          <w:highlight w:val="none"/>
        </w:rPr>
      </w:pPr>
      <w:bookmarkStart w:id="13" w:name="_Toc175671825"/>
      <w:r>
        <w:rPr>
          <w:rFonts w:hint="eastAsia" w:ascii="宋体" w:hAnsi="宋体" w:eastAsia="宋体" w:cs="宋体"/>
          <w:b/>
          <w:bCs/>
          <w:sz w:val="24"/>
          <w:szCs w:val="24"/>
          <w:highlight w:val="none"/>
        </w:rPr>
        <w:t>7.风险评估服务</w:t>
      </w:r>
      <w:bookmarkEnd w:id="13"/>
    </w:p>
    <w:p w14:paraId="60A0F438">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通过识别资产现有的脆弱性，可能面临的威胁，并充分调研已有安全控制措施，以综合判断存在的风险，预知可能发生的安全事件。最终提供全面的风险评估报告。</w:t>
      </w:r>
    </w:p>
    <w:p w14:paraId="2D4D1447">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服务内容：</w:t>
      </w:r>
      <w:r>
        <w:rPr>
          <w:rFonts w:hint="eastAsia" w:ascii="宋体" w:hAnsi="宋体" w:eastAsia="宋体" w:cs="宋体"/>
          <w:sz w:val="24"/>
          <w:szCs w:val="24"/>
          <w:highlight w:val="none"/>
        </w:rPr>
        <w:t>提供风险评估工程师对医院现有信息资产进行安全风险评估：通过识别资产现有的脆弱性，可能面临的威胁，并充分调研已有的安全控制措施，以综合判断存在的风险，预知可能发生的安全事件。</w:t>
      </w:r>
    </w:p>
    <w:p w14:paraId="3EF551AC">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资产数量=业务系统数量+服务器数量（含虚拟机）+安全设备+关键网络设备（核心和汇聚交换机）</w:t>
      </w:r>
    </w:p>
    <w:p w14:paraId="08DD088C">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项目启动会议(准备工作)</w:t>
      </w:r>
    </w:p>
    <w:p w14:paraId="5BA729D8">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资产识别：资产梳理、资产赋值及重要性区分</w:t>
      </w:r>
    </w:p>
    <w:p w14:paraId="2E8D68D3">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脆弱性识别：漏洞扫描（使用系统漏洞扫描工具对 数据库、操作系统、中间件等进行漏洞、端口、弱口令扫描，扫描完成后由技术人员对漏洞进行确认测试，提出整改建议，协助开发人员整改。1.环境配置。2.漏洞扫描。3.漏洞验证。4.输出报告）、基线核查、脆弱性统计及赋值等</w:t>
      </w:r>
    </w:p>
    <w:p w14:paraId="38997BF6">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威胁识别：脆弱性威胁关联及赋值、潜伏威胁检测</w:t>
      </w:r>
    </w:p>
    <w:p w14:paraId="11B9B307">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风险分析：不可接受风险处理建议</w:t>
      </w:r>
    </w:p>
    <w:p w14:paraId="2661C123">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编写报告</w:t>
      </w:r>
    </w:p>
    <w:p w14:paraId="4F969F14">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交付物：出具的《风险评估报告》须包括资产识别梳理、安全现状调研、脆弱风险分析、解决方案建议等内容。</w:t>
      </w:r>
    </w:p>
    <w:p w14:paraId="4EE1E07B">
      <w:pPr>
        <w:pStyle w:val="36"/>
        <w:spacing w:line="360" w:lineRule="auto"/>
        <w:ind w:firstLine="654"/>
        <w:jc w:val="both"/>
        <w:outlineLvl w:val="1"/>
        <w:rPr>
          <w:rFonts w:hint="eastAsia" w:ascii="宋体" w:hAnsi="宋体" w:eastAsia="宋体" w:cs="宋体"/>
          <w:b/>
          <w:bCs/>
          <w:sz w:val="24"/>
          <w:szCs w:val="24"/>
          <w:highlight w:val="none"/>
        </w:rPr>
      </w:pPr>
      <w:bookmarkStart w:id="14" w:name="_Toc19939"/>
      <w:bookmarkStart w:id="15" w:name="_Toc175671828"/>
      <w:r>
        <w:rPr>
          <w:rFonts w:hint="eastAsia" w:ascii="宋体" w:hAnsi="宋体" w:eastAsia="宋体" w:cs="宋体"/>
          <w:b/>
          <w:bCs/>
          <w:sz w:val="24"/>
          <w:szCs w:val="24"/>
          <w:highlight w:val="none"/>
        </w:rPr>
        <w:t>8.资产测绘服务</w:t>
      </w:r>
      <w:bookmarkEnd w:id="14"/>
      <w:bookmarkEnd w:id="15"/>
    </w:p>
    <w:p w14:paraId="3C6DDA4F">
      <w:pPr>
        <w:pStyle w:val="36"/>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资产测绘服务，通过对</w:t>
      </w:r>
      <w:r>
        <w:rPr>
          <w:rFonts w:hint="eastAsia" w:ascii="宋体" w:hAnsi="宋体" w:eastAsia="宋体" w:cs="宋体"/>
          <w:sz w:val="24"/>
          <w:szCs w:val="24"/>
          <w:highlight w:val="none"/>
          <w:lang w:val="en-US" w:eastAsia="zh-CN"/>
        </w:rPr>
        <w:t>互联网</w:t>
      </w:r>
      <w:r>
        <w:rPr>
          <w:rFonts w:hint="eastAsia" w:ascii="宋体" w:hAnsi="宋体" w:eastAsia="宋体" w:cs="宋体"/>
          <w:sz w:val="24"/>
          <w:szCs w:val="24"/>
          <w:highlight w:val="none"/>
        </w:rPr>
        <w:t>网络空间中的各种</w:t>
      </w:r>
      <w:r>
        <w:rPr>
          <w:rFonts w:hint="eastAsia" w:ascii="宋体" w:hAnsi="宋体" w:eastAsia="宋体" w:cs="宋体"/>
          <w:sz w:val="24"/>
          <w:szCs w:val="24"/>
          <w:highlight w:val="none"/>
          <w:lang w:val="en-US" w:eastAsia="zh-CN"/>
        </w:rPr>
        <w:t>资产暴露面</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测绘</w:t>
      </w:r>
      <w:r>
        <w:rPr>
          <w:rFonts w:hint="eastAsia" w:ascii="宋体" w:hAnsi="宋体" w:eastAsia="宋体" w:cs="宋体"/>
          <w:sz w:val="24"/>
          <w:szCs w:val="24"/>
          <w:highlight w:val="none"/>
        </w:rPr>
        <w:t>和分析，明确信息</w:t>
      </w:r>
      <w:r>
        <w:rPr>
          <w:rFonts w:hint="eastAsia" w:ascii="宋体" w:hAnsi="宋体" w:eastAsia="宋体" w:cs="宋体"/>
          <w:sz w:val="24"/>
          <w:szCs w:val="24"/>
          <w:highlight w:val="none"/>
          <w:lang w:val="en-US" w:eastAsia="zh-CN"/>
        </w:rPr>
        <w:t>衢江区医疗</w:t>
      </w:r>
      <w:r>
        <w:rPr>
          <w:rFonts w:hint="eastAsia" w:ascii="宋体" w:hAnsi="宋体" w:eastAsia="宋体" w:cs="宋体"/>
          <w:sz w:val="24"/>
          <w:szCs w:val="24"/>
          <w:highlight w:val="none"/>
        </w:rPr>
        <w:t>系统</w:t>
      </w:r>
      <w:r>
        <w:rPr>
          <w:rFonts w:hint="eastAsia" w:ascii="宋体" w:hAnsi="宋体" w:eastAsia="宋体" w:cs="宋体"/>
          <w:sz w:val="24"/>
          <w:szCs w:val="24"/>
          <w:highlight w:val="none"/>
          <w:lang w:val="en-US" w:eastAsia="zh-CN"/>
        </w:rPr>
        <w:t>在互联网侧的资产和弱点暴露情况</w:t>
      </w:r>
      <w:r>
        <w:rPr>
          <w:rFonts w:hint="eastAsia" w:ascii="宋体" w:hAnsi="宋体" w:eastAsia="宋体" w:cs="宋体"/>
          <w:sz w:val="24"/>
          <w:szCs w:val="24"/>
          <w:highlight w:val="none"/>
        </w:rPr>
        <w:t>，并且</w:t>
      </w:r>
      <w:r>
        <w:rPr>
          <w:rFonts w:hint="eastAsia" w:ascii="宋体" w:hAnsi="宋体" w:eastAsia="宋体" w:cs="宋体"/>
          <w:b w:val="0"/>
          <w:bCs w:val="0"/>
          <w:sz w:val="24"/>
          <w:szCs w:val="24"/>
          <w:highlight w:val="none"/>
        </w:rPr>
        <w:t>覆盖绝大多数已知的安全漏洞，提供全面的漏洞检测能力。</w:t>
      </w:r>
    </w:p>
    <w:p w14:paraId="5781F05C">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供应商需自行准备资产测绘工具，相关工具无需现场部署，由专业安服人员对测绘结果进行分析整理后提供相关报告。</w:t>
      </w:r>
    </w:p>
    <w:p w14:paraId="0D6FB8CA">
      <w:pPr>
        <w:pStyle w:val="36"/>
        <w:spacing w:line="360" w:lineRule="auto"/>
        <w:ind w:firstLine="654"/>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服务工具测绘能力要求：</w:t>
      </w:r>
    </w:p>
    <w:p w14:paraId="49114255">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为保证用户互联网资产数据探测识别的低容错率，系统应对接不少于4种网络空间测绘引擎数据源。</w:t>
      </w:r>
    </w:p>
    <w:p w14:paraId="3A30889F">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支持通过IP、域名、icon、备案号、关键字等多类网络空间线索或企业扩展线索，在互联网侧识别企业暴露的高可信资产信息。</w:t>
      </w:r>
    </w:p>
    <w:p w14:paraId="49586A14">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lang w:val="en-US" w:eastAsia="zh-CN"/>
        </w:rPr>
        <w:t>支持通过IP、应用系统名称、单位筛选查看相关资产数据，包括但不限于IP地址、端口、协议、URL、域名、系统名称、企业名称、地理位置、运营商、状态码等（需提供产品界面截图）。</w:t>
      </w:r>
    </w:p>
    <w:p w14:paraId="2ADD03B8">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支持主流协议识别，包括但不限于tcp、udp、icmp、smtp、http、https、ssh等。</w:t>
      </w:r>
    </w:p>
    <w:p w14:paraId="7878B7C3">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支持测绘过程中深度解析设备特征，系统支持测绘资产类别包括视频监控、交换机、路由器、服务器、业务系统、Web组件等</w:t>
      </w:r>
    </w:p>
    <w:p w14:paraId="74BD39CA">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lang w:val="en-US" w:eastAsia="zh-CN"/>
        </w:rPr>
        <w:t>支持对系统内资产进行自动化漏洞扫描，根据系统默认规则库实现漏洞风险分析（需提供产品界面截图）</w:t>
      </w:r>
    </w:p>
    <w:p w14:paraId="5CD07D3F">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lang w:val="en-US" w:eastAsia="zh-CN"/>
        </w:rPr>
        <w:t>支持自主导入漏洞信息，内置高效的漏洞管理机制，确保所有已知漏洞得到及时识别、分类与跟踪处理（需提供产品界面截图）</w:t>
      </w:r>
    </w:p>
    <w:p w14:paraId="5C8CCE49">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针对发现的每个漏洞拥有提供详尽的解决方案的能力，针对漏洞查看详细的漏洞相关信息，包括漏洞描述、漏洞解决方案等，能够快速有效应对各种安全威胁</w:t>
      </w:r>
      <w:r>
        <w:rPr>
          <w:rFonts w:hint="eastAsia" w:ascii="宋体" w:hAnsi="宋体" w:eastAsia="宋体" w:cs="宋体"/>
          <w:sz w:val="24"/>
          <w:szCs w:val="24"/>
          <w:highlight w:val="none"/>
          <w:lang w:val="en-US" w:eastAsia="zh-CN"/>
        </w:rPr>
        <w:t>（需提供产品界面截图）。</w:t>
      </w:r>
    </w:p>
    <w:p w14:paraId="016B6D36">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支持对新业务上线进行线索导入，实时调用引擎对新线索进行资产测绘收集。</w:t>
      </w:r>
    </w:p>
    <w:p w14:paraId="0BBC9B44">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交付物：出具《资产测绘报告》，对资产数量、类型、漏洞等各种信息进行收录。</w:t>
      </w:r>
    </w:p>
    <w:p w14:paraId="65A5AE99">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9.新系统上线检查</w:t>
      </w:r>
    </w:p>
    <w:p w14:paraId="394E0408">
      <w:pPr>
        <w:pStyle w:val="36"/>
        <w:spacing w:line="360" w:lineRule="auto"/>
        <w:ind w:firstLine="654"/>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：开展新系统上线前安全检查服务工作。对新系统环境及代码进行安全评估。评估包括代码安全检测、渗透测试、APP安全评估服务</w:t>
      </w:r>
    </w:p>
    <w:p w14:paraId="05B29FE5">
      <w:pPr>
        <w:pStyle w:val="36"/>
        <w:spacing w:line="360" w:lineRule="auto"/>
        <w:ind w:firstLine="654"/>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bookmarkStart w:id="16" w:name="_Toc108641155"/>
    </w:p>
    <w:p w14:paraId="4C945B27">
      <w:pPr>
        <w:pStyle w:val="36"/>
        <w:spacing w:line="360" w:lineRule="auto"/>
        <w:ind w:firstLine="652"/>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代码安全评估</w:t>
      </w:r>
      <w:bookmarkEnd w:id="16"/>
      <w:r>
        <w:rPr>
          <w:rFonts w:hint="eastAsia" w:ascii="宋体" w:hAnsi="宋体" w:eastAsia="宋体" w:cs="宋体"/>
          <w:sz w:val="24"/>
          <w:szCs w:val="24"/>
          <w:highlight w:val="none"/>
        </w:rPr>
        <w:t>：</w:t>
      </w:r>
      <w:r>
        <w:rPr>
          <w:rFonts w:hint="eastAsia" w:ascii="宋体" w:hAnsi="宋体" w:eastAsia="宋体" w:cs="宋体"/>
          <w:sz w:val="24"/>
          <w:szCs w:val="24"/>
          <w:highlight w:val="none"/>
          <w:shd w:val="clear" w:color="auto" w:fill="FFFFFF"/>
        </w:rPr>
        <w:t>系统正式上线前，通过工具和人工结合的方法，检查源代码中的安全漏洞、安全隐患、安全缺点、错误信息，分析验证可能导致的安全风险，提供对应的修订建议，从而确保系统代码层面的安全，输出《系统原代码审计报告》等</w:t>
      </w:r>
    </w:p>
    <w:p w14:paraId="444B9527">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2、渗透测试：</w:t>
      </w:r>
    </w:p>
    <w:p w14:paraId="4524C983">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渗透性测试是对安全情况最客观、最直接的评估方式，主要是模拟黑客的攻击方法对系统和网络进行非破坏性质的攻击性测试，目的是侵入系统，获取系统控制权并将入侵的过程和细节产生报告，由此证实系统存在的安全威胁和风险，并能及时提醒安全管理员完善安全策略。</w:t>
      </w:r>
    </w:p>
    <w:p w14:paraId="43FA56B9">
      <w:pPr>
        <w:pStyle w:val="36"/>
        <w:spacing w:line="360" w:lineRule="auto"/>
        <w:ind w:firstLine="654"/>
        <w:jc w:val="both"/>
        <w:rPr>
          <w:rFonts w:hint="eastAsia" w:ascii="宋体" w:hAnsi="宋体" w:eastAsia="宋体" w:cs="宋体"/>
          <w:b w:val="0"/>
          <w:bCs w:val="0"/>
          <w:sz w:val="24"/>
          <w:szCs w:val="24"/>
          <w:highlight w:val="none"/>
          <w:lang w:val="en-US" w:eastAsia="zh-CN"/>
        </w:rPr>
      </w:pPr>
      <w:bookmarkStart w:id="17" w:name="_Toc108641157"/>
      <w:r>
        <w:rPr>
          <w:rFonts w:hint="eastAsia" w:ascii="宋体" w:hAnsi="宋体" w:eastAsia="宋体" w:cs="宋体"/>
          <w:b w:val="0"/>
          <w:bCs w:val="0"/>
          <w:sz w:val="24"/>
          <w:szCs w:val="24"/>
          <w:highlight w:val="none"/>
          <w:lang w:val="en-US" w:eastAsia="zh-CN"/>
        </w:rPr>
        <w:t>3、APP安全评估</w:t>
      </w:r>
      <w:bookmarkEnd w:id="17"/>
      <w:r>
        <w:rPr>
          <w:rFonts w:hint="eastAsia" w:ascii="宋体" w:hAnsi="宋体" w:eastAsia="宋体" w:cs="宋体"/>
          <w:b w:val="0"/>
          <w:bCs w:val="0"/>
          <w:sz w:val="24"/>
          <w:szCs w:val="24"/>
          <w:highlight w:val="none"/>
          <w:lang w:val="en-US" w:eastAsia="zh-CN"/>
        </w:rPr>
        <w:t>：</w:t>
      </w:r>
    </w:p>
    <w:p w14:paraId="6CAB7F6A">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为了确保移动APP安全测试的全面性，安全工程师开通相关应用的账户，供分析、测试使用。测试内容同时包括客户端APP和服务器端应用，并针对不同层面安全漏洞的检测重点、难点展开分析，保证测试工作稳步有序开展。</w:t>
      </w:r>
    </w:p>
    <w:p w14:paraId="49DA88EE">
      <w:pPr>
        <w:pStyle w:val="36"/>
        <w:spacing w:line="360" w:lineRule="auto"/>
        <w:ind w:firstLine="654"/>
        <w:rPr>
          <w:rFonts w:hint="eastAsia" w:ascii="宋体" w:hAnsi="宋体" w:eastAsia="宋体" w:cs="宋体"/>
          <w:sz w:val="24"/>
          <w:szCs w:val="24"/>
          <w:highlight w:val="none"/>
        </w:rPr>
      </w:pPr>
      <w:r>
        <w:rPr>
          <w:rFonts w:hint="eastAsia" w:ascii="宋体" w:hAnsi="宋体" w:eastAsia="宋体" w:cs="宋体"/>
          <w:b/>
          <w:bCs/>
          <w:sz w:val="24"/>
          <w:szCs w:val="24"/>
          <w:highlight w:val="none"/>
        </w:rPr>
        <w:t>交付物：</w:t>
      </w:r>
      <w:r>
        <w:rPr>
          <w:rFonts w:hint="eastAsia" w:ascii="宋体" w:hAnsi="宋体" w:eastAsia="宋体" w:cs="宋体"/>
          <w:sz w:val="24"/>
          <w:szCs w:val="24"/>
          <w:highlight w:val="none"/>
        </w:rPr>
        <w:t>出具《新系统上线前安全检查报告》，对新系统上线前的安全检查内容进行详细记录。</w:t>
      </w:r>
    </w:p>
    <w:p w14:paraId="42414AB1">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10.专项威胁预警排查</w:t>
      </w:r>
    </w:p>
    <w:p w14:paraId="3D56939A">
      <w:pPr>
        <w:pStyle w:val="36"/>
        <w:spacing w:line="360" w:lineRule="auto"/>
        <w:ind w:firstLine="654"/>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专项威胁预警排查服务，通过对当前社会面突发热点漏洞、病毒木马或者其他高威胁事件的持续关注，对衢江区卫健局及其他所属医疗机构开展专项安全检查，防患于未然。</w:t>
      </w:r>
    </w:p>
    <w:p w14:paraId="403DDBE1">
      <w:pPr>
        <w:pStyle w:val="36"/>
        <w:spacing w:line="360" w:lineRule="auto"/>
        <w:ind w:firstLine="654"/>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服务期限、频率：</w:t>
      </w:r>
      <w:r>
        <w:rPr>
          <w:rFonts w:hint="eastAsia" w:ascii="宋体" w:hAnsi="宋体" w:eastAsia="宋体" w:cs="宋体"/>
          <w:sz w:val="24"/>
          <w:szCs w:val="24"/>
          <w:highlight w:val="none"/>
        </w:rPr>
        <w:t>按需。</w:t>
      </w:r>
    </w:p>
    <w:p w14:paraId="31B1BEFA">
      <w:pPr>
        <w:pStyle w:val="36"/>
        <w:spacing w:line="360" w:lineRule="auto"/>
        <w:ind w:firstLine="654"/>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p w14:paraId="0633F460">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1、威胁信息收集</w:t>
      </w:r>
    </w:p>
    <w:p w14:paraId="6E01FA4D">
      <w:pPr>
        <w:pStyle w:val="36"/>
        <w:spacing w:line="360" w:lineRule="auto"/>
        <w:ind w:firstLine="6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通过多种渠道和工具，持续关注、收集热点威胁相关信息，包括热点产品、系统的漏洞、突发木马病毒信息等。</w:t>
      </w:r>
    </w:p>
    <w:p w14:paraId="5D5DF16A">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2、威胁分析评估</w:t>
      </w:r>
    </w:p>
    <w:p w14:paraId="28893E0B">
      <w:pPr>
        <w:pStyle w:val="36"/>
        <w:spacing w:line="360" w:lineRule="auto"/>
        <w:ind w:firstLine="6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对收集到的信息进行深入分析，评估其潜在的危害性、影响范围、发展趋势等，以确定威胁的优先级和应对策略。</w:t>
      </w:r>
    </w:p>
    <w:p w14:paraId="117BCD67">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3、预警信息发布</w:t>
      </w:r>
    </w:p>
    <w:p w14:paraId="678760F8">
      <w:pPr>
        <w:pStyle w:val="36"/>
        <w:spacing w:line="360" w:lineRule="auto"/>
        <w:ind w:firstLine="6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根据分析结果，及时发布预警信息给衢江区卫生健康局及所属医疗单位相关部门或个人，协同开展专项安全检查，杜绝潜在的威胁。</w:t>
      </w:r>
    </w:p>
    <w:p w14:paraId="0D551ABE">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4、应对措施制定</w:t>
      </w:r>
    </w:p>
    <w:p w14:paraId="01FA725E">
      <w:pPr>
        <w:pStyle w:val="36"/>
        <w:spacing w:line="360" w:lineRule="auto"/>
        <w:ind w:firstLine="6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根据预警和专项排查信息，制定具体的应对措施和预案，包括技术防护、应急响应、人员培训等方面。</w:t>
      </w:r>
    </w:p>
    <w:p w14:paraId="00474A8D">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5、持续监测与应对</w:t>
      </w:r>
    </w:p>
    <w:p w14:paraId="34B766D3">
      <w:pPr>
        <w:pStyle w:val="36"/>
        <w:spacing w:line="360" w:lineRule="auto"/>
        <w:ind w:firstLine="6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对预警事件进行持续监测，并根据实际情况调整应对措施，确保威胁得到有效控制。</w:t>
      </w:r>
    </w:p>
    <w:p w14:paraId="28D4E779">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11.漏洞扫描</w:t>
      </w:r>
      <w:bookmarkEnd w:id="10"/>
      <w:bookmarkEnd w:id="11"/>
      <w:r>
        <w:rPr>
          <w:rFonts w:hint="eastAsia" w:ascii="宋体" w:hAnsi="宋体" w:eastAsia="宋体" w:cs="宋体"/>
          <w:b/>
          <w:bCs/>
          <w:sz w:val="24"/>
          <w:szCs w:val="24"/>
          <w:highlight w:val="none"/>
        </w:rPr>
        <w:t>、研判及协助修复</w:t>
      </w:r>
    </w:p>
    <w:p w14:paraId="3C416B2A">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使用系统漏洞扫描工具对数据库、操作系统、中间件等进行漏洞、端口、弱口令扫描。在漏洞发现的基础上，从大量漏洞中研判出有价值的漏洞，减少巨大时间成本以及处置成本，有效地追踪资产漏洞全生命周期，清楚地掌握资产的脆弱性状况，实现漏洞全生命周期的可视、可控和可管。</w:t>
      </w:r>
    </w:p>
    <w:p w14:paraId="6423ABAF">
      <w:pPr>
        <w:pStyle w:val="36"/>
        <w:spacing w:line="360" w:lineRule="auto"/>
        <w:ind w:firstLine="65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p w14:paraId="424FC6D2">
      <w:pPr>
        <w:pStyle w:val="36"/>
        <w:spacing w:line="360" w:lineRule="auto"/>
        <w:ind w:firstLine="654"/>
        <w:jc w:val="both"/>
        <w:rPr>
          <w:rFonts w:hint="eastAsia" w:ascii="宋体" w:hAnsi="宋体" w:eastAsia="宋体" w:cs="宋体"/>
          <w:b w:val="0"/>
          <w:bCs w:val="0"/>
          <w:sz w:val="24"/>
          <w:szCs w:val="24"/>
          <w:highlight w:val="none"/>
          <w:lang w:val="en-US" w:eastAsia="zh-CN"/>
        </w:rPr>
      </w:pPr>
      <w:bookmarkStart w:id="18" w:name="_Toc175671821"/>
      <w:r>
        <w:rPr>
          <w:rFonts w:hint="eastAsia" w:ascii="宋体" w:hAnsi="宋体" w:eastAsia="宋体" w:cs="宋体"/>
          <w:b w:val="0"/>
          <w:bCs w:val="0"/>
          <w:sz w:val="24"/>
          <w:szCs w:val="24"/>
          <w:highlight w:val="none"/>
          <w:lang w:val="en-US" w:eastAsia="zh-CN"/>
        </w:rPr>
        <w:t>1、漏洞扫描</w:t>
      </w:r>
    </w:p>
    <w:p w14:paraId="4DBA56E3">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利用专业级WEB应用扫描工具对被评估对象进行应用检测，以发现网站应用层面可能存在的技术漏洞；包括WEB容器识别，如：Apache、tomcat、Weblogic、WebSphere和Ngix等；支持多种服务端语言探测，如：PHP、JSP、ASP、ASPX和.NET等；支持WEB前端框架探测，如：jQuery、Bootstrap、HTML5等；支持WEB后端开发框架探测，如：Django、Rails、ThinkPHP、Struts等； 支持WEB业务应用探测，如：BBS、CMS和BLOG等（备注：逻辑类漏洞主要通过人工渗透测试完成）</w:t>
      </w:r>
    </w:p>
    <w:p w14:paraId="0EBB7E44">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支持扫描对象包括：B/S架构类应用漏洞，主要包括：SQL注入、XSS跨站脚本攻击、应用系统弱口令、敏感文件下载、后台用户枚举等。</w:t>
      </w:r>
    </w:p>
    <w:p w14:paraId="698F7189">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同时，对已知或潜在的漏洞进行研究和判断，以确定漏洞的存在、影响范围和危害程度，为后续的修复和应对提供依据。帮助客户加强系统的安全性，预防类似漏洞的再次出现。</w:t>
      </w:r>
    </w:p>
    <w:p w14:paraId="24E82397">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输出物：出具《漏洞扫描报告》，需针对漏洞扫描服务的全过程及内容进行详细描述。对危险漏洞提供解决措施方案，为下一步安全建设提供建议。</w:t>
      </w:r>
    </w:p>
    <w:p w14:paraId="476BCEA2">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2、漏洞研判</w:t>
      </w:r>
    </w:p>
    <w:p w14:paraId="73247014">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提供高级安全专家服务进行漏洞研判，主要内容包括：</w:t>
      </w:r>
    </w:p>
    <w:p w14:paraId="055FD03E">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漏洞梳理：根据安全服务经验，梳理汇总漏洞扫描报告中高危、中危且高可利用的漏洞；</w:t>
      </w:r>
    </w:p>
    <w:p w14:paraId="2823B808">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漏洞验证：根据漏洞相关信息，验证漏洞存在的可信程度；</w:t>
      </w:r>
    </w:p>
    <w:p w14:paraId="642DA2D7">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针对上级通报漏洞的漏洞研判；</w:t>
      </w:r>
    </w:p>
    <w:p w14:paraId="327F30D5">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提供漏洞研判的验证报告及解决方案。</w:t>
      </w:r>
    </w:p>
    <w:p w14:paraId="3F93A8E3">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3、漏洞协助修复及复测</w:t>
      </w:r>
    </w:p>
    <w:p w14:paraId="6DF71A5D">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通过漏洞扫描和漏洞研判结果，制定漏洞修复优先级计划并协助相关应用和系统厂商进行修复工作，对修复结果进行验证。</w:t>
      </w:r>
    </w:p>
    <w:p w14:paraId="596983F6">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漏洞修复采取能补尽补原则，对于无法修复</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漏洞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根据漏洞防护服务提供漏洞的专项防护工作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将漏洞纳入防护范围</w:t>
      </w:r>
      <w:r>
        <w:rPr>
          <w:rFonts w:hint="eastAsia" w:ascii="宋体" w:hAnsi="宋体" w:eastAsia="宋体" w:cs="宋体"/>
          <w:sz w:val="24"/>
          <w:szCs w:val="24"/>
          <w:highlight w:val="none"/>
        </w:rPr>
        <w:t>。</w:t>
      </w:r>
    </w:p>
    <w:p w14:paraId="1218C075">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12.安全日志分析与响应</w:t>
      </w:r>
      <w:bookmarkEnd w:id="18"/>
    </w:p>
    <w:p w14:paraId="1E5C0E1F">
      <w:pPr>
        <w:pStyle w:val="36"/>
        <w:spacing w:line="360" w:lineRule="auto"/>
        <w:ind w:firstLine="654"/>
        <w:jc w:val="both"/>
        <w:rPr>
          <w:rFonts w:hint="eastAsia" w:ascii="宋体" w:hAnsi="宋体" w:eastAsia="宋体" w:cs="宋体"/>
          <w:sz w:val="24"/>
          <w:szCs w:val="24"/>
          <w:highlight w:val="none"/>
        </w:rPr>
      </w:pPr>
      <w:bookmarkStart w:id="19" w:name="_Toc25144"/>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当发生外部黑客入侵、数据泄露、木马病毒等突发安全事件时，提供包括事件检测与分析、风险抑制、问题根除、协助业务恢复的服务，能够协助用户快速止损，最大化降低安全事件带来的影响</w:t>
      </w:r>
    </w:p>
    <w:p w14:paraId="70086F1F">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服务内容：</w:t>
      </w:r>
      <w:r>
        <w:rPr>
          <w:rFonts w:hint="eastAsia" w:ascii="宋体" w:hAnsi="宋体" w:eastAsia="宋体" w:cs="宋体"/>
          <w:sz w:val="24"/>
          <w:szCs w:val="24"/>
          <w:highlight w:val="none"/>
        </w:rPr>
        <w:t>包括对突发事件或紧急情况的快速响应、协调和处理。服务旨在减轻事件可能带来的负面影响，保障系统安全。应急响应服务涵盖事件评估、优先级处理、响应措施制定、保障措施实施、现场处理与事后处理以及预案制定等多个方面。通过综合运用各种资源，应急响应服务旨在确保用户在面临紧急情况时能够迅速、有效地做出应对，最大程度地减少损失并恢复业务的正常运行。</w:t>
      </w:r>
    </w:p>
    <w:p w14:paraId="2FA3123A">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交付物：出具《应急响应事件报告》，详细记录突发事件的发生原因、处置流程、事后报告等内容。</w:t>
      </w:r>
    </w:p>
    <w:p w14:paraId="405773C5">
      <w:pPr>
        <w:pStyle w:val="36"/>
        <w:spacing w:line="360" w:lineRule="auto"/>
        <w:ind w:firstLine="654"/>
        <w:jc w:val="both"/>
        <w:outlineLvl w:val="1"/>
        <w:rPr>
          <w:rFonts w:hint="eastAsia" w:ascii="宋体" w:hAnsi="宋体" w:eastAsia="宋体" w:cs="宋体"/>
          <w:b/>
          <w:bCs/>
          <w:sz w:val="24"/>
          <w:szCs w:val="24"/>
          <w:highlight w:val="none"/>
        </w:rPr>
      </w:pPr>
      <w:bookmarkStart w:id="20" w:name="_Toc175671822"/>
      <w:r>
        <w:rPr>
          <w:rFonts w:hint="eastAsia" w:ascii="宋体" w:hAnsi="宋体" w:eastAsia="宋体" w:cs="宋体"/>
          <w:b/>
          <w:bCs/>
          <w:sz w:val="24"/>
          <w:szCs w:val="24"/>
          <w:highlight w:val="none"/>
        </w:rPr>
        <w:t>13.重要时期安全保障服务</w:t>
      </w:r>
      <w:bookmarkEnd w:id="19"/>
      <w:bookmarkEnd w:id="20"/>
    </w:p>
    <w:p w14:paraId="22269C92">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在重要时期（如重大会议、重大节假日），对业务系统进行保障支持和检查，具体包括信息安全监测、值守、封堵、研判、溯源、护网前安全巡检、资产梳理、方案规划、整体协调等内容。针对卫生院等单位提供线上支持服务，必要时可提供人员值守服务。</w:t>
      </w:r>
    </w:p>
    <w:p w14:paraId="19039955">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服务内容：</w:t>
      </w:r>
      <w:r>
        <w:rPr>
          <w:rFonts w:hint="eastAsia" w:ascii="宋体" w:hAnsi="宋体" w:eastAsia="宋体" w:cs="宋体"/>
          <w:sz w:val="24"/>
          <w:szCs w:val="24"/>
          <w:highlight w:val="none"/>
        </w:rPr>
        <w:t>省/市级HW、重要会议、活动、检查期间（如国庆、两会、亚运会等），安排专业工程师从网络层面、安全层面、数据层面构建全方面的安全保障服务，提供事前、事中、事后的全面安全建设运维服务。</w:t>
      </w:r>
    </w:p>
    <w:p w14:paraId="0D20FCF9">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事前检查：针对用户信息资产及系统现状进行详细调研，并根据调研信息开展安全自查和整改工作，做好充分的准备工作。</w:t>
      </w:r>
    </w:p>
    <w:p w14:paraId="1A99C8AA">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事中响应：安排专业值守人员和在线工程师做好安全防护和保障工作，第一时间发现并处理威胁流量，做好应急响应处置工作，避免安全事件带来的不良影响。</w:t>
      </w:r>
    </w:p>
    <w:p w14:paraId="2F80584F">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事后分析：对重保期间的工作内容和威胁处置情况进行复盘总结和汇报，为下一步的安全建设和策略制定提供方向和建议。</w:t>
      </w:r>
    </w:p>
    <w:p w14:paraId="331F5E4A">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交付物：提供《人员值守报告》，记录值守期间的每日工作内容、发现的威胁情况、处置过程和结果，并对值守工作进行总结分析，为下一步安全建设提供建议。</w:t>
      </w:r>
    </w:p>
    <w:p w14:paraId="49DFCACF">
      <w:pPr>
        <w:pStyle w:val="36"/>
        <w:spacing w:line="360" w:lineRule="auto"/>
        <w:ind w:firstLine="654"/>
        <w:jc w:val="both"/>
        <w:outlineLvl w:val="1"/>
        <w:rPr>
          <w:rFonts w:hint="eastAsia" w:ascii="宋体" w:hAnsi="宋体" w:eastAsia="宋体" w:cs="宋体"/>
          <w:b/>
          <w:bCs/>
          <w:sz w:val="24"/>
          <w:szCs w:val="24"/>
          <w:highlight w:val="none"/>
        </w:rPr>
      </w:pPr>
      <w:bookmarkStart w:id="21" w:name="_Toc175671826"/>
      <w:bookmarkStart w:id="22" w:name="_Toc20751"/>
      <w:r>
        <w:rPr>
          <w:rFonts w:hint="eastAsia" w:ascii="宋体" w:hAnsi="宋体" w:eastAsia="宋体" w:cs="宋体"/>
          <w:b/>
          <w:bCs/>
          <w:sz w:val="24"/>
          <w:szCs w:val="24"/>
          <w:highlight w:val="none"/>
        </w:rPr>
        <w:t>14.安全培训服务</w:t>
      </w:r>
      <w:bookmarkEnd w:id="21"/>
      <w:bookmarkEnd w:id="22"/>
    </w:p>
    <w:p w14:paraId="3AC7485D">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开展集中安全培训，使各运维人员达到强化安全意识，理解安全理论，掌握安全技术，获得安全实践经验的目的，使得信息安全人员能够掌握安全方面必要的专业理论和技能，全面提升从事信息安全工作人员的管理和技术水平。</w:t>
      </w:r>
    </w:p>
    <w:p w14:paraId="3076FB7F">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服务内容：</w:t>
      </w:r>
      <w:r>
        <w:rPr>
          <w:rFonts w:hint="eastAsia" w:ascii="宋体" w:hAnsi="宋体" w:eastAsia="宋体" w:cs="宋体"/>
          <w:sz w:val="24"/>
          <w:szCs w:val="24"/>
          <w:highlight w:val="none"/>
        </w:rPr>
        <w:t>按要求提供以下培训内容：</w:t>
      </w:r>
    </w:p>
    <w:p w14:paraId="1CFDA040">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1、管理人员主要包括：高层管理、业务专家等。</w:t>
      </w:r>
    </w:p>
    <w:p w14:paraId="63BCF73A">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培训目标：对管理人员的培训，目的是使他们了解国家相关部门对系统信息安全管理和建设的相关标准，同时建立起一套具有针对性和适用性的安全管理办法。</w:t>
      </w:r>
    </w:p>
    <w:p w14:paraId="5FEB220D">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2、技术人员主要包括：操作人员、运维人员等。</w:t>
      </w:r>
    </w:p>
    <w:p w14:paraId="28DDF1B5">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培训目标：对技术人员的培训，目的是使他们了解信息系统所面临的严峻安全威胁和挑战，以及如何进行全面有效的安全防护措施。</w:t>
      </w:r>
    </w:p>
    <w:p w14:paraId="7D90BE93">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3、全员培训主要包括：安全意识培训等。</w:t>
      </w:r>
    </w:p>
    <w:p w14:paraId="48128B45">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培训目标：全体成员的培训，目的是让大家对信息安全的有初步的认识和逐步提高安全意识，让安全事故可以得到有效的避免。</w:t>
      </w:r>
    </w:p>
    <w:p w14:paraId="46D11204">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交付物：《信息安全培训课程》</w:t>
      </w:r>
    </w:p>
    <w:p w14:paraId="088D036E">
      <w:pPr>
        <w:pStyle w:val="36"/>
        <w:spacing w:line="360" w:lineRule="auto"/>
        <w:ind w:firstLine="654"/>
        <w:jc w:val="both"/>
        <w:outlineLvl w:val="1"/>
        <w:rPr>
          <w:rFonts w:hint="eastAsia" w:ascii="宋体" w:hAnsi="宋体" w:eastAsia="宋体" w:cs="宋体"/>
          <w:b/>
          <w:bCs/>
          <w:sz w:val="24"/>
          <w:szCs w:val="24"/>
          <w:highlight w:val="none"/>
        </w:rPr>
      </w:pPr>
      <w:bookmarkStart w:id="23" w:name="_Toc13148"/>
      <w:bookmarkStart w:id="24" w:name="_Toc175671827"/>
      <w:r>
        <w:rPr>
          <w:rFonts w:hint="eastAsia" w:ascii="宋体" w:hAnsi="宋体" w:eastAsia="宋体" w:cs="宋体"/>
          <w:b/>
          <w:bCs/>
          <w:sz w:val="24"/>
          <w:szCs w:val="24"/>
          <w:highlight w:val="none"/>
        </w:rPr>
        <w:t>15.安全演练服务</w:t>
      </w:r>
      <w:bookmarkEnd w:id="23"/>
      <w:bookmarkEnd w:id="24"/>
    </w:p>
    <w:p w14:paraId="3E0F4BC8">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开展安全演练服务，制定应急安全演练预案，并协助开展预案演练。加强网络信息系统安全管理，增强工作人员信息安全意识，进一步提高应急保障能力，保证信息网络系统应急工作高效有序进行，最大限度减小突发事件对医疗服务的影响。</w:t>
      </w:r>
    </w:p>
    <w:p w14:paraId="09BA3CB4">
      <w:pPr>
        <w:pStyle w:val="36"/>
        <w:spacing w:line="360" w:lineRule="auto"/>
        <w:ind w:firstLine="65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p w14:paraId="19926667">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1、可选演练场景应包括但不限于：</w:t>
      </w:r>
    </w:p>
    <w:p w14:paraId="6A953242">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①入侵系统攻击安全事件、②拒绝服务攻击安全事件、③病毒与木马攻击安全事件、④网站页面篡改安全事件、⑤数据库内部误操作</w:t>
      </w:r>
    </w:p>
    <w:p w14:paraId="56670519">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2、可选演练内容应包括但不限于：</w:t>
      </w:r>
    </w:p>
    <w:p w14:paraId="10124A5F">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①信息篡改：模拟针对网站首页篡改事件的监控和处理（利用上传漏洞或者弱口令实施攻击）。</w:t>
      </w:r>
    </w:p>
    <w:p w14:paraId="6C8181B9">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②拒绝服务：模拟从外部发起的针对网站的拒绝服务攻击事件的监控和处理（UD\CC等DDOS攻击工具）。</w:t>
      </w:r>
    </w:p>
    <w:p w14:paraId="02914F0C">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③恶意代码：模拟某恶意攻击者，利用系统的弱口令，利用windows共享管理服务（tcp/445），获得对服务器的控制权限。</w:t>
      </w:r>
    </w:p>
    <w:p w14:paraId="2DBDE692">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④DNS劫持：模拟由于网站的域名解析管理账号存在弱口令，域名权威解析被篡改事件。</w:t>
      </w:r>
    </w:p>
    <w:p w14:paraId="5A0429B7">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交付物：演练前出具《安全演练预案》，需包含安全演练目标、范围、时间、人员、过程等，演练结束后出具《安全演练报告》，详细记录应急演练的时间、实际参与人员、演练过程、问题记录、复盘分析等。</w:t>
      </w:r>
    </w:p>
    <w:bookmarkEnd w:id="3"/>
    <w:p w14:paraId="3C82B4E8">
      <w:pPr>
        <w:spacing w:line="360" w:lineRule="auto"/>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商务</w:t>
      </w:r>
      <w:r>
        <w:rPr>
          <w:rFonts w:hint="eastAsia" w:ascii="宋体" w:hAnsi="宋体" w:eastAsia="宋体" w:cs="宋体"/>
          <w:b/>
          <w:color w:val="000000"/>
          <w:sz w:val="24"/>
          <w:szCs w:val="24"/>
          <w:highlight w:val="none"/>
        </w:rPr>
        <w:t>要求</w:t>
      </w:r>
    </w:p>
    <w:p w14:paraId="0A50DAAC">
      <w:pPr>
        <w:pStyle w:val="36"/>
        <w:spacing w:line="360" w:lineRule="auto"/>
        <w:ind w:firstLine="652"/>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报价方式：本次报价方式为总价包干，不允许分包。投标总价应包括本项目整个服务期所需的一切软硬件及人工、工具、保险、交通、利润、税金、售后服务、保修（包含须由投标人承担的各种税费）、其它需投标人承担的费用及潜在可能涉及的一切费用。</w:t>
      </w:r>
    </w:p>
    <w:p w14:paraId="759E5A85">
      <w:pPr>
        <w:pStyle w:val="36"/>
        <w:spacing w:line="360" w:lineRule="auto"/>
        <w:ind w:firstLine="652"/>
        <w:jc w:val="both"/>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t>、付款方式：本次项目服务期限三年，合同签订完成具备服务实施条件后30日内支付30%合同款作为预付款，具体金额以合同签订为准；逐年支付每年服务费用，具体如下：</w:t>
      </w:r>
    </w:p>
    <w:p w14:paraId="514488CC">
      <w:pPr>
        <w:pStyle w:val="36"/>
        <w:spacing w:line="360" w:lineRule="auto"/>
        <w:ind w:firstLine="652"/>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第一年：自合同签订之日起满一年，经业务主管部门年度验收合格完成后30日内支付剩余合同款的20%；</w:t>
      </w:r>
    </w:p>
    <w:p w14:paraId="4313467A">
      <w:pPr>
        <w:pStyle w:val="36"/>
        <w:spacing w:line="360" w:lineRule="auto"/>
        <w:ind w:firstLine="652"/>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第二年：自合同签订之日起满第二年，经业务主管部门年度验收合格完成后30日内支付剩余合同款20%；</w:t>
      </w:r>
    </w:p>
    <w:p w14:paraId="7890D5FB">
      <w:pPr>
        <w:pStyle w:val="36"/>
        <w:spacing w:line="360" w:lineRule="auto"/>
        <w:ind w:firstLine="652"/>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第三年：自合同签订之日起满三年，经业务主管部门年度验收合格完成后30日内支付剩余合同款。</w:t>
      </w:r>
    </w:p>
    <w:p w14:paraId="0D4AC1CC">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3、服务期：本次服务时间3年，具体日期以合同签订时间为准。</w:t>
      </w:r>
    </w:p>
    <w:p w14:paraId="0A036D9A">
      <w:pPr>
        <w:pStyle w:val="36"/>
        <w:spacing w:line="360" w:lineRule="auto"/>
        <w:ind w:firstLine="652"/>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4、售后服务：如有技术疑难问题，须半小时内响应；如需到达现场处置，须2小时内到达。在服务期内，提供信息安全的咨询服务，能够协助用户进行安全整改、制度建设等工作。</w:t>
      </w:r>
    </w:p>
    <w:p w14:paraId="2CD1F074">
      <w:pPr>
        <w:pStyle w:val="36"/>
        <w:spacing w:line="360" w:lineRule="auto"/>
        <w:ind w:firstLine="652"/>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信息安全保障赔付约定：本次信息安全运维服务根据信息化业务部署情况、安全建设情况、和服务工具、人力的投入不同，重点保障衢江区卫生健康局、衢州市第二人民医院、衢江区中医院、衢江区妇保院信息安全，一旦发生安全事件属服务内容保障不到位的情况约定如下赔付内容：</w:t>
      </w:r>
    </w:p>
    <w:p w14:paraId="59B16FCE">
      <w:pPr>
        <w:pStyle w:val="36"/>
        <w:spacing w:line="360" w:lineRule="auto"/>
        <w:ind w:firstLine="652"/>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1）攻防演练通报：服务期限内，省、市级以及区级攻防演练网络信息环境被打穿、核心业务重要通报，属安全服务缺失的，每发生一次扣5000元整，以此类推，罚款金额从当年服务合同款里扣除。</w:t>
      </w:r>
    </w:p>
    <w:p w14:paraId="1B26D63C">
      <w:pPr>
        <w:pStyle w:val="36"/>
        <w:spacing w:line="360" w:lineRule="auto"/>
        <w:ind w:firstLine="652"/>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真实安全事件：发生真实安全事件，造成数据泄露、破坏的，或给医院业务造成长时间瘫痪，影响医院经济损失或名誉损失的，属重大安全服务缺失，每发生一次扣5000元整，以此类推，罚款金额从当年服务合同款里扣除。</w:t>
      </w:r>
    </w:p>
    <w:p w14:paraId="7D886F10">
      <w:pPr>
        <w:pStyle w:val="36"/>
        <w:spacing w:line="360" w:lineRule="auto"/>
        <w:ind w:firstLine="652"/>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3）根据安全事件情节的发生频率、严重程度，用户可随时解除安全服务合同。</w:t>
      </w:r>
    </w:p>
    <w:p w14:paraId="00BFDFE4">
      <w:pPr>
        <w:rPr>
          <w:highlight w:val="none"/>
        </w:rPr>
      </w:pPr>
    </w:p>
    <w:p w14:paraId="36DCE6E5">
      <w:pPr>
        <w:pStyle w:val="3"/>
        <w:rPr>
          <w:rFonts w:hint="eastAsia"/>
          <w:highlight w:val="none"/>
        </w:rPr>
      </w:pPr>
    </w:p>
    <w:p w14:paraId="0ECF2C0D">
      <w:pPr>
        <w:pageBreakBefore w:val="0"/>
        <w:widowControl w:val="0"/>
        <w:kinsoku/>
        <w:wordWrap/>
        <w:overflowPunct/>
        <w:topLinePunct w:val="0"/>
        <w:bidi w:val="0"/>
        <w:spacing w:line="400" w:lineRule="exact"/>
        <w:ind w:firstLine="480" w:firstLineChars="200"/>
        <w:rPr>
          <w:rFonts w:hint="eastAsia" w:ascii="宋体" w:hAnsi="宋体" w:eastAsia="宋体" w:cs="宋体"/>
          <w:sz w:val="24"/>
          <w:szCs w:val="24"/>
          <w:highlight w:val="none"/>
        </w:rPr>
      </w:pPr>
    </w:p>
    <w:p w14:paraId="06C22354">
      <w:pPr>
        <w:pageBreakBefore w:val="0"/>
        <w:widowControl w:val="0"/>
        <w:kinsoku/>
        <w:wordWrap/>
        <w:overflowPunct/>
        <w:topLinePunct w:val="0"/>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71961031">
      <w:pPr>
        <w:ind w:firstLine="2891" w:firstLineChars="900"/>
        <w:rPr>
          <w:rFonts w:hAnsi="宋体" w:cs="宋体"/>
          <w:sz w:val="30"/>
          <w:szCs w:val="30"/>
          <w:highlight w:val="none"/>
        </w:rPr>
      </w:pPr>
      <w:r>
        <w:rPr>
          <w:rFonts w:hint="eastAsia" w:hAnsi="宋体" w:cs="宋体"/>
          <w:b/>
          <w:bCs/>
          <w:sz w:val="32"/>
          <w:szCs w:val="32"/>
          <w:highlight w:val="none"/>
        </w:rPr>
        <w:t>第四章 评标办法及评分标准</w:t>
      </w:r>
    </w:p>
    <w:p w14:paraId="5D53AC5E">
      <w:pPr>
        <w:pageBreakBefore w:val="0"/>
        <w:kinsoku/>
        <w:wordWrap/>
        <w:overflowPunct/>
        <w:topLinePunct w:val="0"/>
        <w:autoSpaceDE/>
        <w:autoSpaceDN/>
        <w:bidi w:val="0"/>
        <w:adjustRightInd/>
        <w:snapToGrid/>
        <w:spacing w:before="120" w:beforeLines="50" w:after="120" w:afterLines="50"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为公正、公平、科学地选择</w:t>
      </w:r>
      <w:r>
        <w:rPr>
          <w:rFonts w:hint="eastAsia" w:ascii="宋体" w:hAnsi="宋体" w:cs="宋体"/>
          <w:sz w:val="24"/>
          <w:highlight w:val="none"/>
          <w:lang w:eastAsia="zh-CN"/>
        </w:rPr>
        <w:t>中标供应商</w:t>
      </w:r>
      <w:r>
        <w:rPr>
          <w:rFonts w:hint="eastAsia" w:ascii="宋体" w:hAnsi="宋体" w:cs="宋体"/>
          <w:sz w:val="24"/>
          <w:highlight w:val="none"/>
        </w:rPr>
        <w:t>，根据《中华人民共和国政府采购法》等有关法律法规的规定，并结合本项目的实际，制定本办法。</w:t>
      </w:r>
    </w:p>
    <w:p w14:paraId="5CE73A45">
      <w:pPr>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本办法适用于</w:t>
      </w:r>
      <w:r>
        <w:rPr>
          <w:rFonts w:hint="eastAsia" w:ascii="宋体" w:hAnsi="宋体" w:cs="宋体"/>
          <w:b/>
          <w:bCs/>
          <w:sz w:val="24"/>
          <w:highlight w:val="none"/>
          <w:u w:val="single"/>
          <w:lang w:eastAsia="zh-CN"/>
        </w:rPr>
        <w:t>信息安全运维服务项目</w:t>
      </w:r>
      <w:r>
        <w:rPr>
          <w:rFonts w:hint="eastAsia" w:ascii="宋体" w:hAnsi="宋体" w:cs="宋体"/>
          <w:sz w:val="24"/>
          <w:highlight w:val="none"/>
        </w:rPr>
        <w:t>的评标。</w:t>
      </w:r>
    </w:p>
    <w:p w14:paraId="7379E662">
      <w:pPr>
        <w:pageBreakBefore w:val="0"/>
        <w:kinsoku/>
        <w:wordWrap/>
        <w:overflowPunct/>
        <w:topLinePunct w:val="0"/>
        <w:autoSpaceDE/>
        <w:autoSpaceDN/>
        <w:bidi w:val="0"/>
        <w:adjustRightInd/>
        <w:snapToGrid/>
        <w:spacing w:before="120" w:beforeLines="50" w:after="120" w:afterLines="50" w:line="400" w:lineRule="exact"/>
        <w:ind w:firstLine="562" w:firstLineChars="200"/>
        <w:textAlignment w:val="auto"/>
        <w:rPr>
          <w:rFonts w:ascii="宋体" w:hAnsi="宋体" w:cs="宋体"/>
          <w:b/>
          <w:sz w:val="28"/>
          <w:szCs w:val="28"/>
          <w:highlight w:val="none"/>
        </w:rPr>
      </w:pPr>
      <w:r>
        <w:rPr>
          <w:rFonts w:hint="eastAsia" w:ascii="宋体" w:hAnsi="宋体" w:cs="宋体"/>
          <w:b/>
          <w:sz w:val="28"/>
          <w:szCs w:val="28"/>
          <w:highlight w:val="none"/>
        </w:rPr>
        <w:t>一、总则</w:t>
      </w:r>
    </w:p>
    <w:p w14:paraId="2010F0FB">
      <w:pPr>
        <w:pageBreakBefore w:val="0"/>
        <w:kinsoku/>
        <w:wordWrap/>
        <w:overflowPunct/>
        <w:topLinePunct w:val="0"/>
        <w:autoSpaceDE/>
        <w:autoSpaceDN/>
        <w:bidi w:val="0"/>
        <w:adjustRightInd/>
        <w:snapToGrid/>
        <w:spacing w:before="120" w:beforeLines="50" w:after="120" w:afterLines="50"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本次评标采用综合评分法，总分为100分（价格分、技术、商务及其他分的分值详见各个标的评标内容）。合格投标人的评标得分为各项目汇总得分，中标候选资格按评标综合得分由</w:t>
      </w:r>
      <w:r>
        <w:rPr>
          <w:rFonts w:hint="eastAsia" w:ascii="宋体" w:hAnsi="宋体" w:cs="宋体"/>
          <w:sz w:val="24"/>
          <w:highlight w:val="none"/>
        </w:rPr>
        <w:t>高到低顺序排列，得分相同的，按投标报价由低到高顺序排列；综合得分相同且投标报价相同的，依次按技术分，商务分及其他分得分顺序由高到低排列名次。排名第一的投标人为中标候选人,排名第二的投标人为候补中标候选人……其他投标人中标候选资格依此类推。</w:t>
      </w:r>
      <w:r>
        <w:rPr>
          <w:rFonts w:hint="eastAsia" w:ascii="宋体" w:hAnsi="宋体" w:cs="宋体"/>
          <w:bCs/>
          <w:sz w:val="24"/>
          <w:highlight w:val="none"/>
        </w:rPr>
        <w:t>评分过程中采用四舍五入法，并保留小数2位。</w:t>
      </w:r>
    </w:p>
    <w:p w14:paraId="247B9886">
      <w:pPr>
        <w:pStyle w:val="14"/>
        <w:pageBreakBefore w:val="0"/>
        <w:kinsoku/>
        <w:wordWrap/>
        <w:overflowPunct/>
        <w:topLinePunct w:val="0"/>
        <w:autoSpaceDE/>
        <w:autoSpaceDN/>
        <w:bidi w:val="0"/>
        <w:adjustRightInd/>
        <w:snapToGrid/>
        <w:spacing w:before="120" w:beforeLines="50" w:after="120" w:afterLines="50" w:line="400" w:lineRule="exact"/>
        <w:ind w:firstLine="464" w:firstLineChars="200"/>
        <w:textAlignment w:val="auto"/>
        <w:rPr>
          <w:rFonts w:hAnsi="宋体" w:cs="宋体"/>
          <w:spacing w:val="0"/>
          <w:sz w:val="24"/>
          <w:szCs w:val="24"/>
          <w:highlight w:val="none"/>
        </w:rPr>
      </w:pPr>
      <w:r>
        <w:rPr>
          <w:rFonts w:hint="eastAsia" w:hAnsi="宋体" w:cs="宋体"/>
          <w:bCs/>
          <w:sz w:val="24"/>
          <w:szCs w:val="24"/>
          <w:highlight w:val="none"/>
        </w:rPr>
        <w:t>投标人评标综合得分</w:t>
      </w:r>
      <w:r>
        <w:rPr>
          <w:rFonts w:hint="eastAsia" w:hAnsi="宋体" w:cs="宋体"/>
          <w:spacing w:val="0"/>
          <w:sz w:val="24"/>
          <w:szCs w:val="24"/>
          <w:highlight w:val="none"/>
        </w:rPr>
        <w:t>=商务技术部分（</w:t>
      </w:r>
      <w:r>
        <w:rPr>
          <w:rFonts w:hint="eastAsia" w:hAnsi="宋体" w:cs="宋体"/>
          <w:spacing w:val="0"/>
          <w:sz w:val="24"/>
          <w:szCs w:val="24"/>
          <w:highlight w:val="none"/>
          <w:lang w:val="en-US" w:eastAsia="zh-CN"/>
        </w:rPr>
        <w:t>80</w:t>
      </w:r>
      <w:r>
        <w:rPr>
          <w:rFonts w:hint="eastAsia" w:hAnsi="宋体" w:cs="宋体"/>
          <w:spacing w:val="0"/>
          <w:sz w:val="24"/>
          <w:szCs w:val="24"/>
          <w:highlight w:val="none"/>
        </w:rPr>
        <w:t>分）+价格分（</w:t>
      </w:r>
      <w:r>
        <w:rPr>
          <w:rFonts w:hint="eastAsia" w:hAnsi="宋体" w:cs="宋体"/>
          <w:spacing w:val="0"/>
          <w:sz w:val="24"/>
          <w:szCs w:val="24"/>
          <w:highlight w:val="none"/>
          <w:lang w:val="en-US" w:eastAsia="zh-CN"/>
        </w:rPr>
        <w:t>20</w:t>
      </w:r>
      <w:r>
        <w:rPr>
          <w:rFonts w:hint="eastAsia" w:hAnsi="宋体" w:cs="宋体"/>
          <w:spacing w:val="0"/>
          <w:sz w:val="24"/>
          <w:szCs w:val="24"/>
          <w:highlight w:val="none"/>
        </w:rPr>
        <w:t>分）</w:t>
      </w:r>
    </w:p>
    <w:p w14:paraId="59478E97">
      <w:pPr>
        <w:pageBreakBefore w:val="0"/>
        <w:kinsoku/>
        <w:wordWrap/>
        <w:overflowPunct/>
        <w:topLinePunct w:val="0"/>
        <w:autoSpaceDE/>
        <w:autoSpaceDN/>
        <w:bidi w:val="0"/>
        <w:adjustRightInd/>
        <w:snapToGrid/>
        <w:spacing w:before="120" w:beforeLines="50" w:after="120" w:afterLines="50" w:line="400" w:lineRule="exact"/>
        <w:ind w:firstLine="562" w:firstLineChars="200"/>
        <w:textAlignment w:val="auto"/>
        <w:rPr>
          <w:rFonts w:ascii="宋体" w:hAnsi="宋体" w:cs="宋体"/>
          <w:b/>
          <w:sz w:val="28"/>
          <w:szCs w:val="28"/>
          <w:highlight w:val="none"/>
        </w:rPr>
      </w:pPr>
      <w:r>
        <w:rPr>
          <w:rFonts w:hint="eastAsia" w:ascii="宋体" w:hAnsi="宋体" w:cs="宋体"/>
          <w:b/>
          <w:sz w:val="28"/>
          <w:szCs w:val="28"/>
          <w:highlight w:val="none"/>
        </w:rPr>
        <w:t>二、评标内容及标准</w:t>
      </w:r>
    </w:p>
    <w:p w14:paraId="68131FF7">
      <w:pPr>
        <w:pageBreakBefore w:val="0"/>
        <w:kinsoku/>
        <w:wordWrap/>
        <w:overflowPunct/>
        <w:topLinePunct w:val="0"/>
        <w:autoSpaceDE/>
        <w:autoSpaceDN/>
        <w:bidi w:val="0"/>
        <w:adjustRightInd/>
        <w:snapToGrid/>
        <w:spacing w:before="120" w:beforeLines="50" w:after="120" w:afterLines="50" w:line="400" w:lineRule="exact"/>
        <w:ind w:firstLine="482" w:firstLineChars="200"/>
        <w:textAlignment w:val="auto"/>
        <w:rPr>
          <w:rFonts w:ascii="宋体" w:hAnsi="宋体" w:cs="宋体"/>
          <w:b/>
          <w:bCs/>
          <w:sz w:val="24"/>
          <w:highlight w:val="none"/>
        </w:rPr>
      </w:pPr>
      <w:r>
        <w:rPr>
          <w:rFonts w:hint="eastAsia" w:ascii="宋体" w:hAnsi="宋体" w:cs="宋体"/>
          <w:b/>
          <w:bCs/>
          <w:sz w:val="24"/>
          <w:highlight w:val="none"/>
        </w:rPr>
        <w:t>（一）价格分</w:t>
      </w:r>
      <w:r>
        <w:rPr>
          <w:rFonts w:hint="eastAsia" w:ascii="宋体" w:hAnsi="宋体" w:eastAsia="宋体" w:cs="宋体"/>
          <w:b/>
          <w:bCs/>
          <w:sz w:val="24"/>
          <w:szCs w:val="24"/>
          <w:highlight w:val="none"/>
          <w:lang w:val="en-US" w:eastAsia="zh-CN"/>
        </w:rPr>
        <w:t>计算方式</w:t>
      </w:r>
      <w:r>
        <w:rPr>
          <w:rFonts w:hint="eastAsia" w:ascii="宋体" w:hAnsi="宋体" w:cs="宋体"/>
          <w:b/>
          <w:bCs/>
          <w:sz w:val="24"/>
          <w:highlight w:val="none"/>
        </w:rPr>
        <w:t>（</w:t>
      </w:r>
      <w:r>
        <w:rPr>
          <w:rFonts w:hint="eastAsia" w:ascii="宋体" w:hAnsi="宋体" w:cs="宋体"/>
          <w:b/>
          <w:bCs/>
          <w:sz w:val="24"/>
          <w:highlight w:val="none"/>
          <w:lang w:val="en-US" w:eastAsia="zh-CN"/>
        </w:rPr>
        <w:t>20</w:t>
      </w:r>
      <w:r>
        <w:rPr>
          <w:rFonts w:hint="eastAsia" w:ascii="宋体" w:hAnsi="宋体" w:cs="宋体"/>
          <w:b/>
          <w:bCs/>
          <w:sz w:val="24"/>
          <w:highlight w:val="none"/>
        </w:rPr>
        <w:t>分）</w:t>
      </w:r>
    </w:p>
    <w:p w14:paraId="52D68088">
      <w:pPr>
        <w:pStyle w:val="14"/>
        <w:pageBreakBefore w:val="0"/>
        <w:kinsoku/>
        <w:wordWrap/>
        <w:overflowPunct/>
        <w:topLinePunct w:val="0"/>
        <w:autoSpaceDE/>
        <w:autoSpaceDN/>
        <w:bidi w:val="0"/>
        <w:adjustRightInd/>
        <w:snapToGrid/>
        <w:spacing w:before="120" w:beforeLines="50" w:after="120" w:afterLines="50" w:line="400" w:lineRule="exact"/>
        <w:ind w:firstLine="464" w:firstLineChars="200"/>
        <w:textAlignment w:val="auto"/>
        <w:rPr>
          <w:rFonts w:hAnsi="宋体" w:cs="宋体"/>
          <w:bCs/>
          <w:sz w:val="24"/>
          <w:szCs w:val="24"/>
          <w:highlight w:val="none"/>
        </w:rPr>
      </w:pPr>
      <w:r>
        <w:rPr>
          <w:rFonts w:hint="eastAsia" w:hAnsi="宋体" w:cs="宋体"/>
          <w:b w:val="0"/>
          <w:bCs/>
          <w:sz w:val="24"/>
          <w:highlight w:val="none"/>
        </w:rPr>
        <w:t>1</w:t>
      </w:r>
      <w:r>
        <w:rPr>
          <w:rFonts w:hint="eastAsia" w:hAnsi="宋体" w:cs="宋体"/>
          <w:b w:val="0"/>
          <w:bCs/>
          <w:sz w:val="24"/>
          <w:highlight w:val="none"/>
          <w:lang w:eastAsia="zh-CN"/>
        </w:rPr>
        <w:t>.</w:t>
      </w:r>
      <w:r>
        <w:rPr>
          <w:rFonts w:hint="eastAsia" w:hAnsi="宋体" w:cs="宋体"/>
          <w:bCs/>
          <w:sz w:val="24"/>
          <w:szCs w:val="24"/>
          <w:highlight w:val="none"/>
        </w:rPr>
        <w:t>价格分采用低价优先法计算，取所有投技术入围投标人中投标价格最低的投标报价为评标基准价，其他投标人的价格分按照下列公式计算：</w:t>
      </w:r>
    </w:p>
    <w:p w14:paraId="6D2D27F9">
      <w:pPr>
        <w:pStyle w:val="14"/>
        <w:pageBreakBefore w:val="0"/>
        <w:kinsoku/>
        <w:wordWrap/>
        <w:overflowPunct/>
        <w:topLinePunct w:val="0"/>
        <w:autoSpaceDE/>
        <w:autoSpaceDN/>
        <w:bidi w:val="0"/>
        <w:adjustRightInd/>
        <w:snapToGrid/>
        <w:spacing w:before="156" w:beforeLines="50" w:after="156" w:afterLines="50" w:line="400" w:lineRule="exact"/>
        <w:ind w:firstLine="464" w:firstLineChars="200"/>
        <w:textAlignment w:val="auto"/>
        <w:rPr>
          <w:rFonts w:hint="eastAsia" w:ascii="宋体" w:hAnsi="宋体"/>
          <w:b/>
          <w:spacing w:val="-4"/>
          <w:sz w:val="24"/>
          <w:highlight w:val="none"/>
        </w:rPr>
      </w:pPr>
      <w:r>
        <w:rPr>
          <w:rFonts w:hint="eastAsia" w:hAnsi="宋体"/>
          <w:bCs/>
          <w:sz w:val="24"/>
          <w:szCs w:val="24"/>
          <w:highlight w:val="none"/>
        </w:rPr>
        <w:t>价格分=（评审基准价/</w:t>
      </w:r>
      <w:r>
        <w:rPr>
          <w:rFonts w:hint="eastAsia" w:hAnsi="宋体"/>
          <w:bCs/>
          <w:sz w:val="24"/>
          <w:szCs w:val="24"/>
          <w:highlight w:val="none"/>
          <w:lang w:val="en-US" w:eastAsia="zh-CN"/>
        </w:rPr>
        <w:t>投标</w:t>
      </w:r>
      <w:r>
        <w:rPr>
          <w:rFonts w:hint="eastAsia" w:hAnsi="宋体"/>
          <w:bCs/>
          <w:sz w:val="24"/>
          <w:szCs w:val="24"/>
          <w:highlight w:val="none"/>
        </w:rPr>
        <w:t>报价）×</w:t>
      </w:r>
      <w:r>
        <w:rPr>
          <w:rFonts w:hint="eastAsia" w:hAnsi="宋体"/>
          <w:bCs/>
          <w:sz w:val="24"/>
          <w:szCs w:val="24"/>
          <w:highlight w:val="none"/>
          <w:u w:val="single"/>
          <w:lang w:val="en-US" w:eastAsia="zh-CN"/>
        </w:rPr>
        <w:t>20</w:t>
      </w:r>
      <w:r>
        <w:rPr>
          <w:rFonts w:hint="eastAsia" w:hAnsi="宋体"/>
          <w:bCs/>
          <w:sz w:val="24"/>
          <w:szCs w:val="24"/>
          <w:highlight w:val="none"/>
          <w:u w:val="single"/>
        </w:rPr>
        <w:t>%</w:t>
      </w:r>
      <w:r>
        <w:rPr>
          <w:rFonts w:hint="eastAsia" w:hAnsi="宋体"/>
          <w:bCs/>
          <w:sz w:val="24"/>
          <w:szCs w:val="24"/>
          <w:highlight w:val="none"/>
        </w:rPr>
        <w:t>×100</w:t>
      </w:r>
    </w:p>
    <w:p w14:paraId="2806ED06">
      <w:pPr>
        <w:pStyle w:val="25"/>
        <w:pageBreakBefore w:val="0"/>
        <w:numPr>
          <w:ilvl w:val="0"/>
          <w:numId w:val="0"/>
        </w:numPr>
        <w:kinsoku/>
        <w:wordWrap/>
        <w:overflowPunct/>
        <w:topLinePunct w:val="0"/>
        <w:autoSpaceDE/>
        <w:autoSpaceDN/>
        <w:bidi w:val="0"/>
        <w:adjustRightInd/>
        <w:snapToGrid/>
        <w:spacing w:before="72" w:beforeLines="30" w:beforeAutospacing="0" w:after="72" w:afterLines="30" w:afterAutospacing="0" w:line="400" w:lineRule="exact"/>
        <w:ind w:firstLine="464" w:firstLineChars="200"/>
        <w:textAlignment w:val="auto"/>
        <w:rPr>
          <w:rFonts w:hint="default" w:ascii="宋体" w:hAnsi="宋体" w:eastAsia="宋体" w:cs="宋体"/>
          <w:b/>
          <w:bCs/>
          <w:sz w:val="24"/>
          <w:highlight w:val="none"/>
          <w:u w:val="none"/>
          <w:lang w:val="en-US" w:eastAsia="zh-CN"/>
        </w:rPr>
      </w:pPr>
      <w:r>
        <w:rPr>
          <w:rFonts w:hint="eastAsia" w:cs="宋体"/>
          <w:bCs/>
          <w:color w:val="auto"/>
          <w:spacing w:val="-4"/>
          <w:kern w:val="2"/>
          <w:highlight w:val="none"/>
        </w:rPr>
        <w:t>2</w:t>
      </w:r>
      <w:r>
        <w:rPr>
          <w:rFonts w:hint="eastAsia" w:cs="宋体"/>
          <w:bCs/>
          <w:color w:val="auto"/>
          <w:spacing w:val="-4"/>
          <w:kern w:val="2"/>
          <w:highlight w:val="none"/>
          <w:lang w:eastAsia="zh-CN"/>
        </w:rPr>
        <w:t>.</w:t>
      </w:r>
      <w:r>
        <w:rPr>
          <w:rFonts w:hint="eastAsia" w:cs="宋体"/>
          <w:b w:val="0"/>
          <w:bCs/>
          <w:color w:val="auto"/>
          <w:spacing w:val="-4"/>
          <w:kern w:val="2"/>
          <w:highlight w:val="none"/>
          <w:lang w:val="en-US" w:eastAsia="zh-CN"/>
        </w:rPr>
        <w:t>本项目专门面向中小企业，故无需给予小微企业价格优惠扣除。</w:t>
      </w:r>
    </w:p>
    <w:p w14:paraId="1AC8E92A">
      <w:pPr>
        <w:pStyle w:val="25"/>
        <w:pageBreakBefore w:val="0"/>
        <w:numPr>
          <w:ilvl w:val="0"/>
          <w:numId w:val="0"/>
        </w:numPr>
        <w:kinsoku/>
        <w:wordWrap/>
        <w:overflowPunct/>
        <w:topLinePunct w:val="0"/>
        <w:autoSpaceDE/>
        <w:autoSpaceDN/>
        <w:bidi w:val="0"/>
        <w:adjustRightInd/>
        <w:snapToGrid/>
        <w:spacing w:before="72" w:beforeLines="30" w:beforeAutospacing="0" w:after="72" w:afterLines="30" w:afterAutospacing="0" w:line="400" w:lineRule="exact"/>
        <w:ind w:firstLine="482" w:firstLineChars="200"/>
        <w:textAlignment w:val="auto"/>
        <w:rPr>
          <w:rFonts w:hint="default" w:ascii="宋体" w:hAnsi="宋体" w:eastAsia="宋体" w:cs="宋体"/>
          <w:b/>
          <w:bCs/>
          <w:sz w:val="24"/>
          <w:highlight w:val="none"/>
          <w:u w:val="none"/>
          <w:lang w:val="en-US" w:eastAsia="zh-CN"/>
        </w:rPr>
      </w:pPr>
      <w:r>
        <w:rPr>
          <w:rFonts w:hint="eastAsia" w:hAnsi="宋体" w:cs="宋体"/>
          <w:b/>
          <w:bCs/>
          <w:color w:val="000000"/>
          <w:sz w:val="24"/>
          <w:highlight w:val="none"/>
        </w:rPr>
        <w:t>（二）商务技术部分（</w:t>
      </w:r>
      <w:r>
        <w:rPr>
          <w:rFonts w:hint="eastAsia" w:cs="宋体"/>
          <w:b/>
          <w:bCs/>
          <w:color w:val="000000"/>
          <w:sz w:val="24"/>
          <w:highlight w:val="none"/>
          <w:lang w:val="en-US" w:eastAsia="zh-CN"/>
        </w:rPr>
        <w:t>8</w:t>
      </w:r>
      <w:r>
        <w:rPr>
          <w:rFonts w:hint="eastAsia" w:ascii="宋体" w:hAnsi="宋体" w:cs="宋体"/>
          <w:b/>
          <w:bCs/>
          <w:color w:val="000000"/>
          <w:sz w:val="24"/>
          <w:highlight w:val="none"/>
          <w:lang w:val="en-US" w:eastAsia="zh-CN"/>
        </w:rPr>
        <w:t>0</w:t>
      </w:r>
      <w:r>
        <w:rPr>
          <w:rFonts w:hint="eastAsia" w:ascii="宋体" w:hAnsi="宋体" w:eastAsia="宋体" w:cs="宋体"/>
          <w:b/>
          <w:bCs/>
          <w:color w:val="000000"/>
          <w:sz w:val="24"/>
          <w:highlight w:val="none"/>
        </w:rPr>
        <w:t>分</w:t>
      </w:r>
      <w:r>
        <w:rPr>
          <w:rFonts w:hint="eastAsia" w:hAnsi="宋体" w:cs="宋体"/>
          <w:b/>
          <w:bCs/>
          <w:color w:val="000000"/>
          <w:sz w:val="24"/>
          <w:highlight w:val="none"/>
        </w:rPr>
        <w:t>）</w:t>
      </w:r>
      <w:r>
        <w:rPr>
          <w:rFonts w:hint="eastAsia" w:cs="宋体"/>
          <w:b/>
          <w:bCs/>
          <w:color w:val="000000"/>
          <w:sz w:val="24"/>
          <w:highlight w:val="none"/>
          <w:lang w:val="en-US" w:eastAsia="zh-CN"/>
        </w:rPr>
        <w:t>价格分（20分）</w:t>
      </w:r>
    </w:p>
    <w:tbl>
      <w:tblPr>
        <w:tblStyle w:val="29"/>
        <w:tblW w:w="10105"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62"/>
        <w:gridCol w:w="6982"/>
        <w:gridCol w:w="1065"/>
      </w:tblGrid>
      <w:tr w14:paraId="17BD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noWrap w:val="0"/>
            <w:vAlign w:val="center"/>
          </w:tcPr>
          <w:p w14:paraId="365EE41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序号</w:t>
            </w:r>
          </w:p>
        </w:tc>
        <w:tc>
          <w:tcPr>
            <w:tcW w:w="1362" w:type="dxa"/>
            <w:noWrap w:val="0"/>
            <w:vAlign w:val="center"/>
          </w:tcPr>
          <w:p w14:paraId="433511B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评价指标</w:t>
            </w:r>
          </w:p>
        </w:tc>
        <w:tc>
          <w:tcPr>
            <w:tcW w:w="6982" w:type="dxa"/>
            <w:noWrap w:val="0"/>
            <w:vAlign w:val="center"/>
          </w:tcPr>
          <w:p w14:paraId="534B48EE">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评分细则</w:t>
            </w:r>
          </w:p>
        </w:tc>
        <w:tc>
          <w:tcPr>
            <w:tcW w:w="1065" w:type="dxa"/>
            <w:noWrap w:val="0"/>
            <w:vAlign w:val="center"/>
          </w:tcPr>
          <w:p w14:paraId="56328EB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0C8E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96" w:type="dxa"/>
            <w:shd w:val="clear" w:color="auto" w:fill="auto"/>
            <w:noWrap w:val="0"/>
            <w:vAlign w:val="center"/>
          </w:tcPr>
          <w:p w14:paraId="11AF86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362" w:type="dxa"/>
            <w:noWrap w:val="0"/>
            <w:vAlign w:val="center"/>
          </w:tcPr>
          <w:p w14:paraId="47CC16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投标人认证证书</w:t>
            </w:r>
          </w:p>
        </w:tc>
        <w:tc>
          <w:tcPr>
            <w:tcW w:w="6982" w:type="dxa"/>
            <w:noWrap w:val="0"/>
            <w:vAlign w:val="center"/>
          </w:tcPr>
          <w:p w14:paraId="6A7C50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供应商具有有效期内的</w:t>
            </w:r>
            <w:r>
              <w:rPr>
                <w:rFonts w:hint="eastAsia" w:ascii="宋体" w:hAnsi="宋体" w:eastAsia="宋体" w:cs="宋体"/>
                <w:color w:val="auto"/>
                <w:sz w:val="24"/>
                <w:szCs w:val="24"/>
                <w:highlight w:val="none"/>
                <w:lang w:val="en-US" w:eastAsia="zh-CN"/>
              </w:rPr>
              <w:t>信息技术服务管理体系认证证书、质量管理体系认证证书</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val="en-US" w:eastAsia="zh-CN"/>
              </w:rPr>
              <w:t>业务连续性管理体系认证证书</w:t>
            </w:r>
            <w:r>
              <w:rPr>
                <w:rFonts w:hint="eastAsia" w:ascii="宋体" w:hAnsi="宋体" w:eastAsia="宋体" w:cs="宋体"/>
                <w:sz w:val="24"/>
                <w:szCs w:val="24"/>
                <w:highlight w:val="none"/>
              </w:rPr>
              <w:t>，每个得1分。 (须提供相关证书扫描件并加盖公章，否则不得分)</w:t>
            </w:r>
          </w:p>
        </w:tc>
        <w:tc>
          <w:tcPr>
            <w:tcW w:w="1065" w:type="dxa"/>
            <w:noWrap w:val="0"/>
            <w:vAlign w:val="center"/>
          </w:tcPr>
          <w:p w14:paraId="576BA0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3</w:t>
            </w:r>
          </w:p>
        </w:tc>
      </w:tr>
      <w:tr w14:paraId="331B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96" w:type="dxa"/>
            <w:shd w:val="clear" w:color="auto" w:fill="auto"/>
            <w:noWrap w:val="0"/>
            <w:vAlign w:val="center"/>
          </w:tcPr>
          <w:p w14:paraId="40A4BF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362" w:type="dxa"/>
            <w:noWrap w:val="0"/>
            <w:vAlign w:val="center"/>
          </w:tcPr>
          <w:p w14:paraId="040700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投标人业绩</w:t>
            </w:r>
          </w:p>
        </w:tc>
        <w:tc>
          <w:tcPr>
            <w:tcW w:w="6982" w:type="dxa"/>
            <w:noWrap w:val="0"/>
            <w:vAlign w:val="center"/>
          </w:tcPr>
          <w:p w14:paraId="1F4126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时间以签订日期为准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以来实施过</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业绩的</w:t>
            </w:r>
            <w:r>
              <w:rPr>
                <w:rFonts w:hint="eastAsia" w:ascii="宋体" w:hAnsi="宋体" w:eastAsia="宋体" w:cs="宋体"/>
                <w:color w:val="auto"/>
                <w:sz w:val="24"/>
                <w:szCs w:val="24"/>
                <w:highlight w:val="none"/>
              </w:rPr>
              <w:t>，每个得1分，最高得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业绩需提供合同复印件，否则不得分。</w:t>
            </w:r>
          </w:p>
        </w:tc>
        <w:tc>
          <w:tcPr>
            <w:tcW w:w="1065" w:type="dxa"/>
            <w:noWrap w:val="0"/>
            <w:vAlign w:val="center"/>
          </w:tcPr>
          <w:p w14:paraId="158119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2</w:t>
            </w:r>
          </w:p>
        </w:tc>
      </w:tr>
      <w:tr w14:paraId="4777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restart"/>
            <w:shd w:val="clear" w:color="auto" w:fill="auto"/>
            <w:noWrap w:val="0"/>
            <w:vAlign w:val="center"/>
          </w:tcPr>
          <w:p w14:paraId="09C38A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362" w:type="dxa"/>
            <w:vMerge w:val="restart"/>
            <w:noWrap w:val="0"/>
            <w:vAlign w:val="center"/>
          </w:tcPr>
          <w:p w14:paraId="699080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服务参数响应情况</w:t>
            </w:r>
          </w:p>
        </w:tc>
        <w:tc>
          <w:tcPr>
            <w:tcW w:w="6982" w:type="dxa"/>
            <w:noWrap w:val="0"/>
            <w:vAlign w:val="center"/>
          </w:tcPr>
          <w:p w14:paraId="3252B7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漏洞攻击防护服务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根据招标服务清单及服务内容要求响应</w:t>
            </w:r>
            <w:r>
              <w:rPr>
                <w:rFonts w:hint="eastAsia"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得分，满分9分，</w:t>
            </w:r>
            <w:r>
              <w:rPr>
                <w:rFonts w:hint="eastAsia" w:ascii="宋体" w:hAnsi="宋体" w:eastAsia="宋体" w:cs="宋体"/>
                <w:color w:val="auto"/>
                <w:sz w:val="24"/>
                <w:szCs w:val="24"/>
                <w:highlight w:val="none"/>
                <w:lang w:val="en-US" w:eastAsia="zh-CN"/>
              </w:rPr>
              <w:t>带★项要求不满足或未响应的每项扣1分，其他要求不满足或未响应的每项扣0.5分。未按要求提供证明材料的视为未响应。</w:t>
            </w:r>
          </w:p>
        </w:tc>
        <w:tc>
          <w:tcPr>
            <w:tcW w:w="1065" w:type="dxa"/>
            <w:noWrap w:val="0"/>
            <w:vAlign w:val="center"/>
          </w:tcPr>
          <w:p w14:paraId="7DEE7A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9</w:t>
            </w:r>
          </w:p>
        </w:tc>
      </w:tr>
      <w:tr w14:paraId="2365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6" w:type="dxa"/>
            <w:vMerge w:val="continue"/>
            <w:shd w:val="clear" w:color="auto" w:fill="auto"/>
            <w:noWrap w:val="0"/>
            <w:vAlign w:val="center"/>
          </w:tcPr>
          <w:p w14:paraId="10B127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p>
        </w:tc>
        <w:tc>
          <w:tcPr>
            <w:tcW w:w="1362" w:type="dxa"/>
            <w:vMerge w:val="continue"/>
            <w:noWrap w:val="0"/>
            <w:vAlign w:val="center"/>
          </w:tcPr>
          <w:p w14:paraId="66C8D8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p>
        </w:tc>
        <w:tc>
          <w:tcPr>
            <w:tcW w:w="6982" w:type="dxa"/>
            <w:noWrap w:val="0"/>
            <w:vAlign w:val="center"/>
          </w:tcPr>
          <w:p w14:paraId="6369B9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漏洞仿真服务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根据招标服务清单及服务内容要求响应</w:t>
            </w:r>
            <w:r>
              <w:rPr>
                <w:rFonts w:hint="eastAsia"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得分，满分9分，</w:t>
            </w:r>
            <w:r>
              <w:rPr>
                <w:rFonts w:hint="eastAsia" w:ascii="宋体" w:hAnsi="宋体" w:eastAsia="宋体" w:cs="宋体"/>
                <w:color w:val="auto"/>
                <w:sz w:val="24"/>
                <w:szCs w:val="24"/>
                <w:highlight w:val="none"/>
                <w:lang w:val="en-US" w:eastAsia="zh-CN"/>
              </w:rPr>
              <w:t>带★项要求不满足或未响应的每项扣1分，其他要求不满足或未响应的每项扣0.5分。未按要求提供证明材料的视为未响应。</w:t>
            </w:r>
          </w:p>
        </w:tc>
        <w:tc>
          <w:tcPr>
            <w:tcW w:w="1065" w:type="dxa"/>
            <w:noWrap w:val="0"/>
            <w:vAlign w:val="center"/>
          </w:tcPr>
          <w:p w14:paraId="04B434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9</w:t>
            </w:r>
          </w:p>
        </w:tc>
      </w:tr>
      <w:tr w14:paraId="394D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6" w:type="dxa"/>
            <w:vMerge w:val="continue"/>
            <w:shd w:val="clear" w:color="auto" w:fill="auto"/>
            <w:noWrap w:val="0"/>
            <w:vAlign w:val="center"/>
          </w:tcPr>
          <w:p w14:paraId="352BD8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p>
        </w:tc>
        <w:tc>
          <w:tcPr>
            <w:tcW w:w="1362" w:type="dxa"/>
            <w:vMerge w:val="continue"/>
            <w:noWrap w:val="0"/>
            <w:vAlign w:val="center"/>
          </w:tcPr>
          <w:p w14:paraId="40E9C1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p>
        </w:tc>
        <w:tc>
          <w:tcPr>
            <w:tcW w:w="6982" w:type="dxa"/>
            <w:noWrap w:val="0"/>
            <w:vAlign w:val="center"/>
          </w:tcPr>
          <w:p w14:paraId="671A24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安全威胁检测服务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根据招标服务清单及服务内容要求响应</w:t>
            </w:r>
            <w:r>
              <w:rPr>
                <w:rFonts w:hint="eastAsia"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得分，满分9分，</w:t>
            </w:r>
            <w:r>
              <w:rPr>
                <w:rFonts w:hint="eastAsia" w:ascii="宋体" w:hAnsi="宋体" w:eastAsia="宋体" w:cs="宋体"/>
                <w:color w:val="auto"/>
                <w:sz w:val="24"/>
                <w:szCs w:val="24"/>
                <w:highlight w:val="none"/>
                <w:lang w:val="en-US" w:eastAsia="zh-CN"/>
              </w:rPr>
              <w:t>带★项要求不满足或未响应的每项扣1分，其他要求不满足或未响应的每项扣0.5分。未按要求提供证明材料的视为未响应。</w:t>
            </w:r>
          </w:p>
        </w:tc>
        <w:tc>
          <w:tcPr>
            <w:tcW w:w="1065" w:type="dxa"/>
            <w:noWrap w:val="0"/>
            <w:vAlign w:val="center"/>
          </w:tcPr>
          <w:p w14:paraId="14642C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val="en-US" w:eastAsia="zh-CN"/>
              </w:rPr>
              <w:t>9</w:t>
            </w:r>
          </w:p>
        </w:tc>
      </w:tr>
      <w:tr w14:paraId="581A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shd w:val="clear" w:color="auto" w:fill="auto"/>
            <w:noWrap w:val="0"/>
            <w:vAlign w:val="center"/>
          </w:tcPr>
          <w:p w14:paraId="4D63BC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p>
        </w:tc>
        <w:tc>
          <w:tcPr>
            <w:tcW w:w="1362" w:type="dxa"/>
            <w:vMerge w:val="continue"/>
            <w:noWrap w:val="0"/>
            <w:vAlign w:val="center"/>
          </w:tcPr>
          <w:p w14:paraId="183AA1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p>
        </w:tc>
        <w:tc>
          <w:tcPr>
            <w:tcW w:w="6982" w:type="dxa"/>
            <w:noWrap w:val="0"/>
            <w:vAlign w:val="center"/>
          </w:tcPr>
          <w:p w14:paraId="1FBABD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资产测绘服务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根据招标服务清单及服务内容要求响应</w:t>
            </w:r>
            <w:r>
              <w:rPr>
                <w:rFonts w:hint="eastAsia"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得分，满分6分，</w:t>
            </w:r>
            <w:r>
              <w:rPr>
                <w:rFonts w:hint="eastAsia" w:ascii="宋体" w:hAnsi="宋体" w:eastAsia="宋体" w:cs="宋体"/>
                <w:color w:val="auto"/>
                <w:sz w:val="24"/>
                <w:szCs w:val="24"/>
                <w:highlight w:val="none"/>
                <w:lang w:val="en-US" w:eastAsia="zh-CN"/>
              </w:rPr>
              <w:t>带★项要求不满足或未响应的每项扣1分，其他要求不满足或未响应的每项扣0.5分。未按要求提供证明材料的视为未响应。</w:t>
            </w:r>
          </w:p>
        </w:tc>
        <w:tc>
          <w:tcPr>
            <w:tcW w:w="1065" w:type="dxa"/>
            <w:noWrap w:val="0"/>
            <w:vAlign w:val="center"/>
          </w:tcPr>
          <w:p w14:paraId="3F8ABC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6</w:t>
            </w:r>
          </w:p>
        </w:tc>
      </w:tr>
      <w:tr w14:paraId="2C73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noWrap w:val="0"/>
            <w:vAlign w:val="center"/>
          </w:tcPr>
          <w:p w14:paraId="44E0EF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362" w:type="dxa"/>
            <w:noWrap w:val="0"/>
            <w:vAlign w:val="center"/>
          </w:tcPr>
          <w:p w14:paraId="2CCD06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视频演示</w:t>
            </w:r>
          </w:p>
        </w:tc>
        <w:tc>
          <w:tcPr>
            <w:tcW w:w="6982" w:type="dxa"/>
            <w:noWrap w:val="0"/>
            <w:vAlign w:val="center"/>
          </w:tcPr>
          <w:p w14:paraId="4712F1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为保障</w:t>
            </w:r>
            <w:r>
              <w:rPr>
                <w:rFonts w:hint="eastAsia" w:ascii="宋体" w:hAnsi="宋体" w:eastAsia="宋体" w:cs="宋体"/>
                <w:color w:val="000000"/>
                <w:kern w:val="0"/>
                <w:sz w:val="24"/>
                <w:szCs w:val="24"/>
                <w:highlight w:val="none"/>
                <w:lang w:val="en-US" w:eastAsia="zh-CN" w:bidi="ar"/>
              </w:rPr>
              <w:t>相关工具及服务质量</w:t>
            </w:r>
            <w:r>
              <w:rPr>
                <w:rFonts w:hint="eastAsia" w:ascii="宋体" w:hAnsi="宋体" w:eastAsia="宋体" w:cs="宋体"/>
                <w:color w:val="000000"/>
                <w:kern w:val="0"/>
                <w:sz w:val="24"/>
                <w:szCs w:val="24"/>
                <w:highlight w:val="none"/>
                <w:lang w:bidi="ar"/>
              </w:rPr>
              <w:t>充分满足采购人需求，投标人提交相关</w:t>
            </w:r>
            <w:r>
              <w:rPr>
                <w:rFonts w:hint="eastAsia" w:ascii="宋体" w:hAnsi="宋体" w:eastAsia="宋体" w:cs="宋体"/>
                <w:color w:val="000000"/>
                <w:kern w:val="0"/>
                <w:sz w:val="24"/>
                <w:szCs w:val="24"/>
                <w:highlight w:val="none"/>
                <w:lang w:val="en-US" w:eastAsia="zh-CN" w:bidi="ar"/>
              </w:rPr>
              <w:t>工具功能</w:t>
            </w:r>
            <w:r>
              <w:rPr>
                <w:rFonts w:hint="eastAsia" w:ascii="宋体" w:hAnsi="宋体" w:eastAsia="宋体" w:cs="宋体"/>
                <w:color w:val="000000"/>
                <w:kern w:val="0"/>
                <w:sz w:val="24"/>
                <w:szCs w:val="24"/>
                <w:highlight w:val="none"/>
                <w:lang w:bidi="ar"/>
              </w:rPr>
              <w:t>的演示，演示时间控制在10分钟以内。</w:t>
            </w:r>
            <w:r>
              <w:rPr>
                <w:rFonts w:hint="eastAsia" w:ascii="宋体" w:hAnsi="宋体" w:eastAsia="宋体" w:cs="宋体"/>
                <w:color w:val="000000"/>
                <w:kern w:val="0"/>
                <w:sz w:val="24"/>
                <w:szCs w:val="24"/>
                <w:highlight w:val="none"/>
                <w:lang w:val="en-US" w:eastAsia="zh-CN" w:bidi="ar"/>
              </w:rPr>
              <w:t>每项演示内容得3分，本项最高得9分。</w:t>
            </w:r>
          </w:p>
          <w:p w14:paraId="004CE1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一、漏洞防护工具：</w:t>
            </w:r>
          </w:p>
          <w:p w14:paraId="463757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支持对内网重要网段进行批量上传防护，对导入的数据进行解析、验证，结合安全策略和规则，对导入的数据划分“隔离”和“放行”（3、2、1、0分）。</w:t>
            </w:r>
          </w:p>
          <w:p w14:paraId="36ECC8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二、漏洞仿真工具：</w:t>
            </w:r>
          </w:p>
          <w:p w14:paraId="27265A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发现攻击者触发仿真系统节点，其操作都会被详细记录，包括源目IP、源目端口、路径、请求包以及攻击行为记录等（3、2、1、0分）。</w:t>
            </w:r>
          </w:p>
          <w:p w14:paraId="7BF33E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三、安全威胁统一管理工具：</w:t>
            </w:r>
          </w:p>
          <w:p w14:paraId="235109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支持配置内网地址白名单，允许任何IP与白名单内地址进行访问和通信(包括本身);支持配置事件白名单，自动根据规则放行白名单中的事件（3、2、1、0分）。</w:t>
            </w:r>
          </w:p>
        </w:tc>
        <w:tc>
          <w:tcPr>
            <w:tcW w:w="1065" w:type="dxa"/>
            <w:noWrap w:val="0"/>
            <w:vAlign w:val="center"/>
          </w:tcPr>
          <w:p w14:paraId="2B6BE8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val="en-US" w:eastAsia="zh-CN"/>
              </w:rPr>
              <w:t>9</w:t>
            </w:r>
          </w:p>
        </w:tc>
      </w:tr>
      <w:tr w14:paraId="6B6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96" w:type="dxa"/>
            <w:vMerge w:val="restart"/>
            <w:shd w:val="clear" w:color="auto" w:fill="auto"/>
            <w:noWrap w:val="0"/>
            <w:vAlign w:val="center"/>
          </w:tcPr>
          <w:p w14:paraId="4740F6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362" w:type="dxa"/>
            <w:vMerge w:val="restart"/>
            <w:noWrap w:val="0"/>
            <w:vAlign w:val="center"/>
          </w:tcPr>
          <w:p w14:paraId="0164C0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zh-CN"/>
              </w:rPr>
              <w:t>服务方案</w:t>
            </w:r>
          </w:p>
        </w:tc>
        <w:tc>
          <w:tcPr>
            <w:tcW w:w="6982" w:type="dxa"/>
            <w:noWrap w:val="0"/>
            <w:vAlign w:val="center"/>
          </w:tcPr>
          <w:p w14:paraId="20A0C6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投标人所提供的总体服务方案，方案需结合当前衢江医疗安全现状问题进行必要性和需求分析，提供总体服务框架，根据方案内容进行评审(6、5、4、3、2、1、0分）。</w:t>
            </w:r>
          </w:p>
        </w:tc>
        <w:tc>
          <w:tcPr>
            <w:tcW w:w="1065" w:type="dxa"/>
            <w:noWrap w:val="0"/>
            <w:vAlign w:val="center"/>
          </w:tcPr>
          <w:p w14:paraId="3CB8D1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val="en-US" w:eastAsia="zh-CN"/>
              </w:rPr>
              <w:t>6</w:t>
            </w:r>
          </w:p>
        </w:tc>
      </w:tr>
      <w:tr w14:paraId="5E6E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96" w:type="dxa"/>
            <w:vMerge w:val="continue"/>
            <w:shd w:val="clear" w:color="auto" w:fill="auto"/>
            <w:noWrap w:val="0"/>
            <w:vAlign w:val="center"/>
          </w:tcPr>
          <w:p w14:paraId="26DAAA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p>
        </w:tc>
        <w:tc>
          <w:tcPr>
            <w:tcW w:w="1362" w:type="dxa"/>
            <w:vMerge w:val="continue"/>
            <w:noWrap w:val="0"/>
            <w:vAlign w:val="center"/>
          </w:tcPr>
          <w:p w14:paraId="2A60FD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p>
        </w:tc>
        <w:tc>
          <w:tcPr>
            <w:tcW w:w="6982" w:type="dxa"/>
            <w:noWrap w:val="0"/>
            <w:vAlign w:val="center"/>
          </w:tcPr>
          <w:p w14:paraId="05C8CE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投标人需对服务过程中使用的相关工具提供实施方案，方案需包括工具的</w:t>
            </w:r>
            <w:r>
              <w:rPr>
                <w:rFonts w:hint="eastAsia" w:ascii="宋体" w:hAnsi="宋体" w:eastAsia="宋体" w:cs="宋体"/>
                <w:color w:val="auto"/>
                <w:sz w:val="24"/>
                <w:szCs w:val="24"/>
                <w:highlight w:val="none"/>
                <w:lang w:val="zh-CN" w:eastAsia="zh-CN"/>
              </w:rPr>
              <w:t>安装、试运行、测试、</w:t>
            </w:r>
            <w:r>
              <w:rPr>
                <w:rFonts w:hint="eastAsia" w:ascii="宋体" w:hAnsi="宋体" w:eastAsia="宋体" w:cs="宋体"/>
                <w:color w:val="auto"/>
                <w:sz w:val="24"/>
                <w:szCs w:val="24"/>
                <w:highlight w:val="none"/>
                <w:lang w:val="en-US" w:eastAsia="zh-CN"/>
              </w:rPr>
              <w:t>可能发生的风险及应对措施，根据方案合理、可行性进行评审（6、5、4、3、2、1、0分）。</w:t>
            </w:r>
          </w:p>
        </w:tc>
        <w:tc>
          <w:tcPr>
            <w:tcW w:w="1065" w:type="dxa"/>
            <w:noWrap w:val="0"/>
            <w:vAlign w:val="center"/>
          </w:tcPr>
          <w:p w14:paraId="5353B4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val="en-US" w:eastAsia="zh-CN"/>
              </w:rPr>
              <w:t>6</w:t>
            </w:r>
          </w:p>
        </w:tc>
      </w:tr>
      <w:tr w14:paraId="454F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6" w:type="dxa"/>
            <w:vMerge w:val="continue"/>
            <w:shd w:val="clear" w:color="auto" w:fill="auto"/>
            <w:noWrap w:val="0"/>
            <w:vAlign w:val="center"/>
          </w:tcPr>
          <w:p w14:paraId="5739E8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p>
        </w:tc>
        <w:tc>
          <w:tcPr>
            <w:tcW w:w="1362" w:type="dxa"/>
            <w:vMerge w:val="continue"/>
            <w:noWrap w:val="0"/>
            <w:vAlign w:val="center"/>
          </w:tcPr>
          <w:p w14:paraId="6907BA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zh-CN" w:eastAsia="zh-CN"/>
              </w:rPr>
            </w:pPr>
          </w:p>
        </w:tc>
        <w:tc>
          <w:tcPr>
            <w:tcW w:w="6982" w:type="dxa"/>
            <w:noWrap w:val="0"/>
            <w:vAlign w:val="center"/>
          </w:tcPr>
          <w:p w14:paraId="46CF5C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投标人需提供详细服务方案，包括具体服务内容、服务进度计划、服务质量保障、服务考核计划等，根据方案完整性、合理性进行评审（6、5、4、3、2、1、0分）。</w:t>
            </w:r>
          </w:p>
        </w:tc>
        <w:tc>
          <w:tcPr>
            <w:tcW w:w="1065" w:type="dxa"/>
            <w:noWrap w:val="0"/>
            <w:vAlign w:val="center"/>
          </w:tcPr>
          <w:p w14:paraId="4DC8B6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val="en-US" w:eastAsia="zh-CN"/>
              </w:rPr>
              <w:t>6</w:t>
            </w:r>
          </w:p>
        </w:tc>
      </w:tr>
      <w:tr w14:paraId="238C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6" w:type="dxa"/>
            <w:shd w:val="clear" w:color="auto" w:fill="auto"/>
            <w:noWrap w:val="0"/>
            <w:vAlign w:val="center"/>
          </w:tcPr>
          <w:p w14:paraId="5249BC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362" w:type="dxa"/>
            <w:noWrap w:val="0"/>
            <w:vAlign w:val="center"/>
          </w:tcPr>
          <w:p w14:paraId="553D13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zh-CN"/>
              </w:rPr>
              <w:t>应急响应方案</w:t>
            </w:r>
          </w:p>
        </w:tc>
        <w:tc>
          <w:tcPr>
            <w:tcW w:w="6982" w:type="dxa"/>
            <w:noWrap w:val="0"/>
            <w:vAlign w:val="center"/>
          </w:tcPr>
          <w:p w14:paraId="3B7055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针对安全突发事件提供应急响应，提供7*24小时电话、远程影响应和现场支持，从响应时间、响应流程、应急预案等多方面</w:t>
            </w:r>
            <w:r>
              <w:rPr>
                <w:rFonts w:hint="eastAsia" w:ascii="宋体" w:hAnsi="宋体" w:eastAsia="宋体" w:cs="宋体"/>
                <w:color w:val="auto"/>
                <w:sz w:val="24"/>
                <w:szCs w:val="24"/>
                <w:highlight w:val="none"/>
                <w:lang w:val="en-US" w:eastAsia="zh-CN"/>
              </w:rPr>
              <w:t>综合评分（5、4、3、2、1、0）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065" w:type="dxa"/>
            <w:noWrap w:val="0"/>
            <w:vAlign w:val="center"/>
          </w:tcPr>
          <w:p w14:paraId="36F0E0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5</w:t>
            </w:r>
          </w:p>
        </w:tc>
      </w:tr>
      <w:tr w14:paraId="385E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96" w:type="dxa"/>
            <w:shd w:val="clear" w:color="auto" w:fill="auto"/>
            <w:noWrap w:val="0"/>
            <w:vAlign w:val="center"/>
          </w:tcPr>
          <w:p w14:paraId="21C6B1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362" w:type="dxa"/>
            <w:noWrap w:val="0"/>
            <w:vAlign w:val="center"/>
          </w:tcPr>
          <w:p w14:paraId="246677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zh-CN"/>
              </w:rPr>
              <w:t>培训方案</w:t>
            </w:r>
          </w:p>
        </w:tc>
        <w:tc>
          <w:tcPr>
            <w:tcW w:w="6982" w:type="dxa"/>
            <w:noWrap w:val="0"/>
            <w:vAlign w:val="center"/>
          </w:tcPr>
          <w:p w14:paraId="73168C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投标人根据不同培训对象、培训内容、培训计划等提供完整合理的培训方案，根据对培训方案内容的完整性和计划的合理性进行</w:t>
            </w:r>
            <w:r>
              <w:rPr>
                <w:rFonts w:hint="eastAsia" w:ascii="宋体" w:hAnsi="宋体" w:eastAsia="宋体" w:cs="宋体"/>
                <w:color w:val="auto"/>
                <w:sz w:val="24"/>
                <w:szCs w:val="24"/>
                <w:highlight w:val="none"/>
                <w:lang w:val="en-US" w:eastAsia="zh-CN"/>
              </w:rPr>
              <w:t>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5、4、3、2、1、0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w:t>
            </w:r>
          </w:p>
        </w:tc>
        <w:tc>
          <w:tcPr>
            <w:tcW w:w="1065" w:type="dxa"/>
            <w:noWrap w:val="0"/>
            <w:vAlign w:val="center"/>
          </w:tcPr>
          <w:p w14:paraId="58D803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5</w:t>
            </w:r>
          </w:p>
        </w:tc>
      </w:tr>
      <w:tr w14:paraId="6464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6" w:type="dxa"/>
            <w:vMerge w:val="restart"/>
            <w:shd w:val="clear" w:color="auto" w:fill="auto"/>
            <w:noWrap w:val="0"/>
            <w:vAlign w:val="center"/>
          </w:tcPr>
          <w:p w14:paraId="028287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1362" w:type="dxa"/>
            <w:vMerge w:val="restart"/>
            <w:noWrap w:val="0"/>
            <w:vAlign w:val="center"/>
          </w:tcPr>
          <w:p w14:paraId="0C22A4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服务保障能力</w:t>
            </w:r>
          </w:p>
        </w:tc>
        <w:tc>
          <w:tcPr>
            <w:tcW w:w="6982" w:type="dxa"/>
            <w:noWrap w:val="0"/>
            <w:vAlign w:val="center"/>
          </w:tcPr>
          <w:p w14:paraId="00CAFC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val="en-US" w:eastAsia="zh-CN"/>
              </w:rPr>
              <w:t>国家人社局和工信部颁发的系统集成项目管理工程师证书，</w:t>
            </w:r>
            <w:r>
              <w:rPr>
                <w:rStyle w:val="62"/>
                <w:rFonts w:hint="eastAsia" w:ascii="宋体" w:hAnsi="宋体" w:eastAsia="宋体" w:cs="宋体"/>
                <w:b w:val="0"/>
                <w:bCs w:val="0"/>
                <w:color w:val="auto"/>
                <w:sz w:val="24"/>
                <w:szCs w:val="24"/>
                <w:highlight w:val="none"/>
                <w:lang w:val="en-US" w:eastAsia="zh-CN"/>
              </w:rPr>
              <w:t>满足得2分，不满足不得分，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证书复印件和</w:t>
            </w:r>
            <w:r>
              <w:rPr>
                <w:rFonts w:hint="eastAsia" w:ascii="宋体" w:hAnsi="宋体" w:eastAsia="宋体" w:cs="宋体"/>
                <w:color w:val="auto"/>
                <w:sz w:val="24"/>
                <w:szCs w:val="24"/>
                <w:highlight w:val="none"/>
              </w:rPr>
              <w:t>近3个月</w:t>
            </w:r>
            <w:r>
              <w:rPr>
                <w:rFonts w:hint="eastAsia" w:ascii="宋体" w:hAnsi="宋体" w:eastAsia="宋体" w:cs="宋体"/>
                <w:color w:val="auto"/>
                <w:sz w:val="24"/>
                <w:szCs w:val="24"/>
                <w:highlight w:val="none"/>
                <w:lang w:val="en-US" w:eastAsia="zh-CN"/>
              </w:rPr>
              <w:t>内任意一个月</w:t>
            </w:r>
            <w:r>
              <w:rPr>
                <w:rFonts w:hint="eastAsia" w:ascii="宋体" w:hAnsi="宋体" w:eastAsia="宋体" w:cs="宋体"/>
                <w:color w:val="auto"/>
                <w:sz w:val="24"/>
                <w:szCs w:val="24"/>
                <w:highlight w:val="none"/>
              </w:rPr>
              <w:t>社保缴纳证明</w:t>
            </w:r>
            <w:r>
              <w:rPr>
                <w:rFonts w:hint="eastAsia" w:ascii="宋体" w:hAnsi="宋体" w:eastAsia="宋体" w:cs="宋体"/>
                <w:color w:val="auto"/>
                <w:sz w:val="24"/>
                <w:szCs w:val="24"/>
                <w:highlight w:val="none"/>
                <w:lang w:eastAsia="zh-CN"/>
              </w:rPr>
              <w:t>。</w:t>
            </w:r>
          </w:p>
        </w:tc>
        <w:tc>
          <w:tcPr>
            <w:tcW w:w="1065" w:type="dxa"/>
            <w:noWrap w:val="0"/>
            <w:vAlign w:val="center"/>
          </w:tcPr>
          <w:p w14:paraId="1FC03A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2</w:t>
            </w:r>
          </w:p>
        </w:tc>
      </w:tr>
      <w:tr w14:paraId="1AEF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96" w:type="dxa"/>
            <w:vMerge w:val="continue"/>
            <w:shd w:val="clear" w:color="auto" w:fill="auto"/>
            <w:noWrap w:val="0"/>
            <w:vAlign w:val="center"/>
          </w:tcPr>
          <w:p w14:paraId="216315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highlight w:val="none"/>
                <w:lang w:val="en-US" w:eastAsia="zh-CN" w:bidi="ar-SA"/>
              </w:rPr>
            </w:pPr>
          </w:p>
        </w:tc>
        <w:tc>
          <w:tcPr>
            <w:tcW w:w="1362" w:type="dxa"/>
            <w:vMerge w:val="continue"/>
            <w:noWrap w:val="0"/>
            <w:vAlign w:val="center"/>
          </w:tcPr>
          <w:p w14:paraId="1CF125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6982" w:type="dxa"/>
            <w:noWrap w:val="0"/>
            <w:vAlign w:val="center"/>
          </w:tcPr>
          <w:p w14:paraId="2397FC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26" w:name="_GoBack"/>
            <w:r>
              <w:rPr>
                <w:rFonts w:hint="eastAsia" w:ascii="宋体" w:hAnsi="宋体" w:eastAsia="宋体" w:cs="宋体"/>
                <w:color w:val="auto"/>
                <w:sz w:val="24"/>
                <w:szCs w:val="24"/>
                <w:highlight w:val="none"/>
              </w:rPr>
              <w:t>服务团队相关专业认证能力：</w:t>
            </w:r>
          </w:p>
          <w:p w14:paraId="578B41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CISP信息安全</w:t>
            </w:r>
            <w:r>
              <w:rPr>
                <w:rFonts w:hint="eastAsia" w:ascii="宋体" w:hAnsi="宋体" w:eastAsia="宋体" w:cs="宋体"/>
                <w:color w:val="auto"/>
                <w:sz w:val="24"/>
                <w:szCs w:val="24"/>
                <w:highlight w:val="none"/>
                <w:lang w:val="en-US" w:eastAsia="zh-CN"/>
              </w:rPr>
              <w:t>工程师证书的得1分；</w:t>
            </w:r>
          </w:p>
          <w:p w14:paraId="1BC5AD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具备专家级网络工程师的得1分；</w:t>
            </w:r>
          </w:p>
          <w:p w14:paraId="0557DE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Cs/>
                <w:color w:val="auto"/>
                <w:sz w:val="24"/>
                <w:szCs w:val="24"/>
                <w:highlight w:val="none"/>
              </w:rPr>
              <w:t>具备CDSP数据安全专业人员认证</w:t>
            </w:r>
            <w:r>
              <w:rPr>
                <w:rFonts w:hint="eastAsia" w:ascii="宋体" w:hAnsi="宋体" w:eastAsia="宋体" w:cs="宋体"/>
                <w:color w:val="auto"/>
                <w:sz w:val="24"/>
                <w:szCs w:val="24"/>
                <w:highlight w:val="none"/>
                <w:lang w:val="en-US" w:eastAsia="zh-CN"/>
              </w:rPr>
              <w:t>证书的得1分；</w:t>
            </w:r>
          </w:p>
          <w:p w14:paraId="58553C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以上人员提供</w:t>
            </w:r>
            <w:r>
              <w:rPr>
                <w:rFonts w:hint="eastAsia" w:ascii="宋体" w:hAnsi="宋体" w:eastAsia="宋体" w:cs="宋体"/>
                <w:color w:val="auto"/>
                <w:sz w:val="24"/>
                <w:szCs w:val="24"/>
                <w:highlight w:val="none"/>
                <w:lang w:val="en-US" w:eastAsia="zh-CN"/>
              </w:rPr>
              <w:t>证书复印件和</w:t>
            </w:r>
            <w:r>
              <w:rPr>
                <w:rFonts w:hint="eastAsia" w:ascii="宋体" w:hAnsi="宋体" w:eastAsia="宋体" w:cs="宋体"/>
                <w:color w:val="auto"/>
                <w:sz w:val="24"/>
                <w:szCs w:val="24"/>
                <w:highlight w:val="none"/>
              </w:rPr>
              <w:t>近3个月</w:t>
            </w:r>
            <w:r>
              <w:rPr>
                <w:rFonts w:hint="eastAsia" w:ascii="宋体" w:hAnsi="宋体" w:eastAsia="宋体" w:cs="宋体"/>
                <w:color w:val="auto"/>
                <w:sz w:val="24"/>
                <w:szCs w:val="24"/>
                <w:highlight w:val="none"/>
                <w:lang w:val="en-US" w:eastAsia="zh-CN"/>
              </w:rPr>
              <w:t>内任意一个月</w:t>
            </w:r>
            <w:r>
              <w:rPr>
                <w:rFonts w:hint="eastAsia" w:ascii="宋体" w:hAnsi="宋体" w:eastAsia="宋体" w:cs="宋体"/>
                <w:color w:val="auto"/>
                <w:sz w:val="24"/>
                <w:szCs w:val="24"/>
                <w:highlight w:val="none"/>
              </w:rPr>
              <w:t>社保缴纳证明</w:t>
            </w:r>
            <w:bookmarkEnd w:id="26"/>
          </w:p>
        </w:tc>
        <w:tc>
          <w:tcPr>
            <w:tcW w:w="1065" w:type="dxa"/>
            <w:noWrap w:val="0"/>
            <w:vAlign w:val="center"/>
          </w:tcPr>
          <w:p w14:paraId="2DF2EC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3</w:t>
            </w:r>
          </w:p>
        </w:tc>
      </w:tr>
    </w:tbl>
    <w:p w14:paraId="0BC83B50">
      <w:pPr>
        <w:pageBreakBefore w:val="0"/>
        <w:kinsoku/>
        <w:wordWrap/>
        <w:overflowPunct/>
        <w:topLinePunct w:val="0"/>
        <w:autoSpaceDE/>
        <w:autoSpaceDN/>
        <w:bidi w:val="0"/>
        <w:snapToGrid w:val="0"/>
        <w:spacing w:line="400" w:lineRule="exact"/>
        <w:textAlignment w:val="auto"/>
        <w:outlineLvl w:val="2"/>
        <w:rPr>
          <w:rFonts w:ascii="宋体" w:hAnsi="宋体" w:cs="宋体"/>
          <w:b/>
          <w:color w:val="000000"/>
          <w:sz w:val="28"/>
          <w:szCs w:val="28"/>
          <w:highlight w:val="none"/>
        </w:rPr>
      </w:pPr>
      <w:r>
        <w:rPr>
          <w:rFonts w:hint="eastAsia" w:ascii="宋体" w:hAnsi="宋体" w:cs="宋体"/>
          <w:b/>
          <w:color w:val="000000"/>
          <w:sz w:val="28"/>
          <w:szCs w:val="28"/>
          <w:highlight w:val="none"/>
          <w:lang w:val="en-US" w:eastAsia="zh-CN"/>
        </w:rPr>
        <w:t>三</w:t>
      </w:r>
      <w:r>
        <w:rPr>
          <w:rFonts w:ascii="宋体" w:hAnsi="宋体" w:cs="宋体"/>
          <w:b/>
          <w:color w:val="000000"/>
          <w:sz w:val="28"/>
          <w:szCs w:val="28"/>
          <w:highlight w:val="none"/>
        </w:rPr>
        <w:t>、询标</w:t>
      </w:r>
    </w:p>
    <w:p w14:paraId="068391E8">
      <w:pPr>
        <w:pageBreakBefore w:val="0"/>
        <w:kinsoku/>
        <w:wordWrap/>
        <w:overflowPunct/>
        <w:topLinePunct w:val="0"/>
        <w:autoSpaceDE/>
        <w:autoSpaceDN/>
        <w:bidi w:val="0"/>
        <w:adjustRightInd w:val="0"/>
        <w:snapToGrid w:val="0"/>
        <w:spacing w:line="400" w:lineRule="exact"/>
        <w:ind w:firstLine="470" w:firstLineChars="196"/>
        <w:textAlignment w:val="auto"/>
        <w:rPr>
          <w:rFonts w:hAnsi="宋体" w:cs="宋体"/>
          <w:bCs/>
          <w:color w:val="000000"/>
          <w:sz w:val="24"/>
          <w:highlight w:val="none"/>
        </w:rPr>
      </w:pPr>
      <w:r>
        <w:rPr>
          <w:rFonts w:hAnsi="宋体" w:cs="宋体"/>
          <w:bCs/>
          <w:color w:val="000000"/>
          <w:sz w:val="24"/>
          <w:highlight w:val="none"/>
        </w:rPr>
        <w:t>对投标文件中存在含义不清楚的内容，必要时评标委员会要求供应商作必要的澄清、说明或补正。询标记录需供应商授权代表签字确认，它将作为投标文件的一部分。</w:t>
      </w:r>
    </w:p>
    <w:p w14:paraId="2F23C231">
      <w:pPr>
        <w:pageBreakBefore w:val="0"/>
        <w:kinsoku/>
        <w:wordWrap/>
        <w:overflowPunct/>
        <w:topLinePunct w:val="0"/>
        <w:autoSpaceDE/>
        <w:autoSpaceDN/>
        <w:bidi w:val="0"/>
        <w:snapToGrid w:val="0"/>
        <w:spacing w:line="400" w:lineRule="exact"/>
        <w:textAlignment w:val="auto"/>
        <w:outlineLvl w:val="2"/>
        <w:rPr>
          <w:rFonts w:ascii="宋体" w:hAnsi="宋体" w:cs="宋体"/>
          <w:b/>
          <w:color w:val="000000"/>
          <w:sz w:val="28"/>
          <w:szCs w:val="28"/>
          <w:highlight w:val="none"/>
        </w:rPr>
      </w:pPr>
      <w:r>
        <w:rPr>
          <w:rFonts w:hint="eastAsia" w:ascii="宋体" w:hAnsi="宋体" w:cs="宋体"/>
          <w:b/>
          <w:color w:val="000000"/>
          <w:sz w:val="28"/>
          <w:szCs w:val="28"/>
          <w:highlight w:val="none"/>
          <w:lang w:val="en-US" w:eastAsia="zh-CN"/>
        </w:rPr>
        <w:t>四</w:t>
      </w:r>
      <w:r>
        <w:rPr>
          <w:rFonts w:ascii="宋体" w:hAnsi="宋体" w:cs="宋体"/>
          <w:b/>
          <w:color w:val="000000"/>
          <w:sz w:val="28"/>
          <w:szCs w:val="28"/>
          <w:highlight w:val="none"/>
        </w:rPr>
        <w:t>、修改评标结果</w:t>
      </w:r>
    </w:p>
    <w:p w14:paraId="6D8DEBC9">
      <w:pPr>
        <w:pStyle w:val="14"/>
        <w:pageBreakBefore w:val="0"/>
        <w:kinsoku/>
        <w:wordWrap/>
        <w:overflowPunct/>
        <w:topLinePunct w:val="0"/>
        <w:autoSpaceDE/>
        <w:autoSpaceDN/>
        <w:bidi w:val="0"/>
        <w:adjustRightInd w:val="0"/>
        <w:snapToGrid w:val="0"/>
        <w:spacing w:line="400" w:lineRule="exact"/>
        <w:ind w:firstLine="464" w:firstLineChars="200"/>
        <w:textAlignment w:val="auto"/>
        <w:rPr>
          <w:rFonts w:ascii="Times New Roman" w:hAnsi="Times New Roman"/>
          <w:bCs/>
          <w:color w:val="000000"/>
          <w:sz w:val="24"/>
          <w:highlight w:val="none"/>
        </w:rPr>
      </w:pPr>
      <w:r>
        <w:rPr>
          <w:rFonts w:ascii="Times New Roman" w:hAnsi="Times New Roman"/>
          <w:bCs/>
          <w:color w:val="000000"/>
          <w:sz w:val="24"/>
          <w:highlight w:val="none"/>
        </w:rPr>
        <w:t>评标结果汇总完成后，除下列情形外，任何人不得修改评标结果：</w:t>
      </w:r>
    </w:p>
    <w:p w14:paraId="2FBDF3BC">
      <w:pPr>
        <w:pStyle w:val="14"/>
        <w:pageBreakBefore w:val="0"/>
        <w:kinsoku/>
        <w:wordWrap/>
        <w:overflowPunct/>
        <w:topLinePunct w:val="0"/>
        <w:autoSpaceDE/>
        <w:autoSpaceDN/>
        <w:bidi w:val="0"/>
        <w:adjustRightInd w:val="0"/>
        <w:snapToGrid w:val="0"/>
        <w:spacing w:line="400" w:lineRule="exact"/>
        <w:ind w:firstLine="464" w:firstLineChars="200"/>
        <w:textAlignment w:val="auto"/>
        <w:rPr>
          <w:rFonts w:ascii="Times New Roman" w:hAnsi="Times New Roman"/>
          <w:bCs/>
          <w:color w:val="000000"/>
          <w:sz w:val="24"/>
          <w:highlight w:val="none"/>
        </w:rPr>
      </w:pPr>
      <w:r>
        <w:rPr>
          <w:rFonts w:ascii="Times New Roman" w:hAnsi="Times New Roman"/>
          <w:bCs/>
          <w:color w:val="000000"/>
          <w:sz w:val="24"/>
          <w:highlight w:val="none"/>
        </w:rPr>
        <w:t>（一）分值汇总计算错误的；</w:t>
      </w:r>
    </w:p>
    <w:p w14:paraId="39947C82">
      <w:pPr>
        <w:pStyle w:val="14"/>
        <w:pageBreakBefore w:val="0"/>
        <w:kinsoku/>
        <w:wordWrap/>
        <w:overflowPunct/>
        <w:topLinePunct w:val="0"/>
        <w:autoSpaceDE/>
        <w:autoSpaceDN/>
        <w:bidi w:val="0"/>
        <w:adjustRightInd w:val="0"/>
        <w:snapToGrid w:val="0"/>
        <w:spacing w:line="400" w:lineRule="exact"/>
        <w:ind w:firstLine="464" w:firstLineChars="200"/>
        <w:textAlignment w:val="auto"/>
        <w:rPr>
          <w:rFonts w:ascii="Times New Roman" w:hAnsi="Times New Roman"/>
          <w:bCs/>
          <w:color w:val="000000"/>
          <w:sz w:val="24"/>
          <w:highlight w:val="none"/>
        </w:rPr>
      </w:pPr>
      <w:r>
        <w:rPr>
          <w:rFonts w:ascii="Times New Roman" w:hAnsi="Times New Roman"/>
          <w:bCs/>
          <w:color w:val="000000"/>
          <w:sz w:val="24"/>
          <w:highlight w:val="none"/>
        </w:rPr>
        <w:t>（二）分项评分超出评分标准范围的；</w:t>
      </w:r>
    </w:p>
    <w:p w14:paraId="5425265D">
      <w:pPr>
        <w:pStyle w:val="14"/>
        <w:pageBreakBefore w:val="0"/>
        <w:kinsoku/>
        <w:wordWrap/>
        <w:overflowPunct/>
        <w:topLinePunct w:val="0"/>
        <w:autoSpaceDE/>
        <w:autoSpaceDN/>
        <w:bidi w:val="0"/>
        <w:adjustRightInd w:val="0"/>
        <w:snapToGrid w:val="0"/>
        <w:spacing w:line="400" w:lineRule="exact"/>
        <w:ind w:firstLine="464" w:firstLineChars="200"/>
        <w:textAlignment w:val="auto"/>
        <w:rPr>
          <w:rFonts w:hAnsi="宋体" w:cs="宋体"/>
          <w:color w:val="000000"/>
          <w:sz w:val="24"/>
          <w:highlight w:val="none"/>
        </w:rPr>
      </w:pPr>
      <w:r>
        <w:rPr>
          <w:rFonts w:ascii="Times New Roman" w:hAnsi="Times New Roman"/>
          <w:bCs/>
          <w:color w:val="000000"/>
          <w:sz w:val="24"/>
          <w:highlight w:val="none"/>
        </w:rPr>
        <w:t>（三）评标委员会成员对客观评审因素评分不一致的；</w:t>
      </w:r>
    </w:p>
    <w:p w14:paraId="16028425">
      <w:pPr>
        <w:pStyle w:val="14"/>
        <w:pageBreakBefore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b/>
          <w:color w:val="000000"/>
          <w:spacing w:val="0"/>
          <w:kern w:val="2"/>
          <w:sz w:val="28"/>
          <w:szCs w:val="28"/>
          <w:highlight w:val="none"/>
          <w:lang w:val="en-US" w:eastAsia="zh-CN" w:bidi="ar-SA"/>
        </w:rPr>
      </w:pPr>
      <w:r>
        <w:rPr>
          <w:rFonts w:hint="eastAsia" w:ascii="宋体" w:hAnsi="宋体" w:eastAsia="宋体" w:cs="宋体"/>
          <w:b/>
          <w:color w:val="000000"/>
          <w:spacing w:val="0"/>
          <w:kern w:val="2"/>
          <w:sz w:val="28"/>
          <w:szCs w:val="28"/>
          <w:highlight w:val="none"/>
          <w:lang w:val="en-US" w:eastAsia="zh-CN" w:bidi="ar-SA"/>
        </w:rPr>
        <w:t>五、提醒</w:t>
      </w:r>
    </w:p>
    <w:p w14:paraId="0A67C572">
      <w:pPr>
        <w:pStyle w:val="14"/>
        <w:keepNext w:val="0"/>
        <w:keepLines w:val="0"/>
        <w:pageBreakBefore w:val="0"/>
        <w:widowControl w:val="0"/>
        <w:kinsoku/>
        <w:wordWrap/>
        <w:overflowPunct/>
        <w:topLinePunct w:val="0"/>
        <w:autoSpaceDE/>
        <w:autoSpaceDN/>
        <w:bidi w:val="0"/>
        <w:adjustRightInd w:val="0"/>
        <w:snapToGrid w:val="0"/>
        <w:spacing w:line="400" w:lineRule="exact"/>
        <w:ind w:left="0" w:leftChars="0" w:firstLine="464" w:firstLineChars="200"/>
        <w:textAlignment w:val="auto"/>
        <w:rPr>
          <w:rFonts w:hint="eastAsia" w:ascii="Times New Roman" w:hAnsi="Times New Roman" w:eastAsia="宋体" w:cs="Times New Roman"/>
          <w:b w:val="0"/>
          <w:bCs/>
          <w:color w:val="000000"/>
          <w:sz w:val="24"/>
          <w:highlight w:val="none"/>
          <w:lang w:val="en-US" w:eastAsia="zh-CN"/>
        </w:rPr>
        <w:sectPr>
          <w:headerReference r:id="rId7" w:type="default"/>
          <w:footerReference r:id="rId8" w:type="default"/>
          <w:pgSz w:w="11906" w:h="16838"/>
          <w:pgMar w:top="1361" w:right="1247" w:bottom="1361" w:left="1247" w:header="794" w:footer="794" w:gutter="0"/>
          <w:pgBorders>
            <w:top w:val="none" w:sz="0" w:space="0"/>
            <w:left w:val="none" w:sz="0" w:space="0"/>
            <w:bottom w:val="none" w:sz="0" w:space="0"/>
            <w:right w:val="none" w:sz="0" w:space="0"/>
          </w:pgBorders>
          <w:pgNumType w:fmt="decimal"/>
          <w:cols w:space="720" w:num="1"/>
          <w:docGrid w:linePitch="312" w:charSpace="0"/>
        </w:sectPr>
      </w:pPr>
      <w:r>
        <w:rPr>
          <w:rFonts w:hint="eastAsia" w:ascii="Times New Roman" w:hAnsi="Times New Roman" w:eastAsia="宋体" w:cs="Times New Roman"/>
          <w:b w:val="0"/>
          <w:bCs/>
          <w:color w:val="000000"/>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EB4C3C">
      <w:pPr>
        <w:numPr>
          <w:ilvl w:val="0"/>
          <w:numId w:val="11"/>
        </w:numPr>
        <w:tabs>
          <w:tab w:val="left" w:pos="1154"/>
        </w:tabs>
        <w:spacing w:line="360" w:lineRule="auto"/>
        <w:jc w:val="center"/>
        <w:rPr>
          <w:rFonts w:ascii="宋体" w:hAnsi="宋体" w:cs="宋体"/>
          <w:b/>
          <w:sz w:val="32"/>
          <w:szCs w:val="28"/>
          <w:highlight w:val="none"/>
        </w:rPr>
      </w:pPr>
      <w:r>
        <w:rPr>
          <w:rFonts w:hint="eastAsia" w:ascii="宋体" w:hAnsi="宋体" w:cs="宋体"/>
          <w:b/>
          <w:sz w:val="32"/>
          <w:szCs w:val="28"/>
          <w:highlight w:val="none"/>
        </w:rPr>
        <w:t>采购合同（样本）</w:t>
      </w:r>
    </w:p>
    <w:p w14:paraId="186A0EE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甲方</w:t>
      </w:r>
      <w:r>
        <w:rPr>
          <w:rFonts w:hint="eastAsia" w:ascii="宋体" w:hAnsi="宋体" w:eastAsia="宋体" w:cs="宋体"/>
          <w:b/>
          <w:color w:val="000000"/>
          <w:sz w:val="24"/>
          <w:szCs w:val="24"/>
          <w:highlight w:val="none"/>
        </w:rPr>
        <w:t>：</w:t>
      </w:r>
      <w:r>
        <w:rPr>
          <w:rFonts w:hint="eastAsia" w:ascii="宋体" w:hAnsi="宋体" w:cs="宋体"/>
          <w:b w:val="0"/>
          <w:bCs/>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（以下简称“甲方”）</w:t>
      </w:r>
    </w:p>
    <w:p w14:paraId="1A6EC30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乙方：</w:t>
      </w:r>
      <w:r>
        <w:rPr>
          <w:rFonts w:hint="eastAsia" w:ascii="宋体" w:hAnsi="宋体" w:eastAsia="宋体" w:cs="宋体"/>
          <w:color w:val="0070C0"/>
          <w:sz w:val="24"/>
          <w:szCs w:val="24"/>
          <w:highlight w:val="none"/>
          <w:u w:val="single"/>
        </w:rPr>
        <w:t xml:space="preserve">      </w:t>
      </w:r>
      <w:r>
        <w:rPr>
          <w:rFonts w:hint="eastAsia" w:ascii="宋体" w:hAnsi="宋体" w:eastAsia="宋体" w:cs="宋体"/>
          <w:color w:val="0070C0"/>
          <w:sz w:val="24"/>
          <w:szCs w:val="24"/>
          <w:highlight w:val="none"/>
          <w:u w:val="single"/>
          <w:lang w:val="en-US" w:eastAsia="zh-CN"/>
        </w:rPr>
        <w:t xml:space="preserve">       </w:t>
      </w:r>
      <w:r>
        <w:rPr>
          <w:rFonts w:hint="eastAsia" w:ascii="宋体" w:hAnsi="宋体" w:eastAsia="宋体" w:cs="宋体"/>
          <w:color w:val="0070C0"/>
          <w:sz w:val="24"/>
          <w:szCs w:val="24"/>
          <w:highlight w:val="none"/>
          <w:u w:val="single"/>
        </w:rPr>
        <w:t xml:space="preserve">         </w:t>
      </w:r>
      <w:r>
        <w:rPr>
          <w:rFonts w:hint="eastAsia" w:ascii="宋体" w:hAnsi="宋体" w:eastAsia="宋体" w:cs="宋体"/>
          <w:sz w:val="24"/>
          <w:szCs w:val="24"/>
          <w:highlight w:val="none"/>
        </w:rPr>
        <w:t>（以下简称“乙方”）</w:t>
      </w:r>
    </w:p>
    <w:p w14:paraId="0AA5325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95423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日经</w:t>
      </w:r>
      <w:r>
        <w:rPr>
          <w:rFonts w:hint="eastAsia" w:ascii="宋体" w:hAnsi="宋体" w:cs="宋体"/>
          <w:color w:val="auto"/>
          <w:sz w:val="24"/>
          <w:szCs w:val="24"/>
          <w:highlight w:val="none"/>
          <w:lang w:eastAsia="zh-CN"/>
        </w:rPr>
        <w:t>浙江五石中正工程咨询有限公司衢州分公司</w:t>
      </w:r>
      <w:r>
        <w:rPr>
          <w:rFonts w:hint="eastAsia" w:ascii="宋体" w:hAnsi="宋体" w:eastAsia="宋体" w:cs="宋体"/>
          <w:color w:val="auto"/>
          <w:sz w:val="24"/>
          <w:szCs w:val="24"/>
          <w:highlight w:val="none"/>
        </w:rPr>
        <w:t>代理的</w:t>
      </w:r>
      <w:r>
        <w:rPr>
          <w:rFonts w:hint="eastAsia" w:ascii="宋体" w:hAnsi="宋体" w:cs="宋体"/>
          <w:color w:val="auto"/>
          <w:sz w:val="24"/>
          <w:szCs w:val="24"/>
          <w:highlight w:val="none"/>
          <w:lang w:eastAsia="zh-CN"/>
        </w:rPr>
        <w:t>衢江区卫生健康局</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项目（代理项目编号：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）的招标结果和有关招投标文件的要求，经双方友好协商，订立本合同。</w:t>
      </w:r>
    </w:p>
    <w:p w14:paraId="252522C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highlight w:val="none"/>
          <w:u w:val="single"/>
        </w:rPr>
      </w:pPr>
      <w:r>
        <w:rPr>
          <w:rFonts w:hint="eastAsia" w:ascii="宋体" w:hAnsi="宋体" w:eastAsia="宋体" w:cs="宋体"/>
          <w:b/>
          <w:bCs/>
          <w:color w:val="auto"/>
          <w:sz w:val="24"/>
          <w:szCs w:val="24"/>
          <w:highlight w:val="none"/>
        </w:rPr>
        <w:t>第一条</w:t>
      </w:r>
      <w:r>
        <w:rPr>
          <w:rFonts w:hint="eastAsia" w:ascii="宋体" w:hAnsi="宋体" w:eastAsia="宋体" w:cs="宋体"/>
          <w:color w:val="auto"/>
          <w:sz w:val="24"/>
          <w:szCs w:val="24"/>
          <w:highlight w:val="none"/>
        </w:rPr>
        <w:t xml:space="preserve">  根据招标结果，确定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衢江区卫生健康局</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w:t>
      </w:r>
      <w:r>
        <w:rPr>
          <w:rFonts w:hint="eastAsia" w:ascii="宋体" w:hAnsi="宋体" w:eastAsia="宋体" w:cs="宋体"/>
          <w:color w:val="000000"/>
          <w:sz w:val="24"/>
          <w:szCs w:val="24"/>
          <w:highlight w:val="none"/>
        </w:rPr>
        <w:t>目的服务单位。</w:t>
      </w:r>
    </w:p>
    <w:p w14:paraId="7601C71C">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第二条</w:t>
      </w:r>
      <w:r>
        <w:rPr>
          <w:rFonts w:hint="eastAsia" w:ascii="宋体" w:hAnsi="宋体" w:eastAsia="宋体" w:cs="宋体"/>
          <w:color w:val="000000"/>
          <w:sz w:val="24"/>
          <w:szCs w:val="24"/>
          <w:highlight w:val="none"/>
        </w:rPr>
        <w:t xml:space="preserve">  乙方承接甲方的服务业务时，应按乙方投标文件的投标价收取费用（如乙方有优惠承诺，则按承诺的优惠价收取费用）。</w:t>
      </w:r>
    </w:p>
    <w:p w14:paraId="18A248D6">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合同总价：￥</w:t>
      </w:r>
      <w:r>
        <w:rPr>
          <w:rFonts w:hint="eastAsia" w:ascii="宋体" w:hAnsi="宋体" w:eastAsia="宋体" w:cs="宋体"/>
          <w:color w:val="auto"/>
          <w:kern w:val="0"/>
          <w:sz w:val="24"/>
          <w:szCs w:val="24"/>
          <w:highlight w:val="none"/>
          <w:u w:val="single"/>
        </w:rPr>
        <w:t xml:space="preserve">      .00</w:t>
      </w:r>
      <w:r>
        <w:rPr>
          <w:rFonts w:hint="eastAsia" w:ascii="宋体" w:hAnsi="宋体" w:eastAsia="宋体" w:cs="宋体"/>
          <w:color w:val="auto"/>
          <w:sz w:val="24"/>
          <w:szCs w:val="24"/>
          <w:highlight w:val="none"/>
        </w:rPr>
        <w:t>（大写</w:t>
      </w:r>
      <w:r>
        <w:rPr>
          <w:rFonts w:hint="eastAsia" w:ascii="宋体" w:hAnsi="宋体" w:eastAsia="宋体" w:cs="宋体"/>
          <w:color w:val="000000"/>
          <w:sz w:val="24"/>
          <w:szCs w:val="24"/>
          <w:highlight w:val="none"/>
        </w:rPr>
        <w:t>：人民币</w:t>
      </w:r>
      <w:r>
        <w:rPr>
          <w:rFonts w:hint="eastAsia" w:ascii="宋体" w:hAnsi="宋体" w:eastAsia="宋体" w:cs="宋体"/>
          <w:color w:val="auto"/>
          <w:sz w:val="24"/>
          <w:szCs w:val="24"/>
          <w:highlight w:val="none"/>
          <w:u w:val="single"/>
        </w:rPr>
        <w:t xml:space="preserve">          元整</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highlight w:val="none"/>
        </w:rPr>
        <w:t>包括</w:t>
      </w:r>
      <w:r>
        <w:rPr>
          <w:rFonts w:hint="eastAsia" w:ascii="宋体" w:hAnsi="宋体" w:eastAsia="宋体" w:cs="宋体"/>
          <w:sz w:val="24"/>
          <w:szCs w:val="24"/>
          <w:highlight w:val="none"/>
          <w:lang w:val="en-US" w:eastAsia="zh-CN"/>
        </w:rPr>
        <w:t>本项目整个服务期所需的一切</w:t>
      </w:r>
      <w:r>
        <w:rPr>
          <w:rFonts w:hint="eastAsia" w:hAnsi="宋体" w:cs="宋体"/>
          <w:sz w:val="24"/>
          <w:szCs w:val="24"/>
          <w:highlight w:val="none"/>
          <w:lang w:val="en-US" w:eastAsia="zh-CN"/>
        </w:rPr>
        <w:t>软硬</w:t>
      </w:r>
      <w:r>
        <w:rPr>
          <w:rFonts w:hint="eastAsia" w:ascii="宋体" w:hAnsi="宋体" w:eastAsia="宋体" w:cs="宋体"/>
          <w:sz w:val="24"/>
          <w:szCs w:val="24"/>
          <w:highlight w:val="none"/>
          <w:lang w:val="en-US" w:eastAsia="zh-CN"/>
        </w:rPr>
        <w:t>件</w:t>
      </w:r>
      <w:r>
        <w:rPr>
          <w:rFonts w:hint="eastAsia" w:hAnsi="宋体" w:cs="宋体"/>
          <w:sz w:val="24"/>
          <w:szCs w:val="24"/>
          <w:highlight w:val="none"/>
          <w:lang w:val="en-US" w:eastAsia="zh-CN"/>
        </w:rPr>
        <w:t>及</w:t>
      </w:r>
      <w:r>
        <w:rPr>
          <w:rFonts w:hint="eastAsia" w:ascii="宋体" w:hAnsi="宋体" w:eastAsia="宋体" w:cs="宋体"/>
          <w:sz w:val="24"/>
          <w:szCs w:val="24"/>
          <w:highlight w:val="none"/>
          <w:lang w:val="en-US" w:eastAsia="zh-CN"/>
        </w:rPr>
        <w:t>人工、工具、保险、交通、利润、税金、售后服务、保修（包含须由投标人承担的各种税费）、其它需投标人承担的费用及潜在可能涉及的一切费用。</w:t>
      </w:r>
    </w:p>
    <w:p w14:paraId="4E3BC5CF">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（注：技术参数以投标文件为准）</w:t>
      </w:r>
    </w:p>
    <w:p w14:paraId="4EF20E46">
      <w:pPr>
        <w:keepNext w:val="0"/>
        <w:keepLines w:val="0"/>
        <w:pageBreakBefore w:val="0"/>
        <w:numPr>
          <w:ilvl w:val="0"/>
          <w:numId w:val="0"/>
        </w:numPr>
        <w:kinsoku/>
        <w:wordWrap/>
        <w:overflowPunct/>
        <w:topLinePunct w:val="0"/>
        <w:autoSpaceDE/>
        <w:autoSpaceDN/>
        <w:bidi w:val="0"/>
        <w:adjustRightInd/>
        <w:snapToGrid/>
        <w:spacing w:beforeLines="10" w:line="360" w:lineRule="auto"/>
        <w:ind w:firstLine="482" w:firstLineChars="200"/>
        <w:textAlignment w:val="auto"/>
        <w:rPr>
          <w:rFonts w:hint="default" w:ascii="宋体" w:hAnsi="宋体" w:cs="宋体"/>
          <w:color w:val="000000"/>
          <w:sz w:val="24"/>
          <w:szCs w:val="24"/>
          <w:highlight w:val="none"/>
          <w:lang w:val="en-US" w:eastAsia="zh-CN"/>
        </w:rPr>
      </w:pPr>
      <w:r>
        <w:rPr>
          <w:rFonts w:hint="eastAsia" w:ascii="宋体" w:hAnsi="宋体" w:cs="宋体"/>
          <w:b/>
          <w:bCs/>
          <w:color w:val="000000"/>
          <w:sz w:val="24"/>
          <w:szCs w:val="24"/>
          <w:highlight w:val="none"/>
          <w:lang w:val="en-US" w:eastAsia="zh-CN"/>
        </w:rPr>
        <w:t xml:space="preserve">第三条  </w:t>
      </w:r>
      <w:r>
        <w:rPr>
          <w:rFonts w:hint="eastAsia" w:ascii="宋体" w:hAnsi="宋体" w:cs="宋体"/>
          <w:color w:val="000000"/>
          <w:sz w:val="24"/>
          <w:szCs w:val="24"/>
          <w:highlight w:val="none"/>
          <w:lang w:val="en-US" w:eastAsia="zh-CN"/>
        </w:rPr>
        <w:t>服务期</w:t>
      </w:r>
      <w:r>
        <w:rPr>
          <w:rFonts w:hint="eastAsia" w:ascii="宋体" w:hAnsi="宋体" w:eastAsia="宋体" w:cs="宋体"/>
          <w:color w:val="000000"/>
          <w:sz w:val="24"/>
          <w:szCs w:val="24"/>
          <w:highlight w:val="none"/>
          <w:lang w:eastAsia="zh-CN"/>
        </w:rPr>
        <w:t>：</w:t>
      </w:r>
      <w:r>
        <w:rPr>
          <w:rFonts w:hint="eastAsia" w:ascii="宋体" w:hAnsi="宋体" w:cs="宋体"/>
          <w:sz w:val="24"/>
          <w:highlight w:val="none"/>
          <w:lang w:val="en-US" w:eastAsia="zh-CN"/>
        </w:rPr>
        <w:t>3年（2025年</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日至</w:t>
      </w:r>
      <w:r>
        <w:rPr>
          <w:rFonts w:hint="eastAsia" w:ascii="宋体" w:hAnsi="宋体" w:cs="宋体"/>
          <w:sz w:val="24"/>
          <w:highlight w:val="none"/>
          <w:lang w:val="en-US" w:eastAsia="zh-CN"/>
        </w:rPr>
        <w:t>2028年</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日</w:t>
      </w:r>
      <w:r>
        <w:rPr>
          <w:rFonts w:hint="eastAsia" w:ascii="宋体" w:hAnsi="宋体" w:cs="宋体"/>
          <w:sz w:val="24"/>
          <w:highlight w:val="none"/>
          <w:lang w:val="en-US" w:eastAsia="zh-CN"/>
        </w:rPr>
        <w:t>）</w:t>
      </w:r>
    </w:p>
    <w:p w14:paraId="194C6D70">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第四条</w:t>
      </w:r>
      <w:r>
        <w:rPr>
          <w:rFonts w:hint="eastAsia" w:ascii="宋体" w:hAnsi="宋体" w:eastAsia="宋体" w:cs="宋体"/>
          <w:color w:val="000000"/>
          <w:sz w:val="24"/>
          <w:szCs w:val="24"/>
          <w:highlight w:val="none"/>
        </w:rPr>
        <w:t xml:space="preserve">  服务</w:t>
      </w:r>
      <w:r>
        <w:rPr>
          <w:rFonts w:hint="eastAsia" w:ascii="宋体" w:hAnsi="宋体" w:eastAsia="宋体" w:cs="宋体"/>
          <w:color w:val="000000"/>
          <w:sz w:val="24"/>
          <w:szCs w:val="24"/>
          <w:highlight w:val="none"/>
          <w:lang w:val="en-US" w:eastAsia="zh-CN"/>
        </w:rPr>
        <w:t>地点、</w:t>
      </w:r>
      <w:r>
        <w:rPr>
          <w:rFonts w:hint="eastAsia" w:ascii="宋体" w:hAnsi="宋体" w:eastAsia="宋体" w:cs="宋体"/>
          <w:color w:val="000000"/>
          <w:sz w:val="24"/>
          <w:szCs w:val="24"/>
          <w:highlight w:val="none"/>
        </w:rPr>
        <w:t>内容和要求</w:t>
      </w:r>
    </w:p>
    <w:p w14:paraId="2FBAC7BE">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一、服务地点：详见招标文件采购需求。</w:t>
      </w:r>
    </w:p>
    <w:p w14:paraId="791CCE06">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二、服务数量：详见“招标需求”。</w:t>
      </w:r>
    </w:p>
    <w:p w14:paraId="528A740B">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服务要求</w:t>
      </w:r>
    </w:p>
    <w:p w14:paraId="7C0A66F7">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1.漏洞攻击防护服务</w:t>
      </w:r>
    </w:p>
    <w:p w14:paraId="1B55D2B1">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val="en-US" w:eastAsia="zh-CN"/>
        </w:rPr>
        <w:t>内容</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部署入侵检测防护系统（漏洞防护），通过开展漏洞攻击防护服务，实现对漏洞利用攻击的防护方案。对漏洞利用攻击行为的风险IP发现、处置，保障整体网络安全，保护</w:t>
      </w:r>
      <w:r>
        <w:rPr>
          <w:rFonts w:hint="eastAsia" w:ascii="宋体" w:hAnsi="宋体" w:eastAsia="宋体" w:cs="宋体"/>
          <w:sz w:val="24"/>
          <w:szCs w:val="24"/>
          <w:highlight w:val="none"/>
          <w:lang w:bidi="ar"/>
        </w:rPr>
        <w:t>衢江区卫生健康局</w:t>
      </w:r>
      <w:r>
        <w:rPr>
          <w:rFonts w:hint="eastAsia" w:ascii="宋体" w:hAnsi="宋体" w:eastAsia="宋体" w:cs="宋体"/>
          <w:sz w:val="24"/>
          <w:szCs w:val="24"/>
          <w:highlight w:val="none"/>
          <w:lang w:val="en-US" w:eastAsia="zh-CN" w:bidi="ar"/>
        </w:rPr>
        <w:t>及人民医院、中医院、妇保院</w:t>
      </w:r>
      <w:r>
        <w:rPr>
          <w:rFonts w:hint="eastAsia" w:ascii="宋体" w:hAnsi="宋体" w:eastAsia="宋体" w:cs="宋体"/>
          <w:sz w:val="24"/>
          <w:szCs w:val="24"/>
          <w:highlight w:val="none"/>
        </w:rPr>
        <w:t>的网络和系统整体安全。</w:t>
      </w:r>
    </w:p>
    <w:p w14:paraId="5B9B14DA">
      <w:pPr>
        <w:pStyle w:val="36"/>
        <w:spacing w:line="360" w:lineRule="auto"/>
        <w:ind w:firstLine="65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val="en-US" w:eastAsia="zh-CN"/>
        </w:rPr>
        <w:t>工具要求</w:t>
      </w:r>
      <w:r>
        <w:rPr>
          <w:rFonts w:hint="eastAsia" w:ascii="宋体" w:hAnsi="宋体" w:eastAsia="宋体" w:cs="宋体"/>
          <w:b/>
          <w:bCs/>
          <w:sz w:val="24"/>
          <w:szCs w:val="24"/>
          <w:highlight w:val="none"/>
        </w:rPr>
        <w:t>：</w:t>
      </w:r>
    </w:p>
    <w:p w14:paraId="78EC7067">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采用旁路部署的模式接入网络，不改变组网结构，通过镜像流量智能分析，不对正常业务造成干扰。</w:t>
      </w:r>
    </w:p>
    <w:p w14:paraId="78A46CC0">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具有网络安全专用产品安全检测证书，提供证书复印件。</w:t>
      </w:r>
    </w:p>
    <w:p w14:paraId="18C31950">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支持主动屏蔽。采用大流量分析技术，对含有漏洞探测行为的流量进行针对性屏蔽，使其无法获取到目的资产的漏洞信息。</w:t>
      </w:r>
    </w:p>
    <w:p w14:paraId="19AF3832">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基于高频触发、部分爬虫行为的风险分析。采用流量分析手段匹配系统底层内置规则，识别恶意工具的访问、扫描、攻击行为。</w:t>
      </w:r>
    </w:p>
    <w:p w14:paraId="00D252E5">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基于规则库的攻击行为分析，库内支持30w+规则，采用漏洞规则比对手段检测中间件、系统框架、数据库、病毒木马等恶意攻击行为。</w:t>
      </w:r>
    </w:p>
    <w:p w14:paraId="62EADFC1">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支持对攻击行为准确判断，根据预设警报规则对异常情况进行记录，并提供系统捕捉到的相关异常信息，包括风险IP、风险等级、告警次数、预警时间等。</w:t>
      </w:r>
    </w:p>
    <w:p w14:paraId="0109F810">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具备风险IP自处理能力。支持批量对风险IP执行阻断/告警两种应对模式，提供通道能够人工对风险IP进行风险等级划分</w:t>
      </w:r>
    </w:p>
    <w:p w14:paraId="3A03794B">
      <w:pPr>
        <w:pStyle w:val="36"/>
        <w:numPr>
          <w:ilvl w:val="0"/>
          <w:numId w:val="7"/>
        </w:numPr>
        <w:spacing w:line="360" w:lineRule="auto"/>
        <w:ind w:firstLine="654"/>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★支持在IP路由协议(RIP、IGRP、OSPF、IS-IS、BGP、MPLS-VPN）下实现漏洞自动屏蔽。</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2B718B52">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★双向阻断：同步监听东西向与南北向环境中的多重风险，监听从任意一端发起的攻击、访问、扫描行为及是否存在被攻击的风险，并对其行为采取预警/阻断处理。</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26AB8D94">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二次扫描：具备二次扫描能力。在初次扫描并过滤流量信息后，触发二次扫描机制，对已经过滤的流量数据进行更为深入和详尽的再次审查，提升安全检测的精准度，降低误报漏报情况。</w:t>
      </w:r>
    </w:p>
    <w:p w14:paraId="3882112B">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支持对内网重要网段进行批量上传防护，对导入的数据进行解析、验证，结合安全策略和规则。支持对防护网段划分“隔离”和“放行”操作。</w:t>
      </w:r>
    </w:p>
    <w:p w14:paraId="46171360">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支持内网防护配置列表，对列表内IP开启漏洞防护功能，对蜜罐、诱饵、仿真类主机不加入防护列表。</w:t>
      </w:r>
    </w:p>
    <w:p w14:paraId="44B85ADB">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支持手动录入或自动发现风险IP信息，能够更好地进行风险管理和决策制定。</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155D622D">
      <w:pPr>
        <w:pStyle w:val="36"/>
        <w:numPr>
          <w:ilvl w:val="0"/>
          <w:numId w:val="7"/>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★支持配置风险白名单，允许部分IP进入内网扫描。应用于内网自查漏洞风险、内网存在探测设备等场景。</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485909F3">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2.漏洞仿真服务</w:t>
      </w:r>
    </w:p>
    <w:p w14:paraId="59F42353">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部署漏洞仿真系统，通过漏洞仿真服务的建设，模拟各种业务和漏洞信息，隐匿真实资产信息和弱点漏洞，诱捕攻击者信息，发现潜在的安全威胁，并及时进行处置，从而提高系统的安全性和可靠性。</w:t>
      </w:r>
    </w:p>
    <w:p w14:paraId="046BE457">
      <w:pPr>
        <w:pStyle w:val="36"/>
        <w:spacing w:line="360" w:lineRule="auto"/>
        <w:ind w:firstLine="65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val="en-US" w:eastAsia="zh-CN"/>
        </w:rPr>
        <w:t>工具要求</w:t>
      </w:r>
      <w:r>
        <w:rPr>
          <w:rFonts w:hint="eastAsia" w:ascii="宋体" w:hAnsi="宋体" w:eastAsia="宋体" w:cs="宋体"/>
          <w:b/>
          <w:bCs/>
          <w:sz w:val="24"/>
          <w:szCs w:val="24"/>
          <w:highlight w:val="none"/>
        </w:rPr>
        <w:t>：</w:t>
      </w:r>
    </w:p>
    <w:p w14:paraId="02250D4B">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采用旁路部署模式接入网络，无需对原始的网络架构和业务流程进行任何修改，不干扰正常业务运行对网络流量进行捕获和分析。</w:t>
      </w:r>
    </w:p>
    <w:p w14:paraId="65CD760F">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在攻击者入侵的关键路径上部署诱饵和节点，不占用业务环境内实际资源，诱导攻击者转移攻击目标进入与真实网络隔离的蜜网。</w:t>
      </w:r>
    </w:p>
    <w:p w14:paraId="57219B69">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采用图表、图形、仪表盘等可视化元素，将节点情况、攻击事件统计、攻击源IP、攻击趋势等以直观易懂的方式展现。</w:t>
      </w:r>
    </w:p>
    <w:p w14:paraId="6625690E">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支持在</w:t>
      </w:r>
      <w:r>
        <w:rPr>
          <w:rFonts w:hint="eastAsia" w:ascii="宋体" w:hAnsi="宋体" w:eastAsia="宋体" w:cs="宋体"/>
          <w:b w:val="0"/>
          <w:bCs w:val="0"/>
          <w:sz w:val="24"/>
          <w:szCs w:val="24"/>
          <w:highlight w:val="none"/>
        </w:rPr>
        <w:t>不改变本地现有资源情况下，利用空闲IP虚拟出泛漏洞信息散布，扩散业务量将真实业务藏身于虚拟环境内。</w:t>
      </w:r>
    </w:p>
    <w:p w14:paraId="06DB5CF9">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★虚拟出泛漏洞信息，支持选择系统模板内的漏洞信息，支持自定义新增端口开放型风险，支持对风险进行威胁程度设定，扩大漏洞散布范围。</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032C92B0">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系统内置4</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条漏洞服务且不含敏感信息，便于用户部署诱饵系统，通过主动暴露非关键漏洞，诱捕并分析黑客攻击行为，增强安全防护的主动性与智能性。</w:t>
      </w:r>
    </w:p>
    <w:p w14:paraId="60D11FF1">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★通过虚拟引流技术识别具有异常的行为特征的流量，引导流量优先走向虚拟业务、仿真漏洞内。</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1E9A634C">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★实时监听诱饵、沙箱以及各个节点的失陷状态，即是否被未经授权的第三方入侵或控制。</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6796C2A1">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发现攻击者触发仿真系统节点，其所有操作都会被详细记录，包括源目IP、源目端口、路径、请求包以及攻击行为记录等。</w:t>
      </w:r>
    </w:p>
    <w:p w14:paraId="1439B1BB">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对少量触发漏洞服务的行为判断为疑似攻击，根据内置策略达到一定程度的攻击次数后判断为风险并记录在系统内，疑似攻击获取信息包括但不限于漏洞信息、攻击目标、威胁等级、攻击次数、开始/结束时间</w:t>
      </w:r>
    </w:p>
    <w:p w14:paraId="224161D7">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★支持对风险事件的时间序列数据进行综合分析并产生总结报告。允许总结报告存放在系统内，便于后续下载与查阅，确保风险管理流程的高效性与数据的安全性。</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3EB01F69">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将恶意程序与命令、文本、工具等正常程序捆绑成一个文件，并通过伪装漏洞、虚拟业务等方式发送给攻击者。</w:t>
      </w:r>
    </w:p>
    <w:p w14:paraId="49D0C304">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攻击者执行被伪装的木马程序后，管理设备支持通过木马程序远程控制用户计算机，并在后台建立与服务器的连接。反制手段包括文件操作、进程管理、键盘记录、屏幕监控、摄像头控制、权限访问等。</w:t>
      </w:r>
    </w:p>
    <w:p w14:paraId="728952B9">
      <w:pPr>
        <w:pStyle w:val="36"/>
        <w:numPr>
          <w:ilvl w:val="0"/>
          <w:numId w:val="8"/>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攻击者执行被伪装的木马程序后</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支持获取目标计算机上的敏感信息，包括但不限于账号密码、文件资料、设备指纹信息、网址信息、手机号、社交账号等。</w:t>
      </w:r>
    </w:p>
    <w:p w14:paraId="4313A60F">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3.安全威胁检测服务</w:t>
      </w:r>
    </w:p>
    <w:p w14:paraId="1448AC05">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部署安全威胁统一管理系统及工具，通过安全威胁检测服务，及时发现并应对各种安全威胁。实现对网络流量、系统日志、应用程序事件等数据的实时监测和分析，发现潜在的恶意行为、漏洞利用和攻击行为，并联动防火墙和漏洞防护设备进行自动阻断。</w:t>
      </w:r>
    </w:p>
    <w:p w14:paraId="6AC11B18">
      <w:pPr>
        <w:pStyle w:val="36"/>
        <w:spacing w:line="360" w:lineRule="auto"/>
        <w:ind w:firstLine="65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val="en-US" w:eastAsia="zh-CN"/>
        </w:rPr>
        <w:t>工具要求</w:t>
      </w:r>
      <w:r>
        <w:rPr>
          <w:rFonts w:hint="eastAsia" w:ascii="宋体" w:hAnsi="宋体" w:eastAsia="宋体" w:cs="宋体"/>
          <w:b/>
          <w:bCs/>
          <w:sz w:val="24"/>
          <w:szCs w:val="24"/>
          <w:highlight w:val="none"/>
        </w:rPr>
        <w:t>：</w:t>
      </w:r>
    </w:p>
    <w:p w14:paraId="729F6BBB">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★支持主流厂商的态势感知、防火墙、入侵检测、蜜罐等安全设备对接并收集互联网风险告警信息。</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04D2BF4A">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系统区分“监测类型设备”和“处理类型设备”，对接入设备进行类型和功能区分。</w:t>
      </w:r>
    </w:p>
    <w:p w14:paraId="0977292A">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提供定制化设备对接服务，配合拓宽产品联动领域，对产品新版本或是其他厂商或类型的安全产品进行对接。</w:t>
      </w:r>
    </w:p>
    <w:p w14:paraId="5FF5AE7F">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采用图表、图形、仪表盘等可视化元素，将第三方设备联动情况、攻击情况、攻击事件统计和详情、风险处置统计等以直观易懂的方式展现。</w:t>
      </w:r>
    </w:p>
    <w:p w14:paraId="31150BCC">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支持对接入信息进行数据识别分析，列举展示攻击名称、源/目地址、源/目端口、协议、威胁级别、数据来源、开始/结束时间等。</w:t>
      </w:r>
    </w:p>
    <w:p w14:paraId="7E0EEB23">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支持对异常告警信息的内容进行判断，通过内部核心动态数据分析技术实现数据来源定位，危险等级判断。</w:t>
      </w:r>
    </w:p>
    <w:p w14:paraId="44EA2C5F">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通过第三方对接收集到的数据包，对多条数据包进行大规模数据处理、数据清洗和数据分析，比较字段值的相似度和重复性，经过拆分、搭建、选择、重组、整合流程，将多条有效信息组合成一条新的风险告警数据信息进行展示。</w:t>
      </w:r>
    </w:p>
    <w:p w14:paraId="20C84387">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★支持各类安全设备关键数据的集中可视化</w:t>
      </w:r>
      <w:r>
        <w:rPr>
          <w:rFonts w:hint="eastAsia" w:ascii="宋体" w:hAnsi="宋体" w:eastAsia="宋体" w:cs="宋体"/>
          <w:b w:val="0"/>
          <w:bCs w:val="0"/>
          <w:sz w:val="24"/>
          <w:szCs w:val="24"/>
          <w:highlight w:val="none"/>
          <w:lang w:val="en-US" w:eastAsia="zh-CN"/>
        </w:rPr>
        <w:t>大屏</w:t>
      </w:r>
      <w:r>
        <w:rPr>
          <w:rFonts w:hint="eastAsia" w:ascii="宋体" w:hAnsi="宋体" w:eastAsia="宋体" w:cs="宋体"/>
          <w:b w:val="0"/>
          <w:bCs w:val="0"/>
          <w:sz w:val="24"/>
          <w:szCs w:val="24"/>
          <w:highlight w:val="none"/>
        </w:rPr>
        <w:t>展示，支持展示内容包括但不限于</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以下提供产品证明截图</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w:t>
      </w:r>
    </w:p>
    <w:p w14:paraId="19210181">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蜜罐相关指标：蜜罐被攻击漏洞TOP5、攻击源IP TOP5、蜜罐部署及沙箱节点情况。</w:t>
      </w:r>
    </w:p>
    <w:p w14:paraId="0D3F3FD0">
      <w:pPr>
        <w:pStyle w:val="36"/>
        <w:spacing w:line="360" w:lineRule="auto"/>
        <w:ind w:firstLine="652"/>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外联检测指标：违规外联行为预警统计。</w:t>
      </w:r>
    </w:p>
    <w:p w14:paraId="2EC25427">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威胁入侵指标：威胁入侵事件预警以及风险分布，包括已处置风险IP、新增风险IP处置情况以及各类风险分布情况。</w:t>
      </w:r>
    </w:p>
    <w:p w14:paraId="4E67FFCF">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联动处置指标：威胁处置中心联动设备情况、事件处置进展及攻击事件统计情况。</w:t>
      </w:r>
    </w:p>
    <w:p w14:paraId="26D52BC5">
      <w:pPr>
        <w:pStyle w:val="36"/>
        <w:numPr>
          <w:ilvl w:val="0"/>
          <w:numId w:val="9"/>
        </w:numPr>
        <w:spacing w:line="360" w:lineRule="auto"/>
        <w:ind w:firstLine="654"/>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★支持运营中心大屏与AI数字人联动，具备可视化数据分析与智能交互能力。AI数字人可基于大屏展示的安全数据，进行自动分析与辅助解读，支持快捷提问与自然语言交互，实现</w:t>
      </w:r>
      <w:r>
        <w:rPr>
          <w:rFonts w:hint="eastAsia" w:ascii="宋体" w:hAnsi="宋体" w:eastAsia="宋体" w:cs="宋体"/>
          <w:b w:val="0"/>
          <w:bCs w:val="0"/>
          <w:sz w:val="24"/>
          <w:szCs w:val="24"/>
          <w:highlight w:val="none"/>
          <w:lang w:val="en-US" w:eastAsia="zh-CN"/>
        </w:rPr>
        <w:t>设置</w:t>
      </w:r>
      <w:r>
        <w:rPr>
          <w:rFonts w:hint="eastAsia" w:ascii="宋体" w:hAnsi="宋体" w:eastAsia="宋体" w:cs="宋体"/>
          <w:b w:val="0"/>
          <w:bCs w:val="0"/>
          <w:sz w:val="24"/>
          <w:szCs w:val="24"/>
          <w:highlight w:val="none"/>
        </w:rPr>
        <w:t>对系统功能、日志查询、威胁处理、策略配置等内容的智能问答，提升安全运营智能化与便捷性。</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提供产品界面截图</w:t>
      </w:r>
      <w:r>
        <w:rPr>
          <w:rFonts w:hint="eastAsia" w:ascii="宋体" w:hAnsi="宋体" w:eastAsia="宋体" w:cs="宋体"/>
          <w:b w:val="0"/>
          <w:bCs w:val="0"/>
          <w:sz w:val="24"/>
          <w:szCs w:val="24"/>
          <w:highlight w:val="none"/>
          <w:lang w:eastAsia="zh-CN"/>
        </w:rPr>
        <w:t>）</w:t>
      </w:r>
    </w:p>
    <w:p w14:paraId="4865917F">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支持调动处置设备，自动对已发现的异常风险进行快速处置，并在风险处置页面记录相关风险信息，包括风险IP、风险类型、风险来源、处置设备、处置结果等信息。</w:t>
      </w:r>
    </w:p>
    <w:p w14:paraId="0FDD7CD7">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支持自主新增风险IP进行提前预防，增加客户对网络环境的把控和灵活应对的手段。</w:t>
      </w:r>
    </w:p>
    <w:p w14:paraId="7AAB40A4">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★横向处置：自定义处置范围，开启横向处置则对内外网所有存在攻击行为的风险IP均进行阻断处置，关闭则对保护网段外的风险进行处置。</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需提供产品截图证明</w:t>
      </w:r>
      <w:r>
        <w:rPr>
          <w:rFonts w:hint="eastAsia" w:ascii="宋体" w:hAnsi="宋体" w:eastAsia="宋体" w:cs="宋体"/>
          <w:b w:val="0"/>
          <w:bCs w:val="0"/>
          <w:sz w:val="24"/>
          <w:szCs w:val="24"/>
          <w:highlight w:val="none"/>
          <w:lang w:eastAsia="zh-CN"/>
        </w:rPr>
        <w:t>）</w:t>
      </w:r>
    </w:p>
    <w:p w14:paraId="6D7A476C">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支持配置内网地址白名单，允许任何IP与白名单内地址进行访问和通信(包括本身);支持配置事件白名单，自动根据规则放行白名单中的事件。</w:t>
      </w:r>
    </w:p>
    <w:p w14:paraId="535A6EDE">
      <w:pPr>
        <w:pStyle w:val="36"/>
        <w:numPr>
          <w:ilvl w:val="0"/>
          <w:numId w:val="9"/>
        </w:numPr>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具备溯源功能，可追踪登录和操作日志，确保用户身份可信，并提供详细的操作记录，以实现对系统安全性和合规性的监控和审计。</w:t>
      </w:r>
    </w:p>
    <w:p w14:paraId="47B88F2F">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4.定期巡检服务</w:t>
      </w:r>
    </w:p>
    <w:p w14:paraId="130DCA09">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对数据中心物理环境、软硬件设备运行状态、网络设备的安全策略弱点、多余端口开放、访问权限分配管理等进行巡检和故障排除，协助医院进行管理规范和制度的完善。</w:t>
      </w:r>
    </w:p>
    <w:p w14:paraId="5B729AE7">
      <w:pPr>
        <w:pStyle w:val="36"/>
        <w:spacing w:line="360" w:lineRule="auto"/>
        <w:ind w:firstLine="65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p w14:paraId="094213CB">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设备检查：对数据中心的服务器、存储设备、网络设备等关键设备进行检查，包括设备的运行状态、硬件故障、软件问题等，以确保设备正常运行，没有故障或潜在问题。</w:t>
      </w:r>
    </w:p>
    <w:p w14:paraId="05087267">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网络检查：对数据中心的内网和互联网连接进行测试和检查，包括网络带宽、延迟、丢包率等指标，以确保网络连接稳定可靠，没有断线或延迟等问题。</w:t>
      </w:r>
    </w:p>
    <w:p w14:paraId="1B2FC006">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网络与安全设备检查：包括对防火墙、路由器、交换机等网络和安全设备的检查。</w:t>
      </w:r>
    </w:p>
    <w:p w14:paraId="34EFBBB4">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数据库、中间件等内容检查：包括对Oracle、Redis、MySQL等数据库的安全性检查以及涉及对Apache、Weblogic、Tomcat等中间件的安全性检查。</w:t>
      </w:r>
    </w:p>
    <w:p w14:paraId="23317DF6">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系统检查：对数据中心的操作系统、数据库、应用程序等系统进行全面的检查，包括系统的日志、进程、资源使用情况等，以确保系统运行正常，没有异常或潜在的安全风险。</w:t>
      </w:r>
    </w:p>
    <w:p w14:paraId="2AC78EAE">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安全检查：对数据中心的物理安全、网络安全、数据安全等进行全面的检查，包括访问控制、加密技术、防火墙等措施，以确保数据中心的安全性得到保障。</w:t>
      </w:r>
    </w:p>
    <w:p w14:paraId="4D59EFAC">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备份与恢复检查：对数据中心的备份和恢复方案进行检查和测试，包括备份数据的完整性、可恢复性等指标，以确保备份和恢复方案有效可行。</w:t>
      </w:r>
    </w:p>
    <w:p w14:paraId="5DF154A6">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提供有效的修复建议：基于巡检的结果，提供具体的修复建议，帮助其及时解决安全问题，提升系统的安全性。</w:t>
      </w:r>
    </w:p>
    <w:p w14:paraId="23F1085A">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通过以上巡检内容，对数据中心定期巡检服务过程中，可以及时发现并解决潜在的安全风险和问题，保障数据中心的稳定性和安全性。同时还可以提供设备的维护保养建议，延长设备的使用寿命。</w:t>
      </w:r>
    </w:p>
    <w:p w14:paraId="00400079">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交付物：出具《巡检报告》，报告内容包含巡检内容、故障问题记录、处理建议等，并协助完成故障处理。</w:t>
      </w:r>
    </w:p>
    <w:p w14:paraId="1D80FB08">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5.渗透测试服务</w:t>
      </w:r>
    </w:p>
    <w:p w14:paraId="7C5305E4">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通过模拟黑客可能使用的攻击技术和漏洞发现技术，采用黑盒测试的方法对目标系统的安全做深入的探测，发现系统最脆弱的环节，了解自身网络所面临的问题并针对安全问题进行处置。</w:t>
      </w:r>
    </w:p>
    <w:p w14:paraId="18B4D7BF">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服务内容：</w:t>
      </w:r>
    </w:p>
    <w:p w14:paraId="73B030BC">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主机操作系统渗透：包括WINDOWS、SOLARIS、AIX、LINUX、SCO、SGI等。</w:t>
      </w:r>
    </w:p>
    <w:p w14:paraId="729851A2">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数据库系统渗透：包括MS-SQL、ORACLE、MYSQL、INFORMIX、SYBASE、DB2等。</w:t>
      </w:r>
    </w:p>
    <w:p w14:paraId="178EBA2A">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应用系统渗透：对各种应用系统进行渗透测试，如WWW、E-mail、DNS、FTP等。</w:t>
      </w:r>
    </w:p>
    <w:p w14:paraId="7A83D260">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交付物：出具《渗透测试报告》，包含详细的渗透测试过程、内容和渗透结果，根据渗透结果发现的薄弱点提出整改加固建议。</w:t>
      </w:r>
    </w:p>
    <w:p w14:paraId="481A4674">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6.基线核查服务</w:t>
      </w:r>
    </w:p>
    <w:p w14:paraId="7E22CCBB">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针对业务系统的账号配置安全、口令配置安全、授权配置、日志配置、IP通信配置等方面内容进行检查。以发现薄弱或未满足要求的配置问题并进行整改。</w:t>
      </w:r>
    </w:p>
    <w:p w14:paraId="16C15404">
      <w:pPr>
        <w:pStyle w:val="36"/>
        <w:spacing w:line="360" w:lineRule="auto"/>
        <w:ind w:firstLine="65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p w14:paraId="54CE872E">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主机安全检查：主要包括对Windows、Linux等类型的操作系统的安全检查。</w:t>
      </w:r>
    </w:p>
    <w:p w14:paraId="211E1FB9">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数据库安全检查：包括Oracle、Redis、MySQL等数据库的安全性检查。</w:t>
      </w:r>
    </w:p>
    <w:p w14:paraId="2CA072D7">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中间件安全检查：涉及对Apache、Weblogic、Tomcat等中间件的安全性检查。</w:t>
      </w:r>
    </w:p>
    <w:p w14:paraId="24D1C09A">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网络与安全设备检查：包括对堡垒机、防火墙、路由器、交换机等网络和安全设备的检查。</w:t>
      </w:r>
    </w:p>
    <w:p w14:paraId="1B9B8380">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提供全面的安全评估：基线核查服务可以全面评估网络和信息系统的安全性，帮助了解系统中存在的安全隐患和风险。</w:t>
      </w:r>
    </w:p>
    <w:p w14:paraId="4C936713">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提供有效的修复建议：基于基线核查的结果，提供具体的修复建议，帮助其及时解决安全问题，提升系统的安全性。</w:t>
      </w:r>
    </w:p>
    <w:p w14:paraId="07E3B529">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交付物：出具《基线核查服务报告》，内容应包含检查服务的具体应用系统情况以及安全评估建议。</w:t>
      </w:r>
    </w:p>
    <w:p w14:paraId="60D30EAA">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7.风险评估服务</w:t>
      </w:r>
    </w:p>
    <w:p w14:paraId="3AEB72AE">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通过识别资产现有的脆弱性，可能面临的威胁，并充分调研已有安全控制措施，以综合判断存在的风险，预知可能发生的安全事件。最终提供全面的风险评估报告。</w:t>
      </w:r>
    </w:p>
    <w:p w14:paraId="68F7C6CF">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服务内容：</w:t>
      </w:r>
      <w:r>
        <w:rPr>
          <w:rFonts w:hint="eastAsia" w:ascii="宋体" w:hAnsi="宋体" w:eastAsia="宋体" w:cs="宋体"/>
          <w:sz w:val="24"/>
          <w:szCs w:val="24"/>
          <w:highlight w:val="none"/>
        </w:rPr>
        <w:t>提供风险评估工程师对医院现有信息资产进行安全风险评估：通过识别资产现有的脆弱性，可能面临的威胁，并充分调研已有的安全控制措施，以综合判断存在的风险，预知可能发生的安全事件。</w:t>
      </w:r>
    </w:p>
    <w:p w14:paraId="534A972B">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资产数量=业务系统数量+服务器数量（含虚拟机）+安全设备+关键网络设备（核心和汇聚交换机）</w:t>
      </w:r>
    </w:p>
    <w:p w14:paraId="2FB36711">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项目启动会议(准备工作)</w:t>
      </w:r>
    </w:p>
    <w:p w14:paraId="2CC1997E">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资产识别：资产梳理、资产赋值及重要性区分</w:t>
      </w:r>
    </w:p>
    <w:p w14:paraId="7F1D97C8">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脆弱性识别：漏洞扫描（使用系统漏洞扫描工具对 数据库、操作系统、中间件等进行漏洞、端口、弱口令扫描，扫描完成后由技术人员对漏洞进行确认测试，提出整改建议，协助开发人员整改。1.环境配置。2.漏洞扫描。3.漏洞验证。4.输出报告）、基线核查、脆弱性统计及赋值等</w:t>
      </w:r>
    </w:p>
    <w:p w14:paraId="31FC0286">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威胁识别：脆弱性威胁关联及赋值、潜伏威胁检测</w:t>
      </w:r>
    </w:p>
    <w:p w14:paraId="7CA2B550">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风险分析：不可接受风险处理建议</w:t>
      </w:r>
    </w:p>
    <w:p w14:paraId="47B8E2DE">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编写报告</w:t>
      </w:r>
    </w:p>
    <w:p w14:paraId="10137B92">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交付物：出具的《风险评估报告》须包括资产识别梳理、安全现状调研、脆弱风险分析、解决方案建议等内容。</w:t>
      </w:r>
    </w:p>
    <w:p w14:paraId="06FE33D8">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8.资产测绘服务</w:t>
      </w:r>
    </w:p>
    <w:p w14:paraId="09C2D2A5">
      <w:pPr>
        <w:pStyle w:val="36"/>
        <w:spacing w:line="360" w:lineRule="auto"/>
        <w:ind w:firstLine="654"/>
        <w:jc w:val="both"/>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资产测绘服务，通过对</w:t>
      </w:r>
      <w:r>
        <w:rPr>
          <w:rFonts w:hint="eastAsia" w:ascii="宋体" w:hAnsi="宋体" w:eastAsia="宋体" w:cs="宋体"/>
          <w:sz w:val="24"/>
          <w:szCs w:val="24"/>
          <w:highlight w:val="none"/>
          <w:lang w:val="en-US" w:eastAsia="zh-CN"/>
        </w:rPr>
        <w:t>互联网</w:t>
      </w:r>
      <w:r>
        <w:rPr>
          <w:rFonts w:hint="eastAsia" w:ascii="宋体" w:hAnsi="宋体" w:eastAsia="宋体" w:cs="宋体"/>
          <w:sz w:val="24"/>
          <w:szCs w:val="24"/>
          <w:highlight w:val="none"/>
        </w:rPr>
        <w:t>网络空间中的各种</w:t>
      </w:r>
      <w:r>
        <w:rPr>
          <w:rFonts w:hint="eastAsia" w:ascii="宋体" w:hAnsi="宋体" w:eastAsia="宋体" w:cs="宋体"/>
          <w:sz w:val="24"/>
          <w:szCs w:val="24"/>
          <w:highlight w:val="none"/>
          <w:lang w:val="en-US" w:eastAsia="zh-CN"/>
        </w:rPr>
        <w:t>资产暴露面</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测绘</w:t>
      </w:r>
      <w:r>
        <w:rPr>
          <w:rFonts w:hint="eastAsia" w:ascii="宋体" w:hAnsi="宋体" w:eastAsia="宋体" w:cs="宋体"/>
          <w:sz w:val="24"/>
          <w:szCs w:val="24"/>
          <w:highlight w:val="none"/>
        </w:rPr>
        <w:t>和分析，明确信息</w:t>
      </w:r>
      <w:r>
        <w:rPr>
          <w:rFonts w:hint="eastAsia" w:ascii="宋体" w:hAnsi="宋体" w:eastAsia="宋体" w:cs="宋体"/>
          <w:sz w:val="24"/>
          <w:szCs w:val="24"/>
          <w:highlight w:val="none"/>
          <w:lang w:val="en-US" w:eastAsia="zh-CN"/>
        </w:rPr>
        <w:t>衢江区医疗</w:t>
      </w:r>
      <w:r>
        <w:rPr>
          <w:rFonts w:hint="eastAsia" w:ascii="宋体" w:hAnsi="宋体" w:eastAsia="宋体" w:cs="宋体"/>
          <w:sz w:val="24"/>
          <w:szCs w:val="24"/>
          <w:highlight w:val="none"/>
        </w:rPr>
        <w:t>系统</w:t>
      </w:r>
      <w:r>
        <w:rPr>
          <w:rFonts w:hint="eastAsia" w:ascii="宋体" w:hAnsi="宋体" w:eastAsia="宋体" w:cs="宋体"/>
          <w:sz w:val="24"/>
          <w:szCs w:val="24"/>
          <w:highlight w:val="none"/>
          <w:lang w:val="en-US" w:eastAsia="zh-CN"/>
        </w:rPr>
        <w:t>在互联网侧的资产和弱点暴露情况</w:t>
      </w:r>
      <w:r>
        <w:rPr>
          <w:rFonts w:hint="eastAsia" w:ascii="宋体" w:hAnsi="宋体" w:eastAsia="宋体" w:cs="宋体"/>
          <w:sz w:val="24"/>
          <w:szCs w:val="24"/>
          <w:highlight w:val="none"/>
        </w:rPr>
        <w:t>，并且</w:t>
      </w:r>
      <w:r>
        <w:rPr>
          <w:rFonts w:hint="eastAsia" w:ascii="宋体" w:hAnsi="宋体" w:eastAsia="宋体" w:cs="宋体"/>
          <w:b w:val="0"/>
          <w:bCs w:val="0"/>
          <w:sz w:val="24"/>
          <w:szCs w:val="24"/>
          <w:highlight w:val="none"/>
        </w:rPr>
        <w:t>覆盖绝大多数已知的安全漏洞，提供全面的漏洞检测能力。</w:t>
      </w:r>
    </w:p>
    <w:p w14:paraId="7C1283CF">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供应商需自行准备资产测绘工具，相关工具无需现场部署，由专业安服人员对测绘结果进行分析整理后提供相关报告。</w:t>
      </w:r>
    </w:p>
    <w:p w14:paraId="6A83E549">
      <w:pPr>
        <w:pStyle w:val="36"/>
        <w:spacing w:line="360" w:lineRule="auto"/>
        <w:ind w:firstLine="654"/>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服务工具测绘能力要求：</w:t>
      </w:r>
    </w:p>
    <w:p w14:paraId="18895D8B">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为保证用户互联网资产数据探测识别的低容错率，系统应对接不少于4种网络空间测绘引擎数据源。</w:t>
      </w:r>
    </w:p>
    <w:p w14:paraId="66D7B9C3">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支持通过IP、域名、icon、备案号、关键字等多类网络空间线索或企业扩展线索，在互联网侧识别企业暴露的高可信资产信息。</w:t>
      </w:r>
    </w:p>
    <w:p w14:paraId="3A06CD38">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lang w:val="en-US" w:eastAsia="zh-CN"/>
        </w:rPr>
        <w:t>支持通过IP、应用系统名称、单位筛选查看相关资产数据，包括但不限于IP地址、端口、协议、URL、域名、系统名称、企业名称、地理位置、运营商、状态码等（需提供产品界面截图）。</w:t>
      </w:r>
    </w:p>
    <w:p w14:paraId="78537BD4">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支持主流协议识别，包括但不限于tcp、udp、icmp、smtp、http、https、ssh等。</w:t>
      </w:r>
    </w:p>
    <w:p w14:paraId="05E5B9A9">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支持测绘过程中深度解析设备特征，系统支持测绘资产类别包括视频监控、交换机、路由器、服务器、业务系统、Web组件等</w:t>
      </w:r>
    </w:p>
    <w:p w14:paraId="1B2BE591">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lang w:val="en-US" w:eastAsia="zh-CN"/>
        </w:rPr>
        <w:t>支持对系统内资产进行自动化漏洞扫描，根据系统默认规则库实现漏洞风险分析（需提供产品界面截图）</w:t>
      </w:r>
    </w:p>
    <w:p w14:paraId="652D46FC">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lang w:val="en-US" w:eastAsia="zh-CN"/>
        </w:rPr>
        <w:t>支持自主导入漏洞信息，内置高效的漏洞管理机制，确保所有已知漏洞得到及时识别、分类与跟踪处理（需提供产品界面截图）</w:t>
      </w:r>
    </w:p>
    <w:p w14:paraId="7AB9957C">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针对发现的每个漏洞拥有提供详尽的解决方案的能力，针对漏洞查看详细的漏洞相关信息，包括漏洞描述、漏洞解决方案等，能够快速有效应对各种安全威胁</w:t>
      </w:r>
      <w:r>
        <w:rPr>
          <w:rFonts w:hint="eastAsia" w:ascii="宋体" w:hAnsi="宋体" w:eastAsia="宋体" w:cs="宋体"/>
          <w:sz w:val="24"/>
          <w:szCs w:val="24"/>
          <w:highlight w:val="none"/>
          <w:lang w:val="en-US" w:eastAsia="zh-CN"/>
        </w:rPr>
        <w:t>（需提供产品界面截图）。</w:t>
      </w:r>
    </w:p>
    <w:p w14:paraId="33371B42">
      <w:pPr>
        <w:pStyle w:val="36"/>
        <w:numPr>
          <w:ilvl w:val="0"/>
          <w:numId w:val="10"/>
        </w:numPr>
        <w:spacing w:line="360" w:lineRule="auto"/>
        <w:ind w:firstLine="654"/>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支持对新业务上线进行线索导入，实时调用引擎对新线索进行资产测绘收集。</w:t>
      </w:r>
    </w:p>
    <w:p w14:paraId="0EA604F9">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交付物：出具《资产测绘报告》，对资产数量、类型、漏洞等各种信息进行收录。</w:t>
      </w:r>
    </w:p>
    <w:p w14:paraId="3CD2C5D8">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9.新系统上线检查</w:t>
      </w:r>
    </w:p>
    <w:p w14:paraId="129EB49A">
      <w:pPr>
        <w:pStyle w:val="36"/>
        <w:spacing w:line="360" w:lineRule="auto"/>
        <w:ind w:firstLine="654"/>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：开展新系统上线前安全检查服务工作。对新系统环境及代码进行安全评估。评估包括代码安全检测、渗透测试、APP安全评估服务</w:t>
      </w:r>
    </w:p>
    <w:p w14:paraId="23D13BE8">
      <w:pPr>
        <w:pStyle w:val="36"/>
        <w:spacing w:line="360" w:lineRule="auto"/>
        <w:ind w:firstLine="654"/>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p w14:paraId="2FEE6984">
      <w:pPr>
        <w:pStyle w:val="36"/>
        <w:spacing w:line="360" w:lineRule="auto"/>
        <w:ind w:firstLine="652"/>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代码安全评估：</w:t>
      </w:r>
      <w:r>
        <w:rPr>
          <w:rFonts w:hint="eastAsia" w:ascii="宋体" w:hAnsi="宋体" w:eastAsia="宋体" w:cs="宋体"/>
          <w:sz w:val="24"/>
          <w:szCs w:val="24"/>
          <w:highlight w:val="none"/>
          <w:shd w:val="clear" w:color="auto" w:fill="FFFFFF"/>
        </w:rPr>
        <w:t>系统正式上线前，通过工具和人工结合的方法，检查源代码中的安全漏洞、安全隐患、安全缺点、错误信息，分析验证可能导致的安全风险，提供对应的修订建议，从而确保系统代码层面的安全，输出《系统原代码审计报告》等</w:t>
      </w:r>
    </w:p>
    <w:p w14:paraId="1B358EF8">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2、渗透测试：</w:t>
      </w:r>
    </w:p>
    <w:p w14:paraId="573C7378">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渗透性测试是对安全情况最客观、最直接的评估方式，主要是模拟黑客的攻击方法对系统和网络进行非破坏性质的攻击性测试，目的是侵入系统，获取系统控制权并将入侵的过程和细节产生报告，由此证实系统存在的安全威胁和风险，并能及时提醒安全管理员完善安全策略。</w:t>
      </w:r>
    </w:p>
    <w:p w14:paraId="2A3438A5">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3、APP安全评估：</w:t>
      </w:r>
    </w:p>
    <w:p w14:paraId="4D3BB7DF">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为了确保移动APP安全测试的全面性，安全工程师开通相关应用的账户，供分析、测试使用。测试内容同时包括客户端APP和服务器端应用，并针对不同层面安全漏洞的检测重点、难点展开分析，保证测试工作稳步有序开展。</w:t>
      </w:r>
    </w:p>
    <w:p w14:paraId="04332CC3">
      <w:pPr>
        <w:pStyle w:val="36"/>
        <w:spacing w:line="360" w:lineRule="auto"/>
        <w:ind w:firstLine="654"/>
        <w:rPr>
          <w:rFonts w:hint="eastAsia" w:ascii="宋体" w:hAnsi="宋体" w:eastAsia="宋体" w:cs="宋体"/>
          <w:sz w:val="24"/>
          <w:szCs w:val="24"/>
          <w:highlight w:val="none"/>
        </w:rPr>
      </w:pPr>
      <w:r>
        <w:rPr>
          <w:rFonts w:hint="eastAsia" w:ascii="宋体" w:hAnsi="宋体" w:eastAsia="宋体" w:cs="宋体"/>
          <w:b/>
          <w:bCs/>
          <w:sz w:val="24"/>
          <w:szCs w:val="24"/>
          <w:highlight w:val="none"/>
        </w:rPr>
        <w:t>交付物：</w:t>
      </w:r>
      <w:r>
        <w:rPr>
          <w:rFonts w:hint="eastAsia" w:ascii="宋体" w:hAnsi="宋体" w:eastAsia="宋体" w:cs="宋体"/>
          <w:sz w:val="24"/>
          <w:szCs w:val="24"/>
          <w:highlight w:val="none"/>
        </w:rPr>
        <w:t>出具《新系统上线前安全检查报告》，对新系统上线前的安全检查内容进行详细记录。</w:t>
      </w:r>
    </w:p>
    <w:p w14:paraId="7E24E00F">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10.专项威胁预警排查</w:t>
      </w:r>
    </w:p>
    <w:p w14:paraId="1C719352">
      <w:pPr>
        <w:pStyle w:val="36"/>
        <w:spacing w:line="360" w:lineRule="auto"/>
        <w:ind w:firstLine="654"/>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专项威胁预警排查服务，通过对当前社会面突发热点漏洞、病毒木马或者其他高威胁事件的持续关注，对衢江区卫健局及其他所属医疗机构开展专项安全检查，防患于未然。</w:t>
      </w:r>
    </w:p>
    <w:p w14:paraId="5704FDB3">
      <w:pPr>
        <w:pStyle w:val="36"/>
        <w:spacing w:line="360" w:lineRule="auto"/>
        <w:ind w:firstLine="654"/>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服务期限、频率：</w:t>
      </w:r>
      <w:r>
        <w:rPr>
          <w:rFonts w:hint="eastAsia" w:ascii="宋体" w:hAnsi="宋体" w:eastAsia="宋体" w:cs="宋体"/>
          <w:sz w:val="24"/>
          <w:szCs w:val="24"/>
          <w:highlight w:val="none"/>
        </w:rPr>
        <w:t>按需。</w:t>
      </w:r>
    </w:p>
    <w:p w14:paraId="0E0FB0A4">
      <w:pPr>
        <w:pStyle w:val="36"/>
        <w:spacing w:line="360" w:lineRule="auto"/>
        <w:ind w:firstLine="654"/>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p w14:paraId="4B7658C8">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1、威胁信息收集</w:t>
      </w:r>
    </w:p>
    <w:p w14:paraId="3889126D">
      <w:pPr>
        <w:pStyle w:val="36"/>
        <w:spacing w:line="360" w:lineRule="auto"/>
        <w:ind w:firstLine="6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通过多种渠道和工具，持续关注、收集热点威胁相关信息，包括热点产品、系统的漏洞、突发木马病毒信息等。</w:t>
      </w:r>
    </w:p>
    <w:p w14:paraId="6BC188EF">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2、威胁分析评估</w:t>
      </w:r>
    </w:p>
    <w:p w14:paraId="18384290">
      <w:pPr>
        <w:pStyle w:val="36"/>
        <w:spacing w:line="360" w:lineRule="auto"/>
        <w:ind w:firstLine="6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对收集到的信息进行深入分析，评估其潜在的危害性、影响范围、发展趋势等，以确定威胁的优先级和应对策略。</w:t>
      </w:r>
    </w:p>
    <w:p w14:paraId="35FFF797">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3、预警信息发布</w:t>
      </w:r>
    </w:p>
    <w:p w14:paraId="5C2008C8">
      <w:pPr>
        <w:pStyle w:val="36"/>
        <w:spacing w:line="360" w:lineRule="auto"/>
        <w:ind w:firstLine="6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根据分析结果，及时发布预警信息给衢江区卫生健康局及所属医疗单位相关部门或个人，协同开展专项安全检查，杜绝潜在的威胁。</w:t>
      </w:r>
    </w:p>
    <w:p w14:paraId="4D446117">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4、应对措施制定</w:t>
      </w:r>
    </w:p>
    <w:p w14:paraId="50CB54BC">
      <w:pPr>
        <w:pStyle w:val="36"/>
        <w:spacing w:line="360" w:lineRule="auto"/>
        <w:ind w:firstLine="6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根据预警和专项排查信息，制定具体的应对措施和预案，包括技术防护、应急响应、人员培训等方面。</w:t>
      </w:r>
    </w:p>
    <w:p w14:paraId="49CFEF3E">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5、持续监测与应对</w:t>
      </w:r>
    </w:p>
    <w:p w14:paraId="61BA1A94">
      <w:pPr>
        <w:pStyle w:val="36"/>
        <w:spacing w:line="360" w:lineRule="auto"/>
        <w:ind w:firstLine="65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对预警事件进行持续监测，并根据实际情况调整应对措施，确保威胁得到有效控制。</w:t>
      </w:r>
    </w:p>
    <w:p w14:paraId="20575486">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11.漏洞扫描、研判及协助修复</w:t>
      </w:r>
    </w:p>
    <w:p w14:paraId="0CFBD36B">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使用系统漏洞扫描工具对数据库、操作系统、中间件等进行漏洞、端口、弱口令扫描。在漏洞发现的基础上，从大量漏洞中研判出有价值的漏洞，减少巨大时间成本以及处置成本，有效地追踪资产漏洞全生命周期，清楚地掌握资产的脆弱性状况，实现漏洞全生命周期的可视、可控和可管。</w:t>
      </w:r>
    </w:p>
    <w:p w14:paraId="6D5E6F90">
      <w:pPr>
        <w:pStyle w:val="36"/>
        <w:spacing w:line="360" w:lineRule="auto"/>
        <w:ind w:firstLine="65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p w14:paraId="35AD5068">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1、漏洞扫描</w:t>
      </w:r>
    </w:p>
    <w:p w14:paraId="070A6DA3">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利用专业级WEB应用扫描工具对被评估对象进行应用检测，以发现网站应用层面可能存在的技术漏洞；包括WEB容器识别，如：Apache、tomcat、Weblogic、WebSphere和Ngix等；支持多种服务端语言探测，如：PHP、JSP、ASP、ASPX和.NET等；支持WEB前端框架探测，如：jQuery、Bootstrap、HTML5等；支持WEB后端开发框架探测，如：Django、Rails、ThinkPHP、Struts等； 支持WEB业务应用探测，如：BBS、CMS和BLOG等（备注：逻辑类漏洞主要通过人工渗透测试完成）</w:t>
      </w:r>
    </w:p>
    <w:p w14:paraId="7BE79CAD">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支持扫描对象包括：B/S架构类应用漏洞，主要包括：SQL注入、XSS跨站脚本攻击、应用系统弱口令、敏感文件下载、后台用户枚举等。</w:t>
      </w:r>
    </w:p>
    <w:p w14:paraId="25A6CA28">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同时，对已知或潜在的漏洞进行研究和判断，以确定漏洞的存在、影响范围和危害程度，为后续的修复和应对提供依据。帮助客户加强系统的安全性，预防类似漏洞的再次出现。</w:t>
      </w:r>
    </w:p>
    <w:p w14:paraId="7C2F0299">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输出物：出具《漏洞扫描报告》，需针对漏洞扫描服务的全过程及内容进行详细描述。对危险漏洞提供解决措施方案，为下一步安全建设提供建议。</w:t>
      </w:r>
    </w:p>
    <w:p w14:paraId="6EF48028">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2、漏洞研判</w:t>
      </w:r>
    </w:p>
    <w:p w14:paraId="5DA8BC9D">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提供高级安全专家服务进行漏洞研判，主要内容包括：</w:t>
      </w:r>
    </w:p>
    <w:p w14:paraId="45033938">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漏洞梳理：根据安全服务经验，梳理汇总漏洞扫描报告中高危、中危且高可利用的漏洞；</w:t>
      </w:r>
    </w:p>
    <w:p w14:paraId="7927A90A">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漏洞验证：根据漏洞相关信息，验证漏洞存在的可信程度；</w:t>
      </w:r>
    </w:p>
    <w:p w14:paraId="5325CB4E">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针对上级通报漏洞的漏洞研判；</w:t>
      </w:r>
    </w:p>
    <w:p w14:paraId="537A204E">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提供漏洞研判的验证报告及解决方案。</w:t>
      </w:r>
    </w:p>
    <w:p w14:paraId="7A6CAA81">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3、漏洞协助修复及复测</w:t>
      </w:r>
    </w:p>
    <w:p w14:paraId="5BFE59E7">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通过漏洞扫描和漏洞研判结果，制定漏洞修复优先级计划并协助相关应用和系统厂商进行修复工作，对修复结果进行验证。</w:t>
      </w:r>
    </w:p>
    <w:p w14:paraId="3DFAEFE6">
      <w:pPr>
        <w:pStyle w:val="36"/>
        <w:spacing w:line="360" w:lineRule="auto"/>
        <w:ind w:firstLine="652"/>
        <w:rPr>
          <w:rFonts w:hint="eastAsia" w:ascii="宋体" w:hAnsi="宋体" w:eastAsia="宋体" w:cs="宋体"/>
          <w:sz w:val="24"/>
          <w:szCs w:val="24"/>
          <w:highlight w:val="none"/>
        </w:rPr>
      </w:pPr>
      <w:r>
        <w:rPr>
          <w:rFonts w:hint="eastAsia" w:ascii="宋体" w:hAnsi="宋体" w:eastAsia="宋体" w:cs="宋体"/>
          <w:sz w:val="24"/>
          <w:szCs w:val="24"/>
          <w:highlight w:val="none"/>
        </w:rPr>
        <w:t>漏洞修复采取能补尽补原则，对于无法修复</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漏洞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根据漏洞防护服务提供漏洞的专项防护工作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将漏洞纳入防护范围</w:t>
      </w:r>
      <w:r>
        <w:rPr>
          <w:rFonts w:hint="eastAsia" w:ascii="宋体" w:hAnsi="宋体" w:eastAsia="宋体" w:cs="宋体"/>
          <w:sz w:val="24"/>
          <w:szCs w:val="24"/>
          <w:highlight w:val="none"/>
        </w:rPr>
        <w:t>。</w:t>
      </w:r>
    </w:p>
    <w:p w14:paraId="7CDA1A90">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12.安全日志分析与响应</w:t>
      </w:r>
    </w:p>
    <w:p w14:paraId="110B7254">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当发生外部黑客入侵、数据泄露、木马病毒等突发安全事件时，提供包括事件检测与分析、风险抑制、问题根除、协助业务恢复的服务，能够协助用户快速止损，最大化降低安全事件带来的影响</w:t>
      </w:r>
    </w:p>
    <w:p w14:paraId="79ED6749">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服务内容：</w:t>
      </w:r>
      <w:r>
        <w:rPr>
          <w:rFonts w:hint="eastAsia" w:ascii="宋体" w:hAnsi="宋体" w:eastAsia="宋体" w:cs="宋体"/>
          <w:sz w:val="24"/>
          <w:szCs w:val="24"/>
          <w:highlight w:val="none"/>
        </w:rPr>
        <w:t>包括对突发事件或紧急情况的快速响应、协调和处理。服务旨在减轻事件可能带来的负面影响，保障系统安全。应急响应服务涵盖事件评估、优先级处理、响应措施制定、保障措施实施、现场处理与事后处理以及预案制定等多个方面。通过综合运用各种资源，应急响应服务旨在确保用户在面临紧急情况时能够迅速、有效地做出应对，最大程度地减少损失并恢复业务的正常运行。</w:t>
      </w:r>
    </w:p>
    <w:p w14:paraId="0E49A8FD">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交付物：出具《应急响应事件报告》，详细记录突发事件的发生原因、处置流程、事后报告等内容。</w:t>
      </w:r>
    </w:p>
    <w:p w14:paraId="38062F6C">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13.重要时期安全保障服务</w:t>
      </w:r>
    </w:p>
    <w:p w14:paraId="1632A222">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在重要时期（如重大会议、重大节假日），对业务系统进行保障支持和检查，具体包括信息安全监测、值守、封堵、研判、溯源、护网前安全巡检、资产梳理、方案规划、整体协调等内容。针对卫生院等单位提供线上支持服务，必要时可提供人员值守服务。</w:t>
      </w:r>
    </w:p>
    <w:p w14:paraId="0BE5B77C">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服务内容：</w:t>
      </w:r>
      <w:r>
        <w:rPr>
          <w:rFonts w:hint="eastAsia" w:ascii="宋体" w:hAnsi="宋体" w:eastAsia="宋体" w:cs="宋体"/>
          <w:sz w:val="24"/>
          <w:szCs w:val="24"/>
          <w:highlight w:val="none"/>
        </w:rPr>
        <w:t>省/市级HW、重要会议、活动、检查期间（如国庆、两会、亚运会等），安排专业工程师从网络层面、安全层面、数据层面构建全方面的安全保障服务，提供事前、事中、事后的全面安全建设运维服务。</w:t>
      </w:r>
    </w:p>
    <w:p w14:paraId="37CBE04F">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事前检查：针对用户信息资产及系统现状进行详细调研，并根据调研信息开展安全自查和整改工作，做好充分的准备工作。</w:t>
      </w:r>
    </w:p>
    <w:p w14:paraId="3804DE59">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事中响应：安排专业值守人员和在线工程师做好安全防护和保障工作，第一时间发现并处理威胁流量，做好应急响应处置工作，避免安全事件带来的不良影响。</w:t>
      </w:r>
    </w:p>
    <w:p w14:paraId="03CD355F">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事后分析：对重保期间的工作内容和威胁处置情况进行复盘总结和汇报，为下一步的安全建设和策略制定提供方向和建议。</w:t>
      </w:r>
    </w:p>
    <w:p w14:paraId="17A0B368">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交付物：提供《人员值守报告》，记录值守期间的每日工作内容、发现的威胁情况、处置过程和结果，并对值守工作进行总结分析，为下一步安全建设提供建议。</w:t>
      </w:r>
    </w:p>
    <w:p w14:paraId="0D0EEE13">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14.安全培训服务</w:t>
      </w:r>
    </w:p>
    <w:p w14:paraId="718627E3">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开展集中安全培训，使各运维人员达到强化安全意识，理解安全理论，掌握安全技术，获得安全实践经验的目的，使得信息安全人员能够掌握安全方面必要的专业理论和技能，全面提升从事信息安全工作人员的管理和技术水平。</w:t>
      </w:r>
    </w:p>
    <w:p w14:paraId="4908606A">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服务内容：</w:t>
      </w:r>
      <w:r>
        <w:rPr>
          <w:rFonts w:hint="eastAsia" w:ascii="宋体" w:hAnsi="宋体" w:eastAsia="宋体" w:cs="宋体"/>
          <w:sz w:val="24"/>
          <w:szCs w:val="24"/>
          <w:highlight w:val="none"/>
        </w:rPr>
        <w:t>按要求提供以下培训内容：</w:t>
      </w:r>
    </w:p>
    <w:p w14:paraId="5481C41B">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1、管理人员主要包括：高层管理、业务专家等。</w:t>
      </w:r>
    </w:p>
    <w:p w14:paraId="413E56F7">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培训目标：对管理人员的培训，目的是使他们了解国家相关部门对系统信息安全管理和建设的相关标准，同时建立起一套具有针对性和适用性的安全管理办法。</w:t>
      </w:r>
    </w:p>
    <w:p w14:paraId="0199007A">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2、技术人员主要包括：操作人员、运维人员等。</w:t>
      </w:r>
    </w:p>
    <w:p w14:paraId="23682FC5">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培训目标：对技术人员的培训，目的是使他们了解信息系统所面临的严峻安全威胁和挑战，以及如何进行全面有效的安全防护措施。</w:t>
      </w:r>
    </w:p>
    <w:p w14:paraId="132E6353">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3、全员培训主要包括：安全意识培训等。</w:t>
      </w:r>
    </w:p>
    <w:p w14:paraId="27FA1599">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培训目标：全体成员的培训，目的是让大家对信息安全的有初步的认识和逐步提高安全意识，让安全事故可以得到有效的避免。</w:t>
      </w:r>
    </w:p>
    <w:p w14:paraId="7A22CD60">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交付物：《信息安全培训课程》</w:t>
      </w:r>
    </w:p>
    <w:p w14:paraId="2F541C46">
      <w:pPr>
        <w:pStyle w:val="36"/>
        <w:spacing w:line="360" w:lineRule="auto"/>
        <w:ind w:firstLine="654"/>
        <w:jc w:val="both"/>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15.安全演练服务</w:t>
      </w:r>
    </w:p>
    <w:p w14:paraId="53AF0302">
      <w:pPr>
        <w:pStyle w:val="36"/>
        <w:spacing w:line="360" w:lineRule="auto"/>
        <w:ind w:firstLine="654"/>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服务要求：</w:t>
      </w:r>
      <w:r>
        <w:rPr>
          <w:rFonts w:hint="eastAsia" w:ascii="宋体" w:hAnsi="宋体" w:eastAsia="宋体" w:cs="宋体"/>
          <w:sz w:val="24"/>
          <w:szCs w:val="24"/>
          <w:highlight w:val="none"/>
        </w:rPr>
        <w:t>开展安全演练服务，制定应急安全演练预案，并协助开展预案演练。加强网络信息系统安全管理，增强工作人员信息安全意识，进一步提高应急保障能力，保证信息网络系统应急工作高效有序进行，最大限度减小突发事件对医疗服务的影响。</w:t>
      </w:r>
    </w:p>
    <w:p w14:paraId="17F6D085">
      <w:pPr>
        <w:pStyle w:val="36"/>
        <w:spacing w:line="360" w:lineRule="auto"/>
        <w:ind w:firstLine="65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p w14:paraId="6B7BC49E">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1、可选演练场景应包括但不限于：</w:t>
      </w:r>
    </w:p>
    <w:p w14:paraId="2B617D58">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①入侵系统攻击安全事件、②拒绝服务攻击安全事件、③病毒与木马攻击安全事件、④网站页面篡改安全事件、⑤数据库内部误操作</w:t>
      </w:r>
    </w:p>
    <w:p w14:paraId="08F0D398">
      <w:pPr>
        <w:pStyle w:val="36"/>
        <w:spacing w:line="360" w:lineRule="auto"/>
        <w:ind w:firstLine="65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2、可选演练内容应包括但不限于：</w:t>
      </w:r>
    </w:p>
    <w:p w14:paraId="3B832791">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①信息篡改：模拟针对网站首页篡改事件的监控和处理（利用上传漏洞或者弱口令实施攻击）。</w:t>
      </w:r>
    </w:p>
    <w:p w14:paraId="794CB087">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②拒绝服务：模拟从外部发起的针对网站的拒绝服务攻击事件的监控和处理（UD\CC等DDOS攻击工具）。</w:t>
      </w:r>
    </w:p>
    <w:p w14:paraId="796E9B5D">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③恶意代码：模拟某恶意攻击者，利用系统的弱口令，利用windows共享管理服务（tcp/445），获得对服务器的控制权限。</w:t>
      </w:r>
    </w:p>
    <w:p w14:paraId="52FF4BFF">
      <w:pPr>
        <w:pStyle w:val="36"/>
        <w:spacing w:line="360" w:lineRule="auto"/>
        <w:ind w:firstLine="65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④DNS劫持：模拟由于网站的域名解析管理账号存在弱口令，域名权威解析被篡改事件。</w:t>
      </w:r>
    </w:p>
    <w:p w14:paraId="16F049DB">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交付物：演练前出具《安全演练预案》，需包含安全演练目标、范围、时间、人员、过程等，演练结束后出具《安全演练报告》，详细记录应急演练的时间、实际参与人员、演练过程、问题记录、复盘分析等。</w:t>
      </w:r>
    </w:p>
    <w:p w14:paraId="4213ED04">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lang w:val="en-US" w:eastAsia="zh-CN"/>
        </w:rPr>
        <w:t>售后服务：如有技术疑难问题，须半小时内响应；如需到达现场处置，须2小时内到达。在服务期内，提供信息安全的咨询服务，能够协助用户进行安全整改、制度建设等工作。</w:t>
      </w:r>
    </w:p>
    <w:p w14:paraId="308A25F7">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第五条</w:t>
      </w:r>
      <w:r>
        <w:rPr>
          <w:rFonts w:hint="eastAsia" w:ascii="宋体" w:hAnsi="宋体" w:eastAsia="宋体" w:cs="宋体"/>
          <w:color w:val="000000"/>
          <w:sz w:val="24"/>
          <w:szCs w:val="24"/>
          <w:highlight w:val="none"/>
        </w:rPr>
        <w:t xml:space="preserve">  费用结算方式</w:t>
      </w:r>
    </w:p>
    <w:p w14:paraId="2D8FAC5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一、</w:t>
      </w:r>
      <w:r>
        <w:rPr>
          <w:rFonts w:hint="eastAsia" w:ascii="宋体" w:hAnsi="宋体" w:eastAsia="宋体" w:cs="宋体"/>
          <w:color w:val="000000"/>
          <w:kern w:val="0"/>
          <w:sz w:val="24"/>
          <w:szCs w:val="24"/>
          <w:highlight w:val="none"/>
        </w:rPr>
        <w:t>履约保证金</w:t>
      </w:r>
      <w:r>
        <w:rPr>
          <w:rFonts w:hint="eastAsia" w:ascii="宋体" w:hAnsi="宋体" w:eastAsia="宋体" w:cs="宋体"/>
          <w:color w:val="000000"/>
          <w:kern w:val="0"/>
          <w:sz w:val="24"/>
          <w:szCs w:val="24"/>
          <w:highlight w:val="none"/>
          <w:lang w:eastAsia="zh-CN"/>
        </w:rPr>
        <w:t>：</w:t>
      </w:r>
    </w:p>
    <w:p w14:paraId="2CC7A123">
      <w:pPr>
        <w:keepNext w:val="0"/>
        <w:keepLines w:val="0"/>
        <w:pageBreakBefore w:val="0"/>
        <w:widowControl/>
        <w:shd w:val="clear" w:color="auto" w:fill="FFFFFF"/>
        <w:kinsoku/>
        <w:wordWrap/>
        <w:overflowPunct/>
        <w:topLinePunct w:val="0"/>
        <w:bidi w:val="0"/>
        <w:adjustRightInd/>
        <w:spacing w:line="400" w:lineRule="exact"/>
        <w:ind w:firstLine="960" w:firstLineChars="400"/>
        <w:jc w:val="left"/>
        <w:rPr>
          <w:rFonts w:hint="eastAsia" w:ascii="宋体" w:hAnsi="宋体" w:eastAsia="宋体" w:cs="宋体"/>
          <w:color w:val="000000"/>
          <w:kern w:val="0"/>
          <w:sz w:val="24"/>
          <w:szCs w:val="24"/>
          <w:highlight w:val="none"/>
          <w:lang w:eastAsia="zh-CN"/>
        </w:rPr>
      </w:pPr>
      <w:r>
        <w:rPr>
          <w:rFonts w:hint="eastAsia" w:ascii="宋体" w:hAnsi="宋体" w:cs="宋体"/>
          <w:sz w:val="24"/>
          <w:highlight w:val="none"/>
          <w:lang w:val="en-US" w:eastAsia="zh-CN"/>
        </w:rPr>
        <w:t>无</w:t>
      </w:r>
    </w:p>
    <w:p w14:paraId="021EA461">
      <w:pPr>
        <w:pStyle w:val="16"/>
        <w:numPr>
          <w:ilvl w:val="0"/>
          <w:numId w:val="12"/>
        </w:numPr>
        <w:snapToGrid w:val="0"/>
        <w:spacing w:before="120" w:after="120" w:line="360" w:lineRule="auto"/>
        <w:ind w:leftChars="0" w:firstLine="480" w:firstLineChars="200"/>
        <w:jc w:val="both"/>
        <w:rPr>
          <w:rFonts w:hint="eastAsia" w:ascii="宋体" w:hAnsi="宋体" w:eastAsia="宋体" w:cs="宋体"/>
          <w:color w:val="000000"/>
          <w:kern w:val="0"/>
          <w:sz w:val="24"/>
          <w:szCs w:val="24"/>
          <w:highlight w:val="none"/>
          <w:lang w:eastAsia="zh-CN"/>
        </w:rPr>
      </w:pPr>
      <w:r>
        <w:rPr>
          <w:rFonts w:hint="eastAsia" w:hAnsi="宋体" w:cs="宋体"/>
          <w:color w:val="000000"/>
          <w:kern w:val="0"/>
          <w:sz w:val="24"/>
          <w:szCs w:val="24"/>
          <w:highlight w:val="none"/>
          <w:lang w:val="en-US" w:eastAsia="zh-CN"/>
        </w:rPr>
        <w:t>付款方式</w:t>
      </w:r>
      <w:r>
        <w:rPr>
          <w:rFonts w:hint="eastAsia" w:ascii="宋体" w:hAnsi="宋体" w:eastAsia="宋体" w:cs="宋体"/>
          <w:color w:val="000000"/>
          <w:kern w:val="0"/>
          <w:sz w:val="24"/>
          <w:szCs w:val="24"/>
          <w:highlight w:val="none"/>
          <w:lang w:eastAsia="zh-CN"/>
        </w:rPr>
        <w:t>：</w:t>
      </w:r>
    </w:p>
    <w:p w14:paraId="2F8AE6C7">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本次项目服务期限三年，合同签订完成具备服务实施条件后30日内支付30%合同款作为预付款，具体金额以合同签订为准；逐年支付每年服务费用，具体如下：</w:t>
      </w:r>
    </w:p>
    <w:p w14:paraId="5075F521">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第一年：自合同签订之日起满一年，经业务主管部门年度验收合格完成后30日内支付剩余合同款的20%；</w:t>
      </w:r>
    </w:p>
    <w:p w14:paraId="4712977C">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第二年：自合同签订之日起满第二年，经业务主管部门年度验收合格完成后30日内支付剩余合同款20%；</w:t>
      </w:r>
    </w:p>
    <w:p w14:paraId="59147D1B">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第三年：自合同签订之日起满三年，经业务主管部门年度验收合格完成后30日内支付剩余合同款。</w:t>
      </w:r>
    </w:p>
    <w:p w14:paraId="28EB0F9C">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第六条</w:t>
      </w:r>
      <w:r>
        <w:rPr>
          <w:rFonts w:hint="eastAsia" w:ascii="宋体" w:hAnsi="宋体" w:eastAsia="宋体" w:cs="宋体"/>
          <w:color w:val="000000"/>
          <w:sz w:val="24"/>
          <w:szCs w:val="24"/>
          <w:highlight w:val="none"/>
        </w:rPr>
        <w:t xml:space="preserve">  甲方的权利和义务</w:t>
      </w:r>
    </w:p>
    <w:p w14:paraId="3ED17B96">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一、甲方的权利：</w:t>
      </w:r>
    </w:p>
    <w:p w14:paraId="22D3C948">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1.根据乙方投标文件中有关内容，有权对乙方的服务、管理情况进行检查。</w:t>
      </w:r>
    </w:p>
    <w:p w14:paraId="10071876">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2.有权对服务质量进行监督和检查，对发现的问题进行调查和处理。</w:t>
      </w:r>
    </w:p>
    <w:p w14:paraId="1FEB41B0">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3.如甲方发现乙方在投标资料中内容不真实、服务不到位或因乙方违反合同规定给甲方或用户造成损失时，甲方有权要求乙方赔偿，情节严重的将取消合同并追究法律责任。</w:t>
      </w:r>
    </w:p>
    <w:p w14:paraId="76D12061">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二、甲方的义务：</w:t>
      </w:r>
    </w:p>
    <w:p w14:paraId="02089D84">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1.为乙方正常开展工作提供必要的便利条件。</w:t>
      </w:r>
    </w:p>
    <w:p w14:paraId="03707B08">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2.指定专门的工作人员与乙方联系、对接相关工作。</w:t>
      </w:r>
    </w:p>
    <w:p w14:paraId="4CB91D9C">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3.如有需要，为乙方出具服务工作所需的合法书面资料等。</w:t>
      </w:r>
    </w:p>
    <w:p w14:paraId="4D07BE9F">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4.乙方履行约定的全部服务内容后，甲方及时组织验收，若有异议在</w:t>
      </w:r>
      <w:r>
        <w:rPr>
          <w:rFonts w:hint="eastAsia" w:ascii="宋体" w:hAnsi="宋体" w:eastAsia="宋体" w:cs="宋体"/>
          <w:color w:val="000000"/>
          <w:sz w:val="24"/>
          <w:szCs w:val="24"/>
          <w:highlight w:val="none"/>
          <w:u w:val="single"/>
        </w:rPr>
        <w:t>10</w:t>
      </w:r>
      <w:r>
        <w:rPr>
          <w:rFonts w:hint="eastAsia" w:ascii="宋体" w:hAnsi="宋体" w:eastAsia="宋体" w:cs="宋体"/>
          <w:color w:val="000000"/>
          <w:sz w:val="24"/>
          <w:szCs w:val="24"/>
          <w:highlight w:val="none"/>
        </w:rPr>
        <w:t>个工作日内向乙方提出，协助解决。</w:t>
      </w:r>
    </w:p>
    <w:p w14:paraId="4F2D47FF">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70C0"/>
          <w:sz w:val="24"/>
          <w:szCs w:val="24"/>
          <w:highlight w:val="none"/>
          <w:u w:val="single"/>
        </w:rPr>
      </w:pPr>
      <w:r>
        <w:rPr>
          <w:rFonts w:hint="eastAsia" w:ascii="宋体" w:hAnsi="宋体" w:eastAsia="宋体" w:cs="宋体"/>
          <w:color w:val="0070C0"/>
          <w:sz w:val="24"/>
          <w:szCs w:val="24"/>
          <w:highlight w:val="none"/>
        </w:rPr>
        <w:t>5.</w:t>
      </w:r>
      <w:r>
        <w:rPr>
          <w:rFonts w:hint="eastAsia" w:ascii="宋体" w:hAnsi="宋体" w:eastAsia="宋体" w:cs="宋体"/>
          <w:color w:val="0070C0"/>
          <w:sz w:val="24"/>
          <w:szCs w:val="24"/>
          <w:highlight w:val="none"/>
          <w:u w:val="single"/>
        </w:rPr>
        <w:t xml:space="preserve">                  </w:t>
      </w:r>
    </w:p>
    <w:p w14:paraId="2B14661F">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第七条</w:t>
      </w:r>
      <w:r>
        <w:rPr>
          <w:rFonts w:hint="eastAsia" w:ascii="宋体" w:hAnsi="宋体" w:eastAsia="宋体" w:cs="宋体"/>
          <w:color w:val="000000"/>
          <w:sz w:val="24"/>
          <w:szCs w:val="24"/>
          <w:highlight w:val="none"/>
        </w:rPr>
        <w:t xml:space="preserve">  乙方的权利和义务</w:t>
      </w:r>
    </w:p>
    <w:p w14:paraId="478C4EB5">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一、乙方的权利：</w:t>
      </w:r>
    </w:p>
    <w:p w14:paraId="25E71716">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1.乙方有权拒绝甲方提出的除</w:t>
      </w:r>
      <w:r>
        <w:rPr>
          <w:rFonts w:hint="eastAsia" w:ascii="宋体" w:hAnsi="宋体" w:cs="宋体"/>
          <w:color w:val="auto"/>
          <w:sz w:val="24"/>
          <w:szCs w:val="24"/>
          <w:highlight w:val="none"/>
          <w:u w:val="single"/>
          <w:lang w:val="en-US" w:eastAsia="zh-CN"/>
        </w:rPr>
        <w:t>信息安全运维服务</w:t>
      </w:r>
      <w:r>
        <w:rPr>
          <w:rFonts w:hint="eastAsia" w:ascii="宋体" w:hAnsi="宋体" w:eastAsia="宋体" w:cs="宋体"/>
          <w:color w:val="auto"/>
          <w:sz w:val="24"/>
          <w:szCs w:val="24"/>
          <w:highlight w:val="none"/>
        </w:rPr>
        <w:t>服务和乙方承诺以外的其它不合理要求。</w:t>
      </w:r>
    </w:p>
    <w:p w14:paraId="6413EE38">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p>
    <w:p w14:paraId="63367AC3">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二、乙方的义务：</w:t>
      </w:r>
    </w:p>
    <w:p w14:paraId="3C370D97">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1.严格执行国家的法律、法规和相关工作规范及行业标准，守法经营，按章办事，自觉维护甲方及用户的利益。</w:t>
      </w:r>
    </w:p>
    <w:p w14:paraId="469E5472">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2.接受甲方的检查、监督，严格履行服务承诺，做到诚实、守信。</w:t>
      </w:r>
    </w:p>
    <w:p w14:paraId="05255BB7">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3.加强内部管理，提高服务质量，按照本合同的有关规定开展服务业务。</w:t>
      </w:r>
    </w:p>
    <w:p w14:paraId="17808D54">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4.必须在甲方规定的期限内完成相关服务。</w:t>
      </w:r>
    </w:p>
    <w:p w14:paraId="6D9E8595">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5.加强对服务工作的全程管理，做到每个环节不出差错，确保错漏率为零。</w:t>
      </w:r>
    </w:p>
    <w:p w14:paraId="33D356C3">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6.妥善保管服务合同及相关资料，以备查验。</w:t>
      </w:r>
    </w:p>
    <w:p w14:paraId="33EFCC37">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7.负责服务过程中的一切安全防护和安全责任。</w:t>
      </w:r>
    </w:p>
    <w:p w14:paraId="40501E0C">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70C0"/>
          <w:sz w:val="24"/>
          <w:szCs w:val="24"/>
          <w:highlight w:val="none"/>
          <w:u w:val="single"/>
        </w:rPr>
      </w:pPr>
      <w:r>
        <w:rPr>
          <w:rFonts w:hint="eastAsia" w:ascii="宋体" w:hAnsi="宋体" w:eastAsia="宋体" w:cs="宋体"/>
          <w:color w:val="0070C0"/>
          <w:sz w:val="24"/>
          <w:szCs w:val="24"/>
          <w:highlight w:val="none"/>
        </w:rPr>
        <w:t>8.</w:t>
      </w:r>
      <w:r>
        <w:rPr>
          <w:rFonts w:hint="eastAsia" w:ascii="宋体" w:hAnsi="宋体" w:eastAsia="宋体" w:cs="宋体"/>
          <w:color w:val="0070C0"/>
          <w:sz w:val="24"/>
          <w:szCs w:val="24"/>
          <w:highlight w:val="none"/>
          <w:u w:val="single"/>
        </w:rPr>
        <w:t xml:space="preserve">                  </w:t>
      </w:r>
    </w:p>
    <w:p w14:paraId="0D91761D">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第八条</w:t>
      </w:r>
      <w:r>
        <w:rPr>
          <w:rFonts w:hint="eastAsia" w:ascii="宋体" w:hAnsi="宋体" w:eastAsia="宋体" w:cs="宋体"/>
          <w:color w:val="000000"/>
          <w:sz w:val="24"/>
          <w:szCs w:val="24"/>
          <w:highlight w:val="none"/>
        </w:rPr>
        <w:t xml:space="preserve">  其他承诺及相关服务</w:t>
      </w:r>
    </w:p>
    <w:p w14:paraId="75C983BA">
      <w:pPr>
        <w:keepNext w:val="0"/>
        <w:keepLines w:val="0"/>
        <w:pageBreakBefore w:val="0"/>
        <w:widowControl w:val="0"/>
        <w:suppressLineNumbers w:val="0"/>
        <w:kinsoku/>
        <w:wordWrap/>
        <w:overflowPunct/>
        <w:topLinePunct w:val="0"/>
        <w:autoSpaceDE/>
        <w:autoSpaceDN/>
        <w:bidi w:val="0"/>
        <w:adjustRightInd/>
        <w:snapToGrid/>
        <w:spacing w:before="31" w:beforeLines="1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一、特别约定或要求</w:t>
      </w:r>
    </w:p>
    <w:p w14:paraId="0E93C0FD">
      <w:pPr>
        <w:keepNext w:val="0"/>
        <w:keepLines w:val="0"/>
        <w:pageBreakBefore w:val="0"/>
        <w:widowControl w:val="0"/>
        <w:suppressLineNumbers w:val="0"/>
        <w:kinsoku/>
        <w:wordWrap/>
        <w:overflowPunct/>
        <w:topLinePunct w:val="0"/>
        <w:autoSpaceDE/>
        <w:autoSpaceDN/>
        <w:bidi w:val="0"/>
        <w:adjustRightInd/>
        <w:snapToGrid/>
        <w:spacing w:before="31" w:beforeLines="1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highlight w:val="none"/>
          <w:lang w:val="en-US" w:eastAsia="zh-CN" w:bidi="ar"/>
        </w:rPr>
      </w:pPr>
    </w:p>
    <w:p w14:paraId="5B7AF251">
      <w:pPr>
        <w:keepNext w:val="0"/>
        <w:keepLines w:val="0"/>
        <w:pageBreakBefore w:val="0"/>
        <w:widowControl w:val="0"/>
        <w:suppressLineNumbers w:val="0"/>
        <w:kinsoku/>
        <w:wordWrap/>
        <w:overflowPunct/>
        <w:topLinePunct w:val="0"/>
        <w:autoSpaceDE/>
        <w:autoSpaceDN/>
        <w:bidi w:val="0"/>
        <w:adjustRightInd/>
        <w:snapToGrid/>
        <w:spacing w:before="31" w:beforeLines="1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二、乙方增值或承诺</w:t>
      </w:r>
    </w:p>
    <w:p w14:paraId="63265972">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（按中标单位承诺填写）</w:t>
      </w:r>
    </w:p>
    <w:p w14:paraId="60C841C9">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第九条</w:t>
      </w:r>
      <w:r>
        <w:rPr>
          <w:rFonts w:hint="eastAsia" w:ascii="宋体" w:hAnsi="宋体" w:eastAsia="宋体" w:cs="宋体"/>
          <w:color w:val="000000"/>
          <w:sz w:val="24"/>
          <w:szCs w:val="24"/>
          <w:highlight w:val="none"/>
        </w:rPr>
        <w:t xml:space="preserve">  违约责任</w:t>
      </w:r>
    </w:p>
    <w:p w14:paraId="0E1CA463">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一、乙方应在甲方规定的期限内完成约定的服务内容，如有逾期，乙方须按</w:t>
      </w:r>
      <w:r>
        <w:rPr>
          <w:rFonts w:hint="eastAsia" w:ascii="宋体" w:hAnsi="宋体" w:eastAsia="宋体" w:cs="宋体"/>
          <w:color w:val="000000"/>
          <w:kern w:val="0"/>
          <w:sz w:val="24"/>
          <w:szCs w:val="24"/>
          <w:highlight w:val="none"/>
          <w:u w:val="single"/>
        </w:rPr>
        <w:t>合同总价5‰/天</w:t>
      </w:r>
      <w:r>
        <w:rPr>
          <w:rFonts w:hint="eastAsia" w:ascii="宋体" w:hAnsi="宋体" w:eastAsia="宋体" w:cs="宋体"/>
          <w:color w:val="000000"/>
          <w:kern w:val="0"/>
          <w:sz w:val="24"/>
          <w:szCs w:val="24"/>
          <w:highlight w:val="none"/>
        </w:rPr>
        <w:t>的标准给予甲方经济</w:t>
      </w:r>
      <w:r>
        <w:rPr>
          <w:rFonts w:hint="eastAsia" w:ascii="宋体" w:hAnsi="宋体" w:eastAsia="宋体" w:cs="宋体"/>
          <w:color w:val="000000"/>
          <w:sz w:val="24"/>
          <w:szCs w:val="24"/>
          <w:highlight w:val="none"/>
        </w:rPr>
        <w:t>赔偿。</w:t>
      </w:r>
    </w:p>
    <w:p w14:paraId="736E89DB">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二、因服务问题给甲方造成的损失，乙方应承担相应的赔偿责任及相关法律责任。</w:t>
      </w:r>
    </w:p>
    <w:p w14:paraId="4BE274EC">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三、乙方出现下列情形之一的，甲方有权终止合同并要求乙方给予</w:t>
      </w:r>
      <w:r>
        <w:rPr>
          <w:rFonts w:hint="eastAsia" w:ascii="宋体" w:hAnsi="宋体" w:eastAsia="宋体" w:cs="宋体"/>
          <w:color w:val="000000"/>
          <w:kern w:val="0"/>
          <w:sz w:val="24"/>
          <w:szCs w:val="24"/>
          <w:highlight w:val="none"/>
          <w:u w:val="single"/>
        </w:rPr>
        <w:t>合同总价10%</w:t>
      </w:r>
      <w:r>
        <w:rPr>
          <w:rFonts w:hint="eastAsia" w:ascii="宋体" w:hAnsi="宋体" w:eastAsia="宋体" w:cs="宋体"/>
          <w:color w:val="000000"/>
          <w:kern w:val="0"/>
          <w:sz w:val="24"/>
          <w:szCs w:val="24"/>
          <w:highlight w:val="none"/>
        </w:rPr>
        <w:t>的违约赔偿</w:t>
      </w:r>
      <w:r>
        <w:rPr>
          <w:rFonts w:hint="eastAsia" w:ascii="宋体" w:hAnsi="宋体" w:eastAsia="宋体" w:cs="宋体"/>
          <w:color w:val="000000"/>
          <w:sz w:val="24"/>
          <w:szCs w:val="24"/>
          <w:highlight w:val="none"/>
        </w:rPr>
        <w:t>：</w:t>
      </w:r>
    </w:p>
    <w:p w14:paraId="5E3ED269">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1.拒绝接受监督、检查的；</w:t>
      </w:r>
    </w:p>
    <w:p w14:paraId="4BFC4BC5">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2.未如实反映情况，提供虚假材料的；</w:t>
      </w:r>
    </w:p>
    <w:p w14:paraId="7E0FD29C">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3.未经甲方书面同意，擅自分包、转包业务的；</w:t>
      </w:r>
    </w:p>
    <w:p w14:paraId="4BF96F6B">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4.在本合同有效期内，被行业主管部门取消相关服务经营资质的；</w:t>
      </w:r>
    </w:p>
    <w:p w14:paraId="17D9D9BB">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5.在本合同有效期内，乙方擅自变更、转让、租借服务企业资质的；</w:t>
      </w:r>
    </w:p>
    <w:p w14:paraId="1E6B6564">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6.服务工作逾期10日以上的；</w:t>
      </w:r>
    </w:p>
    <w:p w14:paraId="47159B39">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70C0"/>
          <w:sz w:val="24"/>
          <w:szCs w:val="24"/>
          <w:highlight w:val="none"/>
        </w:rPr>
      </w:pPr>
      <w:r>
        <w:rPr>
          <w:rFonts w:hint="eastAsia" w:ascii="宋体" w:hAnsi="宋体" w:eastAsia="宋体" w:cs="宋体"/>
          <w:color w:val="000000"/>
          <w:sz w:val="24"/>
          <w:szCs w:val="24"/>
          <w:highlight w:val="none"/>
        </w:rPr>
        <w:t>7.未按照相关法律法规、行业标准、工作规范及双方约定要求开展服务工作的。</w:t>
      </w:r>
    </w:p>
    <w:p w14:paraId="0D72C35B">
      <w:pPr>
        <w:pStyle w:val="36"/>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信息安全保障赔付约定：本次信息安全运维服务根据信息化业务部署情况、安全建设情况、和服务工具、人力的投入不同，重点保障衢江区卫生健康局、衢州市第二人民医院、衢江区中医院、衢江区妇保院信息安全，一旦发生安全事件属服务内容保障不到位的情况约定如下赔付内容：</w:t>
      </w:r>
    </w:p>
    <w:p w14:paraId="30296424">
      <w:pPr>
        <w:pStyle w:val="36"/>
        <w:spacing w:line="360" w:lineRule="auto"/>
        <w:ind w:firstLine="652"/>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1.攻防演练通报：服务期限内，省、市级以及区级攻防演练网络信息环境被打穿、核心业务重要通报，属安全服务缺失的，每发生一次扣5000元整，以此类推，罚款金额从当年服务合同款里扣除。</w:t>
      </w:r>
    </w:p>
    <w:p w14:paraId="70A277BC">
      <w:pPr>
        <w:pStyle w:val="36"/>
        <w:spacing w:line="360" w:lineRule="auto"/>
        <w:ind w:firstLine="652"/>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真实安全事件：发生真实安全事件，造成数据泄露、破坏的，或给医院业务造成长时间瘫痪，影响医院经济损失或名誉损失的，属重大安全服务缺失，每发生一次扣5000元整，以此类推，罚款金额从当年服务合同款里扣除。</w:t>
      </w:r>
    </w:p>
    <w:p w14:paraId="42E67AE6">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70C0"/>
          <w:sz w:val="24"/>
          <w:szCs w:val="24"/>
          <w:highlight w:val="none"/>
          <w:u w:val="single"/>
        </w:rPr>
      </w:pPr>
      <w:r>
        <w:rPr>
          <w:rFonts w:hint="eastAsia" w:ascii="宋体" w:hAnsi="宋体" w:eastAsia="宋体" w:cs="宋体"/>
          <w:sz w:val="24"/>
          <w:szCs w:val="24"/>
          <w:highlight w:val="none"/>
          <w:lang w:val="en-US" w:eastAsia="zh-CN"/>
        </w:rPr>
        <w:t>3.根据安全事件情节的发生频率、严重程度，用户可随时解除安全服务合同。</w:t>
      </w:r>
    </w:p>
    <w:p w14:paraId="3E39E39B">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第十条</w:t>
      </w:r>
      <w:r>
        <w:rPr>
          <w:rFonts w:hint="eastAsia" w:ascii="宋体" w:hAnsi="宋体" w:eastAsia="宋体" w:cs="宋体"/>
          <w:color w:val="000000"/>
          <w:sz w:val="24"/>
          <w:szCs w:val="24"/>
          <w:highlight w:val="none"/>
        </w:rPr>
        <w:t xml:space="preserve">  合同的变更和终止</w:t>
      </w:r>
    </w:p>
    <w:p w14:paraId="4364399E">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一、</w:t>
      </w:r>
      <w:r>
        <w:rPr>
          <w:rFonts w:hint="eastAsia" w:ascii="宋体" w:hAnsi="宋体" w:eastAsia="宋体" w:cs="宋体"/>
          <w:color w:val="000000"/>
          <w:sz w:val="24"/>
          <w:szCs w:val="24"/>
          <w:highlight w:val="none"/>
        </w:rPr>
        <w:t>任何一方无正当理由不得擅自解除合同，否则擅自解除合同的一方应向对方支付违约金，金额为</w:t>
      </w:r>
      <w:r>
        <w:rPr>
          <w:rFonts w:hint="eastAsia" w:ascii="宋体" w:hAnsi="宋体" w:eastAsia="宋体" w:cs="宋体"/>
          <w:color w:val="000000"/>
          <w:sz w:val="24"/>
          <w:szCs w:val="24"/>
          <w:highlight w:val="none"/>
          <w:u w:val="single"/>
        </w:rPr>
        <w:t>合同总价10%</w:t>
      </w:r>
      <w:r>
        <w:rPr>
          <w:rFonts w:hint="eastAsia" w:ascii="宋体" w:hAnsi="宋体" w:eastAsia="宋体" w:cs="宋体"/>
          <w:color w:val="000000"/>
          <w:sz w:val="24"/>
          <w:szCs w:val="24"/>
          <w:highlight w:val="none"/>
        </w:rPr>
        <w:t>。</w:t>
      </w:r>
    </w:p>
    <w:p w14:paraId="3EF3B782">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二、</w:t>
      </w:r>
      <w:r>
        <w:rPr>
          <w:rFonts w:hint="eastAsia" w:ascii="宋体" w:hAnsi="宋体" w:eastAsia="宋体" w:cs="宋体"/>
          <w:color w:val="000000"/>
          <w:sz w:val="24"/>
          <w:szCs w:val="24"/>
          <w:highlight w:val="none"/>
        </w:rPr>
        <w:t>经甲乙双方一致同意，可以变更或终止本合同。</w:t>
      </w:r>
    </w:p>
    <w:p w14:paraId="5D34DCF5">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14:paraId="1E4C3351">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四、</w:t>
      </w:r>
      <w:r>
        <w:rPr>
          <w:rFonts w:hint="eastAsia" w:ascii="宋体" w:hAnsi="宋体" w:eastAsia="宋体" w:cs="宋体"/>
          <w:color w:val="000000"/>
          <w:sz w:val="24"/>
          <w:szCs w:val="24"/>
          <w:highlight w:val="none"/>
        </w:rPr>
        <w:t>乙方发生下列情况，甲方有权单方面终止合同：</w:t>
      </w:r>
    </w:p>
    <w:p w14:paraId="34E6EDFD">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乙方破产、解散、清算、停业以及其他原因无法为甲方提供服务的；</w:t>
      </w:r>
    </w:p>
    <w:p w14:paraId="697917E8">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乙方设施、设备发生重大变化，无法满足服务需要的。</w:t>
      </w:r>
    </w:p>
    <w:p w14:paraId="607A9085">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甲方发生下列情况，乙方有权单方面终止合同：</w:t>
      </w:r>
    </w:p>
    <w:p w14:paraId="1907B07C">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甲方未按</w:t>
      </w:r>
      <w:r>
        <w:rPr>
          <w:rFonts w:hint="eastAsia" w:ascii="宋体" w:hAnsi="宋体" w:eastAsia="宋体" w:cs="宋体"/>
          <w:color w:val="auto"/>
          <w:sz w:val="24"/>
          <w:szCs w:val="24"/>
          <w:highlight w:val="none"/>
        </w:rPr>
        <w:t>合同规定支付货款，并在接到乙方通知</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日后仍未履行的。</w:t>
      </w:r>
    </w:p>
    <w:p w14:paraId="5275A7D2">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u w:val="single"/>
        </w:rPr>
        <w:t xml:space="preserve">                  </w:t>
      </w:r>
    </w:p>
    <w:p w14:paraId="0D552166">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auto"/>
          <w:sz w:val="24"/>
          <w:szCs w:val="24"/>
          <w:highlight w:val="none"/>
        </w:rPr>
        <w:t>第十一条</w:t>
      </w:r>
      <w:r>
        <w:rPr>
          <w:rFonts w:hint="eastAsia" w:ascii="宋体" w:hAnsi="宋体" w:eastAsia="宋体" w:cs="宋体"/>
          <w:color w:val="auto"/>
          <w:sz w:val="24"/>
          <w:szCs w:val="24"/>
          <w:highlight w:val="none"/>
        </w:rPr>
        <w:t xml:space="preserve">  本次招标活动中的招标文件、中标人的投标文件、有关澄清文件和中标通知书，为本合同不可分</w:t>
      </w:r>
      <w:r>
        <w:rPr>
          <w:rFonts w:hint="eastAsia" w:ascii="宋体" w:hAnsi="宋体" w:eastAsia="宋体" w:cs="宋体"/>
          <w:color w:val="000000"/>
          <w:sz w:val="24"/>
          <w:szCs w:val="24"/>
          <w:highlight w:val="none"/>
        </w:rPr>
        <w:t>割的组成部分，具有同等法律效力。</w:t>
      </w:r>
    </w:p>
    <w:p w14:paraId="1FC235F4">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 xml:space="preserve">第十二条  </w:t>
      </w:r>
      <w:r>
        <w:rPr>
          <w:rFonts w:hint="eastAsia" w:ascii="宋体" w:hAnsi="宋体" w:eastAsia="宋体" w:cs="宋体"/>
          <w:color w:val="000000"/>
          <w:sz w:val="24"/>
          <w:szCs w:val="24"/>
          <w:highlight w:val="none"/>
        </w:rPr>
        <w:t>本合同如有未尽事宜，甲乙双方应本着平等互利、友好协商的原则解决。如需变更或补充本合同内容，双方经协商后可签订补充合同，补充合同将作为本合同的一个组成部分。</w:t>
      </w:r>
    </w:p>
    <w:p w14:paraId="1EEC8C1F">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第十三条</w:t>
      </w:r>
      <w:r>
        <w:rPr>
          <w:rFonts w:hint="eastAsia" w:ascii="宋体" w:hAnsi="宋体" w:eastAsia="宋体" w:cs="宋体"/>
          <w:color w:val="000000"/>
          <w:sz w:val="24"/>
          <w:szCs w:val="24"/>
          <w:highlight w:val="none"/>
        </w:rPr>
        <w:t xml:space="preserve">  争议的解决</w:t>
      </w:r>
    </w:p>
    <w:p w14:paraId="69E9B06B">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本合同在履行过程中发生的争议，由双方当事人协商解决，协商不成的，任何一方可向合同履行所在地</w:t>
      </w:r>
      <w:r>
        <w:rPr>
          <w:rFonts w:hint="eastAsia" w:ascii="宋体" w:hAnsi="宋体"/>
          <w:color w:val="auto"/>
          <w:sz w:val="24"/>
          <w:szCs w:val="32"/>
          <w:highlight w:val="none"/>
          <w:u w:val="single"/>
        </w:rPr>
        <w:t>浙江省衢州市</w:t>
      </w:r>
      <w:r>
        <w:rPr>
          <w:rFonts w:hint="eastAsia" w:ascii="宋体" w:hAnsi="宋体"/>
          <w:color w:val="auto"/>
          <w:sz w:val="24"/>
          <w:szCs w:val="32"/>
          <w:highlight w:val="none"/>
          <w:u w:val="single"/>
          <w:lang w:val="en-US" w:eastAsia="zh-CN"/>
        </w:rPr>
        <w:t>衢江</w:t>
      </w:r>
      <w:r>
        <w:rPr>
          <w:rFonts w:hint="eastAsia" w:ascii="宋体" w:hAnsi="宋体"/>
          <w:color w:val="auto"/>
          <w:sz w:val="24"/>
          <w:szCs w:val="32"/>
          <w:highlight w:val="none"/>
          <w:u w:val="single"/>
        </w:rPr>
        <w:t>区人民法院</w:t>
      </w:r>
      <w:r>
        <w:rPr>
          <w:rFonts w:hint="eastAsia" w:ascii="宋体" w:hAnsi="宋体" w:eastAsia="宋体" w:cs="宋体"/>
          <w:color w:val="000000"/>
          <w:sz w:val="24"/>
          <w:szCs w:val="24"/>
          <w:highlight w:val="none"/>
        </w:rPr>
        <w:t>提起诉讼。</w:t>
      </w:r>
    </w:p>
    <w:p w14:paraId="24F210E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第十四条</w:t>
      </w:r>
      <w:r>
        <w:rPr>
          <w:rFonts w:hint="eastAsia" w:ascii="宋体" w:hAnsi="宋体" w:eastAsia="宋体" w:cs="宋体"/>
          <w:color w:val="000000"/>
          <w:sz w:val="24"/>
          <w:szCs w:val="24"/>
          <w:highlight w:val="none"/>
        </w:rPr>
        <w:t xml:space="preserve">  本合同组成部分及解释顺序</w:t>
      </w:r>
    </w:p>
    <w:p w14:paraId="06E6FBE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一、</w:t>
      </w:r>
      <w:r>
        <w:rPr>
          <w:rFonts w:hint="eastAsia" w:ascii="宋体" w:hAnsi="宋体" w:eastAsia="宋体" w:cs="宋体"/>
          <w:color w:val="000000"/>
          <w:sz w:val="24"/>
          <w:szCs w:val="24"/>
          <w:highlight w:val="none"/>
        </w:rPr>
        <w:t>本合同</w:t>
      </w:r>
    </w:p>
    <w:p w14:paraId="77AC69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二、</w:t>
      </w:r>
      <w:r>
        <w:rPr>
          <w:rFonts w:hint="eastAsia" w:ascii="宋体" w:hAnsi="宋体" w:eastAsia="宋体" w:cs="宋体"/>
          <w:color w:val="000000"/>
          <w:sz w:val="24"/>
          <w:szCs w:val="24"/>
          <w:highlight w:val="none"/>
        </w:rPr>
        <w:t>中标通知书</w:t>
      </w:r>
    </w:p>
    <w:p w14:paraId="7F2C8D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报价书及附件</w:t>
      </w:r>
    </w:p>
    <w:p w14:paraId="714331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四、</w:t>
      </w:r>
      <w:r>
        <w:rPr>
          <w:rFonts w:hint="eastAsia" w:ascii="宋体" w:hAnsi="宋体" w:eastAsia="宋体" w:cs="宋体"/>
          <w:color w:val="000000"/>
          <w:sz w:val="24"/>
          <w:szCs w:val="24"/>
          <w:highlight w:val="none"/>
        </w:rPr>
        <w:t>招标文件、书面答疑及询价文件的其它补充、更正文件</w:t>
      </w:r>
    </w:p>
    <w:p w14:paraId="6B81B0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双方有关的洽商、变更等</w:t>
      </w:r>
      <w:r>
        <w:rPr>
          <w:rFonts w:hint="eastAsia" w:ascii="宋体" w:hAnsi="宋体" w:eastAsia="宋体" w:cs="宋体"/>
          <w:color w:val="auto"/>
          <w:sz w:val="24"/>
          <w:szCs w:val="24"/>
          <w:highlight w:val="none"/>
        </w:rPr>
        <w:t>书面协议或文件为合同的组成部分。</w:t>
      </w:r>
    </w:p>
    <w:p w14:paraId="1F379226">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auto"/>
          <w:sz w:val="24"/>
          <w:szCs w:val="24"/>
          <w:highlight w:val="none"/>
        </w:rPr>
        <w:t xml:space="preserve">第十五条  </w:t>
      </w:r>
      <w:r>
        <w:rPr>
          <w:rFonts w:hint="eastAsia" w:ascii="宋体" w:hAnsi="宋体" w:eastAsia="宋体" w:cs="宋体"/>
          <w:color w:val="auto"/>
          <w:sz w:val="24"/>
          <w:szCs w:val="24"/>
          <w:highlight w:val="none"/>
        </w:rPr>
        <w:t>本合同正本一式</w:t>
      </w:r>
      <w:r>
        <w:rPr>
          <w:rFonts w:hint="eastAsia" w:ascii="宋体" w:hAnsi="宋体" w:eastAsia="宋体" w:cs="宋体"/>
          <w:color w:val="auto"/>
          <w:sz w:val="24"/>
          <w:szCs w:val="24"/>
          <w:highlight w:val="none"/>
          <w:u w:val="single"/>
        </w:rPr>
        <w:t>六</w:t>
      </w:r>
      <w:r>
        <w:rPr>
          <w:rFonts w:hint="eastAsia" w:ascii="宋体" w:hAnsi="宋体" w:eastAsia="宋体" w:cs="宋体"/>
          <w:color w:val="auto"/>
          <w:sz w:val="24"/>
          <w:szCs w:val="24"/>
          <w:highlight w:val="none"/>
        </w:rPr>
        <w:t>份，具有同等法律效力，甲方执</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二</w:t>
      </w:r>
      <w:r>
        <w:rPr>
          <w:rFonts w:hint="eastAsia" w:ascii="宋体" w:hAnsi="宋体" w:eastAsia="宋体" w:cs="宋体"/>
          <w:color w:val="auto"/>
          <w:sz w:val="24"/>
          <w:szCs w:val="24"/>
          <w:highlight w:val="none"/>
        </w:rPr>
        <w:t>份，经双方签字并盖章后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自合同约定的服务起始之日起</w:t>
      </w:r>
      <w:r>
        <w:rPr>
          <w:rFonts w:hint="eastAsia" w:ascii="宋体" w:hAnsi="宋体" w:eastAsia="宋体" w:cs="宋体"/>
          <w:color w:val="auto"/>
          <w:sz w:val="24"/>
          <w:szCs w:val="24"/>
          <w:highlight w:val="none"/>
        </w:rPr>
        <w:t>生效。</w:t>
      </w:r>
    </w:p>
    <w:p w14:paraId="0188258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甲方（盖章）：</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乙方（盖章）：</w:t>
      </w:r>
    </w:p>
    <w:p w14:paraId="78E3664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法定（授权）代表人（签字）：                法定（授权）代表人（签字）：</w:t>
      </w:r>
    </w:p>
    <w:p w14:paraId="1E6DB56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                                      电话：</w:t>
      </w:r>
    </w:p>
    <w:p w14:paraId="460F5C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                                      传真：</w:t>
      </w:r>
    </w:p>
    <w:p w14:paraId="5D6989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邮政编码：</w:t>
      </w:r>
    </w:p>
    <w:p w14:paraId="59ED163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地址：</w:t>
      </w:r>
    </w:p>
    <w:p w14:paraId="59CB7F5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开户银行：</w:t>
      </w:r>
    </w:p>
    <w:p w14:paraId="36BBD1B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账号：</w:t>
      </w:r>
    </w:p>
    <w:p w14:paraId="3CDB956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p>
    <w:p w14:paraId="4CDF50DD">
      <w:pPr>
        <w:pStyle w:val="26"/>
        <w:rPr>
          <w:rFonts w:hint="eastAsia"/>
          <w:b w:val="0"/>
          <w:bCs/>
          <w:color w:val="auto"/>
          <w:sz w:val="32"/>
          <w:szCs w:val="22"/>
          <w:highlight w:val="none"/>
        </w:rPr>
      </w:pPr>
      <w:r>
        <w:rPr>
          <w:rFonts w:hint="eastAsia" w:ascii="宋体" w:hAnsi="宋体" w:eastAsia="宋体" w:cs="宋体"/>
          <w:color w:val="FF0000"/>
          <w:sz w:val="24"/>
          <w:szCs w:val="24"/>
          <w:highlight w:val="none"/>
        </w:rPr>
        <w:t xml:space="preserve">                                  </w:t>
      </w:r>
      <w:r>
        <w:rPr>
          <w:rFonts w:hint="eastAsia" w:ascii="宋体" w:hAnsi="宋体" w:eastAsia="宋体" w:cs="宋体"/>
          <w:b w:val="0"/>
          <w:bCs/>
          <w:color w:val="FF0000"/>
          <w:sz w:val="24"/>
          <w:szCs w:val="24"/>
          <w:highlight w:val="none"/>
        </w:rPr>
        <w:t xml:space="preserve">  </w:t>
      </w:r>
      <w:r>
        <w:rPr>
          <w:rFonts w:hint="eastAsia" w:ascii="宋体" w:hAnsi="宋体" w:eastAsia="宋体" w:cs="宋体"/>
          <w:b w:val="0"/>
          <w:bCs/>
          <w:color w:val="auto"/>
          <w:sz w:val="24"/>
          <w:szCs w:val="24"/>
          <w:highlight w:val="none"/>
        </w:rPr>
        <w:t xml:space="preserve"> 签订日期：        年    月    日</w:t>
      </w:r>
    </w:p>
    <w:p w14:paraId="6F93DE15">
      <w:pPr>
        <w:rPr>
          <w:rFonts w:hint="eastAsia" w:ascii="宋体" w:hAnsi="宋体" w:cs="宋体"/>
          <w:sz w:val="32"/>
          <w:szCs w:val="32"/>
          <w:highlight w:val="none"/>
        </w:rPr>
      </w:pPr>
      <w:r>
        <w:rPr>
          <w:rFonts w:hint="eastAsia" w:ascii="宋体" w:hAnsi="宋体" w:cs="宋体"/>
          <w:sz w:val="32"/>
          <w:szCs w:val="32"/>
          <w:highlight w:val="none"/>
        </w:rPr>
        <w:br w:type="page"/>
      </w:r>
    </w:p>
    <w:p w14:paraId="60117B00">
      <w:pPr>
        <w:ind w:firstLine="3200" w:firstLineChars="1000"/>
        <w:rPr>
          <w:rFonts w:ascii="宋体" w:hAnsi="宋体" w:cs="宋体"/>
          <w:highlight w:val="none"/>
        </w:rPr>
      </w:pPr>
      <w:r>
        <w:rPr>
          <w:rFonts w:hint="eastAsia" w:ascii="宋体" w:hAnsi="宋体" w:cs="宋体"/>
          <w:sz w:val="32"/>
          <w:szCs w:val="32"/>
          <w:highlight w:val="none"/>
        </w:rPr>
        <w:t>第六章　投标文件格式</w:t>
      </w:r>
    </w:p>
    <w:p w14:paraId="2E3543D4">
      <w:pPr>
        <w:spacing w:line="400" w:lineRule="exact"/>
        <w:rPr>
          <w:rFonts w:hint="eastAsia" w:ascii="宋体" w:hAnsi="宋体" w:cs="宋体"/>
          <w:color w:val="000000"/>
          <w:sz w:val="24"/>
          <w:highlight w:val="none"/>
        </w:rPr>
      </w:pPr>
      <w:r>
        <w:rPr>
          <w:rFonts w:hint="eastAsia" w:ascii="宋体" w:hAnsi="宋体" w:cs="宋体"/>
          <w:b/>
          <w:bCs/>
          <w:color w:val="000000"/>
          <w:sz w:val="24"/>
          <w:highlight w:val="none"/>
        </w:rPr>
        <w:t>附件1：</w:t>
      </w:r>
      <w:r>
        <w:rPr>
          <w:rFonts w:hint="eastAsia" w:ascii="宋体" w:hAnsi="宋体" w:cs="宋体"/>
          <w:color w:val="000000"/>
          <w:sz w:val="24"/>
          <w:highlight w:val="none"/>
        </w:rPr>
        <w:t>正本或副本封面式样</w:t>
      </w:r>
    </w:p>
    <w:p w14:paraId="222189E7">
      <w:pPr>
        <w:ind w:left="-59" w:leftChars="-85" w:hanging="119" w:hangingChars="57"/>
        <w:rPr>
          <w:b/>
          <w:bCs/>
          <w:color w:val="000000"/>
          <w:sz w:val="28"/>
          <w:szCs w:val="28"/>
          <w:highlight w:val="none"/>
        </w:rPr>
      </w:pPr>
      <w:r>
        <w:rPr>
          <w:bCs/>
          <w:color w:val="000000"/>
          <w:szCs w:val="21"/>
          <w:highlight w:val="none"/>
        </w:rPr>
        <w:t xml:space="preserve">                                                         </w:t>
      </w:r>
      <w:r>
        <w:rPr>
          <w:rFonts w:hint="eastAsia"/>
          <w:bCs/>
          <w:color w:val="000000"/>
          <w:szCs w:val="21"/>
          <w:highlight w:val="none"/>
        </w:rPr>
        <w:t xml:space="preserve">        </w:t>
      </w:r>
      <w:r>
        <w:rPr>
          <w:bCs/>
          <w:color w:val="000000"/>
          <w:szCs w:val="21"/>
          <w:highlight w:val="none"/>
        </w:rPr>
        <w:t xml:space="preserve"> </w:t>
      </w:r>
      <w:r>
        <w:rPr>
          <w:bCs/>
          <w:color w:val="000000"/>
          <w:sz w:val="28"/>
          <w:szCs w:val="28"/>
          <w:highlight w:val="none"/>
        </w:rPr>
        <w:t xml:space="preserve"> </w:t>
      </w:r>
      <w:r>
        <w:rPr>
          <w:b/>
          <w:bCs/>
          <w:color w:val="000000"/>
          <w:sz w:val="28"/>
          <w:szCs w:val="28"/>
          <w:highlight w:val="none"/>
        </w:rPr>
        <w:t>正本（或副本）</w:t>
      </w:r>
    </w:p>
    <w:p w14:paraId="58D7275D">
      <w:pPr>
        <w:ind w:left="-18" w:leftChars="-85" w:hanging="160" w:hangingChars="57"/>
        <w:rPr>
          <w:b/>
          <w:bCs/>
          <w:color w:val="000000"/>
          <w:sz w:val="28"/>
          <w:szCs w:val="28"/>
          <w:highlight w:val="none"/>
        </w:rPr>
      </w:pPr>
    </w:p>
    <w:p w14:paraId="768A4817">
      <w:pPr>
        <w:ind w:left="-18" w:leftChars="-85" w:hanging="160" w:hangingChars="57"/>
        <w:rPr>
          <w:b/>
          <w:bCs/>
          <w:color w:val="000000"/>
          <w:sz w:val="28"/>
          <w:szCs w:val="28"/>
          <w:highlight w:val="none"/>
        </w:rPr>
      </w:pPr>
    </w:p>
    <w:p w14:paraId="3EB20040">
      <w:pPr>
        <w:pStyle w:val="16"/>
        <w:snapToGrid w:val="0"/>
        <w:spacing w:before="120" w:after="120" w:line="700" w:lineRule="exact"/>
        <w:jc w:val="center"/>
        <w:rPr>
          <w:rFonts w:hint="eastAsia" w:ascii="Times New Roman" w:hAnsi="Times New Roman" w:eastAsia="宋体"/>
          <w:b/>
          <w:bCs/>
          <w:color w:val="000000"/>
          <w:sz w:val="52"/>
          <w:szCs w:val="52"/>
          <w:highlight w:val="none"/>
          <w:lang w:eastAsia="zh-CN"/>
        </w:rPr>
      </w:pPr>
      <w:r>
        <w:rPr>
          <w:rFonts w:hint="eastAsia" w:ascii="Times New Roman" w:hAnsi="Times New Roman"/>
          <w:b/>
          <w:bCs/>
          <w:color w:val="000000"/>
          <w:sz w:val="52"/>
          <w:szCs w:val="52"/>
          <w:highlight w:val="none"/>
          <w:lang w:eastAsia="zh-CN"/>
        </w:rPr>
        <w:t xml:space="preserve"> 衢江区卫生健康局 </w:t>
      </w:r>
    </w:p>
    <w:p w14:paraId="2FD9F3EF">
      <w:pPr>
        <w:pStyle w:val="16"/>
        <w:snapToGrid w:val="0"/>
        <w:spacing w:before="120" w:after="120" w:line="700" w:lineRule="exact"/>
        <w:jc w:val="center"/>
        <w:rPr>
          <w:rFonts w:ascii="Times New Roman" w:hAnsi="Times New Roman"/>
          <w:b/>
          <w:bCs/>
          <w:color w:val="000000"/>
          <w:sz w:val="52"/>
          <w:szCs w:val="52"/>
          <w:highlight w:val="none"/>
        </w:rPr>
      </w:pPr>
      <w:r>
        <w:rPr>
          <w:rFonts w:hint="eastAsia" w:ascii="Times New Roman" w:hAnsi="Times New Roman"/>
          <w:b/>
          <w:bCs/>
          <w:color w:val="000000"/>
          <w:sz w:val="52"/>
          <w:szCs w:val="52"/>
          <w:highlight w:val="none"/>
          <w:lang w:eastAsia="zh-CN"/>
        </w:rPr>
        <w:t>信息安全运维服务项目</w:t>
      </w:r>
    </w:p>
    <w:p w14:paraId="08FDC431">
      <w:pPr>
        <w:ind w:left="5" w:leftChars="-85" w:hanging="183" w:hangingChars="57"/>
        <w:jc w:val="center"/>
        <w:rPr>
          <w:b/>
          <w:bCs/>
          <w:color w:val="000000"/>
          <w:sz w:val="32"/>
          <w:highlight w:val="none"/>
        </w:rPr>
      </w:pPr>
      <w:r>
        <w:rPr>
          <w:b/>
          <w:bCs/>
          <w:color w:val="000000"/>
          <w:sz w:val="32"/>
          <w:highlight w:val="none"/>
        </w:rPr>
        <w:t>（项目编号：      ）</w:t>
      </w:r>
    </w:p>
    <w:p w14:paraId="43420824">
      <w:pPr>
        <w:ind w:left="5" w:leftChars="-85" w:hanging="183" w:hangingChars="57"/>
        <w:jc w:val="center"/>
        <w:rPr>
          <w:b/>
          <w:bCs/>
          <w:color w:val="000000"/>
          <w:sz w:val="32"/>
          <w:highlight w:val="none"/>
        </w:rPr>
      </w:pPr>
    </w:p>
    <w:p w14:paraId="09D497CA">
      <w:pPr>
        <w:ind w:left="5" w:leftChars="-85" w:hanging="183" w:hangingChars="57"/>
        <w:jc w:val="center"/>
        <w:rPr>
          <w:b/>
          <w:bCs/>
          <w:color w:val="000000"/>
          <w:sz w:val="32"/>
          <w:highlight w:val="none"/>
        </w:rPr>
      </w:pPr>
    </w:p>
    <w:p w14:paraId="5364887C">
      <w:pPr>
        <w:ind w:left="5" w:leftChars="-85" w:hanging="183" w:hangingChars="57"/>
        <w:jc w:val="center"/>
        <w:rPr>
          <w:b/>
          <w:bCs/>
          <w:color w:val="000000"/>
          <w:sz w:val="32"/>
          <w:highlight w:val="none"/>
        </w:rPr>
      </w:pPr>
    </w:p>
    <w:p w14:paraId="60104F96">
      <w:pPr>
        <w:ind w:left="5" w:leftChars="-85" w:hanging="183" w:hangingChars="57"/>
        <w:jc w:val="center"/>
        <w:rPr>
          <w:b/>
          <w:bCs/>
          <w:color w:val="000000"/>
          <w:sz w:val="32"/>
          <w:highlight w:val="none"/>
        </w:rPr>
      </w:pPr>
    </w:p>
    <w:p w14:paraId="424F54CF">
      <w:pPr>
        <w:ind w:left="234" w:leftChars="-85" w:hanging="412" w:hangingChars="57"/>
        <w:jc w:val="center"/>
        <w:rPr>
          <w:b/>
          <w:bCs/>
          <w:color w:val="000000"/>
          <w:sz w:val="72"/>
          <w:szCs w:val="72"/>
          <w:highlight w:val="none"/>
        </w:rPr>
      </w:pPr>
      <w:r>
        <w:rPr>
          <w:b/>
          <w:bCs/>
          <w:color w:val="000000"/>
          <w:sz w:val="72"/>
          <w:szCs w:val="72"/>
          <w:highlight w:val="none"/>
        </w:rPr>
        <w:t>投 标 文 件</w:t>
      </w:r>
    </w:p>
    <w:p w14:paraId="7FEEF672">
      <w:pPr>
        <w:ind w:left="-58" w:leftChars="-85" w:hanging="120" w:hangingChars="57"/>
        <w:jc w:val="center"/>
        <w:rPr>
          <w:b/>
          <w:bCs/>
          <w:color w:val="000000"/>
          <w:szCs w:val="21"/>
          <w:highlight w:val="none"/>
        </w:rPr>
      </w:pPr>
    </w:p>
    <w:p w14:paraId="5EE95F99">
      <w:pPr>
        <w:ind w:left="5" w:leftChars="-85" w:hanging="183" w:hangingChars="57"/>
        <w:jc w:val="center"/>
        <w:rPr>
          <w:rFonts w:hint="eastAsia" w:eastAsia="宋体"/>
          <w:b/>
          <w:bCs/>
          <w:color w:val="000000"/>
          <w:sz w:val="32"/>
          <w:highlight w:val="none"/>
          <w:lang w:eastAsia="zh-CN"/>
        </w:rPr>
      </w:pPr>
      <w:r>
        <w:rPr>
          <w:rFonts w:hint="eastAsia"/>
          <w:b/>
          <w:bCs/>
          <w:color w:val="000000"/>
          <w:sz w:val="32"/>
          <w:highlight w:val="none"/>
          <w:lang w:eastAsia="zh-CN"/>
        </w:rPr>
        <w:t>资格文件</w:t>
      </w:r>
      <w:r>
        <w:rPr>
          <w:rFonts w:hint="eastAsia"/>
          <w:b/>
          <w:bCs/>
          <w:color w:val="000000"/>
          <w:sz w:val="32"/>
          <w:highlight w:val="none"/>
        </w:rPr>
        <w:t>/</w:t>
      </w:r>
      <w:r>
        <w:rPr>
          <w:rFonts w:hint="eastAsia"/>
          <w:b/>
          <w:bCs/>
          <w:color w:val="000000"/>
          <w:sz w:val="32"/>
          <w:highlight w:val="none"/>
          <w:lang w:eastAsia="zh-CN"/>
        </w:rPr>
        <w:t>商务技术文件</w:t>
      </w:r>
      <w:r>
        <w:rPr>
          <w:rFonts w:hint="eastAsia"/>
          <w:b/>
          <w:bCs/>
          <w:color w:val="000000"/>
          <w:sz w:val="32"/>
          <w:highlight w:val="none"/>
        </w:rPr>
        <w:t>/</w:t>
      </w:r>
      <w:r>
        <w:rPr>
          <w:rFonts w:hint="eastAsia"/>
          <w:b/>
          <w:bCs/>
          <w:color w:val="000000"/>
          <w:sz w:val="32"/>
          <w:highlight w:val="none"/>
          <w:lang w:eastAsia="zh-CN"/>
        </w:rPr>
        <w:t>报价文件</w:t>
      </w:r>
    </w:p>
    <w:p w14:paraId="0C4680F0">
      <w:pPr>
        <w:ind w:left="5" w:leftChars="-85" w:hanging="183" w:hangingChars="57"/>
        <w:jc w:val="center"/>
        <w:rPr>
          <w:b/>
          <w:bCs/>
          <w:color w:val="000000"/>
          <w:sz w:val="32"/>
          <w:highlight w:val="none"/>
        </w:rPr>
      </w:pPr>
    </w:p>
    <w:p w14:paraId="2BC4C1DB">
      <w:pPr>
        <w:ind w:left="5" w:leftChars="-85" w:hanging="183" w:hangingChars="57"/>
        <w:jc w:val="center"/>
        <w:rPr>
          <w:b/>
          <w:bCs/>
          <w:color w:val="000000"/>
          <w:sz w:val="32"/>
          <w:highlight w:val="none"/>
        </w:rPr>
      </w:pPr>
    </w:p>
    <w:p w14:paraId="606563A4">
      <w:pPr>
        <w:ind w:left="5" w:leftChars="-85" w:hanging="183" w:hangingChars="57"/>
        <w:jc w:val="center"/>
        <w:rPr>
          <w:b/>
          <w:bCs/>
          <w:color w:val="000000"/>
          <w:sz w:val="32"/>
          <w:highlight w:val="none"/>
        </w:rPr>
      </w:pPr>
    </w:p>
    <w:p w14:paraId="7E309353">
      <w:pPr>
        <w:ind w:left="5" w:leftChars="-85" w:hanging="183" w:hangingChars="57"/>
        <w:jc w:val="center"/>
        <w:rPr>
          <w:b/>
          <w:bCs/>
          <w:color w:val="000000"/>
          <w:sz w:val="32"/>
          <w:highlight w:val="none"/>
        </w:rPr>
      </w:pPr>
    </w:p>
    <w:p w14:paraId="2FAF0E4B">
      <w:pPr>
        <w:ind w:left="5" w:leftChars="-85" w:hanging="183" w:hangingChars="57"/>
        <w:jc w:val="center"/>
        <w:rPr>
          <w:b/>
          <w:bCs/>
          <w:color w:val="000000"/>
          <w:sz w:val="32"/>
          <w:highlight w:val="none"/>
        </w:rPr>
      </w:pPr>
    </w:p>
    <w:p w14:paraId="53C356FC">
      <w:pPr>
        <w:ind w:left="5" w:leftChars="-85" w:hanging="183" w:hangingChars="57"/>
        <w:jc w:val="center"/>
        <w:rPr>
          <w:b/>
          <w:bCs/>
          <w:color w:val="000000"/>
          <w:sz w:val="32"/>
          <w:highlight w:val="none"/>
        </w:rPr>
      </w:pPr>
    </w:p>
    <w:p w14:paraId="478CA3D1">
      <w:pPr>
        <w:spacing w:line="800" w:lineRule="exact"/>
        <w:ind w:left="4" w:leftChars="-85" w:hanging="182" w:hangingChars="57"/>
        <w:jc w:val="center"/>
        <w:rPr>
          <w:bCs/>
          <w:color w:val="000000"/>
          <w:sz w:val="32"/>
          <w:highlight w:val="none"/>
        </w:rPr>
      </w:pPr>
      <w:r>
        <w:rPr>
          <w:bCs/>
          <w:color w:val="000000"/>
          <w:sz w:val="32"/>
          <w:highlight w:val="none"/>
        </w:rPr>
        <w:t>投标人名称：</w:t>
      </w:r>
      <w:r>
        <w:rPr>
          <w:bCs/>
          <w:color w:val="000000"/>
          <w:sz w:val="32"/>
          <w:highlight w:val="none"/>
          <w:u w:val="single"/>
        </w:rPr>
        <w:t xml:space="preserve">                     </w:t>
      </w:r>
      <w:r>
        <w:rPr>
          <w:bCs/>
          <w:color w:val="000000"/>
          <w:sz w:val="32"/>
          <w:highlight w:val="none"/>
        </w:rPr>
        <w:t>（加盖公章）</w:t>
      </w:r>
    </w:p>
    <w:p w14:paraId="7F7161CB">
      <w:pPr>
        <w:spacing w:line="800" w:lineRule="exact"/>
        <w:ind w:left="4" w:leftChars="-85" w:hanging="182" w:hangingChars="57"/>
        <w:jc w:val="center"/>
        <w:rPr>
          <w:bCs/>
          <w:color w:val="000000"/>
          <w:sz w:val="32"/>
          <w:highlight w:val="none"/>
        </w:rPr>
      </w:pPr>
      <w:r>
        <w:rPr>
          <w:rFonts w:hint="eastAsia"/>
          <w:bCs/>
          <w:color w:val="000000"/>
          <w:sz w:val="32"/>
          <w:highlight w:val="none"/>
        </w:rPr>
        <w:t>法定</w:t>
      </w:r>
      <w:r>
        <w:rPr>
          <w:rFonts w:hint="eastAsia"/>
          <w:bCs/>
          <w:color w:val="000000"/>
          <w:sz w:val="32"/>
          <w:highlight w:val="none"/>
          <w:lang w:eastAsia="zh-CN"/>
        </w:rPr>
        <w:t>（</w:t>
      </w:r>
      <w:r>
        <w:rPr>
          <w:rFonts w:hint="eastAsia"/>
          <w:bCs/>
          <w:color w:val="000000"/>
          <w:sz w:val="32"/>
          <w:highlight w:val="none"/>
        </w:rPr>
        <w:t>授权</w:t>
      </w:r>
      <w:r>
        <w:rPr>
          <w:rFonts w:hint="eastAsia"/>
          <w:bCs/>
          <w:color w:val="000000"/>
          <w:sz w:val="32"/>
          <w:highlight w:val="none"/>
          <w:lang w:eastAsia="zh-CN"/>
        </w:rPr>
        <w:t>）</w:t>
      </w:r>
      <w:r>
        <w:rPr>
          <w:rFonts w:hint="eastAsia"/>
          <w:bCs/>
          <w:color w:val="000000"/>
          <w:sz w:val="32"/>
          <w:highlight w:val="none"/>
        </w:rPr>
        <w:t>代表人</w:t>
      </w:r>
      <w:r>
        <w:rPr>
          <w:bCs/>
          <w:color w:val="000000"/>
          <w:sz w:val="32"/>
          <w:highlight w:val="none"/>
        </w:rPr>
        <w:t>：</w:t>
      </w:r>
      <w:r>
        <w:rPr>
          <w:bCs/>
          <w:color w:val="000000"/>
          <w:sz w:val="32"/>
          <w:highlight w:val="none"/>
          <w:u w:val="single"/>
        </w:rPr>
        <w:t xml:space="preserve">            </w:t>
      </w:r>
      <w:r>
        <w:rPr>
          <w:bCs/>
          <w:color w:val="000000"/>
          <w:sz w:val="32"/>
          <w:highlight w:val="none"/>
        </w:rPr>
        <w:t>（签字</w:t>
      </w:r>
      <w:r>
        <w:rPr>
          <w:rFonts w:hint="eastAsia"/>
          <w:bCs/>
          <w:color w:val="000000"/>
          <w:sz w:val="32"/>
          <w:highlight w:val="none"/>
          <w:lang w:val="en-US" w:eastAsia="zh-CN"/>
        </w:rPr>
        <w:t>或盖章</w:t>
      </w:r>
      <w:r>
        <w:rPr>
          <w:bCs/>
          <w:color w:val="000000"/>
          <w:sz w:val="32"/>
          <w:highlight w:val="none"/>
        </w:rPr>
        <w:t>）</w:t>
      </w:r>
    </w:p>
    <w:p w14:paraId="3722B65A">
      <w:pPr>
        <w:pStyle w:val="4"/>
        <w:rPr>
          <w:rFonts w:ascii="宋体" w:hAnsi="宋体" w:eastAsia="宋体" w:cs="宋体"/>
          <w:bCs w:val="0"/>
          <w:sz w:val="24"/>
          <w:szCs w:val="24"/>
          <w:highlight w:val="none"/>
        </w:rPr>
      </w:pPr>
    </w:p>
    <w:p w14:paraId="6A5C71CF">
      <w:pPr>
        <w:rPr>
          <w:highlight w:val="none"/>
        </w:rPr>
      </w:pPr>
    </w:p>
    <w:p w14:paraId="7B24F9C1">
      <w:pPr>
        <w:snapToGrid w:val="0"/>
        <w:spacing w:line="360" w:lineRule="auto"/>
        <w:ind w:right="480"/>
        <w:jc w:val="center"/>
        <w:rPr>
          <w:rFonts w:hint="eastAsia" w:ascii="宋体" w:hAnsi="宋体" w:cs="宋体"/>
          <w:sz w:val="24"/>
          <w:highlight w:val="none"/>
        </w:rPr>
      </w:pPr>
    </w:p>
    <w:p w14:paraId="246F0994">
      <w:pPr>
        <w:snapToGrid w:val="0"/>
        <w:spacing w:line="360" w:lineRule="auto"/>
        <w:ind w:right="480"/>
        <w:jc w:val="both"/>
        <w:rPr>
          <w:rFonts w:hint="eastAsia" w:ascii="宋体" w:hAnsi="宋体" w:cs="宋体"/>
          <w:sz w:val="24"/>
          <w:highlight w:val="none"/>
        </w:rPr>
      </w:pPr>
    </w:p>
    <w:p w14:paraId="74B51C0F">
      <w:pPr>
        <w:spacing w:before="100" w:beforeAutospacing="1" w:after="100" w:afterAutospacing="1" w:line="360" w:lineRule="auto"/>
        <w:jc w:val="left"/>
        <w:outlineLvl w:val="2"/>
        <w:rPr>
          <w:rFonts w:hint="eastAsia" w:ascii="宋体" w:hAnsi="宋体" w:cs="宋体"/>
          <w:b/>
          <w:bCs/>
          <w:sz w:val="24"/>
          <w:highlight w:val="none"/>
          <w:lang w:val="en-US" w:eastAsia="zh-CN"/>
        </w:rPr>
      </w:pPr>
    </w:p>
    <w:p w14:paraId="418245AA">
      <w:pPr>
        <w:spacing w:before="100" w:beforeAutospacing="1" w:after="100" w:afterAutospacing="1" w:line="360" w:lineRule="auto"/>
        <w:jc w:val="left"/>
        <w:outlineLvl w:val="2"/>
        <w:rPr>
          <w:rFonts w:ascii="宋体" w:hAnsi="宋体" w:cs="宋体"/>
          <w:sz w:val="30"/>
          <w:szCs w:val="20"/>
          <w:highlight w:val="none"/>
        </w:rPr>
      </w:pPr>
      <w:r>
        <w:rPr>
          <w:rFonts w:hint="eastAsia" w:ascii="宋体" w:hAnsi="宋体" w:cs="宋体"/>
          <w:b/>
          <w:bCs/>
          <w:sz w:val="24"/>
          <w:highlight w:val="none"/>
          <w:lang w:val="en-US" w:eastAsia="zh-CN"/>
        </w:rPr>
        <w:t>附件2：</w:t>
      </w:r>
      <w:r>
        <w:rPr>
          <w:rFonts w:hint="eastAsia" w:ascii="宋体" w:hAnsi="宋体" w:eastAsia="宋体" w:cs="宋体"/>
          <w:b/>
          <w:sz w:val="24"/>
          <w:highlight w:val="none"/>
        </w:rPr>
        <w:t>法定代表人身份证明</w:t>
      </w:r>
      <w:r>
        <w:rPr>
          <w:rFonts w:hint="eastAsia" w:ascii="宋体" w:hAnsi="宋体" w:eastAsia="宋体" w:cs="宋体"/>
          <w:b/>
          <w:sz w:val="24"/>
          <w:highlight w:val="none"/>
          <w:lang w:eastAsia="zh-CN"/>
        </w:rPr>
        <w:t>、</w:t>
      </w:r>
      <w:r>
        <w:rPr>
          <w:rFonts w:hint="eastAsia" w:ascii="宋体" w:hAnsi="宋体" w:eastAsia="宋体" w:cs="宋体"/>
          <w:b/>
          <w:sz w:val="24"/>
          <w:highlight w:val="none"/>
        </w:rPr>
        <w:t>法定代表人授权委托书格式：</w:t>
      </w:r>
    </w:p>
    <w:p w14:paraId="2DC3F5D8">
      <w:pPr>
        <w:spacing w:before="100" w:beforeAutospacing="1" w:after="100" w:afterAutospacing="1" w:line="360" w:lineRule="auto"/>
        <w:jc w:val="center"/>
        <w:outlineLvl w:val="2"/>
        <w:rPr>
          <w:rFonts w:ascii="宋体" w:hAnsi="宋体" w:cs="宋体"/>
          <w:b/>
          <w:bCs/>
          <w:sz w:val="28"/>
          <w:szCs w:val="28"/>
          <w:highlight w:val="none"/>
        </w:rPr>
      </w:pPr>
      <w:r>
        <w:rPr>
          <w:rFonts w:hint="eastAsia" w:ascii="宋体" w:hAnsi="宋体" w:cs="宋体"/>
          <w:b/>
          <w:bCs/>
          <w:sz w:val="28"/>
          <w:szCs w:val="28"/>
          <w:highlight w:val="none"/>
        </w:rPr>
        <w:t>法定代表人身份证明</w:t>
      </w:r>
    </w:p>
    <w:p w14:paraId="1489E116">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单位名称：</w:t>
      </w:r>
      <w:r>
        <w:rPr>
          <w:rFonts w:hint="eastAsia" w:ascii="宋体" w:hAnsi="宋体" w:cs="宋体"/>
          <w:sz w:val="24"/>
          <w:highlight w:val="none"/>
          <w:u w:val="single"/>
        </w:rPr>
        <w:t>                     </w:t>
      </w:r>
    </w:p>
    <w:p w14:paraId="367A8844">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w:t>
      </w:r>
    </w:p>
    <w:p w14:paraId="427FA9AA">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w:t>
      </w:r>
    </w:p>
    <w:p w14:paraId="0A6CE1A7">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w:t>
      </w:r>
      <w:r>
        <w:rPr>
          <w:rFonts w:hint="eastAsia" w:ascii="宋体" w:hAnsi="宋体" w:cs="宋体"/>
          <w:sz w:val="24"/>
          <w:highlight w:val="none"/>
        </w:rPr>
        <w:t>年</w:t>
      </w:r>
      <w:r>
        <w:rPr>
          <w:rFonts w:hint="eastAsia" w:ascii="宋体" w:hAnsi="宋体" w:cs="宋体"/>
          <w:sz w:val="24"/>
          <w:highlight w:val="none"/>
          <w:u w:val="single"/>
        </w:rPr>
        <w:t>     </w:t>
      </w:r>
      <w:r>
        <w:rPr>
          <w:rFonts w:hint="eastAsia" w:ascii="宋体" w:hAnsi="宋体" w:cs="宋体"/>
          <w:sz w:val="24"/>
          <w:highlight w:val="none"/>
        </w:rPr>
        <w:t>月</w:t>
      </w:r>
      <w:r>
        <w:rPr>
          <w:rFonts w:hint="eastAsia" w:ascii="宋体" w:hAnsi="宋体" w:cs="宋体"/>
          <w:sz w:val="24"/>
          <w:highlight w:val="none"/>
          <w:u w:val="single"/>
        </w:rPr>
        <w:t>      </w:t>
      </w:r>
      <w:r>
        <w:rPr>
          <w:rFonts w:hint="eastAsia" w:ascii="宋体" w:hAnsi="宋体" w:cs="宋体"/>
          <w:sz w:val="24"/>
          <w:highlight w:val="none"/>
        </w:rPr>
        <w:t>日</w:t>
      </w:r>
    </w:p>
    <w:p w14:paraId="2CB2763C">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w:t>
      </w:r>
    </w:p>
    <w:p w14:paraId="3E379CA3">
      <w:pPr>
        <w:spacing w:before="100" w:beforeAutospacing="1" w:after="100" w:afterAutospacing="1" w:line="360" w:lineRule="auto"/>
        <w:ind w:left="420"/>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w:t>
      </w:r>
      <w:r>
        <w:rPr>
          <w:rFonts w:hint="eastAsia" w:ascii="宋体" w:hAnsi="宋体" w:cs="宋体"/>
          <w:sz w:val="24"/>
          <w:highlight w:val="none"/>
        </w:rPr>
        <w:t> 性别：</w:t>
      </w:r>
      <w:r>
        <w:rPr>
          <w:rFonts w:hint="eastAsia" w:ascii="宋体" w:hAnsi="宋体" w:cs="宋体"/>
          <w:sz w:val="24"/>
          <w:highlight w:val="none"/>
          <w:u w:val="single"/>
        </w:rPr>
        <w:t>   </w:t>
      </w:r>
      <w:r>
        <w:rPr>
          <w:rFonts w:hint="eastAsia" w:ascii="宋体" w:hAnsi="宋体" w:cs="宋体"/>
          <w:sz w:val="24"/>
          <w:highlight w:val="none"/>
        </w:rPr>
        <w:t>年龄：</w:t>
      </w:r>
      <w:r>
        <w:rPr>
          <w:rFonts w:hint="eastAsia" w:ascii="宋体" w:hAnsi="宋体" w:cs="宋体"/>
          <w:sz w:val="24"/>
          <w:highlight w:val="none"/>
          <w:u w:val="single"/>
        </w:rPr>
        <w:t>      </w:t>
      </w:r>
      <w:r>
        <w:rPr>
          <w:rFonts w:hint="eastAsia" w:ascii="宋体" w:hAnsi="宋体" w:cs="宋体"/>
          <w:sz w:val="24"/>
          <w:highlight w:val="none"/>
        </w:rPr>
        <w:t> 职务：</w:t>
      </w:r>
      <w:r>
        <w:rPr>
          <w:rFonts w:hint="eastAsia" w:ascii="宋体" w:hAnsi="宋体" w:cs="宋体"/>
          <w:sz w:val="24"/>
          <w:highlight w:val="none"/>
          <w:u w:val="single"/>
        </w:rPr>
        <w:t>    </w:t>
      </w:r>
    </w:p>
    <w:p w14:paraId="45849907">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w:t>
      </w:r>
      <w:r>
        <w:rPr>
          <w:rFonts w:hint="eastAsia" w:ascii="宋体" w:hAnsi="宋体" w:cs="宋体"/>
          <w:sz w:val="24"/>
          <w:highlight w:val="none"/>
        </w:rPr>
        <w:t>的法定代表人。</w:t>
      </w:r>
    </w:p>
    <w:p w14:paraId="1431C5AB">
      <w:pPr>
        <w:spacing w:before="100" w:beforeAutospacing="1" w:after="100" w:afterAutospacing="1" w:line="360" w:lineRule="auto"/>
        <w:ind w:left="420" w:leftChars="200" w:firstLine="480" w:firstLineChars="200"/>
        <w:rPr>
          <w:rFonts w:ascii="宋体" w:hAnsi="宋体" w:cs="宋体"/>
          <w:sz w:val="24"/>
          <w:highlight w:val="none"/>
        </w:rPr>
      </w:pPr>
      <w:r>
        <w:rPr>
          <w:rFonts w:hint="eastAsia" w:ascii="宋体" w:hAnsi="宋体" w:cs="宋体"/>
          <w:sz w:val="24"/>
          <w:highlight w:val="none"/>
        </w:rPr>
        <w:t>特此证明</w:t>
      </w:r>
    </w:p>
    <w:p w14:paraId="311217DE">
      <w:pPr>
        <w:spacing w:line="360" w:lineRule="auto"/>
        <w:rPr>
          <w:rFonts w:ascii="宋体" w:hAnsi="宋体" w:cs="宋体"/>
          <w:sz w:val="24"/>
          <w:highlight w:val="none"/>
        </w:rPr>
      </w:pPr>
    </w:p>
    <w:p w14:paraId="355FF1A8">
      <w:pPr>
        <w:spacing w:line="360" w:lineRule="auto"/>
        <w:rPr>
          <w:rFonts w:ascii="宋体" w:hAnsi="宋体" w:cs="宋体"/>
          <w:sz w:val="24"/>
          <w:highlight w:val="none"/>
        </w:rPr>
      </w:pPr>
    </w:p>
    <w:p w14:paraId="7C8ED836">
      <w:pPr>
        <w:spacing w:line="480" w:lineRule="auto"/>
        <w:ind w:firstLine="240" w:firstLineChars="100"/>
        <w:rPr>
          <w:rFonts w:ascii="宋体" w:hAnsi="宋体" w:cs="宋体"/>
          <w:sz w:val="24"/>
          <w:szCs w:val="22"/>
          <w:highlight w:val="none"/>
        </w:rPr>
      </w:pPr>
      <w:r>
        <w:rPr>
          <w:rFonts w:hint="eastAsia" w:ascii="宋体" w:hAnsi="宋体" w:cs="宋体"/>
          <w:sz w:val="24"/>
          <w:highlight w:val="none"/>
        </w:rPr>
        <w:t>投标人名称（公章）</w:t>
      </w:r>
      <w:r>
        <w:rPr>
          <w:rFonts w:hint="eastAsia" w:ascii="宋体" w:hAnsi="宋体" w:cs="宋体"/>
          <w:sz w:val="24"/>
          <w:szCs w:val="22"/>
          <w:highlight w:val="none"/>
        </w:rPr>
        <w:t>：</w:t>
      </w:r>
    </w:p>
    <w:p w14:paraId="4AFF0088">
      <w:pPr>
        <w:spacing w:line="480" w:lineRule="auto"/>
        <w:ind w:firstLine="240" w:firstLineChars="100"/>
        <w:rPr>
          <w:rFonts w:ascii="宋体" w:hAnsi="宋体" w:cs="宋体"/>
          <w:sz w:val="24"/>
          <w:szCs w:val="22"/>
          <w:highlight w:val="none"/>
        </w:rPr>
      </w:pPr>
      <w:r>
        <w:rPr>
          <w:rFonts w:hint="eastAsia" w:ascii="宋体" w:hAnsi="宋体" w:cs="宋体"/>
          <w:sz w:val="24"/>
          <w:szCs w:val="22"/>
          <w:highlight w:val="none"/>
        </w:rPr>
        <w:t>法定代表人（签字或盖章）：</w:t>
      </w:r>
    </w:p>
    <w:p w14:paraId="681194BC">
      <w:pPr>
        <w:spacing w:line="480" w:lineRule="auto"/>
        <w:ind w:firstLine="240" w:firstLineChars="100"/>
        <w:rPr>
          <w:rFonts w:ascii="宋体" w:hAnsi="宋体" w:cs="宋体"/>
          <w:sz w:val="24"/>
          <w:szCs w:val="22"/>
          <w:highlight w:val="none"/>
        </w:rPr>
      </w:pPr>
      <w:r>
        <w:rPr>
          <w:rFonts w:hint="eastAsia" w:ascii="宋体" w:hAnsi="宋体" w:cs="宋体"/>
          <w:sz w:val="24"/>
          <w:szCs w:val="22"/>
          <w:highlight w:val="none"/>
        </w:rPr>
        <w:t>日期：</w:t>
      </w:r>
    </w:p>
    <w:p w14:paraId="6A3138F6">
      <w:pPr>
        <w:snapToGrid w:val="0"/>
        <w:spacing w:before="120" w:beforeLines="50" w:after="50" w:line="360" w:lineRule="auto"/>
        <w:jc w:val="center"/>
        <w:rPr>
          <w:rFonts w:ascii="宋体" w:hAnsi="宋体" w:cs="宋体"/>
          <w:highlight w:val="none"/>
        </w:rPr>
        <w:sectPr>
          <w:footerReference r:id="rId11" w:type="first"/>
          <w:headerReference r:id="rId9" w:type="default"/>
          <w:footerReference r:id="rId10" w:type="default"/>
          <w:pgSz w:w="11906" w:h="16838"/>
          <w:pgMar w:top="1587" w:right="907" w:bottom="907" w:left="1588" w:header="851" w:footer="850" w:gutter="0"/>
          <w:pgBorders>
            <w:top w:val="none" w:sz="0" w:space="0"/>
            <w:left w:val="none" w:sz="0" w:space="0"/>
            <w:bottom w:val="none" w:sz="0" w:space="0"/>
            <w:right w:val="none" w:sz="0" w:space="0"/>
          </w:pgBorders>
          <w:pgNumType w:fmt="decimal"/>
          <w:cols w:space="720" w:num="1"/>
          <w:titlePg/>
          <w:docGrid w:linePitch="312" w:charSpace="0"/>
        </w:sectPr>
      </w:pPr>
    </w:p>
    <w:p w14:paraId="2C448AB7">
      <w:pPr>
        <w:rPr>
          <w:rFonts w:hint="eastAsia" w:ascii="宋体" w:hAnsi="宋体" w:cs="宋体"/>
          <w:b/>
          <w:sz w:val="24"/>
          <w:highlight w:val="none"/>
        </w:rPr>
      </w:pPr>
      <w:r>
        <w:rPr>
          <w:rFonts w:hint="eastAsia" w:ascii="宋体" w:hAnsi="宋体" w:cs="宋体"/>
          <w:b/>
          <w:sz w:val="24"/>
          <w:highlight w:val="none"/>
        </w:rPr>
        <w:br w:type="page"/>
      </w:r>
    </w:p>
    <w:p w14:paraId="3B4D048C">
      <w:pPr>
        <w:snapToGrid w:val="0"/>
        <w:spacing w:before="120" w:beforeLines="50" w:after="50" w:line="360" w:lineRule="auto"/>
        <w:jc w:val="center"/>
        <w:rPr>
          <w:rFonts w:ascii="宋体" w:hAnsi="宋体" w:cs="宋体"/>
          <w:b/>
          <w:sz w:val="24"/>
          <w:szCs w:val="20"/>
          <w:highlight w:val="none"/>
        </w:rPr>
      </w:pPr>
      <w:r>
        <w:rPr>
          <w:rFonts w:hint="eastAsia" w:ascii="宋体" w:hAnsi="宋体" w:cs="宋体"/>
          <w:b/>
          <w:sz w:val="24"/>
          <w:highlight w:val="none"/>
        </w:rPr>
        <w:t>法定代表人授权委托书</w:t>
      </w:r>
    </w:p>
    <w:p w14:paraId="1A08DA32">
      <w:pPr>
        <w:snapToGrid w:val="0"/>
        <w:spacing w:before="120" w:beforeLines="50" w:after="50" w:line="360" w:lineRule="auto"/>
        <w:rPr>
          <w:rFonts w:ascii="宋体" w:hAnsi="宋体" w:cs="宋体"/>
          <w:bCs/>
          <w:sz w:val="24"/>
          <w:highlight w:val="none"/>
        </w:rPr>
      </w:pPr>
    </w:p>
    <w:p w14:paraId="72B2800B">
      <w:pPr>
        <w:snapToGrid w:val="0"/>
        <w:spacing w:before="120" w:beforeLines="50" w:after="50" w:line="360" w:lineRule="auto"/>
        <w:rPr>
          <w:rFonts w:ascii="宋体" w:hAnsi="宋体" w:cs="宋体"/>
          <w:b/>
          <w:bCs/>
          <w:sz w:val="24"/>
          <w:szCs w:val="20"/>
          <w:highlight w:val="none"/>
        </w:rPr>
      </w:pPr>
      <w:r>
        <w:rPr>
          <w:rFonts w:hint="eastAsia" w:ascii="宋体" w:hAnsi="宋体" w:cs="宋体"/>
          <w:bCs/>
          <w:sz w:val="24"/>
          <w:highlight w:val="none"/>
        </w:rPr>
        <w:t>致：</w:t>
      </w:r>
      <w:r>
        <w:rPr>
          <w:rFonts w:hint="eastAsia" w:ascii="宋体" w:hAnsi="宋体" w:cs="仿宋_GB2312"/>
          <w:sz w:val="24"/>
          <w:highlight w:val="none"/>
          <w:u w:val="single"/>
        </w:rPr>
        <w:t>（采购人）、（采购代理机构）</w:t>
      </w:r>
      <w:r>
        <w:rPr>
          <w:rFonts w:hint="eastAsia" w:ascii="宋体" w:hAnsi="宋体" w:cs="宋体"/>
          <w:sz w:val="24"/>
          <w:highlight w:val="none"/>
        </w:rPr>
        <w:t>：</w:t>
      </w:r>
    </w:p>
    <w:p w14:paraId="3FD0B84F">
      <w:pPr>
        <w:snapToGrid w:val="0"/>
        <w:spacing w:before="120" w:beforeLines="50" w:after="50" w:line="360" w:lineRule="auto"/>
        <w:ind w:firstLine="729" w:firstLineChars="300"/>
        <w:rPr>
          <w:rFonts w:ascii="宋体" w:hAnsi="宋体" w:cs="宋体"/>
          <w:b w:val="0"/>
          <w:bCs w:val="0"/>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 xml:space="preserve">（姓名）系 </w:t>
      </w:r>
      <w:r>
        <w:rPr>
          <w:rFonts w:hint="eastAsia" w:ascii="宋体" w:hAnsi="宋体" w:cs="宋体"/>
          <w:sz w:val="24"/>
          <w:highlight w:val="none"/>
          <w:u w:val="single"/>
        </w:rPr>
        <w:t xml:space="preserve">      </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（投标人名称）的法定代表人，现授权委托本单位在职职工（姓名）以我方的名义参加衢州市</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采购项目的投标活动，并代表我方全权办理针对上述项目的投标、开标、评标、签约等具体事务和签署相关文件。</w:t>
      </w:r>
    </w:p>
    <w:p w14:paraId="6680AA6D">
      <w:pPr>
        <w:snapToGrid w:val="0"/>
        <w:spacing w:before="120" w:beforeLines="50" w:after="50" w:line="360" w:lineRule="auto"/>
        <w:rPr>
          <w:rFonts w:ascii="宋体" w:hAnsi="宋体" w:cs="宋体"/>
          <w:b w:val="0"/>
          <w:bCs w:val="0"/>
          <w:sz w:val="24"/>
          <w:highlight w:val="none"/>
        </w:rPr>
      </w:pPr>
      <w:r>
        <w:rPr>
          <w:rFonts w:hint="eastAsia" w:ascii="宋体" w:hAnsi="宋体" w:cs="宋体"/>
          <w:b w:val="0"/>
          <w:bCs w:val="0"/>
          <w:sz w:val="24"/>
          <w:highlight w:val="none"/>
        </w:rPr>
        <w:t>我方对被授权人的签名事项负全部责任。</w:t>
      </w:r>
    </w:p>
    <w:p w14:paraId="197F88AC">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u w:val="single"/>
        </w:rPr>
        <w:t>在撤销授权的书面通知以前，本授权书一直有效。</w:t>
      </w:r>
      <w:r>
        <w:rPr>
          <w:rFonts w:hint="eastAsia" w:ascii="宋体" w:hAnsi="宋体" w:cs="宋体"/>
          <w:sz w:val="24"/>
          <w:highlight w:val="none"/>
        </w:rPr>
        <w:t>被授权人在授权书有效期内签署的所有文件不因授权的撤销而失效。</w:t>
      </w:r>
    </w:p>
    <w:p w14:paraId="101AAE11">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rPr>
        <w:t>被授权人无转委托权，特此委托。</w:t>
      </w:r>
    </w:p>
    <w:p w14:paraId="70963340">
      <w:pPr>
        <w:snapToGrid w:val="0"/>
        <w:spacing w:before="120" w:beforeLines="50" w:after="50" w:line="360" w:lineRule="auto"/>
        <w:rPr>
          <w:rFonts w:ascii="宋体" w:hAnsi="宋体" w:cs="宋体"/>
          <w:sz w:val="24"/>
          <w:szCs w:val="20"/>
          <w:highlight w:val="none"/>
        </w:rPr>
      </w:pPr>
    </w:p>
    <w:p w14:paraId="72481696">
      <w:pPr>
        <w:pStyle w:val="4"/>
        <w:rPr>
          <w:highlight w:val="none"/>
        </w:rPr>
      </w:pPr>
    </w:p>
    <w:p w14:paraId="66B236BB">
      <w:pPr>
        <w:snapToGrid w:val="0"/>
        <w:spacing w:before="120" w:beforeLines="50" w:after="50" w:line="360" w:lineRule="auto"/>
        <w:rPr>
          <w:rFonts w:ascii="宋体" w:hAnsi="宋体" w:cs="宋体"/>
          <w:sz w:val="24"/>
          <w:szCs w:val="20"/>
          <w:highlight w:val="none"/>
          <w:u w:val="single"/>
        </w:rPr>
      </w:pPr>
      <w:r>
        <w:rPr>
          <w:rFonts w:hint="eastAsia" w:ascii="宋体" w:hAnsi="宋体" w:cs="宋体"/>
          <w:sz w:val="24"/>
          <w:highlight w:val="none"/>
        </w:rPr>
        <w:t>被授权人签名：                                   法定代表人签名</w:t>
      </w:r>
      <w:r>
        <w:rPr>
          <w:rFonts w:hint="eastAsia" w:ascii="宋体" w:hAnsi="宋体" w:cs="宋体"/>
          <w:sz w:val="24"/>
          <w:highlight w:val="none"/>
          <w:lang w:val="en-US" w:eastAsia="zh-CN"/>
        </w:rPr>
        <w:t>或盖章</w:t>
      </w:r>
      <w:r>
        <w:rPr>
          <w:rFonts w:hint="eastAsia" w:ascii="宋体" w:hAnsi="宋体" w:cs="宋体"/>
          <w:sz w:val="24"/>
          <w:highlight w:val="none"/>
        </w:rPr>
        <w:t>：</w:t>
      </w:r>
    </w:p>
    <w:p w14:paraId="22B61899">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职务：                                           职务：</w:t>
      </w:r>
    </w:p>
    <w:p w14:paraId="3ED1C004">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被授权人身份证复印件：</w:t>
      </w:r>
    </w:p>
    <w:p w14:paraId="5FB42D46">
      <w:pPr>
        <w:snapToGrid w:val="0"/>
        <w:spacing w:before="120" w:beforeLines="50" w:after="50" w:line="360" w:lineRule="auto"/>
        <w:rPr>
          <w:rFonts w:ascii="宋体" w:hAnsi="宋体" w:cs="宋体"/>
          <w:sz w:val="24"/>
          <w:highlight w:val="none"/>
        </w:rPr>
      </w:pPr>
    </w:p>
    <w:p w14:paraId="4175EC3D">
      <w:pPr>
        <w:snapToGrid w:val="0"/>
        <w:spacing w:before="120" w:beforeLines="50" w:after="50" w:line="360" w:lineRule="auto"/>
        <w:rPr>
          <w:rFonts w:ascii="宋体" w:hAnsi="宋体" w:cs="宋体"/>
          <w:sz w:val="24"/>
          <w:szCs w:val="20"/>
          <w:highlight w:val="none"/>
        </w:rPr>
      </w:pPr>
    </w:p>
    <w:p w14:paraId="22F6D418">
      <w:pPr>
        <w:snapToGrid w:val="0"/>
        <w:spacing w:before="120" w:beforeLines="50" w:after="50" w:line="360" w:lineRule="auto"/>
        <w:ind w:firstLine="5103" w:firstLineChars="2100"/>
        <w:rPr>
          <w:rFonts w:ascii="宋体" w:hAnsi="宋体" w:cs="宋体"/>
          <w:sz w:val="24"/>
          <w:szCs w:val="20"/>
          <w:highlight w:val="none"/>
        </w:rPr>
      </w:pPr>
      <w:r>
        <w:rPr>
          <w:rFonts w:hint="eastAsia" w:ascii="宋体" w:hAnsi="宋体" w:cs="宋体"/>
          <w:sz w:val="24"/>
          <w:highlight w:val="none"/>
        </w:rPr>
        <w:t>投标人名称（公章）：</w:t>
      </w:r>
    </w:p>
    <w:p w14:paraId="2F7B815E">
      <w:pPr>
        <w:snapToGrid w:val="0"/>
        <w:spacing w:before="120" w:beforeLines="50" w:after="50"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657E72AB">
      <w:pPr>
        <w:snapToGrid w:val="0"/>
        <w:spacing w:line="360" w:lineRule="auto"/>
        <w:ind w:right="480"/>
        <w:rPr>
          <w:rFonts w:hint="default" w:ascii="宋体" w:hAnsi="宋体" w:eastAsia="宋体" w:cs="宋体"/>
          <w:b/>
          <w:bCs/>
          <w:sz w:val="24"/>
          <w:highlight w:val="none"/>
          <w:lang w:val="en-US" w:eastAsia="zh-CN"/>
        </w:rPr>
      </w:pPr>
    </w:p>
    <w:p w14:paraId="439C17EA">
      <w:pPr>
        <w:snapToGrid w:val="0"/>
        <w:spacing w:line="360" w:lineRule="auto"/>
        <w:ind w:right="480"/>
        <w:rPr>
          <w:rFonts w:hint="eastAsia" w:ascii="宋体" w:hAnsi="宋体" w:cs="宋体"/>
          <w:b/>
          <w:bCs/>
          <w:sz w:val="24"/>
          <w:highlight w:val="none"/>
        </w:rPr>
      </w:pPr>
    </w:p>
    <w:p w14:paraId="66AC385F">
      <w:pPr>
        <w:snapToGrid w:val="0"/>
        <w:spacing w:line="360" w:lineRule="auto"/>
        <w:ind w:right="480"/>
        <w:rPr>
          <w:rFonts w:hint="eastAsia" w:ascii="宋体" w:hAnsi="宋体" w:cs="宋体"/>
          <w:b/>
          <w:bCs/>
          <w:sz w:val="24"/>
          <w:highlight w:val="none"/>
        </w:rPr>
      </w:pPr>
    </w:p>
    <w:p w14:paraId="5D778C04">
      <w:pPr>
        <w:snapToGrid w:val="0"/>
        <w:spacing w:line="360" w:lineRule="auto"/>
        <w:ind w:right="480"/>
        <w:rPr>
          <w:rFonts w:hint="eastAsia" w:ascii="宋体" w:hAnsi="宋体" w:cs="宋体"/>
          <w:b/>
          <w:bCs/>
          <w:sz w:val="24"/>
          <w:highlight w:val="none"/>
        </w:rPr>
      </w:pPr>
    </w:p>
    <w:p w14:paraId="1A9D624B">
      <w:pPr>
        <w:widowControl/>
        <w:spacing w:before="100" w:beforeAutospacing="1" w:after="190"/>
        <w:rPr>
          <w:rFonts w:hint="eastAsia" w:ascii="宋体" w:hAnsi="宋体" w:eastAsia="宋体" w:cs="宋体"/>
          <w:b/>
          <w:sz w:val="24"/>
          <w:highlight w:val="none"/>
        </w:rPr>
      </w:pPr>
      <w:r>
        <w:rPr>
          <w:rFonts w:hint="eastAsia" w:ascii="宋体" w:hAnsi="宋体" w:eastAsia="宋体" w:cs="宋体"/>
          <w:b/>
          <w:sz w:val="24"/>
          <w:highlight w:val="none"/>
        </w:rPr>
        <w:t>附件</w:t>
      </w:r>
      <w:r>
        <w:rPr>
          <w:rFonts w:hint="eastAsia" w:ascii="宋体" w:hAnsi="宋体" w:cs="宋体"/>
          <w:b/>
          <w:sz w:val="24"/>
          <w:highlight w:val="none"/>
          <w:lang w:val="en-US" w:eastAsia="zh-CN"/>
        </w:rPr>
        <w:t>3</w:t>
      </w:r>
      <w:r>
        <w:rPr>
          <w:rFonts w:hint="eastAsia" w:ascii="宋体" w:hAnsi="宋体" w:eastAsia="宋体" w:cs="宋体"/>
          <w:b/>
          <w:sz w:val="24"/>
          <w:highlight w:val="none"/>
          <w:lang w:val="en-US" w:eastAsia="zh-CN"/>
        </w:rPr>
        <w:t>：</w:t>
      </w:r>
      <w:r>
        <w:rPr>
          <w:rFonts w:hint="eastAsia" w:ascii="宋体" w:hAnsi="宋体" w:eastAsia="宋体" w:cs="宋体"/>
          <w:b/>
          <w:sz w:val="24"/>
          <w:highlight w:val="none"/>
        </w:rPr>
        <w:t>廉政承诺书</w:t>
      </w:r>
    </w:p>
    <w:p w14:paraId="4230A801">
      <w:pPr>
        <w:snapToGrid w:val="0"/>
        <w:spacing w:line="560" w:lineRule="exact"/>
        <w:jc w:val="center"/>
        <w:rPr>
          <w:rFonts w:hint="eastAsia" w:ascii="宋体" w:hAnsi="宋体" w:cs="宋体"/>
          <w:b/>
          <w:bCs/>
          <w:kern w:val="56"/>
          <w:sz w:val="32"/>
          <w:szCs w:val="32"/>
          <w:highlight w:val="none"/>
          <w:shd w:val="clear" w:color="auto" w:fill="FFFFFF"/>
        </w:rPr>
      </w:pPr>
      <w:r>
        <w:rPr>
          <w:rFonts w:hint="eastAsia" w:ascii="宋体" w:hAnsi="宋体" w:cs="宋体"/>
          <w:b/>
          <w:bCs/>
          <w:kern w:val="56"/>
          <w:sz w:val="32"/>
          <w:szCs w:val="32"/>
          <w:highlight w:val="none"/>
          <w:shd w:val="clear" w:color="auto" w:fill="FFFFFF"/>
        </w:rPr>
        <w:t>廉政承诺书</w:t>
      </w:r>
    </w:p>
    <w:p w14:paraId="464D26EF">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仿宋_GB2312"/>
          <w:sz w:val="24"/>
          <w:highlight w:val="none"/>
          <w:u w:val="single"/>
        </w:rPr>
        <w:t>（采购人）、（采购代理机构）</w:t>
      </w:r>
      <w:r>
        <w:rPr>
          <w:rFonts w:hint="eastAsia" w:ascii="宋体" w:hAnsi="宋体" w:cs="宋体"/>
          <w:kern w:val="56"/>
          <w:sz w:val="24"/>
          <w:highlight w:val="none"/>
          <w:shd w:val="clear" w:color="auto" w:fill="FFFFFF"/>
        </w:rPr>
        <w:t>：</w:t>
      </w:r>
    </w:p>
    <w:p w14:paraId="10B8612A">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我单位响应</w:t>
      </w:r>
      <w:r>
        <w:rPr>
          <w:rFonts w:hint="eastAsia" w:ascii="宋体" w:hAnsi="宋体" w:cs="宋体"/>
          <w:kern w:val="56"/>
          <w:sz w:val="24"/>
          <w:highlight w:val="none"/>
          <w:u w:val="single"/>
          <w:shd w:val="clear" w:color="auto" w:fill="FFFFFF"/>
          <w:lang w:val="en-US" w:eastAsia="zh-CN"/>
        </w:rPr>
        <w:t xml:space="preserve">                    </w:t>
      </w:r>
      <w:r>
        <w:rPr>
          <w:rFonts w:hint="eastAsia" w:ascii="宋体" w:hAnsi="宋体" w:cs="宋体"/>
          <w:kern w:val="56"/>
          <w:sz w:val="24"/>
          <w:highlight w:val="none"/>
          <w:shd w:val="clear" w:color="auto" w:fill="FFFFFF"/>
        </w:rPr>
        <w:t>（采购人）</w:t>
      </w:r>
      <w:r>
        <w:rPr>
          <w:rFonts w:hint="eastAsia" w:ascii="宋体" w:hAnsi="宋体" w:cs="宋体"/>
          <w:kern w:val="56"/>
          <w:sz w:val="24"/>
          <w:highlight w:val="none"/>
          <w:u w:val="single"/>
          <w:shd w:val="clear" w:color="auto" w:fill="FFFFFF"/>
          <w:lang w:eastAsia="zh-CN"/>
        </w:rPr>
        <w:t>信息安全运维服务项目</w:t>
      </w:r>
      <w:r>
        <w:rPr>
          <w:rFonts w:hint="eastAsia" w:ascii="宋体" w:hAnsi="宋体" w:cs="宋体"/>
          <w:kern w:val="56"/>
          <w:sz w:val="24"/>
          <w:highlight w:val="none"/>
          <w:shd w:val="clear" w:color="auto" w:fill="FFFFFF"/>
        </w:rPr>
        <w:t>（项目名称）</w:t>
      </w:r>
      <w:r>
        <w:rPr>
          <w:rFonts w:hint="eastAsia" w:ascii="宋体" w:hAnsi="宋体" w:cs="宋体"/>
          <w:kern w:val="56"/>
          <w:sz w:val="24"/>
          <w:highlight w:val="none"/>
          <w:u w:val="single"/>
          <w:shd w:val="clear" w:color="auto" w:fill="FFFFFF"/>
          <w:lang w:eastAsia="zh-CN"/>
        </w:rPr>
        <w:t>ZJWS-QZ2025160</w:t>
      </w:r>
      <w:r>
        <w:rPr>
          <w:rFonts w:hint="eastAsia" w:ascii="宋体" w:hAnsi="宋体" w:cs="宋体"/>
          <w:kern w:val="56"/>
          <w:sz w:val="24"/>
          <w:highlight w:val="none"/>
          <w:shd w:val="clear" w:color="auto" w:fill="FFFFFF"/>
        </w:rPr>
        <w:t>（项目编号）</w:t>
      </w:r>
      <w:r>
        <w:rPr>
          <w:rFonts w:hint="eastAsia" w:ascii="宋体" w:hAnsi="宋体" w:cs="宋体"/>
          <w:kern w:val="56"/>
          <w:sz w:val="24"/>
          <w:highlight w:val="none"/>
          <w:u w:val="single"/>
          <w:shd w:val="clear" w:color="auto" w:fill="FFFFFF"/>
          <w:lang w:eastAsia="zh-CN"/>
        </w:rPr>
        <w:t>XXX</w:t>
      </w:r>
      <w:r>
        <w:rPr>
          <w:rFonts w:hint="eastAsia" w:ascii="宋体" w:hAnsi="宋体" w:cs="宋体"/>
          <w:kern w:val="56"/>
          <w:sz w:val="24"/>
          <w:highlight w:val="none"/>
          <w:shd w:val="clear" w:color="auto" w:fill="FFFFFF"/>
        </w:rPr>
        <w:t>（标项名称）项目采购要求并参加采购活动。在这次采购过程中和成交后，我们将严格遵守国家法律法规要求，并郑重承诺：</w:t>
      </w:r>
    </w:p>
    <w:p w14:paraId="58301BCD">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一、不向项目有关人员及部门赠送礼金礼物、有价证券、回扣以及中介费、介绍费、咨询费等好处费；</w:t>
      </w:r>
    </w:p>
    <w:p w14:paraId="7BCB959E">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二、不为项目有关人员及部门报销应由你方单位或个人支付的费用；</w:t>
      </w:r>
    </w:p>
    <w:p w14:paraId="7E9240D8">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三、不向项目有关人员及部门提供有可能影响公正的宴请和健身娱乐等活动；</w:t>
      </w:r>
    </w:p>
    <w:p w14:paraId="0B21BD68">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四、不为项目有关人员及部门出国（境）、旅游等提供方便；</w:t>
      </w:r>
    </w:p>
    <w:p w14:paraId="27151D1C">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五、不为项目有关人员个人装修住房、婚丧嫁娶、配偶子女工作安排等提供好处；</w:t>
      </w:r>
    </w:p>
    <w:p w14:paraId="1D998CE6">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如违反上述承诺，你单位有权立即取消我单位成交资格，有权拒绝我单位在一定时期内进入你单位进行项目建设或其他经营活动，并通报同级政府采购监管部门。由此引起的相应损失均由我单位承担。</w:t>
      </w:r>
    </w:p>
    <w:p w14:paraId="5CEC09B8">
      <w:pPr>
        <w:snapToGrid w:val="0"/>
        <w:spacing w:line="560" w:lineRule="exact"/>
        <w:ind w:firstLine="486" w:firstLineChars="200"/>
        <w:rPr>
          <w:rFonts w:hint="eastAsia" w:ascii="宋体" w:hAnsi="宋体" w:cs="宋体"/>
          <w:kern w:val="56"/>
          <w:sz w:val="24"/>
          <w:highlight w:val="none"/>
          <w:shd w:val="clear" w:color="auto" w:fill="FFFFFF"/>
        </w:rPr>
      </w:pPr>
    </w:p>
    <w:p w14:paraId="59362E19">
      <w:pPr>
        <w:snapToGrid w:val="0"/>
        <w:spacing w:line="560" w:lineRule="exact"/>
        <w:ind w:firstLine="486" w:firstLineChars="200"/>
        <w:rPr>
          <w:rFonts w:hint="eastAsia" w:ascii="宋体" w:hAnsi="宋体" w:cs="宋体"/>
          <w:kern w:val="56"/>
          <w:sz w:val="24"/>
          <w:highlight w:val="none"/>
          <w:shd w:val="clear" w:color="auto" w:fill="FFFFFF"/>
        </w:rPr>
      </w:pPr>
    </w:p>
    <w:p w14:paraId="29BD914C">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sz w:val="24"/>
          <w:highlight w:val="none"/>
        </w:rPr>
        <w:t>投标人名称（公章）</w:t>
      </w:r>
      <w:r>
        <w:rPr>
          <w:rFonts w:hint="eastAsia" w:ascii="宋体" w:hAnsi="宋体" w:cs="宋体"/>
          <w:kern w:val="56"/>
          <w:sz w:val="24"/>
          <w:highlight w:val="none"/>
          <w:shd w:val="clear" w:color="auto" w:fill="FFFFFF"/>
        </w:rPr>
        <w:t xml:space="preserve">：                       </w:t>
      </w:r>
    </w:p>
    <w:p w14:paraId="19B4978D">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日期：</w:t>
      </w:r>
      <w:r>
        <w:rPr>
          <w:rFonts w:hint="eastAsia" w:ascii="宋体" w:hAnsi="宋体" w:cs="宋体"/>
          <w:kern w:val="56"/>
          <w:sz w:val="24"/>
          <w:highlight w:val="none"/>
          <w:shd w:val="clear" w:color="auto" w:fill="FFFFFF"/>
          <w:lang w:val="en-US" w:eastAsia="zh-CN"/>
        </w:rPr>
        <w:t xml:space="preserve">   </w:t>
      </w:r>
      <w:r>
        <w:rPr>
          <w:rFonts w:hint="eastAsia" w:ascii="宋体" w:hAnsi="宋体" w:cs="宋体"/>
          <w:kern w:val="56"/>
          <w:sz w:val="24"/>
          <w:highlight w:val="none"/>
          <w:shd w:val="clear" w:color="auto" w:fill="FFFFFF"/>
          <w:lang w:eastAsia="zh-CN"/>
        </w:rPr>
        <w:t>年</w:t>
      </w:r>
      <w:r>
        <w:rPr>
          <w:rFonts w:hint="eastAsia" w:ascii="宋体" w:hAnsi="宋体" w:cs="宋体"/>
          <w:kern w:val="56"/>
          <w:sz w:val="24"/>
          <w:highlight w:val="none"/>
          <w:shd w:val="clear" w:color="auto" w:fill="FFFFFF"/>
        </w:rPr>
        <w:t xml:space="preserve">  月  日</w:t>
      </w:r>
    </w:p>
    <w:p w14:paraId="4D7A9ABE">
      <w:pPr>
        <w:snapToGrid w:val="0"/>
        <w:spacing w:line="360" w:lineRule="auto"/>
        <w:ind w:right="480"/>
        <w:rPr>
          <w:rFonts w:hint="eastAsia" w:ascii="宋体" w:hAnsi="宋体" w:cs="宋体"/>
          <w:b/>
          <w:bCs/>
          <w:sz w:val="24"/>
          <w:highlight w:val="none"/>
        </w:rPr>
      </w:pPr>
    </w:p>
    <w:p w14:paraId="43ACF157">
      <w:pPr>
        <w:snapToGrid w:val="0"/>
        <w:spacing w:line="360" w:lineRule="auto"/>
        <w:ind w:right="480"/>
        <w:rPr>
          <w:rFonts w:hint="eastAsia" w:ascii="宋体" w:hAnsi="宋体" w:cs="宋体"/>
          <w:b/>
          <w:bCs/>
          <w:sz w:val="24"/>
          <w:highlight w:val="none"/>
        </w:rPr>
      </w:pPr>
    </w:p>
    <w:p w14:paraId="795F3E23">
      <w:pPr>
        <w:snapToGrid w:val="0"/>
        <w:spacing w:line="360" w:lineRule="auto"/>
        <w:ind w:right="480"/>
        <w:rPr>
          <w:rFonts w:hint="eastAsia" w:ascii="宋体" w:hAnsi="宋体" w:cs="宋体"/>
          <w:b/>
          <w:bCs/>
          <w:sz w:val="24"/>
          <w:highlight w:val="none"/>
        </w:rPr>
      </w:pPr>
    </w:p>
    <w:p w14:paraId="5C2D25B3">
      <w:pPr>
        <w:snapToGrid w:val="0"/>
        <w:spacing w:line="360" w:lineRule="auto"/>
        <w:ind w:right="480"/>
        <w:rPr>
          <w:rFonts w:hint="eastAsia" w:ascii="宋体" w:hAnsi="宋体" w:cs="宋体"/>
          <w:b/>
          <w:bCs/>
          <w:sz w:val="24"/>
          <w:highlight w:val="none"/>
        </w:rPr>
      </w:pPr>
    </w:p>
    <w:p w14:paraId="1E580CB7">
      <w:pPr>
        <w:snapToGrid w:val="0"/>
        <w:spacing w:line="360" w:lineRule="auto"/>
        <w:ind w:right="480"/>
        <w:rPr>
          <w:rFonts w:hint="eastAsia" w:ascii="宋体" w:hAnsi="宋体" w:cs="宋体"/>
          <w:b/>
          <w:bCs/>
          <w:sz w:val="24"/>
          <w:highlight w:val="none"/>
        </w:rPr>
      </w:pPr>
    </w:p>
    <w:p w14:paraId="201A479A">
      <w:pPr>
        <w:widowControl/>
        <w:spacing w:before="100" w:beforeAutospacing="1" w:after="190"/>
        <w:rPr>
          <w:rFonts w:ascii="宋体" w:hAnsi="宋体" w:cs="宋体"/>
          <w:sz w:val="24"/>
          <w:highlight w:val="none"/>
        </w:rPr>
      </w:pPr>
      <w:r>
        <w:rPr>
          <w:rFonts w:hint="eastAsia" w:ascii="宋体" w:hAnsi="宋体" w:cs="宋体"/>
          <w:b/>
          <w:bCs/>
          <w:sz w:val="24"/>
          <w:highlight w:val="none"/>
          <w:lang w:val="en-US" w:eastAsia="zh-CN"/>
        </w:rPr>
        <w:t>附件4：</w:t>
      </w:r>
      <w:r>
        <w:rPr>
          <w:rFonts w:hint="eastAsia" w:ascii="宋体" w:hAnsi="宋体" w:cs="宋体"/>
          <w:b/>
          <w:sz w:val="24"/>
          <w:highlight w:val="none"/>
        </w:rPr>
        <w:t xml:space="preserve">政府采购供应商诚信承诺书 </w:t>
      </w:r>
      <w:r>
        <w:rPr>
          <w:rFonts w:hint="eastAsia" w:ascii="宋体" w:hAnsi="宋体" w:cs="宋体"/>
          <w:sz w:val="24"/>
          <w:highlight w:val="none"/>
        </w:rPr>
        <w:t xml:space="preserve">                </w:t>
      </w:r>
    </w:p>
    <w:p w14:paraId="1BB8088B">
      <w:pPr>
        <w:widowControl/>
        <w:spacing w:before="100" w:beforeAutospacing="1" w:after="190"/>
        <w:jc w:val="center"/>
        <w:rPr>
          <w:rFonts w:ascii="宋体" w:hAnsi="宋体" w:cs="宋体"/>
          <w:kern w:val="0"/>
          <w:sz w:val="30"/>
          <w:szCs w:val="30"/>
          <w:highlight w:val="none"/>
        </w:rPr>
      </w:pPr>
      <w:r>
        <w:rPr>
          <w:rFonts w:hint="eastAsia" w:ascii="宋体" w:hAnsi="宋体" w:cs="宋体"/>
          <w:b/>
          <w:bCs/>
          <w:kern w:val="0"/>
          <w:sz w:val="30"/>
          <w:szCs w:val="30"/>
          <w:highlight w:val="none"/>
        </w:rPr>
        <w:t>政府采购供应商诚信承诺书</w:t>
      </w:r>
    </w:p>
    <w:p w14:paraId="7FB12865">
      <w:pPr>
        <w:widowControl/>
        <w:spacing w:before="100" w:beforeAutospacing="1" w:after="190"/>
        <w:jc w:val="left"/>
        <w:rPr>
          <w:rFonts w:ascii="宋体" w:hAnsi="宋体" w:cs="宋体"/>
          <w:b/>
          <w:kern w:val="0"/>
          <w:sz w:val="24"/>
          <w:highlight w:val="none"/>
        </w:rPr>
      </w:pPr>
      <w:r>
        <w:rPr>
          <w:rFonts w:hint="eastAsia" w:ascii="宋体" w:hAnsi="宋体" w:cs="仿宋_GB2312"/>
          <w:sz w:val="24"/>
          <w:highlight w:val="none"/>
          <w:u w:val="single"/>
        </w:rPr>
        <w:t>（采购人）、（采购代理机构）</w:t>
      </w:r>
      <w:r>
        <w:rPr>
          <w:rFonts w:hint="eastAsia" w:ascii="宋体" w:hAnsi="宋体" w:cs="宋体"/>
          <w:b/>
          <w:kern w:val="0"/>
          <w:sz w:val="24"/>
          <w:highlight w:val="none"/>
        </w:rPr>
        <w:t>：</w:t>
      </w:r>
    </w:p>
    <w:p w14:paraId="76231E28">
      <w:pPr>
        <w:ind w:firstLine="486" w:firstLineChars="200"/>
        <w:rPr>
          <w:rFonts w:ascii="宋体" w:hAnsi="宋体" w:cs="宋体"/>
          <w:sz w:val="24"/>
          <w:highlight w:val="none"/>
        </w:rPr>
      </w:pPr>
      <w:r>
        <w:rPr>
          <w:rFonts w:hint="eastAsia" w:ascii="宋体" w:hAnsi="宋体" w:cs="宋体"/>
          <w:kern w:val="0"/>
          <w:sz w:val="24"/>
          <w:highlight w:val="none"/>
        </w:rPr>
        <w:t>我公司自愿参与贵中心组织的</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single"/>
        </w:rPr>
        <w:t xml:space="preserve"> </w:t>
      </w:r>
      <w:r>
        <w:rPr>
          <w:rFonts w:hint="eastAsia" w:ascii="宋体" w:hAnsi="宋体" w:cs="宋体"/>
          <w:b w:val="0"/>
          <w:bCs/>
          <w:kern w:val="0"/>
          <w:sz w:val="24"/>
          <w:highlight w:val="none"/>
          <w:u w:val="single"/>
          <w:lang w:val="en-US" w:eastAsia="zh-CN"/>
        </w:rPr>
        <w:t xml:space="preserve">  </w:t>
      </w:r>
      <w:r>
        <w:rPr>
          <w:rFonts w:hint="eastAsia" w:ascii="宋体" w:hAnsi="宋体" w:cs="宋体"/>
          <w:b w:val="0"/>
          <w:bCs/>
          <w:kern w:val="0"/>
          <w:sz w:val="24"/>
          <w:highlight w:val="none"/>
          <w:u w:val="single"/>
        </w:rPr>
        <w:t>项目（</w:t>
      </w:r>
      <w:r>
        <w:rPr>
          <w:rFonts w:hint="eastAsia" w:ascii="宋体" w:hAnsi="宋体" w:cs="宋体"/>
          <w:b w:val="0"/>
          <w:bCs/>
          <w:kern w:val="0"/>
          <w:sz w:val="24"/>
          <w:highlight w:val="none"/>
          <w:u w:val="single"/>
          <w:lang w:val="en-US" w:eastAsia="zh-CN"/>
        </w:rPr>
        <w:t>项目</w:t>
      </w:r>
      <w:r>
        <w:rPr>
          <w:rFonts w:hint="eastAsia" w:ascii="宋体" w:hAnsi="宋体" w:cs="宋体"/>
          <w:b w:val="0"/>
          <w:bCs/>
          <w:kern w:val="0"/>
          <w:sz w:val="24"/>
          <w:highlight w:val="none"/>
          <w:u w:val="single"/>
        </w:rPr>
        <w:t>编号：      ）</w:t>
      </w:r>
      <w:r>
        <w:rPr>
          <w:rFonts w:hint="eastAsia" w:ascii="宋体" w:hAnsi="宋体" w:cs="宋体"/>
          <w:kern w:val="0"/>
          <w:sz w:val="24"/>
          <w:highlight w:val="none"/>
        </w:rPr>
        <w:t>采购活动，严格遵守《中华人民共和国</w:t>
      </w:r>
      <w:r>
        <w:rPr>
          <w:rFonts w:hint="eastAsia" w:ascii="宋体" w:hAnsi="宋体" w:cs="宋体"/>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5A28350F">
      <w:pPr>
        <w:spacing w:line="288" w:lineRule="auto"/>
        <w:ind w:firstLine="486" w:firstLineChars="200"/>
        <w:rPr>
          <w:rFonts w:ascii="宋体" w:hAnsi="宋体" w:cs="宋体"/>
          <w:sz w:val="24"/>
          <w:highlight w:val="none"/>
        </w:rPr>
      </w:pPr>
      <w:r>
        <w:rPr>
          <w:rFonts w:hint="eastAsia" w:ascii="宋体" w:hAnsi="宋体" w:cs="宋体"/>
          <w:sz w:val="24"/>
          <w:highlight w:val="none"/>
        </w:rPr>
        <w:t>（一）提供虚假材料谋取中标的；</w:t>
      </w:r>
    </w:p>
    <w:p w14:paraId="479EC3C5">
      <w:pPr>
        <w:spacing w:line="288" w:lineRule="auto"/>
        <w:ind w:firstLine="486" w:firstLineChars="200"/>
        <w:rPr>
          <w:rFonts w:ascii="宋体" w:hAnsi="宋体" w:cs="宋体"/>
          <w:sz w:val="24"/>
          <w:highlight w:val="none"/>
        </w:rPr>
      </w:pPr>
      <w:r>
        <w:rPr>
          <w:rFonts w:hint="eastAsia" w:ascii="宋体" w:hAnsi="宋体" w:cs="宋体"/>
          <w:sz w:val="24"/>
          <w:highlight w:val="none"/>
        </w:rPr>
        <w:t>（二）采取不正当手段诋毁、排挤</w:t>
      </w:r>
      <w:r>
        <w:rPr>
          <w:highlight w:val="none"/>
        </w:rPr>
        <w:fldChar w:fldCharType="begin"/>
      </w:r>
      <w:r>
        <w:rPr>
          <w:highlight w:val="none"/>
        </w:rPr>
        <w:instrText xml:space="preserve"> HYPERLINK "http://www.oh100.com/qita/" \t "_blank" </w:instrText>
      </w:r>
      <w:r>
        <w:rPr>
          <w:highlight w:val="none"/>
        </w:rPr>
        <w:fldChar w:fldCharType="separate"/>
      </w:r>
      <w:r>
        <w:rPr>
          <w:rStyle w:val="34"/>
          <w:rFonts w:hint="eastAsia" w:ascii="宋体" w:hAnsi="宋体" w:cs="宋体"/>
          <w:color w:val="auto"/>
          <w:sz w:val="24"/>
          <w:highlight w:val="none"/>
        </w:rPr>
        <w:t>其他</w:t>
      </w:r>
      <w:r>
        <w:rPr>
          <w:rStyle w:val="34"/>
          <w:rFonts w:hint="eastAsia" w:ascii="宋体" w:hAnsi="宋体" w:cs="宋体"/>
          <w:color w:val="auto"/>
          <w:sz w:val="24"/>
          <w:highlight w:val="none"/>
        </w:rPr>
        <w:fldChar w:fldCharType="end"/>
      </w:r>
      <w:r>
        <w:rPr>
          <w:rFonts w:hint="eastAsia" w:ascii="宋体" w:hAnsi="宋体" w:cs="宋体"/>
          <w:sz w:val="24"/>
          <w:highlight w:val="none"/>
        </w:rPr>
        <w:t>供应商的；</w:t>
      </w:r>
    </w:p>
    <w:p w14:paraId="01615335">
      <w:pPr>
        <w:spacing w:line="288" w:lineRule="auto"/>
        <w:ind w:firstLine="486" w:firstLineChars="200"/>
        <w:rPr>
          <w:rFonts w:ascii="宋体" w:hAnsi="宋体" w:cs="宋体"/>
          <w:sz w:val="24"/>
          <w:highlight w:val="none"/>
        </w:rPr>
      </w:pPr>
      <w:r>
        <w:rPr>
          <w:rFonts w:hint="eastAsia" w:ascii="宋体" w:hAnsi="宋体" w:cs="宋体"/>
          <w:sz w:val="24"/>
          <w:highlight w:val="none"/>
        </w:rPr>
        <w:t>（三）与招标采购单位、其他投标人恶意串通的；</w:t>
      </w:r>
    </w:p>
    <w:p w14:paraId="4013B4B7">
      <w:pPr>
        <w:spacing w:line="288" w:lineRule="auto"/>
        <w:ind w:firstLine="486" w:firstLineChars="200"/>
        <w:rPr>
          <w:rFonts w:ascii="宋体" w:hAnsi="宋体" w:cs="宋体"/>
          <w:sz w:val="24"/>
          <w:highlight w:val="none"/>
        </w:rPr>
      </w:pPr>
      <w:r>
        <w:rPr>
          <w:rFonts w:hint="eastAsia" w:ascii="宋体" w:hAnsi="宋体" w:cs="宋体"/>
          <w:sz w:val="24"/>
          <w:highlight w:val="none"/>
        </w:rPr>
        <w:t>（四）向招标采购单位行贿或提供其他不正当利益的；</w:t>
      </w:r>
    </w:p>
    <w:p w14:paraId="7BEE8F7E">
      <w:pPr>
        <w:spacing w:line="288" w:lineRule="auto"/>
        <w:ind w:firstLine="486" w:firstLineChars="200"/>
        <w:rPr>
          <w:rFonts w:ascii="宋体" w:hAnsi="宋体" w:cs="宋体"/>
          <w:sz w:val="24"/>
          <w:highlight w:val="none"/>
        </w:rPr>
      </w:pPr>
      <w:r>
        <w:rPr>
          <w:rFonts w:hint="eastAsia" w:ascii="宋体" w:hAnsi="宋体" w:cs="宋体"/>
          <w:sz w:val="24"/>
          <w:highlight w:val="none"/>
        </w:rPr>
        <w:t>（五）在招标过程中与招标采购单位进行协商谈判、不按照招标文件和投标文件订立合同，或者与采购人另立背离合同实质性内容协议的；</w:t>
      </w:r>
    </w:p>
    <w:p w14:paraId="4DF236A1">
      <w:pPr>
        <w:spacing w:line="288" w:lineRule="auto"/>
        <w:ind w:firstLine="607" w:firstLineChars="250"/>
        <w:rPr>
          <w:rFonts w:ascii="宋体" w:hAnsi="宋体" w:cs="宋体"/>
          <w:sz w:val="24"/>
          <w:highlight w:val="none"/>
        </w:rPr>
      </w:pPr>
      <w:r>
        <w:rPr>
          <w:rFonts w:hint="eastAsia" w:ascii="宋体" w:hAnsi="宋体" w:cs="宋体"/>
          <w:sz w:val="24"/>
          <w:highlight w:val="none"/>
        </w:rPr>
        <w:t>（六）中标后无正当理由，在规定时间内不与采购单位签订合同的；</w:t>
      </w:r>
    </w:p>
    <w:p w14:paraId="10903B93">
      <w:pPr>
        <w:spacing w:line="288" w:lineRule="auto"/>
        <w:ind w:firstLine="607" w:firstLineChars="250"/>
        <w:rPr>
          <w:rFonts w:ascii="宋体" w:hAnsi="宋体" w:cs="宋体"/>
          <w:sz w:val="24"/>
          <w:highlight w:val="none"/>
        </w:rPr>
      </w:pPr>
      <w:r>
        <w:rPr>
          <w:rFonts w:hint="eastAsia" w:ascii="宋体" w:hAnsi="宋体" w:cs="宋体"/>
          <w:sz w:val="24"/>
          <w:highlight w:val="none"/>
        </w:rPr>
        <w:t>（七）将中标项目转让给他人或非法分包他人的；</w:t>
      </w:r>
    </w:p>
    <w:p w14:paraId="4B3A1661">
      <w:pPr>
        <w:spacing w:line="288" w:lineRule="auto"/>
        <w:ind w:firstLine="607" w:firstLineChars="250"/>
        <w:rPr>
          <w:rFonts w:ascii="宋体" w:hAnsi="宋体" w:cs="宋体"/>
          <w:sz w:val="24"/>
          <w:highlight w:val="none"/>
        </w:rPr>
      </w:pPr>
      <w:r>
        <w:rPr>
          <w:rFonts w:hint="eastAsia" w:ascii="宋体" w:hAnsi="宋体" w:cs="宋体"/>
          <w:sz w:val="24"/>
          <w:highlight w:val="none"/>
        </w:rPr>
        <w:t>（八）无正当理由，拒绝履行合同义务的；</w:t>
      </w:r>
    </w:p>
    <w:p w14:paraId="1B2AEA46">
      <w:pPr>
        <w:spacing w:line="288" w:lineRule="auto"/>
        <w:ind w:firstLine="607" w:firstLineChars="250"/>
        <w:rPr>
          <w:rFonts w:ascii="宋体" w:hAnsi="宋体" w:cs="宋体"/>
          <w:sz w:val="24"/>
          <w:highlight w:val="none"/>
        </w:rPr>
      </w:pPr>
      <w:r>
        <w:rPr>
          <w:rFonts w:hint="eastAsia" w:ascii="宋体" w:hAnsi="宋体" w:cs="宋体"/>
          <w:sz w:val="24"/>
          <w:highlight w:val="none"/>
        </w:rPr>
        <w:t>（九）无正当理由放弃中标（成交）项目的；</w:t>
      </w:r>
    </w:p>
    <w:p w14:paraId="47C65328">
      <w:pPr>
        <w:spacing w:line="288" w:lineRule="auto"/>
        <w:ind w:firstLine="607" w:firstLineChars="250"/>
        <w:rPr>
          <w:rFonts w:ascii="宋体" w:hAnsi="宋体" w:cs="宋体"/>
          <w:sz w:val="24"/>
          <w:highlight w:val="none"/>
        </w:rPr>
      </w:pPr>
      <w:r>
        <w:rPr>
          <w:rFonts w:hint="eastAsia" w:ascii="宋体" w:hAnsi="宋体" w:cs="宋体"/>
          <w:sz w:val="24"/>
          <w:highlight w:val="none"/>
        </w:rPr>
        <w:t>（十）擅自或与采购人串通或接受采购人要求，在履约合同中通过减少货物数量，更换品牌、降低配置、技术要求、质量和服务标准等，却仍按原合同进行虚假验收或终止政府采购合同的；</w:t>
      </w:r>
    </w:p>
    <w:p w14:paraId="3DA89366">
      <w:pPr>
        <w:spacing w:line="288" w:lineRule="auto"/>
        <w:ind w:firstLine="486" w:firstLineChars="200"/>
        <w:rPr>
          <w:rFonts w:ascii="宋体" w:hAnsi="宋体" w:cs="宋体"/>
          <w:sz w:val="24"/>
          <w:highlight w:val="none"/>
        </w:rPr>
      </w:pPr>
      <w:r>
        <w:rPr>
          <w:rFonts w:hint="eastAsia" w:ascii="宋体" w:hAnsi="宋体" w:cs="宋体"/>
          <w:sz w:val="24"/>
          <w:highlight w:val="none"/>
        </w:rPr>
        <w:t>（十一）与采购人串通，对尚未履约完毕的采购项目出具虚假验收报告的；</w:t>
      </w:r>
    </w:p>
    <w:p w14:paraId="2F1ED437">
      <w:pPr>
        <w:spacing w:line="288" w:lineRule="auto"/>
        <w:ind w:firstLine="486" w:firstLineChars="200"/>
        <w:rPr>
          <w:rFonts w:ascii="宋体" w:hAnsi="宋体" w:cs="宋体"/>
          <w:sz w:val="24"/>
          <w:highlight w:val="none"/>
        </w:rPr>
      </w:pPr>
      <w:r>
        <w:rPr>
          <w:rFonts w:hint="eastAsia" w:ascii="宋体" w:hAnsi="宋体" w:cs="宋体"/>
          <w:sz w:val="24"/>
          <w:highlight w:val="none"/>
        </w:rPr>
        <w:t>（十二）无不可抗力因素，拒绝提供售后服务、售后服务态度恶劣、故意提高维修配件价格（高于市场平均价）的；</w:t>
      </w:r>
    </w:p>
    <w:p w14:paraId="53DAE246">
      <w:pPr>
        <w:spacing w:line="288" w:lineRule="auto"/>
        <w:ind w:firstLine="486" w:firstLineChars="200"/>
        <w:rPr>
          <w:rFonts w:ascii="宋体" w:hAnsi="宋体" w:cs="宋体"/>
          <w:sz w:val="24"/>
          <w:highlight w:val="none"/>
        </w:rPr>
      </w:pPr>
      <w:r>
        <w:rPr>
          <w:rFonts w:hint="eastAsia" w:ascii="宋体" w:hAnsi="宋体" w:cs="宋体"/>
          <w:sz w:val="24"/>
          <w:highlight w:val="none"/>
        </w:rPr>
        <w:t>（十三）开标后对招标文件的相关内容再进行质疑的；</w:t>
      </w:r>
    </w:p>
    <w:p w14:paraId="1D4283FB">
      <w:pPr>
        <w:spacing w:line="288" w:lineRule="auto"/>
        <w:ind w:firstLine="486" w:firstLineChars="200"/>
        <w:rPr>
          <w:rFonts w:ascii="宋体" w:hAnsi="宋体" w:cs="宋体"/>
          <w:sz w:val="24"/>
          <w:highlight w:val="none"/>
        </w:rPr>
      </w:pPr>
      <w:r>
        <w:rPr>
          <w:rFonts w:hint="eastAsia" w:ascii="宋体" w:hAnsi="宋体" w:cs="宋体"/>
          <w:sz w:val="24"/>
          <w:highlight w:val="none"/>
        </w:rPr>
        <w:t>（十四）恶意投诉的行为：投诉经查无实据的、捏造事实或者提供虚假投诉材料的；</w:t>
      </w:r>
    </w:p>
    <w:p w14:paraId="357A64F9">
      <w:pPr>
        <w:spacing w:line="288" w:lineRule="auto"/>
        <w:ind w:firstLine="486" w:firstLineChars="200"/>
        <w:rPr>
          <w:rFonts w:ascii="宋体" w:hAnsi="宋体" w:cs="宋体"/>
          <w:sz w:val="24"/>
          <w:highlight w:val="none"/>
        </w:rPr>
      </w:pPr>
      <w:r>
        <w:rPr>
          <w:rFonts w:hint="eastAsia" w:ascii="宋体" w:hAnsi="宋体" w:cs="宋体"/>
          <w:sz w:val="24"/>
          <w:highlight w:val="none"/>
        </w:rPr>
        <w:t>（十五）拒绝有关部门监督检查或者提供虚假情况的；</w:t>
      </w:r>
    </w:p>
    <w:p w14:paraId="37505B56">
      <w:pPr>
        <w:spacing w:line="288" w:lineRule="auto"/>
        <w:ind w:firstLine="486" w:firstLineChars="200"/>
        <w:rPr>
          <w:rFonts w:ascii="宋体" w:hAnsi="宋体" w:cs="宋体"/>
          <w:sz w:val="24"/>
          <w:highlight w:val="none"/>
        </w:rPr>
      </w:pPr>
      <w:r>
        <w:rPr>
          <w:rFonts w:hint="eastAsia" w:ascii="宋体" w:hAnsi="宋体" w:cs="宋体"/>
          <w:sz w:val="24"/>
          <w:highlight w:val="none"/>
        </w:rPr>
        <w:t>（十六）财政、监察部门认定的其他不诚信行为。</w:t>
      </w:r>
    </w:p>
    <w:p w14:paraId="21415279">
      <w:pPr>
        <w:spacing w:line="288" w:lineRule="auto"/>
        <w:ind w:firstLine="486" w:firstLineChars="200"/>
        <w:rPr>
          <w:rFonts w:ascii="宋体" w:hAnsi="宋体" w:cs="宋体"/>
          <w:sz w:val="24"/>
          <w:highlight w:val="none"/>
        </w:rPr>
      </w:pPr>
      <w:r>
        <w:rPr>
          <w:rFonts w:hint="eastAsia" w:ascii="宋体" w:hAnsi="宋体" w:cs="宋体"/>
          <w:sz w:val="24"/>
          <w:highlight w:val="none"/>
        </w:rPr>
        <w:t>（十七）招标文件规定的其他不诚信行为。</w:t>
      </w:r>
    </w:p>
    <w:p w14:paraId="420CC5DB">
      <w:pPr>
        <w:spacing w:line="288" w:lineRule="auto"/>
        <w:ind w:firstLine="5832" w:firstLineChars="2400"/>
        <w:rPr>
          <w:rFonts w:hint="eastAsia" w:ascii="宋体" w:hAnsi="宋体" w:cs="宋体"/>
          <w:sz w:val="24"/>
          <w:highlight w:val="none"/>
          <w:lang w:eastAsia="zh-CN"/>
        </w:rPr>
      </w:pPr>
      <w:r>
        <w:rPr>
          <w:rFonts w:hint="eastAsia" w:ascii="宋体" w:hAnsi="宋体" w:cs="宋体"/>
          <w:sz w:val="24"/>
          <w:highlight w:val="none"/>
        </w:rPr>
        <w:t>投标人名称（公章）</w:t>
      </w:r>
      <w:r>
        <w:rPr>
          <w:rFonts w:hint="eastAsia" w:ascii="宋体" w:hAnsi="宋体" w:cs="宋体"/>
          <w:sz w:val="24"/>
          <w:highlight w:val="none"/>
          <w:lang w:eastAsia="zh-CN"/>
        </w:rPr>
        <w:t>：</w:t>
      </w:r>
    </w:p>
    <w:p w14:paraId="79E9F652">
      <w:pPr>
        <w:spacing w:line="288" w:lineRule="auto"/>
        <w:ind w:firstLine="5832" w:firstLineChars="2400"/>
        <w:rPr>
          <w:rFonts w:ascii="宋体" w:hAnsi="宋体" w:cs="宋体"/>
          <w:b/>
          <w:sz w:val="24"/>
          <w:highlight w:val="none"/>
        </w:rPr>
      </w:pPr>
      <w:r>
        <w:rPr>
          <w:rFonts w:hint="eastAsia" w:ascii="宋体" w:hAnsi="宋体" w:cs="宋体"/>
          <w:sz w:val="24"/>
          <w:highlight w:val="none"/>
        </w:rPr>
        <w:t>年 月 日</w:t>
      </w:r>
    </w:p>
    <w:p w14:paraId="53E47047">
      <w:pPr>
        <w:snapToGrid w:val="0"/>
        <w:spacing w:before="50" w:after="156" w:afterLines="50" w:line="360" w:lineRule="auto"/>
        <w:jc w:val="left"/>
        <w:rPr>
          <w:rFonts w:ascii="宋体" w:hAnsi="宋体" w:cs="宋体"/>
          <w:b/>
          <w:sz w:val="24"/>
          <w:highlight w:val="none"/>
        </w:rPr>
      </w:pPr>
    </w:p>
    <w:p w14:paraId="7B62E9F4">
      <w:pPr>
        <w:snapToGrid w:val="0"/>
        <w:spacing w:line="360" w:lineRule="auto"/>
        <w:ind w:right="480"/>
        <w:rPr>
          <w:rFonts w:hint="default" w:ascii="宋体" w:hAnsi="宋体" w:eastAsia="宋体" w:cs="宋体"/>
          <w:b/>
          <w:bCs/>
          <w:sz w:val="24"/>
          <w:highlight w:val="none"/>
          <w:lang w:val="en-US" w:eastAsia="zh-CN"/>
        </w:rPr>
      </w:pPr>
    </w:p>
    <w:p w14:paraId="76ADC370">
      <w:pPr>
        <w:snapToGrid w:val="0"/>
        <w:spacing w:line="360" w:lineRule="auto"/>
        <w:ind w:right="480"/>
        <w:rPr>
          <w:rFonts w:hint="eastAsia" w:ascii="宋体" w:hAnsi="宋体" w:cs="宋体"/>
          <w:b/>
          <w:bCs/>
          <w:sz w:val="24"/>
          <w:highlight w:val="none"/>
        </w:rPr>
      </w:pPr>
    </w:p>
    <w:p w14:paraId="6E778D0C">
      <w:pPr>
        <w:snapToGrid w:val="0"/>
        <w:spacing w:line="360" w:lineRule="auto"/>
        <w:ind w:right="480"/>
        <w:rPr>
          <w:rFonts w:hint="eastAsia" w:ascii="宋体" w:hAnsi="宋体" w:cs="宋体"/>
          <w:sz w:val="24"/>
          <w:highlight w:val="none"/>
        </w:rPr>
      </w:pPr>
      <w:r>
        <w:rPr>
          <w:rFonts w:hint="eastAsia" w:ascii="宋体" w:hAnsi="宋体" w:cs="宋体"/>
          <w:b/>
          <w:bCs/>
          <w:sz w:val="24"/>
          <w:highlight w:val="none"/>
        </w:rPr>
        <w:t>附件</w:t>
      </w:r>
      <w:r>
        <w:rPr>
          <w:rFonts w:hint="eastAsia" w:ascii="宋体" w:hAnsi="宋体" w:cs="宋体"/>
          <w:b/>
          <w:bCs/>
          <w:sz w:val="24"/>
          <w:highlight w:val="none"/>
          <w:lang w:val="en-US" w:eastAsia="zh-CN"/>
        </w:rPr>
        <w:t>5</w:t>
      </w:r>
      <w:r>
        <w:rPr>
          <w:rFonts w:hint="eastAsia" w:ascii="宋体" w:hAnsi="宋体" w:cs="宋体"/>
          <w:b/>
          <w:bCs/>
          <w:sz w:val="24"/>
          <w:highlight w:val="none"/>
        </w:rPr>
        <w:t>：符合参加政府采购活动应当具备的一般条件的承诺函</w:t>
      </w:r>
    </w:p>
    <w:p w14:paraId="278AD616">
      <w:pPr>
        <w:snapToGrid w:val="0"/>
        <w:spacing w:line="360" w:lineRule="auto"/>
        <w:ind w:right="480"/>
        <w:jc w:val="center"/>
        <w:rPr>
          <w:rFonts w:hint="eastAsia" w:ascii="宋体" w:hAnsi="宋体" w:cs="宋体"/>
          <w:b/>
          <w:kern w:val="0"/>
          <w:sz w:val="32"/>
          <w:szCs w:val="32"/>
          <w:highlight w:val="none"/>
        </w:rPr>
      </w:pPr>
    </w:p>
    <w:p w14:paraId="2FFFCD25">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 xml:space="preserve">  </w:t>
      </w:r>
      <w:r>
        <w:rPr>
          <w:rFonts w:hint="eastAsia" w:ascii="宋体" w:hAnsi="宋体" w:cs="宋体"/>
          <w:b/>
          <w:kern w:val="0"/>
          <w:sz w:val="32"/>
          <w:szCs w:val="32"/>
          <w:highlight w:val="none"/>
        </w:rPr>
        <w:t>符合参加政府采购活动应当具备的一般条件的承诺函</w:t>
      </w:r>
    </w:p>
    <w:p w14:paraId="4C86B664">
      <w:pPr>
        <w:snapToGrid w:val="0"/>
        <w:spacing w:line="360" w:lineRule="auto"/>
        <w:rPr>
          <w:rFonts w:ascii="宋体" w:hAnsi="宋体" w:cs="宋体"/>
          <w:sz w:val="24"/>
          <w:highlight w:val="none"/>
        </w:rPr>
      </w:pPr>
      <w:r>
        <w:rPr>
          <w:rFonts w:hint="eastAsia" w:ascii="宋体" w:hAnsi="宋体" w:cs="仿宋_GB2312"/>
          <w:sz w:val="24"/>
          <w:highlight w:val="none"/>
          <w:u w:val="single"/>
        </w:rPr>
        <w:t>（采购人）、（采购代理机构）</w:t>
      </w:r>
      <w:r>
        <w:rPr>
          <w:rFonts w:hint="eastAsia" w:ascii="宋体" w:hAnsi="宋体" w:cs="宋体"/>
          <w:sz w:val="24"/>
          <w:highlight w:val="none"/>
        </w:rPr>
        <w:t>：</w:t>
      </w:r>
    </w:p>
    <w:p w14:paraId="4F308FD5">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仿宋_GB2312"/>
          <w:sz w:val="24"/>
          <w:highlight w:val="none"/>
          <w:u w:val="single"/>
        </w:rPr>
        <w:t>（项目名称）</w:t>
      </w:r>
      <w:r>
        <w:rPr>
          <w:rFonts w:hint="eastAsia" w:ascii="宋体" w:hAnsi="宋体" w:cs="仿宋_GB2312"/>
          <w:kern w:val="0"/>
          <w:sz w:val="24"/>
          <w:highlight w:val="none"/>
          <w:lang w:val="zh-CN"/>
        </w:rPr>
        <w:t>【项目编号：</w:t>
      </w:r>
      <w:r>
        <w:rPr>
          <w:rFonts w:hint="eastAsia" w:ascii="宋体" w:hAnsi="宋体" w:cs="仿宋_GB2312"/>
          <w:kern w:val="0"/>
          <w:sz w:val="24"/>
          <w:highlight w:val="none"/>
          <w:u w:val="single"/>
          <w:lang w:val="en-US" w:eastAsia="zh-CN"/>
        </w:rPr>
        <w:t xml:space="preserve">         </w:t>
      </w:r>
      <w:r>
        <w:rPr>
          <w:rFonts w:hint="eastAsia" w:ascii="宋体" w:hAnsi="宋体" w:cs="仿宋_GB2312"/>
          <w:kern w:val="0"/>
          <w:sz w:val="24"/>
          <w:highlight w:val="none"/>
          <w:lang w:val="zh-CN"/>
        </w:rPr>
        <w:t>】</w:t>
      </w:r>
      <w:r>
        <w:rPr>
          <w:rFonts w:hint="eastAsia" w:ascii="宋体" w:hAnsi="宋体" w:cs="宋体"/>
          <w:sz w:val="24"/>
          <w:highlight w:val="none"/>
        </w:rPr>
        <w:t>政府采购活动，郑重承诺：</w:t>
      </w:r>
    </w:p>
    <w:p w14:paraId="6A63B5EA">
      <w:pPr>
        <w:snapToGrid w:val="0"/>
        <w:spacing w:line="360" w:lineRule="auto"/>
        <w:ind w:firstLine="364"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3D5EB0BF">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1、具有独立承担民事责任的能力；</w:t>
      </w:r>
    </w:p>
    <w:p w14:paraId="22A6984E">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462E2B71">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7BF22C8">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2A0BEE95">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6E4D9081">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531C5BF">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w:t>
      </w:r>
      <w:r>
        <w:rPr>
          <w:rFonts w:hint="eastAsia" w:ascii="宋体" w:hAnsi="宋体" w:cs="宋体"/>
          <w:sz w:val="24"/>
          <w:highlight w:val="none"/>
          <w:lang w:eastAsia="zh-CN"/>
        </w:rPr>
        <w:t>重大税收违法失信主体</w:t>
      </w:r>
      <w:r>
        <w:rPr>
          <w:rFonts w:hint="eastAsia" w:ascii="宋体" w:hAnsi="宋体" w:cs="宋体"/>
          <w:sz w:val="24"/>
          <w:highlight w:val="none"/>
        </w:rPr>
        <w:t>。</w:t>
      </w:r>
    </w:p>
    <w:p w14:paraId="35B3784D">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（三）不存在以下情况：</w:t>
      </w:r>
    </w:p>
    <w:p w14:paraId="7E74D0AB">
      <w:pPr>
        <w:snapToGrid w:val="0"/>
        <w:spacing w:line="360" w:lineRule="auto"/>
        <w:ind w:firstLine="486"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0E8F5C8A">
      <w:pPr>
        <w:pStyle w:val="2"/>
        <w:rPr>
          <w:rFonts w:hint="eastAsia" w:ascii="宋体" w:hAnsi="宋体" w:cs="宋体"/>
          <w:sz w:val="24"/>
          <w:highlight w:val="none"/>
        </w:rPr>
      </w:pPr>
    </w:p>
    <w:p w14:paraId="2F66BBB6">
      <w:pPr>
        <w:pStyle w:val="2"/>
        <w:rPr>
          <w:rFonts w:hint="eastAsia" w:ascii="宋体" w:hAnsi="宋体" w:cs="宋体"/>
          <w:sz w:val="24"/>
          <w:highlight w:val="none"/>
        </w:rPr>
      </w:pPr>
    </w:p>
    <w:p w14:paraId="5F316925">
      <w:pPr>
        <w:pStyle w:val="2"/>
        <w:rPr>
          <w:rFonts w:hint="eastAsia" w:ascii="宋体" w:hAnsi="宋体" w:cs="宋体"/>
          <w:sz w:val="24"/>
          <w:highlight w:val="none"/>
        </w:rPr>
      </w:pPr>
    </w:p>
    <w:p w14:paraId="6EAA59F0">
      <w:pPr>
        <w:snapToGrid w:val="0"/>
        <w:spacing w:line="360" w:lineRule="auto"/>
        <w:ind w:firstLine="5589" w:firstLineChars="2300"/>
        <w:rPr>
          <w:rFonts w:ascii="宋体" w:hAnsi="宋体" w:cs="宋体"/>
          <w:kern w:val="0"/>
          <w:sz w:val="24"/>
          <w:highlight w:val="none"/>
        </w:rPr>
      </w:pPr>
      <w:r>
        <w:rPr>
          <w:rFonts w:hint="eastAsia" w:ascii="宋体" w:hAnsi="宋体" w:cs="宋体"/>
          <w:sz w:val="24"/>
          <w:highlight w:val="none"/>
        </w:rPr>
        <w:t>投标人名称（公章）</w:t>
      </w:r>
      <w:r>
        <w:rPr>
          <w:rFonts w:hint="eastAsia" w:ascii="宋体" w:hAnsi="宋体" w:cs="宋体"/>
          <w:kern w:val="0"/>
          <w:sz w:val="24"/>
          <w:highlight w:val="none"/>
          <w:lang w:val="zh-CN"/>
        </w:rPr>
        <w:t>：</w:t>
      </w:r>
    </w:p>
    <w:p w14:paraId="04BC2FA4">
      <w:pPr>
        <w:widowControl/>
        <w:snapToGrid w:val="0"/>
        <w:spacing w:line="360" w:lineRule="auto"/>
        <w:ind w:firstLine="486" w:firstLineChars="200"/>
        <w:jc w:val="left"/>
        <w:rPr>
          <w:rFonts w:hint="eastAsia"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D0717E2">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C1F97DC">
      <w:pPr>
        <w:snapToGrid w:val="0"/>
        <w:spacing w:line="360" w:lineRule="auto"/>
        <w:ind w:firstLine="5589" w:firstLineChars="2300"/>
        <w:rPr>
          <w:rFonts w:ascii="宋体" w:hAnsi="宋体" w:cs="宋体"/>
          <w:sz w:val="24"/>
          <w:highlight w:val="none"/>
        </w:rPr>
      </w:pPr>
    </w:p>
    <w:p w14:paraId="3EC1B4D1">
      <w:pPr>
        <w:snapToGrid w:val="0"/>
        <w:spacing w:line="360" w:lineRule="auto"/>
        <w:ind w:firstLine="5589" w:firstLineChars="2300"/>
        <w:rPr>
          <w:rFonts w:hint="eastAsia" w:ascii="宋体" w:hAnsi="宋体" w:cs="宋体"/>
          <w:sz w:val="24"/>
          <w:highlight w:val="none"/>
        </w:rPr>
      </w:pPr>
    </w:p>
    <w:p w14:paraId="655CEE5F">
      <w:pPr>
        <w:snapToGrid w:val="0"/>
        <w:spacing w:line="360" w:lineRule="auto"/>
        <w:ind w:firstLine="5589" w:firstLineChars="2300"/>
        <w:rPr>
          <w:rFonts w:hint="eastAsia" w:ascii="宋体" w:hAnsi="宋体" w:cs="宋体"/>
          <w:sz w:val="24"/>
          <w:highlight w:val="none"/>
        </w:rPr>
      </w:pPr>
    </w:p>
    <w:p w14:paraId="1E91D378">
      <w:pPr>
        <w:snapToGrid w:val="0"/>
        <w:spacing w:line="360" w:lineRule="auto"/>
        <w:ind w:firstLine="5589" w:firstLineChars="2300"/>
        <w:rPr>
          <w:rFonts w:hint="eastAsia" w:ascii="宋体" w:hAnsi="宋体" w:cs="宋体"/>
          <w:sz w:val="24"/>
          <w:highlight w:val="none"/>
        </w:rPr>
      </w:pPr>
    </w:p>
    <w:p w14:paraId="6C95EB1A">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05BFF1DD">
      <w:pPr>
        <w:pStyle w:val="4"/>
        <w:rPr>
          <w:rFonts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：投标声明书格式：</w:t>
      </w:r>
    </w:p>
    <w:p w14:paraId="28367F15">
      <w:pPr>
        <w:snapToGrid w:val="0"/>
        <w:spacing w:before="120" w:beforeLines="50" w:after="50" w:line="360" w:lineRule="auto"/>
        <w:jc w:val="center"/>
        <w:rPr>
          <w:rFonts w:ascii="宋体" w:hAnsi="宋体" w:cs="宋体"/>
          <w:sz w:val="24"/>
          <w:szCs w:val="20"/>
          <w:highlight w:val="none"/>
        </w:rPr>
      </w:pPr>
      <w:r>
        <w:rPr>
          <w:rFonts w:hint="eastAsia" w:ascii="宋体" w:hAnsi="宋体" w:cs="宋体"/>
          <w:b/>
          <w:bCs/>
          <w:sz w:val="30"/>
          <w:highlight w:val="none"/>
        </w:rPr>
        <w:t>投标声明书</w:t>
      </w:r>
    </w:p>
    <w:p w14:paraId="7B6E3677">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致：</w:t>
      </w:r>
      <w:r>
        <w:rPr>
          <w:rFonts w:hint="eastAsia" w:ascii="宋体" w:hAnsi="宋体" w:cs="仿宋_GB2312"/>
          <w:sz w:val="24"/>
          <w:highlight w:val="none"/>
          <w:u w:val="single"/>
        </w:rPr>
        <w:t>（采购人）、（采购代理机构）</w:t>
      </w:r>
      <w:r>
        <w:rPr>
          <w:rFonts w:hint="eastAsia" w:ascii="宋体" w:hAnsi="宋体" w:cs="宋体"/>
          <w:sz w:val="24"/>
          <w:highlight w:val="none"/>
        </w:rPr>
        <w:t>：</w:t>
      </w:r>
    </w:p>
    <w:p w14:paraId="4568244B">
      <w:pPr>
        <w:snapToGrid w:val="0"/>
        <w:spacing w:before="120" w:beforeLines="50" w:after="50" w:line="360" w:lineRule="auto"/>
        <w:ind w:firstLine="729" w:firstLineChars="300"/>
        <w:rPr>
          <w:rFonts w:ascii="宋体" w:hAnsi="宋体" w:cs="宋体"/>
          <w:sz w:val="24"/>
          <w:szCs w:val="20"/>
          <w:highlight w:val="none"/>
        </w:rPr>
      </w:pPr>
      <w:r>
        <w:rPr>
          <w:rFonts w:hint="eastAsia" w:ascii="宋体" w:hAnsi="宋体" w:cs="宋体"/>
          <w:sz w:val="24"/>
          <w:highlight w:val="none"/>
          <w:u w:val="single"/>
        </w:rPr>
        <w:t xml:space="preserve">              </w:t>
      </w:r>
      <w:r>
        <w:rPr>
          <w:rFonts w:hint="eastAsia" w:ascii="宋体" w:hAnsi="宋体" w:cs="宋体"/>
          <w:sz w:val="24"/>
          <w:highlight w:val="none"/>
        </w:rPr>
        <w:t>（投标人名称）系中华人民共和国合法企业，经营地址</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14:paraId="630AE422">
      <w:pPr>
        <w:snapToGrid w:val="0"/>
        <w:spacing w:before="120" w:beforeLines="50" w:after="50" w:line="360" w:lineRule="auto"/>
        <w:ind w:firstLine="645"/>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（投标人名称）的法定代表人，我方愿意参加贵方组织的</w:t>
      </w:r>
      <w:r>
        <w:rPr>
          <w:rFonts w:hint="eastAsia" w:ascii="宋体" w:hAnsi="宋体" w:cs="宋体"/>
          <w:sz w:val="24"/>
          <w:highlight w:val="none"/>
          <w:u w:val="single"/>
        </w:rPr>
        <w:t xml:space="preserve">         </w:t>
      </w:r>
      <w:r>
        <w:rPr>
          <w:rFonts w:hint="eastAsia" w:ascii="宋体" w:hAnsi="宋体" w:cs="宋体"/>
          <w:sz w:val="24"/>
          <w:highlight w:val="none"/>
        </w:rPr>
        <w:t>项目的投标，为便于贵方公正、择优地确定</w:t>
      </w:r>
      <w:r>
        <w:rPr>
          <w:rFonts w:hint="eastAsia" w:ascii="宋体" w:hAnsi="宋体" w:cs="宋体"/>
          <w:sz w:val="24"/>
          <w:highlight w:val="none"/>
          <w:lang w:eastAsia="zh-CN"/>
        </w:rPr>
        <w:t>中标供应商</w:t>
      </w:r>
      <w:r>
        <w:rPr>
          <w:rFonts w:hint="eastAsia" w:ascii="宋体" w:hAnsi="宋体" w:cs="宋体"/>
          <w:sz w:val="24"/>
          <w:highlight w:val="none"/>
        </w:rPr>
        <w:t>及其投标产品和服务，我方就本次投标有关事项郑重声明如下：</w:t>
      </w:r>
    </w:p>
    <w:p w14:paraId="71EABD69">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1.我方向贵方提交的所有投标文件、资料都是准确的和真实的。</w:t>
      </w:r>
    </w:p>
    <w:p w14:paraId="3D92F633">
      <w:pPr>
        <w:snapToGrid w:val="0"/>
        <w:spacing w:before="120" w:beforeLines="50" w:line="360" w:lineRule="auto"/>
        <w:ind w:firstLine="486" w:firstLineChars="200"/>
        <w:rPr>
          <w:rFonts w:ascii="宋体" w:hAnsi="宋体" w:cs="宋体"/>
          <w:sz w:val="24"/>
          <w:highlight w:val="none"/>
        </w:rPr>
      </w:pPr>
      <w:r>
        <w:rPr>
          <w:rFonts w:hint="eastAsia" w:ascii="宋体" w:hAnsi="宋体" w:cs="宋体"/>
          <w:sz w:val="24"/>
          <w:highlight w:val="none"/>
        </w:rPr>
        <w:t>2.我方不是采购人的附属机构</w:t>
      </w:r>
    </w:p>
    <w:p w14:paraId="54968651">
      <w:pPr>
        <w:snapToGrid w:val="0"/>
        <w:spacing w:before="120" w:beforeLines="50" w:line="360" w:lineRule="auto"/>
        <w:ind w:firstLine="486" w:firstLineChars="200"/>
        <w:rPr>
          <w:rFonts w:ascii="宋体" w:hAnsi="宋体" w:cs="宋体"/>
          <w:sz w:val="24"/>
          <w:szCs w:val="20"/>
          <w:highlight w:val="none"/>
        </w:rPr>
      </w:pPr>
      <w:r>
        <w:rPr>
          <w:rFonts w:hint="eastAsia" w:ascii="宋体" w:hAnsi="宋体" w:cs="宋体"/>
          <w:sz w:val="24"/>
          <w:highlight w:val="none"/>
        </w:rPr>
        <w:t>在获知本项目采购信息后，与采购人聘请的为此项目提供咨询服务的公司及其附属机构没有任何联系。</w:t>
      </w:r>
    </w:p>
    <w:p w14:paraId="1C7A78EB">
      <w:pPr>
        <w:snapToGrid w:val="0"/>
        <w:spacing w:before="120" w:beforeLines="50" w:line="360" w:lineRule="auto"/>
        <w:ind w:firstLine="486" w:firstLineChars="200"/>
        <w:rPr>
          <w:rFonts w:ascii="宋体" w:hAnsi="宋体" w:cs="宋体"/>
          <w:sz w:val="24"/>
          <w:highlight w:val="none"/>
        </w:rPr>
      </w:pPr>
      <w:r>
        <w:rPr>
          <w:rFonts w:hint="eastAsia" w:ascii="宋体" w:hAnsi="宋体" w:cs="宋体"/>
          <w:sz w:val="24"/>
          <w:highlight w:val="none"/>
        </w:rPr>
        <w:t>3.我方此次向贵方提供的产品名称为：</w:t>
      </w:r>
    </w:p>
    <w:p w14:paraId="7833DF91">
      <w:pPr>
        <w:snapToGrid w:val="0"/>
        <w:spacing w:before="120" w:beforeLines="50" w:line="360" w:lineRule="auto"/>
        <w:ind w:firstLine="486" w:firstLineChars="200"/>
        <w:rPr>
          <w:rFonts w:ascii="宋体" w:hAnsi="宋体" w:cs="宋体"/>
          <w:sz w:val="24"/>
          <w:szCs w:val="20"/>
          <w:highlight w:val="none"/>
        </w:rPr>
      </w:pPr>
      <w:r>
        <w:rPr>
          <w:rFonts w:hint="eastAsia" w:ascii="宋体" w:hAnsi="宋体" w:cs="宋体"/>
          <w:sz w:val="24"/>
          <w:highlight w:val="none"/>
        </w:rPr>
        <w:t>4.我方诚意提请贵方关注：近期有关该</w:t>
      </w:r>
      <w:r>
        <w:rPr>
          <w:rFonts w:hint="eastAsia" w:ascii="宋体" w:hAnsi="宋体" w:cs="宋体"/>
          <w:sz w:val="24"/>
          <w:highlight w:val="none"/>
          <w:lang w:val="en-US" w:eastAsia="zh-CN"/>
        </w:rPr>
        <w:t>服务</w:t>
      </w:r>
      <w:r>
        <w:rPr>
          <w:rFonts w:hint="eastAsia" w:ascii="宋体" w:hAnsi="宋体" w:cs="宋体"/>
          <w:sz w:val="24"/>
          <w:highlight w:val="none"/>
        </w:rPr>
        <w:t>的</w:t>
      </w:r>
      <w:r>
        <w:rPr>
          <w:rFonts w:hint="eastAsia" w:ascii="宋体" w:hAnsi="宋体" w:cs="宋体"/>
          <w:sz w:val="24"/>
          <w:highlight w:val="none"/>
          <w:lang w:val="en-US" w:eastAsia="zh-CN"/>
        </w:rPr>
        <w:t>服务方案、保障制度</w:t>
      </w:r>
      <w:r>
        <w:rPr>
          <w:rFonts w:hint="eastAsia" w:ascii="宋体" w:hAnsi="宋体" w:cs="宋体"/>
          <w:sz w:val="24"/>
          <w:highlight w:val="none"/>
        </w:rPr>
        <w:t>等方面的重大决策和事项有：</w:t>
      </w:r>
    </w:p>
    <w:p w14:paraId="09EB5C90">
      <w:pPr>
        <w:snapToGrid w:val="0"/>
        <w:spacing w:before="120" w:beforeLines="50" w:line="360" w:lineRule="auto"/>
        <w:ind w:firstLine="486" w:firstLineChars="200"/>
        <w:rPr>
          <w:rFonts w:ascii="宋体" w:hAnsi="宋体" w:cs="宋体"/>
          <w:sz w:val="24"/>
          <w:szCs w:val="20"/>
          <w:highlight w:val="none"/>
          <w:u w:val="single"/>
        </w:rPr>
      </w:pPr>
      <w:r>
        <w:rPr>
          <w:rFonts w:hint="eastAsia" w:ascii="宋体" w:hAnsi="宋体" w:cs="宋体"/>
          <w:sz w:val="24"/>
          <w:highlight w:val="none"/>
          <w:u w:val="single"/>
        </w:rPr>
        <w:t>　　　　　　　　　　　　　　　　　　　　　　　　　　　</w:t>
      </w:r>
    </w:p>
    <w:p w14:paraId="41485C99">
      <w:pPr>
        <w:pStyle w:val="14"/>
        <w:snapToGrid w:val="0"/>
        <w:spacing w:line="360" w:lineRule="auto"/>
        <w:ind w:firstLine="470" w:firstLineChars="200"/>
        <w:rPr>
          <w:rFonts w:hAnsi="宋体" w:cs="宋体"/>
          <w:sz w:val="24"/>
          <w:highlight w:val="none"/>
        </w:rPr>
      </w:pPr>
      <w:r>
        <w:rPr>
          <w:rFonts w:hint="eastAsia" w:hAnsi="宋体" w:cs="宋体"/>
          <w:sz w:val="24"/>
          <w:highlight w:val="none"/>
        </w:rPr>
        <w:t>5.我方及由本人担任法定代表人的其他机构最近三年内被通报、被处罚的违法行为或者可认定为不良行为的有：</w:t>
      </w:r>
    </w:p>
    <w:p w14:paraId="649161AB">
      <w:pPr>
        <w:snapToGrid w:val="0"/>
        <w:spacing w:before="120" w:beforeLines="50" w:line="360" w:lineRule="auto"/>
        <w:ind w:firstLine="486" w:firstLineChars="200"/>
        <w:rPr>
          <w:rFonts w:ascii="宋体" w:hAnsi="宋体" w:cs="宋体"/>
          <w:sz w:val="24"/>
          <w:szCs w:val="20"/>
          <w:highlight w:val="none"/>
          <w:u w:val="single"/>
        </w:rPr>
      </w:pPr>
      <w:r>
        <w:rPr>
          <w:rFonts w:hint="eastAsia" w:ascii="宋体" w:hAnsi="宋体" w:cs="宋体"/>
          <w:sz w:val="24"/>
          <w:highlight w:val="none"/>
          <w:u w:val="single"/>
        </w:rPr>
        <w:t>　　　　　　　　　　　　　　　　　　　　　　　　　　　</w:t>
      </w:r>
    </w:p>
    <w:p w14:paraId="67974660">
      <w:pPr>
        <w:snapToGrid w:val="0"/>
        <w:spacing w:line="360" w:lineRule="auto"/>
        <w:ind w:firstLine="470" w:firstLineChars="200"/>
        <w:rPr>
          <w:rFonts w:ascii="宋体" w:hAnsi="宋体" w:cs="宋体"/>
          <w:spacing w:val="-4"/>
          <w:sz w:val="24"/>
          <w:szCs w:val="20"/>
          <w:highlight w:val="none"/>
        </w:rPr>
      </w:pPr>
      <w:r>
        <w:rPr>
          <w:rFonts w:hint="eastAsia" w:ascii="宋体" w:hAnsi="宋体" w:cs="宋体"/>
          <w:spacing w:val="-4"/>
          <w:sz w:val="24"/>
          <w:szCs w:val="20"/>
          <w:highlight w:val="none"/>
        </w:rPr>
        <w:t>6.以上事项如有虚假或隐瞒，我方愿意承担一切后果，并不再寻求任何旨在减轻或免除法律责任的辩解。</w:t>
      </w:r>
    </w:p>
    <w:p w14:paraId="6B0352AF">
      <w:pPr>
        <w:snapToGrid w:val="0"/>
        <w:spacing w:before="120" w:beforeLines="50" w:after="50" w:line="360" w:lineRule="auto"/>
        <w:ind w:firstLine="5467" w:firstLineChars="2250"/>
        <w:rPr>
          <w:rFonts w:ascii="宋体" w:hAnsi="宋体" w:cs="宋体"/>
          <w:sz w:val="24"/>
          <w:highlight w:val="none"/>
        </w:rPr>
      </w:pPr>
      <w:r>
        <w:rPr>
          <w:rFonts w:hint="eastAsia" w:ascii="宋体" w:hAnsi="宋体" w:cs="宋体"/>
          <w:sz w:val="24"/>
          <w:highlight w:val="none"/>
        </w:rPr>
        <w:t>投标人名称（公章）：</w:t>
      </w:r>
    </w:p>
    <w:p w14:paraId="4BF78E33">
      <w:pPr>
        <w:snapToGrid w:val="0"/>
        <w:spacing w:before="120" w:beforeLines="50" w:after="50" w:line="360" w:lineRule="auto"/>
        <w:jc w:val="center"/>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年     月     日</w:t>
      </w:r>
      <w:r>
        <w:rPr>
          <w:rFonts w:hint="eastAsia" w:ascii="宋体" w:hAnsi="宋体" w:cs="宋体"/>
          <w:highlight w:val="none"/>
        </w:rPr>
        <w:br w:type="page"/>
      </w:r>
    </w:p>
    <w:p w14:paraId="1F97D77C">
      <w:pPr>
        <w:keepNext w:val="0"/>
        <w:keepLines w:val="0"/>
        <w:widowControl/>
        <w:suppressLineNumbers w:val="0"/>
        <w:jc w:val="left"/>
        <w:rPr>
          <w:highlight w:val="none"/>
        </w:rPr>
      </w:pPr>
      <w:r>
        <w:rPr>
          <w:rFonts w:hint="eastAsia" w:ascii="宋体" w:hAnsi="宋体" w:eastAsia="宋体" w:cs="宋体"/>
          <w:b/>
          <w:sz w:val="24"/>
          <w:highlight w:val="none"/>
          <w:lang w:val="en-US" w:eastAsia="zh-CN"/>
        </w:rPr>
        <w:t>附件</w:t>
      </w:r>
      <w:r>
        <w:rPr>
          <w:rFonts w:hint="eastAsia" w:ascii="宋体" w:hAnsi="宋体" w:cs="宋体"/>
          <w:b/>
          <w:sz w:val="24"/>
          <w:highlight w:val="none"/>
          <w:lang w:val="en-US" w:eastAsia="zh-CN"/>
        </w:rPr>
        <w:t>7</w:t>
      </w:r>
      <w:r>
        <w:rPr>
          <w:rFonts w:hint="eastAsia" w:ascii="宋体" w:hAnsi="宋体" w:eastAsia="宋体" w:cs="宋体"/>
          <w:b/>
          <w:sz w:val="24"/>
          <w:highlight w:val="none"/>
          <w:lang w:val="en-US" w:eastAsia="zh-CN"/>
        </w:rPr>
        <w:t>：</w:t>
      </w:r>
      <w:r>
        <w:rPr>
          <w:rFonts w:hint="eastAsia" w:ascii="宋体" w:hAnsi="宋体" w:cs="宋体"/>
          <w:b/>
          <w:sz w:val="24"/>
          <w:highlight w:val="none"/>
          <w:lang w:val="en-US" w:eastAsia="zh-CN"/>
        </w:rPr>
        <w:t xml:space="preserve">                        </w:t>
      </w:r>
      <w:r>
        <w:rPr>
          <w:rFonts w:hint="eastAsia" w:ascii="宋体" w:hAnsi="宋体" w:cs="宋体"/>
          <w:b/>
          <w:sz w:val="24"/>
          <w:highlight w:val="none"/>
          <w:lang w:val="en-US" w:eastAsia="zh-CN"/>
        </w:rPr>
        <w:t xml:space="preserve"> </w:t>
      </w:r>
      <w:r>
        <w:rPr>
          <w:rFonts w:hint="eastAsia" w:ascii="宋体" w:hAnsi="宋体" w:eastAsia="宋体" w:cs="宋体"/>
          <w:b/>
          <w:bCs/>
          <w:color w:val="000000"/>
          <w:kern w:val="0"/>
          <w:sz w:val="31"/>
          <w:szCs w:val="31"/>
          <w:highlight w:val="none"/>
          <w:lang w:val="en-US" w:eastAsia="zh-CN" w:bidi="ar"/>
        </w:rPr>
        <w:t xml:space="preserve">联合协议 </w:t>
      </w:r>
    </w:p>
    <w:p w14:paraId="5C515F1E">
      <w:pPr>
        <w:widowControl/>
        <w:spacing w:line="360" w:lineRule="auto"/>
        <w:ind w:firstLine="486" w:firstLineChars="200"/>
        <w:jc w:val="left"/>
        <w:rPr>
          <w:rFonts w:ascii="宋体" w:hAnsi="宋体" w:cs="宋体"/>
          <w:b w:val="0"/>
          <w:bCs/>
          <w:color w:val="auto"/>
          <w:sz w:val="24"/>
          <w:highlight w:val="none"/>
        </w:rPr>
      </w:pPr>
      <w:r>
        <w:rPr>
          <w:rFonts w:hint="eastAsia" w:ascii="宋体" w:hAnsi="宋体" w:cs="宋体"/>
          <w:b w:val="0"/>
          <w:bCs/>
          <w:sz w:val="24"/>
          <w:highlight w:val="none"/>
        </w:rPr>
        <w:t>（以联合体形</w:t>
      </w:r>
      <w:r>
        <w:rPr>
          <w:rFonts w:hint="eastAsia" w:ascii="宋体" w:hAnsi="宋体" w:cs="宋体"/>
          <w:b w:val="0"/>
          <w:bCs/>
          <w:color w:val="auto"/>
          <w:sz w:val="24"/>
          <w:highlight w:val="none"/>
        </w:rPr>
        <w:t>式投标的，提供联合协议；本项目不接受联合体投标或者投标人不以联合体形式投标的，则不需要提供）</w:t>
      </w:r>
    </w:p>
    <w:p w14:paraId="599686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B33AD47">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0CB9B8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5B61376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60088064">
      <w:pPr>
        <w:snapToGrid w:val="0"/>
        <w:spacing w:line="360" w:lineRule="auto"/>
        <w:ind w:firstLine="576"/>
        <w:rPr>
          <w:rFonts w:ascii="宋体" w:hAnsi="宋体" w:cs="宋体"/>
          <w:kern w:val="0"/>
          <w:sz w:val="24"/>
          <w:highlight w:val="none"/>
          <w:lang w:val="zh-CN"/>
        </w:rPr>
      </w:pPr>
      <w:bookmarkStart w:id="25"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37CBDA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725C44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25"/>
    <w:p w14:paraId="0EF7D18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13404F0A">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C966C3B">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1DA4D50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4305663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312D799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6E5597F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5C452AA4">
      <w:pPr>
        <w:keepNext w:val="0"/>
        <w:keepLines w:val="0"/>
        <w:widowControl/>
        <w:suppressLineNumbers w:val="0"/>
        <w:jc w:val="left"/>
        <w:rPr>
          <w:rFonts w:hint="eastAsia"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6E974D25">
      <w:pPr>
        <w:keepNext w:val="0"/>
        <w:keepLines w:val="0"/>
        <w:widowControl/>
        <w:suppressLineNumbers w:val="0"/>
        <w:jc w:val="left"/>
        <w:rPr>
          <w:rFonts w:hint="eastAsia" w:ascii="宋体" w:hAnsi="宋体" w:cs="宋体"/>
          <w:kern w:val="0"/>
          <w:sz w:val="24"/>
          <w:highlight w:val="none"/>
          <w:lang w:val="zh-CN"/>
        </w:rPr>
      </w:pPr>
    </w:p>
    <w:p w14:paraId="6CBC904C">
      <w:pPr>
        <w:snapToGrid w:val="0"/>
        <w:spacing w:line="360" w:lineRule="auto"/>
        <w:ind w:firstLine="3402" w:firstLineChars="14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62FA1D2">
      <w:pPr>
        <w:snapToGrid w:val="0"/>
        <w:spacing w:line="360" w:lineRule="auto"/>
        <w:ind w:firstLine="3402" w:firstLineChars="14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6EFC8CD">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E181127">
      <w:pPr>
        <w:spacing w:line="360" w:lineRule="auto"/>
        <w:ind w:firstLine="3402" w:firstLineChars="1400"/>
        <w:jc w:val="left"/>
        <w:outlineLvl w:val="0"/>
        <w:rPr>
          <w:rFonts w:hint="default" w:ascii="宋体" w:hAnsi="宋体" w:eastAsia="宋体"/>
          <w:b/>
          <w:bCs/>
          <w:color w:val="000000"/>
          <w:sz w:val="30"/>
          <w:szCs w:val="30"/>
          <w:highlight w:val="none"/>
          <w:lang w:val="en-US" w:eastAsia="zh-CN"/>
        </w:rPr>
      </w:pPr>
      <w:r>
        <w:rPr>
          <w:rFonts w:hint="eastAsia" w:ascii="宋体" w:hAnsi="宋体" w:cs="宋体"/>
          <w:kern w:val="0"/>
          <w:sz w:val="24"/>
          <w:highlight w:val="none"/>
          <w:lang w:val="zh-CN"/>
        </w:rPr>
        <w:t>日期：  年  月   日</w:t>
      </w:r>
    </w:p>
    <w:p w14:paraId="17D11197">
      <w:pPr>
        <w:rPr>
          <w:rFonts w:hint="default" w:eastAsia="宋体"/>
          <w:highlight w:val="none"/>
          <w:lang w:val="en-US" w:eastAsia="zh-CN"/>
        </w:rPr>
      </w:pPr>
    </w:p>
    <w:p w14:paraId="015E3301">
      <w:pPr>
        <w:rPr>
          <w:rFonts w:hint="eastAsia" w:ascii="宋体" w:hAnsi="宋体" w:eastAsia="宋体" w:cs="Times New Roman"/>
          <w:b/>
          <w:bCs/>
          <w:color w:val="000000"/>
          <w:sz w:val="30"/>
          <w:szCs w:val="30"/>
          <w:highlight w:val="none"/>
        </w:rPr>
      </w:pPr>
      <w:r>
        <w:rPr>
          <w:rFonts w:hint="eastAsia" w:ascii="宋体" w:hAnsi="宋体" w:cs="宋体"/>
          <w:b/>
          <w:sz w:val="24"/>
          <w:highlight w:val="none"/>
        </w:rPr>
        <w:br w:type="page"/>
      </w:r>
    </w:p>
    <w:p w14:paraId="1714B636">
      <w:pPr>
        <w:snapToGrid w:val="0"/>
        <w:spacing w:before="50" w:after="156" w:afterLines="50" w:line="360" w:lineRule="auto"/>
        <w:jc w:val="left"/>
        <w:rPr>
          <w:rFonts w:hint="eastAsia" w:ascii="宋体" w:hAnsi="宋体" w:cs="宋体"/>
          <w:b/>
          <w:sz w:val="24"/>
          <w:highlight w:val="none"/>
        </w:rPr>
      </w:pPr>
      <w:r>
        <w:rPr>
          <w:rFonts w:hint="eastAsia" w:ascii="宋体" w:hAnsi="宋体" w:cs="Times New Roman"/>
          <w:b/>
          <w:bCs/>
          <w:color w:val="000000"/>
          <w:sz w:val="24"/>
          <w:szCs w:val="24"/>
          <w:highlight w:val="none"/>
          <w:lang w:val="en-US" w:eastAsia="zh-CN"/>
        </w:rPr>
        <w:t>附件8：</w:t>
      </w:r>
      <w:r>
        <w:rPr>
          <w:rFonts w:hint="eastAsia" w:ascii="宋体" w:hAnsi="宋体" w:cs="宋体"/>
          <w:b/>
          <w:sz w:val="24"/>
          <w:highlight w:val="none"/>
        </w:rPr>
        <w:t>投标函格式：</w:t>
      </w:r>
    </w:p>
    <w:p w14:paraId="292FBB13">
      <w:pPr>
        <w:snapToGrid w:val="0"/>
        <w:spacing w:before="50" w:after="156" w:afterLines="50" w:line="360" w:lineRule="auto"/>
        <w:ind w:firstLine="3645" w:firstLineChars="1500"/>
        <w:jc w:val="left"/>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投标函</w:t>
      </w:r>
    </w:p>
    <w:p w14:paraId="2406622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7B22B13A">
      <w:pPr>
        <w:snapToGrid w:val="0"/>
        <w:spacing w:line="360" w:lineRule="auto"/>
        <w:ind w:firstLine="486"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】招标的有关活动，并对此项目进行投标。为此：</w:t>
      </w:r>
    </w:p>
    <w:p w14:paraId="404B8C88">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lang w:val="en-US" w:eastAsia="zh-CN"/>
        </w:rPr>
        <w:t>一</w:t>
      </w:r>
      <w:r>
        <w:rPr>
          <w:rFonts w:hint="eastAsia" w:ascii="宋体" w:hAnsi="宋体" w:cs="宋体"/>
          <w:sz w:val="24"/>
          <w:highlight w:val="none"/>
        </w:rPr>
        <w:t>、我方承诺投标有效期从提交投标文件的截止之日起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90D134C">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、我方的投标文件包括以下内容：</w:t>
      </w:r>
    </w:p>
    <w:p w14:paraId="6043D4DC">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资格文件</w:t>
      </w:r>
      <w:r>
        <w:rPr>
          <w:rFonts w:hint="eastAsia" w:ascii="宋体" w:hAnsi="宋体" w:eastAsia="宋体" w:cs="宋体"/>
          <w:sz w:val="24"/>
          <w:szCs w:val="24"/>
          <w:highlight w:val="none"/>
        </w:rPr>
        <w:t>：</w:t>
      </w:r>
    </w:p>
    <w:p w14:paraId="39E9145A">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有效期内营业执照（或事业单位法人证书）；</w:t>
      </w:r>
    </w:p>
    <w:p w14:paraId="7291AB63">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）法定代表人身份证明及本人身份证复印件；</w:t>
      </w:r>
    </w:p>
    <w:p w14:paraId="3449DDD3">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）法定代表人的授权委托书及委托代理人身份证复印件（委托人参加时提供）；</w:t>
      </w:r>
    </w:p>
    <w:p w14:paraId="7CCFF8A2">
      <w:pPr>
        <w:spacing w:line="360" w:lineRule="auto"/>
        <w:ind w:firstLine="486"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廉政承诺书</w:t>
      </w:r>
      <w:r>
        <w:rPr>
          <w:rFonts w:hint="eastAsia" w:ascii="宋体" w:hAnsi="宋体" w:eastAsia="宋体" w:cs="宋体"/>
          <w:sz w:val="24"/>
          <w:szCs w:val="24"/>
          <w:highlight w:val="none"/>
          <w:lang w:eastAsia="zh-CN"/>
        </w:rPr>
        <w:t>；</w:t>
      </w:r>
    </w:p>
    <w:p w14:paraId="368722D5">
      <w:pPr>
        <w:spacing w:line="360" w:lineRule="auto"/>
        <w:ind w:firstLine="486"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）政府采购供应商诚信承诺书</w:t>
      </w:r>
      <w:r>
        <w:rPr>
          <w:rFonts w:hint="eastAsia" w:ascii="宋体" w:hAnsi="宋体" w:eastAsia="宋体" w:cs="宋体"/>
          <w:sz w:val="24"/>
          <w:szCs w:val="24"/>
          <w:highlight w:val="none"/>
          <w:lang w:eastAsia="zh-CN"/>
        </w:rPr>
        <w:t>；</w:t>
      </w:r>
    </w:p>
    <w:p w14:paraId="75ECAB2E">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）符合参加政府采购活动应当具备的一般条件的承诺函</w:t>
      </w:r>
      <w:r>
        <w:rPr>
          <w:rFonts w:hint="eastAsia" w:ascii="宋体" w:hAnsi="宋体" w:eastAsia="宋体" w:cs="宋体"/>
          <w:sz w:val="24"/>
          <w:szCs w:val="24"/>
          <w:highlight w:val="none"/>
        </w:rPr>
        <w:t>；</w:t>
      </w:r>
    </w:p>
    <w:p w14:paraId="3A1BE93D">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）投标声明书；</w:t>
      </w:r>
    </w:p>
    <w:p w14:paraId="5483A000">
      <w:pPr>
        <w:spacing w:line="360" w:lineRule="auto"/>
        <w:ind w:firstLine="486"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）截至公告发布日止，相关主体在“信用中国”网站(www.creditchina.gov.cn)及中国政府采购网(www.ccgp.gov.cn)是否有失信行为的查询结果截图</w:t>
      </w:r>
      <w:r>
        <w:rPr>
          <w:rFonts w:hint="eastAsia" w:ascii="宋体" w:hAnsi="宋体" w:eastAsia="宋体" w:cs="宋体"/>
          <w:sz w:val="24"/>
          <w:szCs w:val="24"/>
          <w:highlight w:val="none"/>
          <w:lang w:eastAsia="zh-CN"/>
        </w:rPr>
        <w:t>；</w:t>
      </w:r>
    </w:p>
    <w:p w14:paraId="1CCD0609">
      <w:pPr>
        <w:spacing w:line="360" w:lineRule="auto"/>
        <w:ind w:firstLine="486"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）供应商如以联合体形式参加政府采购活动的，提供联合体协议书、授权委托书以及联合体成员的营业执照；（提供原件的扫描件加盖</w:t>
      </w:r>
      <w:r>
        <w:rPr>
          <w:rFonts w:hint="eastAsia" w:ascii="宋体" w:hAnsi="宋体" w:eastAsia="宋体" w:cs="宋体"/>
          <w:sz w:val="24"/>
          <w:szCs w:val="24"/>
          <w:highlight w:val="none"/>
          <w:lang w:val="en-US" w:eastAsia="zh-CN"/>
        </w:rPr>
        <w:t>公</w:t>
      </w:r>
      <w:r>
        <w:rPr>
          <w:rFonts w:hint="eastAsia" w:ascii="宋体" w:hAnsi="宋体" w:eastAsia="宋体" w:cs="宋体"/>
          <w:sz w:val="24"/>
          <w:szCs w:val="24"/>
          <w:highlight w:val="none"/>
          <w:lang w:eastAsia="zh-CN"/>
        </w:rPr>
        <w:t>章）</w:t>
      </w:r>
      <w:r>
        <w:rPr>
          <w:rFonts w:hint="eastAsia" w:ascii="宋体" w:hAnsi="宋体" w:eastAsia="宋体" w:cs="宋体"/>
          <w:sz w:val="24"/>
          <w:szCs w:val="24"/>
          <w:highlight w:val="none"/>
          <w:lang w:val="en-US" w:eastAsia="zh-CN"/>
        </w:rPr>
        <w:t>；</w:t>
      </w:r>
    </w:p>
    <w:p w14:paraId="24700737">
      <w:pPr>
        <w:spacing w:line="360" w:lineRule="auto"/>
        <w:ind w:firstLine="486"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（10）中小企业声明函。</w:t>
      </w:r>
    </w:p>
    <w:p w14:paraId="4D1ADF3C">
      <w:pPr>
        <w:spacing w:line="360" w:lineRule="auto"/>
        <w:ind w:firstLine="486"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2.商务技术文件：</w:t>
      </w:r>
    </w:p>
    <w:p w14:paraId="6B79940A">
      <w:pPr>
        <w:spacing w:line="360" w:lineRule="auto"/>
        <w:ind w:firstLine="486"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lang w:val="en-US" w:eastAsia="zh-CN"/>
        </w:rPr>
        <w:t>投标函</w:t>
      </w:r>
      <w:r>
        <w:rPr>
          <w:rFonts w:hint="eastAsia" w:ascii="宋体" w:hAnsi="宋体" w:eastAsia="宋体" w:cs="宋体"/>
          <w:sz w:val="24"/>
          <w:szCs w:val="24"/>
          <w:highlight w:val="none"/>
        </w:rPr>
        <w:t>；</w:t>
      </w:r>
    </w:p>
    <w:p w14:paraId="7D722559">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投标人认证证书</w:t>
      </w:r>
      <w:r>
        <w:rPr>
          <w:rFonts w:hint="eastAsia" w:ascii="宋体" w:hAnsi="宋体" w:eastAsia="宋体" w:cs="宋体"/>
          <w:sz w:val="24"/>
          <w:szCs w:val="24"/>
          <w:highlight w:val="none"/>
        </w:rPr>
        <w:t>；</w:t>
      </w:r>
    </w:p>
    <w:p w14:paraId="22769261">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投标人业绩</w:t>
      </w:r>
      <w:r>
        <w:rPr>
          <w:rFonts w:hint="eastAsia" w:ascii="宋体" w:hAnsi="宋体" w:eastAsia="宋体" w:cs="宋体"/>
          <w:sz w:val="24"/>
          <w:szCs w:val="24"/>
          <w:highlight w:val="none"/>
        </w:rPr>
        <w:t>；</w:t>
      </w:r>
    </w:p>
    <w:p w14:paraId="00A8A832">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服务参数响应情况</w:t>
      </w:r>
      <w:r>
        <w:rPr>
          <w:rFonts w:hint="eastAsia" w:ascii="宋体" w:hAnsi="宋体" w:eastAsia="宋体" w:cs="宋体"/>
          <w:sz w:val="24"/>
          <w:szCs w:val="24"/>
          <w:highlight w:val="none"/>
        </w:rPr>
        <w:t>；</w:t>
      </w:r>
    </w:p>
    <w:p w14:paraId="412E0EC5">
      <w:pPr>
        <w:spacing w:line="360" w:lineRule="auto"/>
        <w:ind w:firstLine="486"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服务方案；</w:t>
      </w:r>
    </w:p>
    <w:p w14:paraId="7EEE7B25">
      <w:pPr>
        <w:spacing w:line="360" w:lineRule="auto"/>
        <w:ind w:firstLine="486"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eastAsia="zh-CN"/>
        </w:rPr>
        <w:t>应急响应方案；</w:t>
      </w:r>
    </w:p>
    <w:p w14:paraId="504DC13A">
      <w:pPr>
        <w:spacing w:line="360" w:lineRule="auto"/>
        <w:ind w:firstLine="486"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zh-CN" w:eastAsia="zh-CN"/>
        </w:rPr>
        <w:t>培训方案；</w:t>
      </w:r>
    </w:p>
    <w:p w14:paraId="59E4113C">
      <w:pPr>
        <w:spacing w:line="360" w:lineRule="auto"/>
        <w:ind w:firstLine="486"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（8）服务保障能力；</w:t>
      </w:r>
    </w:p>
    <w:p w14:paraId="6C3C0D7B">
      <w:pPr>
        <w:spacing w:line="360" w:lineRule="auto"/>
        <w:ind w:firstLine="486"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（9）供应商认为需要</w:t>
      </w:r>
      <w:r>
        <w:rPr>
          <w:rFonts w:hint="eastAsia" w:ascii="宋体" w:hAnsi="宋体" w:eastAsia="宋体" w:cs="宋体"/>
          <w:sz w:val="24"/>
          <w:szCs w:val="24"/>
          <w:highlight w:val="none"/>
        </w:rPr>
        <w:t>提供的其他资料</w:t>
      </w:r>
      <w:r>
        <w:rPr>
          <w:rFonts w:hint="eastAsia" w:ascii="宋体" w:hAnsi="宋体" w:eastAsia="宋体" w:cs="宋体"/>
          <w:sz w:val="24"/>
          <w:szCs w:val="24"/>
          <w:highlight w:val="none"/>
          <w:lang w:val="zh-CN"/>
        </w:rPr>
        <w:t>。</w:t>
      </w:r>
    </w:p>
    <w:p w14:paraId="43B6D2D0">
      <w:pPr>
        <w:spacing w:line="360" w:lineRule="auto"/>
        <w:ind w:firstLine="486"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3.报价文件：</w:t>
      </w:r>
    </w:p>
    <w:p w14:paraId="581751B8">
      <w:pPr>
        <w:spacing w:line="360" w:lineRule="auto"/>
        <w:ind w:firstLine="486"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）开标一览表</w:t>
      </w:r>
      <w:r>
        <w:rPr>
          <w:rFonts w:hint="eastAsia" w:ascii="宋体" w:hAnsi="宋体" w:eastAsia="宋体" w:cs="宋体"/>
          <w:sz w:val="24"/>
          <w:szCs w:val="24"/>
          <w:highlight w:val="none"/>
          <w:lang w:eastAsia="zh-CN"/>
        </w:rPr>
        <w:t>；</w:t>
      </w:r>
    </w:p>
    <w:p w14:paraId="148AC983">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投标人针对报价需要说明的其他文件和说明（不含报价）。</w:t>
      </w:r>
    </w:p>
    <w:p w14:paraId="3DE10372">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、我方承诺除商务技术偏离表列出的偏离外，我方响应招标文件的全部要求。</w:t>
      </w:r>
    </w:p>
    <w:p w14:paraId="4BB5A311">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、如我方中标，我方承诺：</w:t>
      </w:r>
    </w:p>
    <w:p w14:paraId="149B967E">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在收到中标通知书后，在中标通知书规定的期限内与你方签订合同； </w:t>
      </w:r>
    </w:p>
    <w:p w14:paraId="16919217">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在签订合同时不向你方提出附加条件； </w:t>
      </w:r>
    </w:p>
    <w:p w14:paraId="05B34256">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按照招标文件要求提交履约保证金； </w:t>
      </w:r>
    </w:p>
    <w:p w14:paraId="20147EDD">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4.在合同约定的期限内完成合同规定的全部义务。 </w:t>
      </w:r>
    </w:p>
    <w:p w14:paraId="29AB1F34">
      <w:pPr>
        <w:spacing w:line="360" w:lineRule="auto"/>
        <w:ind w:firstLine="48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 xml:space="preserve">、其他补充说明: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BF7289D">
      <w:pPr>
        <w:spacing w:line="360" w:lineRule="auto"/>
        <w:ind w:firstLine="3645" w:firstLineChars="1500"/>
        <w:rPr>
          <w:rFonts w:ascii="宋体" w:hAnsi="宋体" w:cs="宋体"/>
          <w:sz w:val="24"/>
          <w:highlight w:val="none"/>
        </w:rPr>
      </w:pPr>
      <w:r>
        <w:rPr>
          <w:rFonts w:hint="eastAsia" w:ascii="宋体" w:hAnsi="宋体" w:cs="宋体"/>
          <w:sz w:val="24"/>
          <w:highlight w:val="none"/>
        </w:rPr>
        <w:t xml:space="preserve">投标人名称（公章）：                          </w:t>
      </w:r>
    </w:p>
    <w:p w14:paraId="586F448B">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585CA7B">
      <w:pPr>
        <w:snapToGrid w:val="0"/>
        <w:spacing w:line="360" w:lineRule="auto"/>
        <w:ind w:left="426" w:leftChars="200" w:firstLine="4252" w:firstLineChars="1750"/>
        <w:rPr>
          <w:rFonts w:ascii="宋体" w:hAnsi="宋体" w:cs="宋体"/>
          <w:kern w:val="0"/>
          <w:sz w:val="24"/>
          <w:highlight w:val="none"/>
          <w:u w:val="single"/>
        </w:rPr>
      </w:pPr>
    </w:p>
    <w:p w14:paraId="44CDC60D">
      <w:pPr>
        <w:widowControl/>
        <w:spacing w:before="100" w:beforeAutospacing="1" w:after="190"/>
        <w:rPr>
          <w:rFonts w:hint="eastAsia" w:ascii="宋体" w:hAnsi="宋体" w:cs="宋体"/>
          <w:b/>
          <w:sz w:val="24"/>
          <w:highlight w:val="none"/>
        </w:rPr>
      </w:pPr>
      <w:r>
        <w:rPr>
          <w:rFonts w:hint="eastAsia" w:ascii="宋体" w:hAnsi="宋体" w:cs="宋体"/>
          <w:sz w:val="24"/>
          <w:highlight w:val="none"/>
        </w:rPr>
        <w:t>注：按本格式和要求提供。</w:t>
      </w:r>
    </w:p>
    <w:p w14:paraId="19EFBD4C">
      <w:pPr>
        <w:spacing w:line="360" w:lineRule="auto"/>
        <w:jc w:val="left"/>
        <w:outlineLvl w:val="0"/>
        <w:rPr>
          <w:rFonts w:hint="default" w:ascii="宋体" w:hAnsi="宋体" w:eastAsia="宋体" w:cs="Times New Roman"/>
          <w:b/>
          <w:bCs/>
          <w:color w:val="000000"/>
          <w:sz w:val="30"/>
          <w:szCs w:val="30"/>
          <w:highlight w:val="none"/>
          <w:lang w:val="en-US" w:eastAsia="zh-CN"/>
        </w:rPr>
      </w:pPr>
    </w:p>
    <w:p w14:paraId="07D81889">
      <w:pPr>
        <w:spacing w:line="360" w:lineRule="auto"/>
        <w:jc w:val="left"/>
        <w:outlineLvl w:val="0"/>
        <w:rPr>
          <w:rFonts w:hint="eastAsia" w:ascii="宋体" w:hAnsi="宋体" w:eastAsia="宋体" w:cs="Times New Roman"/>
          <w:b/>
          <w:bCs/>
          <w:color w:val="000000"/>
          <w:sz w:val="30"/>
          <w:szCs w:val="30"/>
          <w:highlight w:val="none"/>
        </w:rPr>
      </w:pPr>
    </w:p>
    <w:p w14:paraId="0758906A">
      <w:pPr>
        <w:spacing w:line="360" w:lineRule="auto"/>
        <w:jc w:val="left"/>
        <w:outlineLvl w:val="0"/>
        <w:rPr>
          <w:rFonts w:hint="eastAsia" w:ascii="宋体" w:hAnsi="宋体" w:eastAsia="宋体" w:cs="Times New Roman"/>
          <w:b/>
          <w:bCs/>
          <w:color w:val="000000"/>
          <w:sz w:val="30"/>
          <w:szCs w:val="30"/>
          <w:highlight w:val="none"/>
        </w:rPr>
      </w:pPr>
    </w:p>
    <w:p w14:paraId="77776C47">
      <w:pPr>
        <w:spacing w:line="360" w:lineRule="auto"/>
        <w:jc w:val="left"/>
        <w:outlineLvl w:val="0"/>
        <w:rPr>
          <w:rFonts w:hint="eastAsia" w:ascii="宋体" w:hAnsi="宋体" w:eastAsia="宋体" w:cs="Times New Roman"/>
          <w:b/>
          <w:bCs/>
          <w:color w:val="000000"/>
          <w:sz w:val="30"/>
          <w:szCs w:val="30"/>
          <w:highlight w:val="none"/>
        </w:rPr>
      </w:pPr>
    </w:p>
    <w:p w14:paraId="1A9F277A">
      <w:pPr>
        <w:spacing w:line="360" w:lineRule="auto"/>
        <w:jc w:val="left"/>
        <w:outlineLvl w:val="0"/>
        <w:rPr>
          <w:rFonts w:hint="eastAsia" w:ascii="宋体" w:hAnsi="宋体" w:eastAsia="宋体" w:cs="Times New Roman"/>
          <w:b/>
          <w:bCs/>
          <w:color w:val="000000"/>
          <w:sz w:val="30"/>
          <w:szCs w:val="30"/>
          <w:highlight w:val="none"/>
        </w:rPr>
      </w:pPr>
    </w:p>
    <w:p w14:paraId="6C007A30">
      <w:pPr>
        <w:spacing w:line="360" w:lineRule="auto"/>
        <w:jc w:val="left"/>
        <w:outlineLvl w:val="0"/>
        <w:rPr>
          <w:rFonts w:hint="eastAsia" w:ascii="宋体" w:hAnsi="宋体" w:eastAsia="宋体" w:cs="Times New Roman"/>
          <w:b/>
          <w:bCs/>
          <w:color w:val="000000"/>
          <w:sz w:val="30"/>
          <w:szCs w:val="30"/>
          <w:highlight w:val="none"/>
        </w:rPr>
      </w:pPr>
    </w:p>
    <w:p w14:paraId="776AD5F1">
      <w:pPr>
        <w:spacing w:line="360" w:lineRule="auto"/>
        <w:jc w:val="left"/>
        <w:outlineLvl w:val="0"/>
        <w:rPr>
          <w:rFonts w:hint="eastAsia" w:ascii="宋体" w:hAnsi="宋体" w:eastAsia="宋体" w:cs="Times New Roman"/>
          <w:b/>
          <w:bCs/>
          <w:color w:val="000000"/>
          <w:sz w:val="30"/>
          <w:szCs w:val="30"/>
          <w:highlight w:val="none"/>
        </w:rPr>
      </w:pPr>
    </w:p>
    <w:p w14:paraId="0F34A1EF">
      <w:pPr>
        <w:pStyle w:val="7"/>
        <w:rPr>
          <w:rFonts w:hint="eastAsia" w:ascii="宋体" w:hAnsi="宋体" w:eastAsia="宋体" w:cs="Times New Roman"/>
          <w:b/>
          <w:bCs/>
          <w:color w:val="000000"/>
          <w:sz w:val="30"/>
          <w:szCs w:val="30"/>
          <w:highlight w:val="none"/>
        </w:rPr>
      </w:pPr>
    </w:p>
    <w:p w14:paraId="2E177999">
      <w:pPr>
        <w:spacing w:line="360" w:lineRule="auto"/>
        <w:jc w:val="left"/>
        <w:outlineLvl w:val="0"/>
        <w:rPr>
          <w:rFonts w:hint="eastAsia" w:ascii="宋体" w:hAnsi="宋体" w:eastAsia="宋体" w:cs="Times New Roman"/>
          <w:b/>
          <w:bCs/>
          <w:color w:val="000000"/>
          <w:sz w:val="24"/>
          <w:szCs w:val="24"/>
          <w:highlight w:val="none"/>
        </w:rPr>
      </w:pPr>
    </w:p>
    <w:p w14:paraId="6CD7AA80">
      <w:pPr>
        <w:spacing w:line="360" w:lineRule="auto"/>
        <w:jc w:val="left"/>
        <w:outlineLvl w:val="0"/>
        <w:rPr>
          <w:rFonts w:hint="eastAsia" w:ascii="宋体" w:hAnsi="宋体"/>
          <w:b/>
          <w:bCs/>
          <w:sz w:val="24"/>
          <w:szCs w:val="24"/>
          <w:highlight w:val="none"/>
        </w:rPr>
      </w:pPr>
      <w:r>
        <w:rPr>
          <w:rFonts w:hint="eastAsia" w:ascii="宋体" w:hAnsi="宋体" w:eastAsia="宋体" w:cs="Times New Roman"/>
          <w:b/>
          <w:bCs/>
          <w:color w:val="000000"/>
          <w:sz w:val="24"/>
          <w:szCs w:val="24"/>
          <w:highlight w:val="none"/>
        </w:rPr>
        <w:t>附件</w:t>
      </w:r>
      <w:r>
        <w:rPr>
          <w:rFonts w:hint="eastAsia" w:ascii="宋体" w:hAnsi="宋体" w:cs="Times New Roman"/>
          <w:b/>
          <w:bCs/>
          <w:color w:val="000000"/>
          <w:sz w:val="24"/>
          <w:szCs w:val="24"/>
          <w:highlight w:val="none"/>
          <w:lang w:val="en-US" w:eastAsia="zh-CN"/>
        </w:rPr>
        <w:t>9</w:t>
      </w:r>
      <w:r>
        <w:rPr>
          <w:rFonts w:hint="eastAsia" w:ascii="宋体" w:hAnsi="宋体" w:eastAsia="宋体" w:cs="Times New Roman"/>
          <w:b/>
          <w:bCs/>
          <w:color w:val="000000"/>
          <w:sz w:val="24"/>
          <w:szCs w:val="24"/>
          <w:highlight w:val="none"/>
        </w:rPr>
        <w:t>：服</w:t>
      </w:r>
      <w:r>
        <w:rPr>
          <w:rFonts w:hint="eastAsia" w:ascii="宋体" w:hAnsi="宋体"/>
          <w:b/>
          <w:bCs/>
          <w:color w:val="000000"/>
          <w:sz w:val="24"/>
          <w:szCs w:val="24"/>
          <w:highlight w:val="none"/>
        </w:rPr>
        <w:t>务参数偏离说明表</w:t>
      </w:r>
    </w:p>
    <w:p w14:paraId="6F852456">
      <w:pPr>
        <w:spacing w:line="360" w:lineRule="auto"/>
        <w:jc w:val="center"/>
        <w:outlineLvl w:val="0"/>
        <w:rPr>
          <w:highlight w:val="none"/>
        </w:rPr>
      </w:pPr>
      <w:r>
        <w:rPr>
          <w:rFonts w:hint="eastAsia" w:ascii="宋体" w:hAnsi="宋体"/>
          <w:b/>
          <w:bCs/>
          <w:color w:val="000000"/>
          <w:sz w:val="30"/>
          <w:szCs w:val="30"/>
          <w:highlight w:val="none"/>
        </w:rPr>
        <w:t>服务参数偏离说明表</w:t>
      </w:r>
    </w:p>
    <w:p w14:paraId="0C766821">
      <w:pPr>
        <w:spacing w:line="380" w:lineRule="exact"/>
        <w:rPr>
          <w:rFonts w:hint="eastAsia" w:ascii="宋体" w:hAnsi="宋体" w:eastAsia="宋体" w:cs="宋体"/>
          <w:snapToGrid w:val="0"/>
          <w:spacing w:val="20"/>
          <w:sz w:val="24"/>
          <w:szCs w:val="24"/>
          <w:highlight w:val="none"/>
        </w:rPr>
      </w:pPr>
      <w:r>
        <w:rPr>
          <w:rFonts w:hint="eastAsia" w:ascii="宋体" w:hAnsi="宋体" w:eastAsia="宋体" w:cs="宋体"/>
          <w:snapToGrid w:val="0"/>
          <w:spacing w:val="20"/>
          <w:sz w:val="24"/>
          <w:szCs w:val="24"/>
          <w:highlight w:val="none"/>
        </w:rPr>
        <w:t>项目名称：</w:t>
      </w:r>
      <w:r>
        <w:rPr>
          <w:rFonts w:hint="eastAsia" w:ascii="宋体" w:hAnsi="宋体" w:eastAsia="宋体" w:cs="宋体"/>
          <w:snapToGrid w:val="0"/>
          <w:spacing w:val="20"/>
          <w:sz w:val="24"/>
          <w:szCs w:val="24"/>
          <w:highlight w:val="none"/>
          <w:u w:val="single"/>
        </w:rPr>
        <w:t xml:space="preserve">                      </w:t>
      </w:r>
      <w:r>
        <w:rPr>
          <w:rFonts w:hint="eastAsia" w:ascii="宋体" w:hAnsi="宋体" w:eastAsia="宋体" w:cs="宋体"/>
          <w:snapToGrid w:val="0"/>
          <w:spacing w:val="20"/>
          <w:sz w:val="24"/>
          <w:szCs w:val="24"/>
          <w:highlight w:val="none"/>
        </w:rPr>
        <w:t xml:space="preserve">    </w:t>
      </w:r>
      <w:r>
        <w:rPr>
          <w:rFonts w:hint="eastAsia" w:ascii="宋体" w:hAnsi="宋体" w:eastAsia="宋体" w:cs="宋体"/>
          <w:snapToGrid w:val="0"/>
          <w:spacing w:val="20"/>
          <w:sz w:val="24"/>
          <w:szCs w:val="24"/>
          <w:highlight w:val="none"/>
          <w:lang w:eastAsia="zh-CN"/>
        </w:rPr>
        <w:t>项目</w:t>
      </w:r>
      <w:r>
        <w:rPr>
          <w:rFonts w:hint="eastAsia" w:ascii="宋体" w:hAnsi="宋体" w:eastAsia="宋体" w:cs="宋体"/>
          <w:snapToGrid w:val="0"/>
          <w:spacing w:val="20"/>
          <w:sz w:val="24"/>
          <w:szCs w:val="24"/>
          <w:highlight w:val="none"/>
        </w:rPr>
        <w:t>编号：</w:t>
      </w:r>
      <w:r>
        <w:rPr>
          <w:rFonts w:hint="eastAsia" w:ascii="宋体" w:hAnsi="宋体" w:eastAsia="宋体" w:cs="宋体"/>
          <w:snapToGrid w:val="0"/>
          <w:spacing w:val="20"/>
          <w:sz w:val="24"/>
          <w:szCs w:val="24"/>
          <w:highlight w:val="none"/>
          <w:u w:val="single"/>
        </w:rPr>
        <w:t xml:space="preserve">              </w:t>
      </w:r>
      <w:r>
        <w:rPr>
          <w:rFonts w:hint="eastAsia" w:ascii="宋体" w:hAnsi="宋体" w:eastAsia="宋体" w:cs="宋体"/>
          <w:snapToGrid w:val="0"/>
          <w:spacing w:val="20"/>
          <w:sz w:val="24"/>
          <w:szCs w:val="24"/>
          <w:highlight w:val="none"/>
        </w:rPr>
        <w:t xml:space="preserve">  </w:t>
      </w:r>
    </w:p>
    <w:tbl>
      <w:tblPr>
        <w:tblStyle w:val="29"/>
        <w:tblW w:w="915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759"/>
        <w:gridCol w:w="1965"/>
        <w:gridCol w:w="1425"/>
        <w:gridCol w:w="1080"/>
        <w:gridCol w:w="1080"/>
      </w:tblGrid>
      <w:tr w14:paraId="4CC058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double" w:color="auto" w:sz="4" w:space="0"/>
              <w:left w:val="double" w:color="auto" w:sz="4" w:space="0"/>
              <w:bottom w:val="single" w:color="auto" w:sz="4" w:space="0"/>
              <w:right w:val="single" w:color="auto" w:sz="4" w:space="0"/>
            </w:tcBorders>
            <w:noWrap w:val="0"/>
            <w:vAlign w:val="center"/>
          </w:tcPr>
          <w:p w14:paraId="1C7F034E">
            <w:pPr>
              <w:jc w:val="center"/>
              <w:rPr>
                <w:rFonts w:hint="eastAsia" w:ascii="宋体" w:hAnsi="宋体" w:eastAsia="宋体" w:cs="宋体"/>
                <w:snapToGrid w:val="0"/>
                <w:spacing w:val="20"/>
                <w:sz w:val="24"/>
                <w:szCs w:val="24"/>
                <w:highlight w:val="none"/>
              </w:rPr>
            </w:pPr>
            <w:r>
              <w:rPr>
                <w:rFonts w:hint="eastAsia" w:ascii="宋体" w:hAnsi="宋体" w:eastAsia="宋体" w:cs="宋体"/>
                <w:snapToGrid w:val="0"/>
                <w:spacing w:val="20"/>
                <w:sz w:val="24"/>
                <w:szCs w:val="24"/>
                <w:highlight w:val="none"/>
              </w:rPr>
              <w:t>序号</w:t>
            </w:r>
          </w:p>
        </w:tc>
        <w:tc>
          <w:tcPr>
            <w:tcW w:w="2759" w:type="dxa"/>
            <w:tcBorders>
              <w:top w:val="double" w:color="auto" w:sz="4" w:space="0"/>
              <w:left w:val="single" w:color="auto" w:sz="4" w:space="0"/>
              <w:bottom w:val="single" w:color="auto" w:sz="4" w:space="0"/>
              <w:right w:val="single" w:color="auto" w:sz="4" w:space="0"/>
            </w:tcBorders>
            <w:noWrap w:val="0"/>
            <w:vAlign w:val="center"/>
          </w:tcPr>
          <w:p w14:paraId="400B1793">
            <w:pPr>
              <w:jc w:val="center"/>
              <w:rPr>
                <w:rFonts w:hint="eastAsia" w:ascii="宋体" w:hAnsi="宋体" w:eastAsia="宋体" w:cs="宋体"/>
                <w:snapToGrid w:val="0"/>
                <w:spacing w:val="20"/>
                <w:sz w:val="24"/>
                <w:szCs w:val="24"/>
                <w:highlight w:val="none"/>
              </w:rPr>
            </w:pPr>
            <w:r>
              <w:rPr>
                <w:rFonts w:hint="eastAsia" w:ascii="宋体" w:hAnsi="宋体" w:eastAsia="宋体" w:cs="宋体"/>
                <w:snapToGrid w:val="0"/>
                <w:spacing w:val="20"/>
                <w:sz w:val="24"/>
                <w:szCs w:val="24"/>
                <w:highlight w:val="none"/>
                <w:lang w:eastAsia="zh-CN"/>
              </w:rPr>
              <w:t>招标文件技术规范要求</w:t>
            </w:r>
          </w:p>
        </w:tc>
        <w:tc>
          <w:tcPr>
            <w:tcW w:w="1965" w:type="dxa"/>
            <w:tcBorders>
              <w:top w:val="double" w:color="auto" w:sz="4" w:space="0"/>
              <w:left w:val="single" w:color="auto" w:sz="4" w:space="0"/>
              <w:bottom w:val="single" w:color="auto" w:sz="4" w:space="0"/>
              <w:right w:val="single" w:color="auto" w:sz="4" w:space="0"/>
            </w:tcBorders>
            <w:noWrap w:val="0"/>
            <w:vAlign w:val="center"/>
          </w:tcPr>
          <w:p w14:paraId="57C96599">
            <w:pPr>
              <w:jc w:val="center"/>
              <w:rPr>
                <w:rFonts w:hint="eastAsia" w:ascii="宋体" w:hAnsi="宋体" w:eastAsia="宋体" w:cs="宋体"/>
                <w:snapToGrid w:val="0"/>
                <w:spacing w:val="20"/>
                <w:sz w:val="24"/>
                <w:szCs w:val="24"/>
                <w:highlight w:val="none"/>
              </w:rPr>
            </w:pPr>
            <w:r>
              <w:rPr>
                <w:rFonts w:hint="eastAsia" w:ascii="宋体" w:hAnsi="宋体" w:eastAsia="宋体" w:cs="宋体"/>
                <w:snapToGrid w:val="0"/>
                <w:spacing w:val="20"/>
                <w:sz w:val="24"/>
                <w:szCs w:val="24"/>
                <w:highlight w:val="none"/>
                <w:lang w:eastAsia="zh-CN"/>
              </w:rPr>
              <w:t>投标人响应详细内容</w:t>
            </w:r>
          </w:p>
        </w:tc>
        <w:tc>
          <w:tcPr>
            <w:tcW w:w="1425" w:type="dxa"/>
            <w:tcBorders>
              <w:top w:val="double" w:color="auto" w:sz="4" w:space="0"/>
              <w:left w:val="single" w:color="auto" w:sz="4" w:space="0"/>
              <w:bottom w:val="single" w:color="auto" w:sz="4" w:space="0"/>
              <w:right w:val="single" w:color="auto" w:sz="4" w:space="0"/>
            </w:tcBorders>
            <w:noWrap w:val="0"/>
            <w:vAlign w:val="center"/>
          </w:tcPr>
          <w:p w14:paraId="60135593">
            <w:pPr>
              <w:jc w:val="center"/>
              <w:rPr>
                <w:rFonts w:hint="eastAsia" w:ascii="宋体" w:hAnsi="宋体" w:eastAsia="宋体" w:cs="宋体"/>
                <w:snapToGrid w:val="0"/>
                <w:spacing w:val="20"/>
                <w:sz w:val="24"/>
                <w:szCs w:val="24"/>
                <w:highlight w:val="none"/>
              </w:rPr>
            </w:pPr>
            <w:r>
              <w:rPr>
                <w:rFonts w:hint="eastAsia" w:ascii="宋体" w:hAnsi="宋体" w:eastAsia="宋体" w:cs="宋体"/>
                <w:snapToGrid w:val="0"/>
                <w:spacing w:val="20"/>
                <w:sz w:val="24"/>
                <w:szCs w:val="24"/>
                <w:highlight w:val="none"/>
                <w:lang w:eastAsia="zh-CN"/>
              </w:rPr>
              <w:t>正</w:t>
            </w:r>
            <w:r>
              <w:rPr>
                <w:rFonts w:hint="eastAsia" w:ascii="宋体" w:hAnsi="宋体" w:eastAsia="宋体" w:cs="宋体"/>
                <w:snapToGrid w:val="0"/>
                <w:spacing w:val="20"/>
                <w:sz w:val="24"/>
                <w:szCs w:val="24"/>
                <w:highlight w:val="none"/>
                <w:lang w:val="en-US" w:eastAsia="zh-CN"/>
              </w:rPr>
              <w:t>/负偏离</w:t>
            </w:r>
          </w:p>
        </w:tc>
        <w:tc>
          <w:tcPr>
            <w:tcW w:w="1080" w:type="dxa"/>
            <w:tcBorders>
              <w:top w:val="double" w:color="auto" w:sz="4" w:space="0"/>
              <w:left w:val="single" w:color="auto" w:sz="4" w:space="0"/>
              <w:bottom w:val="single" w:color="auto" w:sz="4" w:space="0"/>
              <w:right w:val="single" w:color="auto" w:sz="4" w:space="0"/>
            </w:tcBorders>
            <w:noWrap w:val="0"/>
            <w:vAlign w:val="center"/>
          </w:tcPr>
          <w:p w14:paraId="3DBF33A5">
            <w:pPr>
              <w:jc w:val="center"/>
              <w:rPr>
                <w:rFonts w:hint="eastAsia" w:ascii="宋体" w:hAnsi="宋体" w:eastAsia="宋体" w:cs="宋体"/>
                <w:snapToGrid w:val="0"/>
                <w:spacing w:val="20"/>
                <w:sz w:val="24"/>
                <w:szCs w:val="24"/>
                <w:highlight w:val="none"/>
                <w:lang w:eastAsia="zh-CN"/>
              </w:rPr>
            </w:pPr>
            <w:r>
              <w:rPr>
                <w:rFonts w:hint="eastAsia" w:ascii="宋体" w:hAnsi="宋体" w:eastAsia="宋体" w:cs="宋体"/>
                <w:snapToGrid w:val="0"/>
                <w:spacing w:val="20"/>
                <w:sz w:val="24"/>
                <w:szCs w:val="24"/>
                <w:highlight w:val="none"/>
                <w:lang w:eastAsia="zh-CN"/>
              </w:rPr>
              <w:t>偏离说明</w:t>
            </w:r>
          </w:p>
        </w:tc>
        <w:tc>
          <w:tcPr>
            <w:tcW w:w="1080" w:type="dxa"/>
            <w:tcBorders>
              <w:top w:val="double" w:color="auto" w:sz="4" w:space="0"/>
              <w:left w:val="single" w:color="auto" w:sz="4" w:space="0"/>
              <w:bottom w:val="single" w:color="auto" w:sz="4" w:space="0"/>
            </w:tcBorders>
            <w:noWrap w:val="0"/>
            <w:vAlign w:val="center"/>
          </w:tcPr>
          <w:p w14:paraId="68CC0A7A">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响应页码</w:t>
            </w:r>
          </w:p>
        </w:tc>
      </w:tr>
      <w:tr w14:paraId="2E21B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75590B3B">
            <w:pPr>
              <w:jc w:val="center"/>
              <w:rPr>
                <w:rFonts w:hint="eastAsia" w:ascii="宋体" w:hAnsi="宋体" w:eastAsia="宋体" w:cs="宋体"/>
                <w:snapToGrid w:val="0"/>
                <w:spacing w:val="20"/>
                <w:sz w:val="24"/>
                <w:szCs w:val="24"/>
                <w:highlight w:val="none"/>
                <w:lang w:val="en-US" w:eastAsia="zh-CN"/>
              </w:rPr>
            </w:pPr>
            <w:r>
              <w:rPr>
                <w:rFonts w:hint="eastAsia" w:ascii="宋体" w:hAnsi="宋体" w:eastAsia="宋体" w:cs="宋体"/>
                <w:snapToGrid w:val="0"/>
                <w:spacing w:val="20"/>
                <w:sz w:val="24"/>
                <w:szCs w:val="24"/>
                <w:highlight w:val="none"/>
                <w:lang w:val="en-US" w:eastAsia="zh-CN"/>
              </w:rPr>
              <w:t>1</w:t>
            </w:r>
          </w:p>
        </w:tc>
        <w:tc>
          <w:tcPr>
            <w:tcW w:w="2759" w:type="dxa"/>
            <w:tcBorders>
              <w:top w:val="single" w:color="auto" w:sz="4" w:space="0"/>
              <w:left w:val="single" w:color="auto" w:sz="4" w:space="0"/>
              <w:bottom w:val="single" w:color="auto" w:sz="4" w:space="0"/>
              <w:right w:val="single" w:color="auto" w:sz="4" w:space="0"/>
            </w:tcBorders>
            <w:noWrap w:val="0"/>
            <w:vAlign w:val="center"/>
          </w:tcPr>
          <w:p w14:paraId="23D89B8C">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150E560">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EC95FAB">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3A2908">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5F677F85">
            <w:pPr>
              <w:jc w:val="center"/>
              <w:rPr>
                <w:rFonts w:hint="eastAsia" w:ascii="宋体" w:hAnsi="宋体" w:eastAsia="宋体" w:cs="宋体"/>
                <w:snapToGrid w:val="0"/>
                <w:spacing w:val="20"/>
                <w:sz w:val="24"/>
                <w:szCs w:val="24"/>
                <w:highlight w:val="none"/>
              </w:rPr>
            </w:pPr>
          </w:p>
        </w:tc>
      </w:tr>
      <w:tr w14:paraId="53F18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793CC276">
            <w:pPr>
              <w:jc w:val="center"/>
              <w:rPr>
                <w:rFonts w:hint="eastAsia" w:ascii="宋体" w:hAnsi="宋体" w:eastAsia="宋体" w:cs="宋体"/>
                <w:snapToGrid w:val="0"/>
                <w:spacing w:val="20"/>
                <w:sz w:val="24"/>
                <w:szCs w:val="24"/>
                <w:highlight w:val="none"/>
                <w:lang w:val="en-US" w:eastAsia="zh-CN"/>
              </w:rPr>
            </w:pPr>
            <w:r>
              <w:rPr>
                <w:rFonts w:hint="eastAsia" w:ascii="宋体" w:hAnsi="宋体" w:eastAsia="宋体" w:cs="宋体"/>
                <w:snapToGrid w:val="0"/>
                <w:spacing w:val="20"/>
                <w:sz w:val="24"/>
                <w:szCs w:val="24"/>
                <w:highlight w:val="none"/>
                <w:lang w:val="en-US" w:eastAsia="zh-CN"/>
              </w:rPr>
              <w:t>2</w:t>
            </w:r>
          </w:p>
        </w:tc>
        <w:tc>
          <w:tcPr>
            <w:tcW w:w="2759" w:type="dxa"/>
            <w:tcBorders>
              <w:top w:val="single" w:color="auto" w:sz="4" w:space="0"/>
              <w:left w:val="single" w:color="auto" w:sz="4" w:space="0"/>
              <w:bottom w:val="single" w:color="auto" w:sz="4" w:space="0"/>
              <w:right w:val="single" w:color="auto" w:sz="4" w:space="0"/>
            </w:tcBorders>
            <w:noWrap w:val="0"/>
            <w:vAlign w:val="center"/>
          </w:tcPr>
          <w:p w14:paraId="13374587">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4FF451D4">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F94CAA3">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FE7830">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7B92BECA">
            <w:pPr>
              <w:jc w:val="center"/>
              <w:rPr>
                <w:rFonts w:hint="eastAsia" w:ascii="宋体" w:hAnsi="宋体" w:eastAsia="宋体" w:cs="宋体"/>
                <w:snapToGrid w:val="0"/>
                <w:spacing w:val="20"/>
                <w:sz w:val="24"/>
                <w:szCs w:val="24"/>
                <w:highlight w:val="none"/>
              </w:rPr>
            </w:pPr>
          </w:p>
        </w:tc>
      </w:tr>
      <w:tr w14:paraId="2CFEFF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1FD9FE2E">
            <w:pPr>
              <w:jc w:val="center"/>
              <w:rPr>
                <w:rFonts w:hint="eastAsia" w:ascii="宋体" w:hAnsi="宋体" w:eastAsia="宋体" w:cs="宋体"/>
                <w:snapToGrid w:val="0"/>
                <w:spacing w:val="20"/>
                <w:sz w:val="24"/>
                <w:szCs w:val="24"/>
                <w:highlight w:val="none"/>
                <w:lang w:val="en-US" w:eastAsia="zh-CN"/>
              </w:rPr>
            </w:pPr>
            <w:r>
              <w:rPr>
                <w:rFonts w:hint="eastAsia" w:ascii="宋体" w:hAnsi="宋体" w:eastAsia="宋体" w:cs="宋体"/>
                <w:snapToGrid w:val="0"/>
                <w:spacing w:val="20"/>
                <w:sz w:val="24"/>
                <w:szCs w:val="24"/>
                <w:highlight w:val="none"/>
                <w:lang w:val="en-US" w:eastAsia="zh-CN"/>
              </w:rPr>
              <w:t>3</w:t>
            </w:r>
          </w:p>
        </w:tc>
        <w:tc>
          <w:tcPr>
            <w:tcW w:w="2759" w:type="dxa"/>
            <w:tcBorders>
              <w:top w:val="single" w:color="auto" w:sz="4" w:space="0"/>
              <w:left w:val="single" w:color="auto" w:sz="4" w:space="0"/>
              <w:bottom w:val="single" w:color="auto" w:sz="4" w:space="0"/>
              <w:right w:val="single" w:color="auto" w:sz="4" w:space="0"/>
            </w:tcBorders>
            <w:noWrap w:val="0"/>
            <w:vAlign w:val="center"/>
          </w:tcPr>
          <w:p w14:paraId="05811EE1">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482B0842">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58EC400">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2E7107">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02983517">
            <w:pPr>
              <w:jc w:val="center"/>
              <w:rPr>
                <w:rFonts w:hint="eastAsia" w:ascii="宋体" w:hAnsi="宋体" w:eastAsia="宋体" w:cs="宋体"/>
                <w:snapToGrid w:val="0"/>
                <w:spacing w:val="20"/>
                <w:sz w:val="24"/>
                <w:szCs w:val="24"/>
                <w:highlight w:val="none"/>
              </w:rPr>
            </w:pPr>
          </w:p>
        </w:tc>
      </w:tr>
      <w:tr w14:paraId="78D327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3F54095F">
            <w:pPr>
              <w:jc w:val="center"/>
              <w:rPr>
                <w:rFonts w:hint="eastAsia" w:ascii="宋体" w:hAnsi="宋体" w:eastAsia="宋体" w:cs="宋体"/>
                <w:snapToGrid w:val="0"/>
                <w:spacing w:val="20"/>
                <w:sz w:val="24"/>
                <w:szCs w:val="24"/>
                <w:highlight w:val="none"/>
                <w:lang w:val="en-US" w:eastAsia="zh-CN"/>
              </w:rPr>
            </w:pPr>
            <w:r>
              <w:rPr>
                <w:rFonts w:hint="eastAsia" w:ascii="宋体" w:hAnsi="宋体" w:eastAsia="宋体" w:cs="宋体"/>
                <w:snapToGrid w:val="0"/>
                <w:spacing w:val="20"/>
                <w:sz w:val="24"/>
                <w:szCs w:val="24"/>
                <w:highlight w:val="none"/>
                <w:lang w:val="en-US" w:eastAsia="zh-CN"/>
              </w:rPr>
              <w:t>...</w:t>
            </w:r>
          </w:p>
        </w:tc>
        <w:tc>
          <w:tcPr>
            <w:tcW w:w="2759" w:type="dxa"/>
            <w:tcBorders>
              <w:top w:val="single" w:color="auto" w:sz="4" w:space="0"/>
              <w:left w:val="single" w:color="auto" w:sz="4" w:space="0"/>
              <w:bottom w:val="single" w:color="auto" w:sz="4" w:space="0"/>
              <w:right w:val="single" w:color="auto" w:sz="4" w:space="0"/>
            </w:tcBorders>
            <w:noWrap w:val="0"/>
            <w:vAlign w:val="center"/>
          </w:tcPr>
          <w:p w14:paraId="13B1E87B">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1DBA891">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B66D5F1">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7C9984">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6E5F43A7">
            <w:pPr>
              <w:jc w:val="center"/>
              <w:rPr>
                <w:rFonts w:hint="eastAsia" w:ascii="宋体" w:hAnsi="宋体" w:eastAsia="宋体" w:cs="宋体"/>
                <w:snapToGrid w:val="0"/>
                <w:spacing w:val="20"/>
                <w:sz w:val="24"/>
                <w:szCs w:val="24"/>
                <w:highlight w:val="none"/>
              </w:rPr>
            </w:pPr>
          </w:p>
        </w:tc>
      </w:tr>
      <w:tr w14:paraId="7256E8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32AB2E46">
            <w:pPr>
              <w:jc w:val="center"/>
              <w:rPr>
                <w:rFonts w:hint="eastAsia" w:ascii="宋体" w:hAnsi="宋体" w:eastAsia="宋体" w:cs="宋体"/>
                <w:snapToGrid w:val="0"/>
                <w:spacing w:val="20"/>
                <w:sz w:val="24"/>
                <w:szCs w:val="24"/>
                <w:highlight w:val="none"/>
                <w:lang w:val="en-US" w:eastAsia="zh-CN"/>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14:paraId="7FA3E729">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A3AE2EA">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B54E14B">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679CAD">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664C233C">
            <w:pPr>
              <w:jc w:val="center"/>
              <w:rPr>
                <w:rFonts w:hint="eastAsia" w:ascii="宋体" w:hAnsi="宋体" w:eastAsia="宋体" w:cs="宋体"/>
                <w:snapToGrid w:val="0"/>
                <w:spacing w:val="20"/>
                <w:sz w:val="24"/>
                <w:szCs w:val="24"/>
                <w:highlight w:val="none"/>
              </w:rPr>
            </w:pPr>
          </w:p>
        </w:tc>
      </w:tr>
      <w:tr w14:paraId="4C6934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08D40CC7">
            <w:pPr>
              <w:jc w:val="center"/>
              <w:rPr>
                <w:rFonts w:hint="eastAsia" w:ascii="宋体" w:hAnsi="宋体" w:eastAsia="宋体" w:cs="宋体"/>
                <w:snapToGrid w:val="0"/>
                <w:spacing w:val="20"/>
                <w:sz w:val="24"/>
                <w:szCs w:val="24"/>
                <w:highlight w:val="none"/>
                <w:lang w:val="en-US" w:eastAsia="zh-CN"/>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14:paraId="55D27FF5">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EC16815">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E754FD1">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D05781">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74A0F090">
            <w:pPr>
              <w:jc w:val="center"/>
              <w:rPr>
                <w:rFonts w:hint="eastAsia" w:ascii="宋体" w:hAnsi="宋体" w:eastAsia="宋体" w:cs="宋体"/>
                <w:snapToGrid w:val="0"/>
                <w:spacing w:val="20"/>
                <w:sz w:val="24"/>
                <w:szCs w:val="24"/>
                <w:highlight w:val="none"/>
              </w:rPr>
            </w:pPr>
          </w:p>
        </w:tc>
      </w:tr>
      <w:tr w14:paraId="572E05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4DF6BC87">
            <w:pPr>
              <w:jc w:val="center"/>
              <w:rPr>
                <w:rFonts w:hint="eastAsia" w:ascii="宋体" w:hAnsi="宋体" w:eastAsia="宋体" w:cs="宋体"/>
                <w:snapToGrid w:val="0"/>
                <w:spacing w:val="20"/>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14:paraId="4A2BE15B">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1D3E0662">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2719842">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DDD74E">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53796980">
            <w:pPr>
              <w:jc w:val="center"/>
              <w:rPr>
                <w:rFonts w:hint="eastAsia" w:ascii="宋体" w:hAnsi="宋体" w:eastAsia="宋体" w:cs="宋体"/>
                <w:snapToGrid w:val="0"/>
                <w:spacing w:val="20"/>
                <w:sz w:val="24"/>
                <w:szCs w:val="24"/>
                <w:highlight w:val="none"/>
              </w:rPr>
            </w:pPr>
          </w:p>
        </w:tc>
      </w:tr>
      <w:tr w14:paraId="6CF795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30A99F80">
            <w:pPr>
              <w:jc w:val="center"/>
              <w:rPr>
                <w:rFonts w:hint="eastAsia" w:ascii="宋体" w:hAnsi="宋体" w:eastAsia="宋体" w:cs="宋体"/>
                <w:snapToGrid w:val="0"/>
                <w:spacing w:val="20"/>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14:paraId="079DD76C">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789322F">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5CA117F">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631B87B">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0CA0AFCD">
            <w:pPr>
              <w:jc w:val="center"/>
              <w:rPr>
                <w:rFonts w:hint="eastAsia" w:ascii="宋体" w:hAnsi="宋体" w:eastAsia="宋体" w:cs="宋体"/>
                <w:snapToGrid w:val="0"/>
                <w:spacing w:val="20"/>
                <w:sz w:val="24"/>
                <w:szCs w:val="24"/>
                <w:highlight w:val="none"/>
              </w:rPr>
            </w:pPr>
          </w:p>
        </w:tc>
      </w:tr>
      <w:tr w14:paraId="215967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67A9B7F9">
            <w:pPr>
              <w:jc w:val="center"/>
              <w:rPr>
                <w:rFonts w:hint="eastAsia" w:ascii="宋体" w:hAnsi="宋体" w:eastAsia="宋体" w:cs="宋体"/>
                <w:snapToGrid w:val="0"/>
                <w:spacing w:val="20"/>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14:paraId="2D342D64">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50773EC8">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C62E775">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7DE32C">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23563BC2">
            <w:pPr>
              <w:jc w:val="center"/>
              <w:rPr>
                <w:rFonts w:hint="eastAsia" w:ascii="宋体" w:hAnsi="宋体" w:eastAsia="宋体" w:cs="宋体"/>
                <w:snapToGrid w:val="0"/>
                <w:spacing w:val="20"/>
                <w:sz w:val="24"/>
                <w:szCs w:val="24"/>
                <w:highlight w:val="none"/>
              </w:rPr>
            </w:pPr>
          </w:p>
        </w:tc>
      </w:tr>
      <w:tr w14:paraId="283394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right w:val="single" w:color="auto" w:sz="4" w:space="0"/>
            </w:tcBorders>
            <w:noWrap w:val="0"/>
            <w:vAlign w:val="center"/>
          </w:tcPr>
          <w:p w14:paraId="1AF45D80">
            <w:pPr>
              <w:jc w:val="center"/>
              <w:rPr>
                <w:rFonts w:hint="eastAsia" w:ascii="宋体" w:hAnsi="宋体" w:eastAsia="宋体" w:cs="宋体"/>
                <w:snapToGrid w:val="0"/>
                <w:spacing w:val="20"/>
                <w:sz w:val="24"/>
                <w:szCs w:val="24"/>
                <w:highlight w:val="none"/>
              </w:rPr>
            </w:pPr>
          </w:p>
        </w:tc>
        <w:tc>
          <w:tcPr>
            <w:tcW w:w="2759" w:type="dxa"/>
            <w:tcBorders>
              <w:top w:val="single" w:color="auto" w:sz="4" w:space="0"/>
              <w:left w:val="single" w:color="auto" w:sz="4" w:space="0"/>
              <w:right w:val="single" w:color="auto" w:sz="4" w:space="0"/>
            </w:tcBorders>
            <w:noWrap w:val="0"/>
            <w:vAlign w:val="center"/>
          </w:tcPr>
          <w:p w14:paraId="24F55E89">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right w:val="single" w:color="auto" w:sz="4" w:space="0"/>
            </w:tcBorders>
            <w:noWrap w:val="0"/>
            <w:vAlign w:val="center"/>
          </w:tcPr>
          <w:p w14:paraId="088B2E31">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right w:val="single" w:color="auto" w:sz="4" w:space="0"/>
            </w:tcBorders>
            <w:noWrap w:val="0"/>
            <w:vAlign w:val="center"/>
          </w:tcPr>
          <w:p w14:paraId="73F957F8">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right w:val="single" w:color="auto" w:sz="4" w:space="0"/>
            </w:tcBorders>
            <w:noWrap w:val="0"/>
            <w:vAlign w:val="center"/>
          </w:tcPr>
          <w:p w14:paraId="1742F3A0">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tcBorders>
            <w:noWrap w:val="0"/>
            <w:vAlign w:val="center"/>
          </w:tcPr>
          <w:p w14:paraId="3D9C86CA">
            <w:pPr>
              <w:jc w:val="center"/>
              <w:rPr>
                <w:rFonts w:hint="eastAsia" w:ascii="宋体" w:hAnsi="宋体" w:eastAsia="宋体" w:cs="宋体"/>
                <w:snapToGrid w:val="0"/>
                <w:spacing w:val="20"/>
                <w:sz w:val="24"/>
                <w:szCs w:val="24"/>
                <w:highlight w:val="none"/>
              </w:rPr>
            </w:pPr>
          </w:p>
        </w:tc>
      </w:tr>
    </w:tbl>
    <w:p w14:paraId="3C8F359B">
      <w:pPr>
        <w:rPr>
          <w:rFonts w:hint="eastAsia" w:ascii="宋体" w:hAnsi="宋体" w:eastAsia="宋体" w:cs="宋体"/>
          <w:snapToGrid w:val="0"/>
          <w:spacing w:val="20"/>
          <w:sz w:val="24"/>
          <w:szCs w:val="24"/>
          <w:highlight w:val="none"/>
        </w:rPr>
      </w:pPr>
    </w:p>
    <w:p w14:paraId="70205B38">
      <w:pPr>
        <w:pStyle w:val="16"/>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递交的技术规格书中与招标文件的技术规格书中的要求有不同时，应逐条列在技术偏离表中并作出“正偏离/负偏离”，同时在说明栏目中具体说明及填写页码，否则将认为</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接受招标文件的要求。如若此表填无偏离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视为完全响应招标文件的商务及技术要求</w:t>
      </w:r>
      <w:r>
        <w:rPr>
          <w:rFonts w:hint="eastAsia" w:ascii="宋体" w:hAnsi="宋体" w:eastAsia="宋体" w:cs="宋体"/>
          <w:sz w:val="24"/>
          <w:szCs w:val="24"/>
          <w:highlight w:val="none"/>
          <w:lang w:eastAsia="zh-CN"/>
        </w:rPr>
        <w:t>。</w:t>
      </w:r>
    </w:p>
    <w:p w14:paraId="3E923A50">
      <w:pPr>
        <w:pStyle w:val="16"/>
        <w:spacing w:line="400" w:lineRule="atLeast"/>
        <w:rPr>
          <w:rFonts w:hint="eastAsia" w:ascii="宋体" w:hAnsi="宋体" w:eastAsia="宋体" w:cs="宋体"/>
          <w:snapToGrid w:val="0"/>
          <w:spacing w:val="20"/>
          <w:sz w:val="24"/>
          <w:szCs w:val="24"/>
          <w:highlight w:val="none"/>
        </w:rPr>
      </w:pPr>
    </w:p>
    <w:p w14:paraId="1FE3295D">
      <w:pPr>
        <w:pStyle w:val="16"/>
        <w:spacing w:line="400" w:lineRule="atLeast"/>
        <w:ind w:left="666" w:leftChars="313" w:firstLine="4374" w:firstLineChars="1800"/>
        <w:rPr>
          <w:rFonts w:hint="eastAsia" w:ascii="宋体" w:hAnsi="宋体" w:eastAsia="宋体" w:cs="宋体"/>
          <w:sz w:val="24"/>
          <w:szCs w:val="24"/>
          <w:highlight w:val="none"/>
        </w:rPr>
      </w:pPr>
    </w:p>
    <w:p w14:paraId="640FFD57">
      <w:pPr>
        <w:pStyle w:val="16"/>
        <w:spacing w:line="400" w:lineRule="atLeast"/>
        <w:ind w:left="666" w:leftChars="313" w:firstLine="4374" w:firstLineChars="1800"/>
        <w:rPr>
          <w:rFonts w:hint="eastAsia" w:ascii="宋体" w:hAnsi="宋体" w:eastAsia="宋体" w:cs="宋体"/>
          <w:sz w:val="24"/>
          <w:szCs w:val="24"/>
          <w:highlight w:val="none"/>
        </w:rPr>
      </w:pPr>
    </w:p>
    <w:p w14:paraId="1713C94F">
      <w:pPr>
        <w:pStyle w:val="16"/>
        <w:spacing w:line="400" w:lineRule="atLeast"/>
        <w:ind w:left="666" w:leftChars="313" w:firstLine="4374" w:firstLineChars="18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投标人全称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公章</w:t>
      </w:r>
      <w:r>
        <w:rPr>
          <w:rFonts w:hint="eastAsia" w:ascii="宋体" w:hAnsi="宋体" w:eastAsia="宋体" w:cs="宋体"/>
          <w:sz w:val="24"/>
          <w:szCs w:val="24"/>
          <w:highlight w:val="none"/>
        </w:rPr>
        <w:t>）：</w:t>
      </w:r>
    </w:p>
    <w:p w14:paraId="3B7AF935">
      <w:pPr>
        <w:pStyle w:val="16"/>
        <w:spacing w:line="400" w:lineRule="atLeast"/>
        <w:ind w:left="729" w:hanging="729"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授权代表（签字）：</w:t>
      </w:r>
    </w:p>
    <w:p w14:paraId="7E1040BD">
      <w:pPr>
        <w:snapToGrid w:val="0"/>
        <w:spacing w:before="50" w:after="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    年   月   日</w:t>
      </w:r>
    </w:p>
    <w:p w14:paraId="41E79E1C">
      <w:pPr>
        <w:rPr>
          <w:highlight w:val="none"/>
        </w:rPr>
      </w:pPr>
    </w:p>
    <w:p w14:paraId="1C835B01">
      <w:pPr>
        <w:snapToGrid w:val="0"/>
        <w:spacing w:before="50" w:after="50" w:line="360" w:lineRule="auto"/>
        <w:ind w:left="-4" w:leftChars="-72" w:right="-828" w:rightChars="-389" w:hanging="149" w:hangingChars="62"/>
        <w:rPr>
          <w:rFonts w:hint="eastAsia" w:ascii="宋体" w:hAnsi="宋体" w:cs="宋体"/>
          <w:b/>
          <w:sz w:val="24"/>
          <w:highlight w:val="none"/>
        </w:rPr>
      </w:pPr>
    </w:p>
    <w:p w14:paraId="52168F54">
      <w:pPr>
        <w:pStyle w:val="2"/>
        <w:rPr>
          <w:rFonts w:hint="eastAsia"/>
          <w:highlight w:val="none"/>
        </w:rPr>
      </w:pPr>
    </w:p>
    <w:p w14:paraId="3EBE56D9">
      <w:pPr>
        <w:snapToGrid w:val="0"/>
        <w:spacing w:before="50" w:after="50" w:line="360" w:lineRule="auto"/>
        <w:ind w:left="-4" w:leftChars="-72" w:right="-828" w:rightChars="-389" w:hanging="149" w:hangingChars="62"/>
        <w:rPr>
          <w:rFonts w:ascii="宋体" w:hAnsi="宋体" w:cs="宋体"/>
          <w:sz w:val="24"/>
          <w:highlight w:val="none"/>
        </w:rPr>
      </w:pPr>
      <w:r>
        <w:rPr>
          <w:rFonts w:hint="eastAsia" w:ascii="宋体" w:hAnsi="宋体" w:cs="宋体"/>
          <w:b/>
          <w:sz w:val="24"/>
          <w:highlight w:val="none"/>
        </w:rPr>
        <w:t>附件</w:t>
      </w:r>
      <w:r>
        <w:rPr>
          <w:rFonts w:hint="eastAsia" w:ascii="宋体" w:hAnsi="宋体" w:cs="宋体"/>
          <w:b/>
          <w:sz w:val="24"/>
          <w:highlight w:val="none"/>
          <w:lang w:val="en-US" w:eastAsia="zh-CN"/>
        </w:rPr>
        <w:t>10</w:t>
      </w:r>
      <w:r>
        <w:rPr>
          <w:rFonts w:hint="eastAsia" w:ascii="宋体" w:hAnsi="宋体" w:cs="宋体"/>
          <w:b/>
          <w:sz w:val="24"/>
          <w:highlight w:val="none"/>
        </w:rPr>
        <w:t>：开标一览表</w:t>
      </w:r>
    </w:p>
    <w:p w14:paraId="652A9C4C">
      <w:pPr>
        <w:snapToGrid w:val="0"/>
        <w:spacing w:before="50" w:after="50" w:line="360" w:lineRule="auto"/>
        <w:jc w:val="center"/>
        <w:rPr>
          <w:rFonts w:hint="eastAsia" w:ascii="宋体" w:hAnsi="宋体" w:eastAsia="宋体" w:cs="宋体"/>
          <w:b/>
          <w:sz w:val="30"/>
          <w:szCs w:val="20"/>
          <w:highlight w:val="none"/>
          <w:lang w:eastAsia="zh-CN"/>
        </w:rPr>
      </w:pPr>
      <w:r>
        <w:rPr>
          <w:rFonts w:hint="eastAsia" w:ascii="宋体" w:hAnsi="宋体" w:cs="宋体"/>
          <w:b/>
          <w:sz w:val="30"/>
          <w:highlight w:val="none"/>
        </w:rPr>
        <w:t>开标一览表</w:t>
      </w:r>
    </w:p>
    <w:p w14:paraId="0ED552C5">
      <w:pPr>
        <w:snapToGrid w:val="0"/>
        <w:spacing w:before="50" w:after="50" w:line="360" w:lineRule="auto"/>
        <w:rPr>
          <w:rFonts w:ascii="宋体" w:hAnsi="宋体" w:cs="宋体"/>
          <w:sz w:val="24"/>
          <w:highlight w:val="none"/>
        </w:rPr>
      </w:pPr>
      <w:r>
        <w:rPr>
          <w:rFonts w:hint="eastAsia" w:ascii="宋体" w:hAnsi="宋体" w:cs="宋体"/>
          <w:sz w:val="24"/>
          <w:highlight w:val="none"/>
        </w:rPr>
        <w:t>招标编号：                标项：                  单位：元</w:t>
      </w:r>
    </w:p>
    <w:tbl>
      <w:tblPr>
        <w:tblStyle w:val="29"/>
        <w:tblpPr w:leftFromText="180" w:rightFromText="180" w:vertAnchor="text" w:horzAnchor="page" w:tblpX="1612" w:tblpY="18"/>
        <w:tblOverlap w:val="never"/>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370"/>
        <w:gridCol w:w="2159"/>
        <w:gridCol w:w="2159"/>
        <w:gridCol w:w="1468"/>
      </w:tblGrid>
      <w:tr w14:paraId="6AF70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843" w:type="pct"/>
            <w:tcBorders>
              <w:top w:val="single" w:color="auto" w:sz="12" w:space="0"/>
              <w:left w:val="single" w:color="auto" w:sz="12" w:space="0"/>
              <w:bottom w:val="single" w:color="auto" w:sz="4" w:space="0"/>
              <w:right w:val="single" w:color="auto" w:sz="4" w:space="0"/>
            </w:tcBorders>
            <w:noWrap/>
            <w:vAlign w:val="center"/>
          </w:tcPr>
          <w:p w14:paraId="527E0243">
            <w:pPr>
              <w:ind w:right="-21" w:rightChars="-10"/>
              <w:jc w:val="center"/>
              <w:rPr>
                <w:rFonts w:ascii="宋体" w:hAnsi="宋体"/>
                <w:bCs/>
                <w:color w:val="000000"/>
                <w:sz w:val="24"/>
                <w:highlight w:val="none"/>
              </w:rPr>
            </w:pPr>
            <w:r>
              <w:rPr>
                <w:rFonts w:hint="eastAsia" w:ascii="宋体" w:hAnsi="宋体"/>
                <w:bCs/>
                <w:color w:val="000000"/>
                <w:sz w:val="24"/>
                <w:highlight w:val="none"/>
              </w:rPr>
              <w:t>采购项目</w:t>
            </w:r>
          </w:p>
        </w:tc>
        <w:tc>
          <w:tcPr>
            <w:tcW w:w="1179" w:type="pct"/>
            <w:tcBorders>
              <w:top w:val="single" w:color="auto" w:sz="12" w:space="0"/>
              <w:left w:val="single" w:color="auto" w:sz="4" w:space="0"/>
              <w:bottom w:val="single" w:color="auto" w:sz="4" w:space="0"/>
              <w:right w:val="single" w:color="auto" w:sz="4" w:space="0"/>
            </w:tcBorders>
            <w:noWrap/>
            <w:vAlign w:val="center"/>
          </w:tcPr>
          <w:p w14:paraId="549D301D">
            <w:pPr>
              <w:ind w:right="-21" w:rightChars="-10"/>
              <w:jc w:val="center"/>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rPr>
              <w:t>服务期</w:t>
            </w:r>
          </w:p>
        </w:tc>
        <w:tc>
          <w:tcPr>
            <w:tcW w:w="1179" w:type="pct"/>
            <w:tcBorders>
              <w:top w:val="single" w:color="auto" w:sz="12" w:space="0"/>
              <w:left w:val="single" w:color="auto" w:sz="4" w:space="0"/>
              <w:bottom w:val="single" w:color="auto" w:sz="4" w:space="0"/>
              <w:right w:val="single" w:color="auto" w:sz="4" w:space="0"/>
            </w:tcBorders>
            <w:noWrap/>
            <w:vAlign w:val="center"/>
          </w:tcPr>
          <w:p w14:paraId="5CD0EAFA">
            <w:pPr>
              <w:ind w:right="-21" w:rightChars="-10"/>
              <w:jc w:val="center"/>
              <w:rPr>
                <w:rFonts w:ascii="宋体" w:hAnsi="宋体"/>
                <w:bCs/>
                <w:color w:val="000000"/>
                <w:sz w:val="24"/>
                <w:highlight w:val="none"/>
              </w:rPr>
            </w:pPr>
            <w:r>
              <w:rPr>
                <w:rFonts w:hint="eastAsia" w:ascii="宋体" w:hAnsi="宋体" w:eastAsia="宋体" w:cs="Times New Roman"/>
                <w:bCs/>
                <w:color w:val="000000"/>
                <w:sz w:val="24"/>
                <w:highlight w:val="none"/>
              </w:rPr>
              <w:t>项目负责人</w:t>
            </w:r>
          </w:p>
        </w:tc>
        <w:tc>
          <w:tcPr>
            <w:tcW w:w="797" w:type="pct"/>
            <w:tcBorders>
              <w:top w:val="single" w:color="auto" w:sz="12" w:space="0"/>
              <w:left w:val="single" w:color="auto" w:sz="4" w:space="0"/>
              <w:bottom w:val="single" w:color="auto" w:sz="4" w:space="0"/>
              <w:right w:val="single" w:color="auto" w:sz="12" w:space="0"/>
            </w:tcBorders>
            <w:noWrap/>
            <w:vAlign w:val="center"/>
          </w:tcPr>
          <w:p w14:paraId="072CDC6E">
            <w:pPr>
              <w:ind w:right="-21" w:rightChars="-10"/>
              <w:jc w:val="center"/>
              <w:rPr>
                <w:rFonts w:ascii="宋体" w:hAnsi="宋体"/>
                <w:bCs/>
                <w:color w:val="000000"/>
                <w:sz w:val="24"/>
                <w:highlight w:val="none"/>
              </w:rPr>
            </w:pPr>
            <w:r>
              <w:rPr>
                <w:rFonts w:hint="eastAsia" w:ascii="宋体" w:hAnsi="宋体"/>
                <w:bCs/>
                <w:color w:val="000000"/>
                <w:sz w:val="24"/>
                <w:highlight w:val="none"/>
              </w:rPr>
              <w:t>备注</w:t>
            </w:r>
          </w:p>
        </w:tc>
      </w:tr>
      <w:tr w14:paraId="23BED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1843" w:type="pct"/>
            <w:tcBorders>
              <w:top w:val="single" w:color="auto" w:sz="4" w:space="0"/>
              <w:left w:val="single" w:color="auto" w:sz="12" w:space="0"/>
              <w:right w:val="single" w:color="auto" w:sz="4" w:space="0"/>
            </w:tcBorders>
            <w:noWrap/>
            <w:vAlign w:val="center"/>
          </w:tcPr>
          <w:p w14:paraId="280CBED2">
            <w:pPr>
              <w:ind w:right="-21" w:rightChars="-10"/>
              <w:jc w:val="left"/>
              <w:rPr>
                <w:rFonts w:ascii="宋体" w:hAnsi="宋体"/>
                <w:bCs/>
                <w:color w:val="000000"/>
                <w:sz w:val="24"/>
                <w:highlight w:val="none"/>
              </w:rPr>
            </w:pPr>
            <w:r>
              <w:rPr>
                <w:rFonts w:hint="eastAsia" w:ascii="宋体" w:hAnsi="宋体"/>
                <w:bCs/>
                <w:color w:val="000000"/>
                <w:sz w:val="24"/>
                <w:highlight w:val="none"/>
                <w:lang w:eastAsia="zh-CN"/>
              </w:rPr>
              <w:t>信息安全运维服务项目</w:t>
            </w:r>
          </w:p>
        </w:tc>
        <w:tc>
          <w:tcPr>
            <w:tcW w:w="1179" w:type="pct"/>
            <w:tcBorders>
              <w:top w:val="single" w:color="auto" w:sz="4" w:space="0"/>
              <w:left w:val="single" w:color="auto" w:sz="4" w:space="0"/>
              <w:right w:val="single" w:color="auto" w:sz="4" w:space="0"/>
            </w:tcBorders>
            <w:noWrap/>
            <w:vAlign w:val="center"/>
          </w:tcPr>
          <w:p w14:paraId="79713FFE">
            <w:pPr>
              <w:ind w:right="-21" w:rightChars="-10"/>
              <w:jc w:val="center"/>
              <w:rPr>
                <w:rFonts w:ascii="宋体" w:hAnsi="宋体"/>
                <w:bCs/>
                <w:color w:val="000000"/>
                <w:sz w:val="24"/>
                <w:highlight w:val="none"/>
              </w:rPr>
            </w:pPr>
          </w:p>
        </w:tc>
        <w:tc>
          <w:tcPr>
            <w:tcW w:w="1179" w:type="pct"/>
            <w:tcBorders>
              <w:top w:val="single" w:color="auto" w:sz="4" w:space="0"/>
              <w:left w:val="single" w:color="auto" w:sz="4" w:space="0"/>
              <w:right w:val="single" w:color="auto" w:sz="4" w:space="0"/>
            </w:tcBorders>
            <w:noWrap/>
            <w:vAlign w:val="center"/>
          </w:tcPr>
          <w:p w14:paraId="4D691F8B">
            <w:pPr>
              <w:ind w:right="-21" w:rightChars="-10"/>
              <w:jc w:val="center"/>
              <w:rPr>
                <w:rFonts w:ascii="宋体" w:hAnsi="宋体"/>
                <w:bCs/>
                <w:color w:val="000000"/>
                <w:sz w:val="24"/>
                <w:highlight w:val="none"/>
              </w:rPr>
            </w:pPr>
          </w:p>
        </w:tc>
        <w:tc>
          <w:tcPr>
            <w:tcW w:w="797" w:type="pct"/>
            <w:tcBorders>
              <w:top w:val="single" w:color="auto" w:sz="4" w:space="0"/>
              <w:left w:val="single" w:color="auto" w:sz="4" w:space="0"/>
              <w:right w:val="single" w:color="auto" w:sz="12" w:space="0"/>
            </w:tcBorders>
            <w:noWrap/>
            <w:vAlign w:val="center"/>
          </w:tcPr>
          <w:p w14:paraId="44393862">
            <w:pPr>
              <w:ind w:right="-21" w:rightChars="-10"/>
              <w:jc w:val="center"/>
              <w:rPr>
                <w:rFonts w:ascii="宋体" w:hAnsi="宋体"/>
                <w:bCs/>
                <w:color w:val="000000"/>
                <w:sz w:val="24"/>
                <w:highlight w:val="none"/>
              </w:rPr>
            </w:pPr>
          </w:p>
        </w:tc>
      </w:tr>
      <w:tr w14:paraId="321B2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5000" w:type="pct"/>
            <w:gridSpan w:val="4"/>
            <w:tcBorders>
              <w:left w:val="single" w:color="auto" w:sz="12" w:space="0"/>
              <w:bottom w:val="single" w:color="auto" w:sz="12" w:space="0"/>
              <w:right w:val="single" w:color="auto" w:sz="12" w:space="0"/>
            </w:tcBorders>
            <w:noWrap/>
            <w:vAlign w:val="center"/>
          </w:tcPr>
          <w:p w14:paraId="6557271E">
            <w:pPr>
              <w:ind w:right="-21" w:rightChars="-10"/>
              <w:rPr>
                <w:rFonts w:hint="eastAsia" w:ascii="宋体" w:hAnsi="宋体" w:eastAsia="宋体"/>
                <w:bCs/>
                <w:color w:val="000000"/>
                <w:sz w:val="24"/>
                <w:highlight w:val="none"/>
                <w:lang w:eastAsia="zh-CN"/>
              </w:rPr>
            </w:pPr>
            <w:r>
              <w:rPr>
                <w:rFonts w:hint="eastAsia" w:ascii="宋体" w:hAnsi="宋体" w:eastAsia="宋体" w:cs="宋体"/>
                <w:sz w:val="24"/>
                <w:szCs w:val="22"/>
                <w:highlight w:val="none"/>
              </w:rPr>
              <w:t>暂定总价：大写：</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rPr>
              <w:t>小写：（</w:t>
            </w:r>
            <w:r>
              <w:rPr>
                <w:rFonts w:hint="eastAsia" w:ascii="宋体" w:hAnsi="宋体" w:eastAsia="宋体" w:cs="宋体"/>
                <w:sz w:val="24"/>
                <w:szCs w:val="22"/>
                <w:highlight w:val="none"/>
                <w:u w:val="single"/>
              </w:rPr>
              <w:t xml:space="preserve">                         元</w:t>
            </w:r>
            <w:r>
              <w:rPr>
                <w:rFonts w:hint="eastAsia" w:ascii="宋体" w:hAnsi="宋体" w:eastAsia="宋体" w:cs="宋体"/>
                <w:sz w:val="24"/>
                <w:szCs w:val="22"/>
                <w:highlight w:val="none"/>
              </w:rPr>
              <w:t>）</w:t>
            </w:r>
          </w:p>
        </w:tc>
      </w:tr>
    </w:tbl>
    <w:p w14:paraId="2D5FCCBA">
      <w:pPr>
        <w:keepNext w:val="0"/>
        <w:keepLines w:val="0"/>
        <w:pageBreakBefore w:val="0"/>
        <w:widowControl w:val="0"/>
        <w:kinsoku/>
        <w:wordWrap/>
        <w:overflowPunct/>
        <w:topLinePunct w:val="0"/>
        <w:autoSpaceDE/>
        <w:autoSpaceDN/>
        <w:bidi w:val="0"/>
        <w:adjustRightInd/>
        <w:snapToGrid w:val="0"/>
        <w:spacing w:before="50" w:after="50" w:line="360" w:lineRule="auto"/>
        <w:ind w:firstLine="486" w:firstLineChars="200"/>
        <w:jc w:val="left"/>
        <w:textAlignment w:val="auto"/>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val="en-US" w:eastAsia="zh-CN"/>
        </w:rPr>
        <w:t>1、</w:t>
      </w:r>
      <w:r>
        <w:rPr>
          <w:rFonts w:hint="eastAsia" w:ascii="宋体" w:hAnsi="宋体" w:cs="宋体"/>
          <w:sz w:val="24"/>
          <w:highlight w:val="none"/>
        </w:rPr>
        <w:t>投标报价是履行合同的</w:t>
      </w:r>
      <w:r>
        <w:rPr>
          <w:rFonts w:hint="eastAsia" w:ascii="宋体" w:hAnsi="宋体" w:cs="宋体"/>
          <w:sz w:val="24"/>
          <w:highlight w:val="none"/>
        </w:rPr>
        <w:t>最终价格，应报价包括但不限于</w:t>
      </w:r>
      <w:r>
        <w:rPr>
          <w:rFonts w:hint="eastAsia" w:ascii="宋体" w:hAnsi="宋体" w:eastAsia="宋体" w:cs="宋体"/>
          <w:sz w:val="24"/>
          <w:szCs w:val="24"/>
          <w:highlight w:val="none"/>
          <w:lang w:val="en-US" w:eastAsia="zh-CN"/>
        </w:rPr>
        <w:t>本项目整个服务期所需的一切</w:t>
      </w:r>
      <w:r>
        <w:rPr>
          <w:rFonts w:hint="eastAsia" w:hAnsi="宋体" w:cs="宋体"/>
          <w:sz w:val="24"/>
          <w:szCs w:val="24"/>
          <w:highlight w:val="none"/>
          <w:lang w:val="en-US" w:eastAsia="zh-CN"/>
        </w:rPr>
        <w:t>软硬</w:t>
      </w:r>
      <w:r>
        <w:rPr>
          <w:rFonts w:hint="eastAsia" w:ascii="宋体" w:hAnsi="宋体" w:eastAsia="宋体" w:cs="宋体"/>
          <w:sz w:val="24"/>
          <w:szCs w:val="24"/>
          <w:highlight w:val="none"/>
          <w:lang w:val="en-US" w:eastAsia="zh-CN"/>
        </w:rPr>
        <w:t>件</w:t>
      </w:r>
      <w:r>
        <w:rPr>
          <w:rFonts w:hint="eastAsia" w:hAnsi="宋体" w:cs="宋体"/>
          <w:sz w:val="24"/>
          <w:szCs w:val="24"/>
          <w:highlight w:val="none"/>
          <w:lang w:val="en-US" w:eastAsia="zh-CN"/>
        </w:rPr>
        <w:t>及</w:t>
      </w:r>
      <w:r>
        <w:rPr>
          <w:rFonts w:hint="eastAsia" w:ascii="宋体" w:hAnsi="宋体" w:eastAsia="宋体" w:cs="宋体"/>
          <w:sz w:val="24"/>
          <w:szCs w:val="24"/>
          <w:highlight w:val="none"/>
          <w:lang w:val="en-US" w:eastAsia="zh-CN"/>
        </w:rPr>
        <w:t>人工、工具、保险、交通、利润、税金、售后服务、保修（包含须由投标人承担的各种税费）、其它需投标人承担的费用及潜在可能涉及的一切费用。</w:t>
      </w:r>
      <w:r>
        <w:rPr>
          <w:rFonts w:hint="eastAsia" w:ascii="宋体" w:hAnsi="宋体" w:cs="宋体"/>
          <w:sz w:val="24"/>
          <w:highlight w:val="none"/>
        </w:rPr>
        <w:t>投标人在编写投标文件时应充分考虑，凡投标人漏项、漏报均认为已包含在投标报价中。</w:t>
      </w:r>
    </w:p>
    <w:p w14:paraId="59224680">
      <w:pPr>
        <w:keepNext w:val="0"/>
        <w:keepLines w:val="0"/>
        <w:pageBreakBefore w:val="0"/>
        <w:widowControl w:val="0"/>
        <w:kinsoku/>
        <w:wordWrap/>
        <w:overflowPunct/>
        <w:topLinePunct w:val="0"/>
        <w:autoSpaceDE/>
        <w:autoSpaceDN/>
        <w:bidi w:val="0"/>
        <w:adjustRightInd/>
        <w:spacing w:line="360" w:lineRule="auto"/>
        <w:ind w:firstLine="486" w:firstLineChars="200"/>
        <w:textAlignment w:val="auto"/>
        <w:rPr>
          <w:rFonts w:hint="eastAsia" w:ascii="宋体" w:hAnsi="宋体" w:cs="宋体"/>
          <w:b w:val="0"/>
          <w:bCs/>
          <w:sz w:val="24"/>
          <w:highlight w:val="none"/>
          <w:lang w:val="zh-CN"/>
        </w:rPr>
      </w:pPr>
      <w:r>
        <w:rPr>
          <w:rFonts w:hint="eastAsia" w:ascii="宋体" w:hAnsi="宋体" w:cs="宋体"/>
          <w:b w:val="0"/>
          <w:bCs/>
          <w:sz w:val="24"/>
          <w:highlight w:val="none"/>
          <w:lang w:val="zh-CN"/>
        </w:rPr>
        <w:t>2、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2B770F7C">
      <w:pPr>
        <w:keepNext w:val="0"/>
        <w:keepLines w:val="0"/>
        <w:pageBreakBefore w:val="0"/>
        <w:widowControl w:val="0"/>
        <w:kinsoku/>
        <w:wordWrap/>
        <w:overflowPunct/>
        <w:topLinePunct w:val="0"/>
        <w:autoSpaceDE/>
        <w:autoSpaceDN/>
        <w:bidi w:val="0"/>
        <w:adjustRightInd/>
        <w:spacing w:line="360" w:lineRule="auto"/>
        <w:ind w:firstLine="486" w:firstLineChars="200"/>
        <w:textAlignment w:val="auto"/>
        <w:rPr>
          <w:rFonts w:hint="eastAsia" w:ascii="宋体" w:hAnsi="宋体" w:cs="宋体"/>
          <w:b/>
          <w:sz w:val="24"/>
          <w:highlight w:val="none"/>
          <w:lang w:val="zh-CN" w:eastAsia="zh-CN"/>
        </w:rPr>
      </w:pPr>
    </w:p>
    <w:p w14:paraId="111AF660">
      <w:pPr>
        <w:pStyle w:val="2"/>
        <w:rPr>
          <w:rFonts w:hint="eastAsia"/>
          <w:highlight w:val="none"/>
          <w:lang w:val="zh-CN" w:eastAsia="zh-CN"/>
        </w:rPr>
      </w:pPr>
    </w:p>
    <w:p w14:paraId="6667AB65">
      <w:pPr>
        <w:pStyle w:val="7"/>
        <w:rPr>
          <w:rFonts w:hint="eastAsia"/>
          <w:highlight w:val="none"/>
          <w:lang w:val="zh-CN" w:eastAsia="zh-CN"/>
        </w:rPr>
      </w:pPr>
    </w:p>
    <w:p w14:paraId="15FF69BA">
      <w:pPr>
        <w:snapToGrid w:val="0"/>
        <w:spacing w:before="50" w:after="50" w:line="360" w:lineRule="auto"/>
        <w:ind w:left="89" w:leftChars="42" w:right="-828" w:rightChars="-389" w:firstLine="2755" w:firstLineChars="1134"/>
        <w:rPr>
          <w:rFonts w:ascii="宋体" w:hAnsi="宋体" w:cs="宋体"/>
          <w:sz w:val="24"/>
          <w:szCs w:val="20"/>
          <w:highlight w:val="none"/>
        </w:rPr>
      </w:pPr>
      <w:r>
        <w:rPr>
          <w:rFonts w:hint="eastAsia" w:ascii="宋体" w:hAnsi="宋体" w:cs="宋体"/>
          <w:sz w:val="24"/>
          <w:highlight w:val="none"/>
        </w:rPr>
        <w:t>法定代表人或授权代表（签字或盖章）：</w:t>
      </w:r>
    </w:p>
    <w:p w14:paraId="7B73B7AC">
      <w:pPr>
        <w:snapToGrid w:val="0"/>
        <w:spacing w:before="50" w:after="50" w:line="360" w:lineRule="auto"/>
        <w:ind w:left="89" w:leftChars="42" w:right="-828" w:rightChars="-389" w:firstLine="4213" w:firstLineChars="1734"/>
        <w:rPr>
          <w:rFonts w:hint="eastAsia" w:ascii="宋体" w:hAnsi="宋体" w:cs="宋体"/>
          <w:b/>
          <w:bCs/>
          <w:color w:val="000000"/>
          <w:sz w:val="24"/>
          <w:szCs w:val="24"/>
          <w:highlight w:val="none"/>
        </w:rPr>
      </w:pPr>
      <w:r>
        <w:rPr>
          <w:rFonts w:hint="eastAsia" w:ascii="宋体" w:hAnsi="宋体" w:cs="宋体"/>
          <w:sz w:val="24"/>
          <w:highlight w:val="none"/>
        </w:rPr>
        <w:t>投标人名称（公章）：</w:t>
      </w:r>
    </w:p>
    <w:p w14:paraId="5A6A1EE8">
      <w:pP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br w:type="page"/>
      </w:r>
    </w:p>
    <w:p w14:paraId="6229CB4E">
      <w:pPr>
        <w:adjustRightInd w:val="0"/>
        <w:snapToGrid w:val="0"/>
        <w:spacing w:line="312" w:lineRule="auto"/>
        <w:rPr>
          <w:rFonts w:hint="eastAsia" w:ascii="宋体" w:hAnsi="宋体"/>
          <w:bCs/>
          <w:sz w:val="24"/>
          <w:highlight w:val="none"/>
        </w:rPr>
      </w:pPr>
      <w:r>
        <w:rPr>
          <w:rFonts w:hint="eastAsia" w:ascii="宋体" w:hAnsi="宋体" w:cs="宋体"/>
          <w:b/>
          <w:sz w:val="24"/>
          <w:highlight w:val="none"/>
        </w:rPr>
        <w:t>附件1</w:t>
      </w:r>
      <w:r>
        <w:rPr>
          <w:rFonts w:hint="eastAsia" w:ascii="宋体" w:hAnsi="宋体" w:cs="宋体"/>
          <w:b/>
          <w:sz w:val="24"/>
          <w:highlight w:val="none"/>
          <w:lang w:val="en-US" w:eastAsia="zh-CN"/>
        </w:rPr>
        <w:t>1</w:t>
      </w:r>
      <w:r>
        <w:rPr>
          <w:rFonts w:hint="eastAsia" w:ascii="宋体" w:hAnsi="宋体" w:cs="宋体"/>
          <w:b/>
          <w:sz w:val="24"/>
          <w:highlight w:val="none"/>
        </w:rPr>
        <w:t>：</w:t>
      </w:r>
      <w:r>
        <w:rPr>
          <w:rFonts w:hint="eastAsia" w:ascii="宋体" w:hAnsi="宋体"/>
          <w:b/>
          <w:bCs w:val="0"/>
          <w:sz w:val="24"/>
          <w:highlight w:val="none"/>
        </w:rPr>
        <w:t>投标报价明细表</w:t>
      </w:r>
    </w:p>
    <w:p w14:paraId="786950AA">
      <w:pPr>
        <w:spacing w:line="800" w:lineRule="exact"/>
        <w:jc w:val="center"/>
        <w:rPr>
          <w:rFonts w:hint="eastAsia" w:ascii="宋体" w:hAnsi="宋体"/>
          <w:b/>
          <w:color w:val="000000"/>
          <w:szCs w:val="21"/>
          <w:highlight w:val="none"/>
        </w:rPr>
      </w:pPr>
      <w:r>
        <w:rPr>
          <w:rFonts w:hint="eastAsia" w:ascii="宋体" w:hAnsi="宋体" w:cs="宋体"/>
          <w:b/>
          <w:bCs/>
          <w:color w:val="000000"/>
          <w:sz w:val="30"/>
          <w:szCs w:val="30"/>
          <w:highlight w:val="none"/>
        </w:rPr>
        <w:t>投标</w:t>
      </w:r>
      <w:r>
        <w:rPr>
          <w:rFonts w:hint="eastAsia" w:ascii="宋体" w:hAnsi="宋体" w:cs="宋体"/>
          <w:b/>
          <w:bCs/>
          <w:sz w:val="30"/>
          <w:szCs w:val="30"/>
          <w:highlight w:val="none"/>
        </w:rPr>
        <w:t>报价明细表</w:t>
      </w:r>
    </w:p>
    <w:p w14:paraId="7B488815">
      <w:pPr>
        <w:spacing w:line="440" w:lineRule="exact"/>
        <w:jc w:val="left"/>
        <w:rPr>
          <w:rFonts w:hint="eastAsia" w:ascii="宋体" w:hAnsi="宋体"/>
          <w:b/>
          <w:color w:val="000000"/>
          <w:szCs w:val="21"/>
          <w:highlight w:val="none"/>
        </w:rPr>
      </w:pPr>
    </w:p>
    <w:tbl>
      <w:tblPr>
        <w:tblStyle w:val="29"/>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811"/>
        <w:gridCol w:w="1486"/>
        <w:gridCol w:w="1855"/>
        <w:gridCol w:w="1642"/>
      </w:tblGrid>
      <w:tr w14:paraId="6D34F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899976C">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序号</w:t>
            </w:r>
          </w:p>
        </w:tc>
        <w:tc>
          <w:tcPr>
            <w:tcW w:w="2811" w:type="dxa"/>
          </w:tcPr>
          <w:p w14:paraId="2752E593">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服务内容</w:t>
            </w:r>
          </w:p>
        </w:tc>
        <w:tc>
          <w:tcPr>
            <w:tcW w:w="1486" w:type="dxa"/>
          </w:tcPr>
          <w:p w14:paraId="323DFBFD">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数量</w:t>
            </w:r>
          </w:p>
        </w:tc>
        <w:tc>
          <w:tcPr>
            <w:tcW w:w="1855" w:type="dxa"/>
          </w:tcPr>
          <w:p w14:paraId="0EF8EC9C">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单价</w:t>
            </w:r>
          </w:p>
        </w:tc>
        <w:tc>
          <w:tcPr>
            <w:tcW w:w="1642" w:type="dxa"/>
          </w:tcPr>
          <w:p w14:paraId="7E99CC06">
            <w:pPr>
              <w:spacing w:line="440" w:lineRule="exact"/>
              <w:jc w:val="center"/>
              <w:rPr>
                <w:rFonts w:hint="eastAsia" w:ascii="宋体" w:hAnsi="宋体"/>
                <w:b/>
                <w:color w:val="000000"/>
                <w:sz w:val="24"/>
                <w:highlight w:val="none"/>
              </w:rPr>
            </w:pPr>
            <w:r>
              <w:rPr>
                <w:rFonts w:hint="eastAsia" w:ascii="宋体" w:hAnsi="宋体"/>
                <w:b/>
                <w:sz w:val="24"/>
                <w:highlight w:val="none"/>
              </w:rPr>
              <w:t>单价合计</w:t>
            </w:r>
          </w:p>
        </w:tc>
      </w:tr>
      <w:tr w14:paraId="0B72E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47E48CD">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1</w:t>
            </w:r>
          </w:p>
        </w:tc>
        <w:tc>
          <w:tcPr>
            <w:tcW w:w="2811" w:type="dxa"/>
          </w:tcPr>
          <w:p w14:paraId="1BBBA123">
            <w:pPr>
              <w:spacing w:line="440" w:lineRule="exact"/>
              <w:jc w:val="center"/>
              <w:rPr>
                <w:rFonts w:hint="eastAsia" w:ascii="宋体" w:hAnsi="宋体"/>
                <w:b/>
                <w:color w:val="000000"/>
                <w:sz w:val="24"/>
                <w:highlight w:val="none"/>
              </w:rPr>
            </w:pPr>
          </w:p>
        </w:tc>
        <w:tc>
          <w:tcPr>
            <w:tcW w:w="1486" w:type="dxa"/>
          </w:tcPr>
          <w:p w14:paraId="08218C31">
            <w:pPr>
              <w:spacing w:line="440" w:lineRule="exact"/>
              <w:jc w:val="center"/>
              <w:rPr>
                <w:rFonts w:hint="eastAsia" w:ascii="宋体" w:hAnsi="宋体"/>
                <w:b/>
                <w:color w:val="000000"/>
                <w:sz w:val="24"/>
                <w:highlight w:val="none"/>
              </w:rPr>
            </w:pPr>
          </w:p>
        </w:tc>
        <w:tc>
          <w:tcPr>
            <w:tcW w:w="1855" w:type="dxa"/>
          </w:tcPr>
          <w:p w14:paraId="0A0BEA6D">
            <w:pPr>
              <w:spacing w:line="440" w:lineRule="exact"/>
              <w:jc w:val="center"/>
              <w:rPr>
                <w:rFonts w:hint="eastAsia" w:ascii="宋体" w:hAnsi="宋体"/>
                <w:b/>
                <w:color w:val="000000"/>
                <w:sz w:val="24"/>
                <w:highlight w:val="none"/>
              </w:rPr>
            </w:pPr>
          </w:p>
        </w:tc>
        <w:tc>
          <w:tcPr>
            <w:tcW w:w="1642" w:type="dxa"/>
          </w:tcPr>
          <w:p w14:paraId="062D1B09">
            <w:pPr>
              <w:spacing w:line="440" w:lineRule="exact"/>
              <w:jc w:val="center"/>
              <w:rPr>
                <w:rFonts w:hint="eastAsia" w:ascii="宋体" w:hAnsi="宋体"/>
                <w:b/>
                <w:color w:val="000000"/>
                <w:sz w:val="24"/>
                <w:highlight w:val="none"/>
              </w:rPr>
            </w:pPr>
          </w:p>
        </w:tc>
      </w:tr>
      <w:tr w14:paraId="4A97E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53226081">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2</w:t>
            </w:r>
          </w:p>
        </w:tc>
        <w:tc>
          <w:tcPr>
            <w:tcW w:w="2811" w:type="dxa"/>
          </w:tcPr>
          <w:p w14:paraId="68DD0629">
            <w:pPr>
              <w:spacing w:line="440" w:lineRule="exact"/>
              <w:jc w:val="center"/>
              <w:rPr>
                <w:rFonts w:hint="eastAsia" w:ascii="宋体" w:hAnsi="宋体"/>
                <w:b/>
                <w:color w:val="000000"/>
                <w:sz w:val="24"/>
                <w:highlight w:val="none"/>
              </w:rPr>
            </w:pPr>
          </w:p>
        </w:tc>
        <w:tc>
          <w:tcPr>
            <w:tcW w:w="1486" w:type="dxa"/>
          </w:tcPr>
          <w:p w14:paraId="02422FCF">
            <w:pPr>
              <w:spacing w:line="440" w:lineRule="exact"/>
              <w:jc w:val="center"/>
              <w:rPr>
                <w:rFonts w:hint="eastAsia" w:ascii="宋体" w:hAnsi="宋体"/>
                <w:b/>
                <w:color w:val="000000"/>
                <w:sz w:val="24"/>
                <w:highlight w:val="none"/>
              </w:rPr>
            </w:pPr>
          </w:p>
        </w:tc>
        <w:tc>
          <w:tcPr>
            <w:tcW w:w="1855" w:type="dxa"/>
          </w:tcPr>
          <w:p w14:paraId="4030D4AB">
            <w:pPr>
              <w:spacing w:line="440" w:lineRule="exact"/>
              <w:jc w:val="center"/>
              <w:rPr>
                <w:rFonts w:hint="eastAsia" w:ascii="宋体" w:hAnsi="宋体"/>
                <w:b/>
                <w:color w:val="000000"/>
                <w:sz w:val="24"/>
                <w:highlight w:val="none"/>
              </w:rPr>
            </w:pPr>
          </w:p>
        </w:tc>
        <w:tc>
          <w:tcPr>
            <w:tcW w:w="1642" w:type="dxa"/>
          </w:tcPr>
          <w:p w14:paraId="2C5B6E01">
            <w:pPr>
              <w:spacing w:line="440" w:lineRule="exact"/>
              <w:jc w:val="center"/>
              <w:rPr>
                <w:rFonts w:hint="eastAsia" w:ascii="宋体" w:hAnsi="宋体"/>
                <w:b/>
                <w:color w:val="000000"/>
                <w:sz w:val="24"/>
                <w:highlight w:val="none"/>
              </w:rPr>
            </w:pPr>
          </w:p>
        </w:tc>
      </w:tr>
      <w:tr w14:paraId="4027F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410F6E9C">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3</w:t>
            </w:r>
          </w:p>
        </w:tc>
        <w:tc>
          <w:tcPr>
            <w:tcW w:w="2811" w:type="dxa"/>
          </w:tcPr>
          <w:p w14:paraId="081322A7">
            <w:pPr>
              <w:spacing w:line="440" w:lineRule="exact"/>
              <w:jc w:val="center"/>
              <w:rPr>
                <w:rFonts w:hint="eastAsia" w:ascii="宋体" w:hAnsi="宋体"/>
                <w:b/>
                <w:color w:val="000000"/>
                <w:sz w:val="24"/>
                <w:highlight w:val="none"/>
              </w:rPr>
            </w:pPr>
          </w:p>
        </w:tc>
        <w:tc>
          <w:tcPr>
            <w:tcW w:w="1486" w:type="dxa"/>
          </w:tcPr>
          <w:p w14:paraId="61251B2F">
            <w:pPr>
              <w:spacing w:line="440" w:lineRule="exact"/>
              <w:jc w:val="center"/>
              <w:rPr>
                <w:rFonts w:hint="eastAsia" w:ascii="宋体" w:hAnsi="宋体"/>
                <w:b/>
                <w:color w:val="000000"/>
                <w:sz w:val="24"/>
                <w:highlight w:val="none"/>
              </w:rPr>
            </w:pPr>
          </w:p>
        </w:tc>
        <w:tc>
          <w:tcPr>
            <w:tcW w:w="1855" w:type="dxa"/>
          </w:tcPr>
          <w:p w14:paraId="6790D4F4">
            <w:pPr>
              <w:spacing w:line="440" w:lineRule="exact"/>
              <w:jc w:val="center"/>
              <w:rPr>
                <w:rFonts w:hint="eastAsia" w:ascii="宋体" w:hAnsi="宋体"/>
                <w:b/>
                <w:color w:val="000000"/>
                <w:sz w:val="24"/>
                <w:highlight w:val="none"/>
              </w:rPr>
            </w:pPr>
          </w:p>
        </w:tc>
        <w:tc>
          <w:tcPr>
            <w:tcW w:w="1642" w:type="dxa"/>
          </w:tcPr>
          <w:p w14:paraId="3A4690A6">
            <w:pPr>
              <w:spacing w:line="440" w:lineRule="exact"/>
              <w:jc w:val="center"/>
              <w:rPr>
                <w:rFonts w:hint="eastAsia" w:ascii="宋体" w:hAnsi="宋体"/>
                <w:b/>
                <w:color w:val="000000"/>
                <w:sz w:val="24"/>
                <w:highlight w:val="none"/>
              </w:rPr>
            </w:pPr>
          </w:p>
        </w:tc>
      </w:tr>
      <w:tr w14:paraId="0240F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58E3B897">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4</w:t>
            </w:r>
          </w:p>
        </w:tc>
        <w:tc>
          <w:tcPr>
            <w:tcW w:w="2811" w:type="dxa"/>
          </w:tcPr>
          <w:p w14:paraId="332D5877">
            <w:pPr>
              <w:spacing w:line="440" w:lineRule="exact"/>
              <w:jc w:val="center"/>
              <w:rPr>
                <w:rFonts w:hint="eastAsia" w:ascii="宋体" w:hAnsi="宋体"/>
                <w:b/>
                <w:color w:val="000000"/>
                <w:sz w:val="24"/>
                <w:highlight w:val="none"/>
              </w:rPr>
            </w:pPr>
          </w:p>
        </w:tc>
        <w:tc>
          <w:tcPr>
            <w:tcW w:w="1486" w:type="dxa"/>
          </w:tcPr>
          <w:p w14:paraId="6DA79E60">
            <w:pPr>
              <w:spacing w:line="440" w:lineRule="exact"/>
              <w:jc w:val="center"/>
              <w:rPr>
                <w:rFonts w:hint="eastAsia" w:ascii="宋体" w:hAnsi="宋体"/>
                <w:b/>
                <w:color w:val="000000"/>
                <w:sz w:val="24"/>
                <w:highlight w:val="none"/>
              </w:rPr>
            </w:pPr>
          </w:p>
        </w:tc>
        <w:tc>
          <w:tcPr>
            <w:tcW w:w="1855" w:type="dxa"/>
          </w:tcPr>
          <w:p w14:paraId="5273BE36">
            <w:pPr>
              <w:spacing w:line="440" w:lineRule="exact"/>
              <w:jc w:val="center"/>
              <w:rPr>
                <w:rFonts w:hint="eastAsia" w:ascii="宋体" w:hAnsi="宋体"/>
                <w:b/>
                <w:color w:val="000000"/>
                <w:sz w:val="24"/>
                <w:highlight w:val="none"/>
              </w:rPr>
            </w:pPr>
          </w:p>
        </w:tc>
        <w:tc>
          <w:tcPr>
            <w:tcW w:w="1642" w:type="dxa"/>
          </w:tcPr>
          <w:p w14:paraId="3D5508D7">
            <w:pPr>
              <w:spacing w:line="440" w:lineRule="exact"/>
              <w:jc w:val="center"/>
              <w:rPr>
                <w:rFonts w:hint="eastAsia" w:ascii="宋体" w:hAnsi="宋体"/>
                <w:b/>
                <w:color w:val="000000"/>
                <w:sz w:val="24"/>
                <w:highlight w:val="none"/>
              </w:rPr>
            </w:pPr>
          </w:p>
        </w:tc>
      </w:tr>
      <w:tr w14:paraId="0C7E7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11572F60">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5</w:t>
            </w:r>
          </w:p>
        </w:tc>
        <w:tc>
          <w:tcPr>
            <w:tcW w:w="2811" w:type="dxa"/>
          </w:tcPr>
          <w:p w14:paraId="58C127EE">
            <w:pPr>
              <w:spacing w:line="440" w:lineRule="exact"/>
              <w:jc w:val="center"/>
              <w:rPr>
                <w:rFonts w:hint="eastAsia" w:ascii="宋体" w:hAnsi="宋体"/>
                <w:b/>
                <w:color w:val="000000"/>
                <w:sz w:val="24"/>
                <w:highlight w:val="none"/>
              </w:rPr>
            </w:pPr>
          </w:p>
        </w:tc>
        <w:tc>
          <w:tcPr>
            <w:tcW w:w="1486" w:type="dxa"/>
          </w:tcPr>
          <w:p w14:paraId="0525ACD5">
            <w:pPr>
              <w:spacing w:line="440" w:lineRule="exact"/>
              <w:jc w:val="center"/>
              <w:rPr>
                <w:rFonts w:hint="eastAsia" w:ascii="宋体" w:hAnsi="宋体"/>
                <w:b/>
                <w:color w:val="000000"/>
                <w:sz w:val="24"/>
                <w:highlight w:val="none"/>
              </w:rPr>
            </w:pPr>
          </w:p>
        </w:tc>
        <w:tc>
          <w:tcPr>
            <w:tcW w:w="1855" w:type="dxa"/>
          </w:tcPr>
          <w:p w14:paraId="116412EA">
            <w:pPr>
              <w:spacing w:line="440" w:lineRule="exact"/>
              <w:jc w:val="center"/>
              <w:rPr>
                <w:rFonts w:hint="eastAsia" w:ascii="宋体" w:hAnsi="宋体"/>
                <w:b/>
                <w:color w:val="000000"/>
                <w:sz w:val="24"/>
                <w:highlight w:val="none"/>
              </w:rPr>
            </w:pPr>
          </w:p>
        </w:tc>
        <w:tc>
          <w:tcPr>
            <w:tcW w:w="1642" w:type="dxa"/>
          </w:tcPr>
          <w:p w14:paraId="473662F0">
            <w:pPr>
              <w:spacing w:line="440" w:lineRule="exact"/>
              <w:jc w:val="center"/>
              <w:rPr>
                <w:rFonts w:hint="eastAsia" w:ascii="宋体" w:hAnsi="宋体"/>
                <w:b/>
                <w:color w:val="000000"/>
                <w:sz w:val="24"/>
                <w:highlight w:val="none"/>
              </w:rPr>
            </w:pPr>
          </w:p>
        </w:tc>
      </w:tr>
      <w:tr w14:paraId="1CA09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6B04A462">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6</w:t>
            </w:r>
          </w:p>
        </w:tc>
        <w:tc>
          <w:tcPr>
            <w:tcW w:w="2811" w:type="dxa"/>
          </w:tcPr>
          <w:p w14:paraId="2C232B61">
            <w:pPr>
              <w:spacing w:line="440" w:lineRule="exact"/>
              <w:jc w:val="center"/>
              <w:rPr>
                <w:rFonts w:hint="eastAsia" w:ascii="宋体" w:hAnsi="宋体"/>
                <w:b/>
                <w:color w:val="000000"/>
                <w:sz w:val="24"/>
                <w:highlight w:val="none"/>
              </w:rPr>
            </w:pPr>
          </w:p>
        </w:tc>
        <w:tc>
          <w:tcPr>
            <w:tcW w:w="1486" w:type="dxa"/>
          </w:tcPr>
          <w:p w14:paraId="5C43F1BE">
            <w:pPr>
              <w:spacing w:line="440" w:lineRule="exact"/>
              <w:jc w:val="center"/>
              <w:rPr>
                <w:rFonts w:hint="eastAsia" w:ascii="宋体" w:hAnsi="宋体"/>
                <w:b/>
                <w:color w:val="000000"/>
                <w:sz w:val="24"/>
                <w:highlight w:val="none"/>
              </w:rPr>
            </w:pPr>
          </w:p>
        </w:tc>
        <w:tc>
          <w:tcPr>
            <w:tcW w:w="1855" w:type="dxa"/>
          </w:tcPr>
          <w:p w14:paraId="359DE722">
            <w:pPr>
              <w:spacing w:line="440" w:lineRule="exact"/>
              <w:jc w:val="center"/>
              <w:rPr>
                <w:rFonts w:hint="eastAsia" w:ascii="宋体" w:hAnsi="宋体"/>
                <w:b/>
                <w:color w:val="000000"/>
                <w:sz w:val="24"/>
                <w:highlight w:val="none"/>
              </w:rPr>
            </w:pPr>
          </w:p>
        </w:tc>
        <w:tc>
          <w:tcPr>
            <w:tcW w:w="1642" w:type="dxa"/>
          </w:tcPr>
          <w:p w14:paraId="05B8C66B">
            <w:pPr>
              <w:spacing w:line="440" w:lineRule="exact"/>
              <w:jc w:val="center"/>
              <w:rPr>
                <w:rFonts w:hint="eastAsia" w:ascii="宋体" w:hAnsi="宋体"/>
                <w:b/>
                <w:color w:val="000000"/>
                <w:sz w:val="24"/>
                <w:highlight w:val="none"/>
              </w:rPr>
            </w:pPr>
          </w:p>
        </w:tc>
      </w:tr>
      <w:tr w14:paraId="2D3F1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5838A695">
            <w:pPr>
              <w:spacing w:line="440" w:lineRule="exact"/>
              <w:jc w:val="center"/>
              <w:rPr>
                <w:rFonts w:hint="eastAsia" w:ascii="宋体" w:hAnsi="宋体"/>
                <w:b/>
                <w:color w:val="000000"/>
                <w:sz w:val="24"/>
                <w:highlight w:val="none"/>
              </w:rPr>
            </w:pPr>
          </w:p>
        </w:tc>
        <w:tc>
          <w:tcPr>
            <w:tcW w:w="2811" w:type="dxa"/>
          </w:tcPr>
          <w:p w14:paraId="105B97EB">
            <w:pPr>
              <w:spacing w:line="440" w:lineRule="exact"/>
              <w:jc w:val="center"/>
              <w:rPr>
                <w:rFonts w:hint="eastAsia" w:ascii="宋体" w:hAnsi="宋体"/>
                <w:b/>
                <w:color w:val="000000"/>
                <w:sz w:val="24"/>
                <w:highlight w:val="none"/>
              </w:rPr>
            </w:pPr>
          </w:p>
        </w:tc>
        <w:tc>
          <w:tcPr>
            <w:tcW w:w="1486" w:type="dxa"/>
          </w:tcPr>
          <w:p w14:paraId="24DFDA87">
            <w:pPr>
              <w:spacing w:line="440" w:lineRule="exact"/>
              <w:jc w:val="center"/>
              <w:rPr>
                <w:rFonts w:hint="eastAsia" w:ascii="宋体" w:hAnsi="宋体"/>
                <w:b/>
                <w:color w:val="000000"/>
                <w:sz w:val="24"/>
                <w:highlight w:val="none"/>
              </w:rPr>
            </w:pPr>
          </w:p>
        </w:tc>
        <w:tc>
          <w:tcPr>
            <w:tcW w:w="1855" w:type="dxa"/>
          </w:tcPr>
          <w:p w14:paraId="3ACF43D0">
            <w:pPr>
              <w:spacing w:line="440" w:lineRule="exact"/>
              <w:jc w:val="center"/>
              <w:rPr>
                <w:rFonts w:hint="eastAsia" w:ascii="宋体" w:hAnsi="宋体"/>
                <w:b/>
                <w:color w:val="000000"/>
                <w:sz w:val="24"/>
                <w:highlight w:val="none"/>
              </w:rPr>
            </w:pPr>
          </w:p>
        </w:tc>
        <w:tc>
          <w:tcPr>
            <w:tcW w:w="1642" w:type="dxa"/>
          </w:tcPr>
          <w:p w14:paraId="3C694314">
            <w:pPr>
              <w:spacing w:line="440" w:lineRule="exact"/>
              <w:jc w:val="center"/>
              <w:rPr>
                <w:rFonts w:hint="eastAsia" w:ascii="宋体" w:hAnsi="宋体"/>
                <w:b/>
                <w:color w:val="000000"/>
                <w:sz w:val="24"/>
                <w:highlight w:val="none"/>
              </w:rPr>
            </w:pPr>
          </w:p>
        </w:tc>
      </w:tr>
      <w:tr w14:paraId="582F8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68A755B3">
            <w:pPr>
              <w:spacing w:line="440" w:lineRule="exact"/>
              <w:jc w:val="center"/>
              <w:rPr>
                <w:rFonts w:hint="eastAsia" w:ascii="宋体" w:hAnsi="宋体"/>
                <w:b/>
                <w:color w:val="000000"/>
                <w:sz w:val="24"/>
                <w:highlight w:val="none"/>
              </w:rPr>
            </w:pPr>
          </w:p>
        </w:tc>
        <w:tc>
          <w:tcPr>
            <w:tcW w:w="2811" w:type="dxa"/>
          </w:tcPr>
          <w:p w14:paraId="768F9D13">
            <w:pPr>
              <w:spacing w:line="440" w:lineRule="exact"/>
              <w:jc w:val="center"/>
              <w:rPr>
                <w:rFonts w:hint="eastAsia" w:ascii="宋体" w:hAnsi="宋体"/>
                <w:b/>
                <w:color w:val="000000"/>
                <w:sz w:val="24"/>
                <w:highlight w:val="none"/>
              </w:rPr>
            </w:pPr>
          </w:p>
        </w:tc>
        <w:tc>
          <w:tcPr>
            <w:tcW w:w="1486" w:type="dxa"/>
          </w:tcPr>
          <w:p w14:paraId="7E89D510">
            <w:pPr>
              <w:spacing w:line="440" w:lineRule="exact"/>
              <w:jc w:val="center"/>
              <w:rPr>
                <w:rFonts w:hint="eastAsia" w:ascii="宋体" w:hAnsi="宋体"/>
                <w:b/>
                <w:color w:val="000000"/>
                <w:sz w:val="24"/>
                <w:highlight w:val="none"/>
              </w:rPr>
            </w:pPr>
          </w:p>
        </w:tc>
        <w:tc>
          <w:tcPr>
            <w:tcW w:w="1855" w:type="dxa"/>
          </w:tcPr>
          <w:p w14:paraId="08BFCE10">
            <w:pPr>
              <w:spacing w:line="440" w:lineRule="exact"/>
              <w:jc w:val="center"/>
              <w:rPr>
                <w:rFonts w:hint="eastAsia" w:ascii="宋体" w:hAnsi="宋体"/>
                <w:b/>
                <w:color w:val="000000"/>
                <w:sz w:val="24"/>
                <w:highlight w:val="none"/>
              </w:rPr>
            </w:pPr>
          </w:p>
        </w:tc>
        <w:tc>
          <w:tcPr>
            <w:tcW w:w="1642" w:type="dxa"/>
          </w:tcPr>
          <w:p w14:paraId="4150EA0B">
            <w:pPr>
              <w:spacing w:line="440" w:lineRule="exact"/>
              <w:jc w:val="center"/>
              <w:rPr>
                <w:rFonts w:hint="eastAsia" w:ascii="宋体" w:hAnsi="宋体"/>
                <w:b/>
                <w:color w:val="000000"/>
                <w:sz w:val="24"/>
                <w:highlight w:val="none"/>
              </w:rPr>
            </w:pPr>
          </w:p>
        </w:tc>
      </w:tr>
      <w:tr w14:paraId="31F38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31FF1BA1">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合计</w:t>
            </w:r>
          </w:p>
        </w:tc>
        <w:tc>
          <w:tcPr>
            <w:tcW w:w="7794" w:type="dxa"/>
            <w:gridSpan w:val="4"/>
          </w:tcPr>
          <w:p w14:paraId="22D3C9DB">
            <w:pPr>
              <w:spacing w:line="440" w:lineRule="exact"/>
              <w:rPr>
                <w:rFonts w:hint="eastAsia" w:ascii="宋体" w:hAnsi="宋体" w:cs="宋体"/>
                <w:sz w:val="24"/>
                <w:highlight w:val="none"/>
              </w:rPr>
            </w:pPr>
            <w:r>
              <w:rPr>
                <w:rFonts w:hint="eastAsia" w:ascii="宋体" w:hAnsi="宋体" w:cs="宋体"/>
                <w:sz w:val="24"/>
                <w:highlight w:val="none"/>
              </w:rPr>
              <w:t xml:space="preserve">小写： </w:t>
            </w:r>
            <w:r>
              <w:rPr>
                <w:rFonts w:hint="eastAsia" w:ascii="宋体" w:hAnsi="宋体" w:cs="宋体"/>
                <w:sz w:val="24"/>
                <w:highlight w:val="none"/>
                <w:u w:val="single"/>
              </w:rPr>
              <w:t xml:space="preserve">                           </w:t>
            </w:r>
            <w:r>
              <w:rPr>
                <w:rFonts w:hint="eastAsia" w:ascii="宋体" w:hAnsi="宋体" w:cs="宋体"/>
                <w:sz w:val="24"/>
                <w:highlight w:val="none"/>
              </w:rPr>
              <w:t xml:space="preserve">       大写：</w:t>
            </w:r>
            <w:r>
              <w:rPr>
                <w:rFonts w:hint="eastAsia" w:ascii="宋体" w:hAnsi="宋体" w:cs="宋体"/>
                <w:sz w:val="24"/>
                <w:highlight w:val="none"/>
                <w:u w:val="single"/>
              </w:rPr>
              <w:t xml:space="preserve">                                 </w:t>
            </w:r>
          </w:p>
        </w:tc>
      </w:tr>
    </w:tbl>
    <w:p w14:paraId="6759890F">
      <w:pPr>
        <w:spacing w:line="440" w:lineRule="exact"/>
        <w:jc w:val="left"/>
        <w:rPr>
          <w:rFonts w:hint="eastAsia" w:ascii="宋体" w:hAnsi="宋体"/>
          <w:b/>
          <w:color w:val="000000"/>
          <w:szCs w:val="21"/>
          <w:highlight w:val="none"/>
        </w:rPr>
      </w:pPr>
    </w:p>
    <w:p w14:paraId="70EBFBA8">
      <w:pPr>
        <w:spacing w:line="360" w:lineRule="exact"/>
        <w:rPr>
          <w:rFonts w:hint="eastAsia" w:ascii="宋体" w:hAnsi="宋体" w:cs="宋体"/>
          <w:sz w:val="24"/>
          <w:highlight w:val="none"/>
        </w:rPr>
      </w:pPr>
      <w:r>
        <w:rPr>
          <w:rFonts w:hint="eastAsia" w:ascii="宋体" w:hAnsi="宋体" w:cs="宋体"/>
          <w:kern w:val="0"/>
          <w:sz w:val="24"/>
          <w:highlight w:val="none"/>
          <w:lang w:val="zh-CN"/>
        </w:rPr>
        <w:t>注：以上表格要求按细分项目报价，与项目有关的费用均应计入总报价。</w:t>
      </w:r>
      <w:r>
        <w:rPr>
          <w:rFonts w:hint="eastAsia" w:ascii="宋体" w:hAnsi="宋体" w:cs="宋体"/>
          <w:sz w:val="24"/>
          <w:highlight w:val="none"/>
        </w:rPr>
        <w:t>报价应包括项目涉及的一切相关费用（税、费等）。投标报价明细表为投标人对投标总价形成的具体分解，投标人应详细列表说明。</w:t>
      </w:r>
    </w:p>
    <w:p w14:paraId="28225BDC">
      <w:pPr>
        <w:spacing w:line="312" w:lineRule="auto"/>
        <w:rPr>
          <w:rFonts w:hint="eastAsia" w:ascii="宋体" w:hAnsi="宋体" w:cs="宋体"/>
          <w:bCs/>
          <w:sz w:val="24"/>
          <w:highlight w:val="none"/>
        </w:rPr>
      </w:pPr>
      <w:r>
        <w:rPr>
          <w:rFonts w:hint="eastAsia" w:ascii="宋体" w:hAnsi="宋体" w:cs="宋体"/>
          <w:bCs/>
          <w:sz w:val="24"/>
          <w:highlight w:val="none"/>
        </w:rPr>
        <w:t>1.不提供投标报价明细表将视为没有实质性响应采购文件。</w:t>
      </w:r>
    </w:p>
    <w:p w14:paraId="492ADC44">
      <w:pPr>
        <w:spacing w:line="312" w:lineRule="auto"/>
        <w:rPr>
          <w:rFonts w:hint="eastAsia" w:ascii="宋体" w:hAnsi="宋体" w:cs="宋体"/>
          <w:bCs/>
          <w:sz w:val="24"/>
          <w:highlight w:val="none"/>
        </w:rPr>
      </w:pPr>
      <w:r>
        <w:rPr>
          <w:rFonts w:hint="eastAsia" w:ascii="宋体" w:hAnsi="宋体" w:cs="宋体"/>
          <w:bCs/>
          <w:sz w:val="24"/>
          <w:highlight w:val="none"/>
        </w:rPr>
        <w:t>2.此表的合价应与 “开标一览表”报价总价相一致。</w:t>
      </w:r>
    </w:p>
    <w:p w14:paraId="0C50F246">
      <w:pPr>
        <w:spacing w:line="312" w:lineRule="auto"/>
        <w:rPr>
          <w:rFonts w:hint="eastAsia" w:ascii="宋体" w:hAnsi="宋体" w:cs="宋体"/>
          <w:b/>
          <w:sz w:val="24"/>
          <w:highlight w:val="none"/>
        </w:rPr>
      </w:pPr>
    </w:p>
    <w:p w14:paraId="186B2B8B">
      <w:pPr>
        <w:spacing w:line="312" w:lineRule="auto"/>
        <w:rPr>
          <w:rFonts w:hint="eastAsia" w:ascii="宋体" w:hAnsi="宋体" w:cs="宋体"/>
          <w:b/>
          <w:sz w:val="24"/>
          <w:highlight w:val="none"/>
        </w:rPr>
      </w:pPr>
    </w:p>
    <w:p w14:paraId="62722B3E">
      <w:pPr>
        <w:adjustRightInd w:val="0"/>
        <w:snapToGrid w:val="0"/>
        <w:spacing w:line="312" w:lineRule="auto"/>
        <w:ind w:right="480" w:firstLine="4981" w:firstLineChars="2050"/>
        <w:rPr>
          <w:rFonts w:hint="eastAsia"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sz w:val="24"/>
          <w:highlight w:val="none"/>
        </w:rPr>
        <w:t>公章</w:t>
      </w:r>
      <w:r>
        <w:rPr>
          <w:rFonts w:hint="eastAsia" w:ascii="宋体" w:hAnsi="宋体" w:cs="宋体"/>
          <w:kern w:val="0"/>
          <w:sz w:val="24"/>
          <w:highlight w:val="none"/>
          <w:lang w:val="zh-CN"/>
        </w:rPr>
        <w:t>)：</w:t>
      </w:r>
    </w:p>
    <w:p w14:paraId="50F1C8C2">
      <w:pPr>
        <w:adjustRightInd w:val="0"/>
        <w:snapToGrid w:val="0"/>
        <w:spacing w:line="312"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法定代表人或授权代表人（签字</w:t>
      </w:r>
      <w:r>
        <w:rPr>
          <w:rFonts w:hint="eastAsia" w:ascii="宋体" w:hAnsi="宋体" w:cs="宋体"/>
          <w:kern w:val="0"/>
          <w:sz w:val="24"/>
          <w:highlight w:val="none"/>
        </w:rPr>
        <w:t>或盖章</w:t>
      </w:r>
      <w:r>
        <w:rPr>
          <w:rFonts w:hint="eastAsia" w:ascii="宋体" w:hAnsi="宋体" w:cs="宋体"/>
          <w:kern w:val="0"/>
          <w:sz w:val="24"/>
          <w:highlight w:val="none"/>
          <w:lang w:val="zh-CN"/>
        </w:rPr>
        <w:t>）：</w:t>
      </w:r>
    </w:p>
    <w:p w14:paraId="66AF8F25">
      <w:pPr>
        <w:snapToGrid w:val="0"/>
        <w:spacing w:before="156" w:beforeLines="50" w:after="50"/>
        <w:rPr>
          <w:rFonts w:hint="eastAsia" w:ascii="宋体" w:hAnsi="宋体" w:cs="宋体"/>
          <w:b/>
          <w:sz w:val="24"/>
          <w:highlight w:val="none"/>
        </w:rPr>
      </w:pPr>
      <w:r>
        <w:rPr>
          <w:rFonts w:hint="eastAsia" w:ascii="宋体" w:hAnsi="宋体" w:cs="宋体"/>
          <w:kern w:val="0"/>
          <w:sz w:val="24"/>
          <w:highlight w:val="none"/>
          <w:lang w:val="zh-CN"/>
        </w:rPr>
        <w:t xml:space="preserve">                                         日期：   年  月   日</w:t>
      </w:r>
    </w:p>
    <w:p w14:paraId="78136205">
      <w:pPr>
        <w:snapToGrid w:val="0"/>
        <w:spacing w:before="50" w:after="156" w:afterLines="50" w:line="360" w:lineRule="auto"/>
        <w:jc w:val="left"/>
        <w:rPr>
          <w:rFonts w:hint="eastAsia" w:ascii="宋体" w:hAnsi="宋体" w:cs="宋体"/>
          <w:b/>
          <w:sz w:val="24"/>
          <w:highlight w:val="none"/>
        </w:rPr>
      </w:pPr>
    </w:p>
    <w:p w14:paraId="754A2B18">
      <w:pPr>
        <w:rPr>
          <w:rFonts w:hint="eastAsia" w:ascii="宋体" w:hAnsi="宋体" w:cs="宋体"/>
          <w:b/>
          <w:sz w:val="24"/>
          <w:highlight w:val="none"/>
        </w:rPr>
      </w:pPr>
    </w:p>
    <w:p w14:paraId="34F4E236">
      <w:pPr>
        <w:rPr>
          <w:rFonts w:hint="eastAsia" w:ascii="宋体" w:hAnsi="宋体" w:cs="宋体"/>
          <w:b/>
          <w:sz w:val="24"/>
          <w:highlight w:val="none"/>
        </w:rPr>
      </w:pPr>
    </w:p>
    <w:p w14:paraId="330B3D89">
      <w:pPr>
        <w:rPr>
          <w:rFonts w:hint="eastAsia" w:ascii="宋体" w:hAnsi="宋体" w:cs="宋体"/>
          <w:b/>
          <w:sz w:val="24"/>
          <w:highlight w:val="none"/>
        </w:rPr>
      </w:pPr>
    </w:p>
    <w:p w14:paraId="0127287D">
      <w:pPr>
        <w:rPr>
          <w:rFonts w:hint="eastAsia" w:ascii="宋体" w:hAnsi="宋体" w:cs="宋体"/>
          <w:b/>
          <w:sz w:val="24"/>
          <w:highlight w:val="none"/>
        </w:rPr>
      </w:pPr>
    </w:p>
    <w:p w14:paraId="2E957C9E">
      <w:pPr>
        <w:rPr>
          <w:rFonts w:hint="eastAsia" w:ascii="宋体" w:hAnsi="宋体" w:cs="宋体"/>
          <w:b/>
          <w:sz w:val="24"/>
          <w:highlight w:val="none"/>
        </w:rPr>
      </w:pPr>
    </w:p>
    <w:p w14:paraId="50A8A161">
      <w:pPr>
        <w:rPr>
          <w:rFonts w:hint="eastAsia" w:ascii="宋体" w:hAnsi="宋体" w:cs="宋体"/>
          <w:b/>
          <w:sz w:val="24"/>
          <w:highlight w:val="none"/>
        </w:rPr>
      </w:pPr>
    </w:p>
    <w:p w14:paraId="7BE0B888">
      <w:pPr>
        <w:rPr>
          <w:rFonts w:hint="eastAsia" w:ascii="宋体" w:hAnsi="宋体" w:cs="宋体"/>
          <w:b/>
          <w:sz w:val="24"/>
          <w:highlight w:val="none"/>
        </w:rPr>
      </w:pPr>
    </w:p>
    <w:p w14:paraId="2D80650E">
      <w:pPr>
        <w:rPr>
          <w:rFonts w:hint="eastAsia" w:ascii="宋体" w:hAnsi="宋体" w:cs="宋体"/>
          <w:b/>
          <w:sz w:val="24"/>
          <w:highlight w:val="none"/>
        </w:rPr>
      </w:pPr>
    </w:p>
    <w:p w14:paraId="647C0E2A">
      <w:pPr>
        <w:rPr>
          <w:rFonts w:ascii="宋体" w:hAnsi="宋体" w:cs="宋体"/>
          <w:b/>
          <w:sz w:val="24"/>
          <w:highlight w:val="none"/>
        </w:rPr>
      </w:pPr>
      <w:r>
        <w:rPr>
          <w:rFonts w:hint="eastAsia" w:ascii="宋体" w:hAnsi="宋体" w:cs="宋体"/>
          <w:b/>
          <w:sz w:val="24"/>
          <w:highlight w:val="none"/>
        </w:rPr>
        <w:t>附件1</w:t>
      </w:r>
      <w:r>
        <w:rPr>
          <w:rFonts w:hint="eastAsia" w:ascii="宋体" w:hAnsi="宋体" w:cs="宋体"/>
          <w:b/>
          <w:sz w:val="24"/>
          <w:highlight w:val="none"/>
          <w:lang w:val="en-US" w:eastAsia="zh-CN"/>
        </w:rPr>
        <w:t>2</w:t>
      </w:r>
      <w:r>
        <w:rPr>
          <w:rFonts w:hint="eastAsia" w:ascii="宋体" w:hAnsi="宋体" w:cs="宋体"/>
          <w:b/>
          <w:sz w:val="24"/>
          <w:highlight w:val="none"/>
        </w:rPr>
        <w:t>：中小企业声明函：</w:t>
      </w:r>
    </w:p>
    <w:p w14:paraId="1477B837">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中小企业声明函（服务）</w:t>
      </w:r>
    </w:p>
    <w:p w14:paraId="4C3F0EEC">
      <w:pPr>
        <w:spacing w:line="500" w:lineRule="exact"/>
        <w:ind w:firstLine="486"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08F53799">
      <w:pPr>
        <w:spacing w:line="500" w:lineRule="exact"/>
        <w:ind w:firstLine="486"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u w:val="single"/>
        </w:rPr>
        <w:t>（</w:t>
      </w:r>
      <w:r>
        <w:rPr>
          <w:rFonts w:hint="eastAsia" w:ascii="宋体" w:hAnsi="宋体" w:cs="宋体"/>
          <w:color w:val="000000"/>
          <w:sz w:val="24"/>
          <w:szCs w:val="24"/>
          <w:highlight w:val="none"/>
          <w:u w:val="single"/>
          <w:lang w:eastAsia="zh-CN"/>
        </w:rPr>
        <w:t>信息安全运维服务</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，属于</w:t>
      </w:r>
      <w:r>
        <w:rPr>
          <w:rFonts w:hint="eastAsia" w:ascii="宋体" w:hAnsi="宋体" w:eastAsia="宋体" w:cs="宋体"/>
          <w:color w:val="000000"/>
          <w:sz w:val="24"/>
          <w:szCs w:val="24"/>
          <w:highlight w:val="none"/>
          <w:u w:val="single"/>
        </w:rPr>
        <w:t>（软件和信息技术服务业）</w:t>
      </w:r>
      <w:r>
        <w:rPr>
          <w:rFonts w:hint="eastAsia" w:ascii="宋体" w:hAnsi="宋体" w:eastAsia="宋体" w:cs="宋体"/>
          <w:color w:val="000000"/>
          <w:sz w:val="24"/>
          <w:szCs w:val="24"/>
          <w:highlight w:val="none"/>
        </w:rPr>
        <w:t>行业；承接企业为</w:t>
      </w:r>
      <w:r>
        <w:rPr>
          <w:rFonts w:hint="eastAsia" w:ascii="宋体" w:hAnsi="宋体" w:eastAsia="宋体" w:cs="宋体"/>
          <w:color w:val="000000"/>
          <w:sz w:val="24"/>
          <w:szCs w:val="24"/>
          <w:highlight w:val="none"/>
          <w:u w:val="single"/>
        </w:rPr>
        <w:t>（企业名称）</w:t>
      </w:r>
      <w:r>
        <w:rPr>
          <w:rFonts w:hint="eastAsia" w:ascii="宋体" w:hAnsi="宋体" w:eastAsia="宋体" w:cs="宋体"/>
          <w:color w:val="000000"/>
          <w:sz w:val="24"/>
          <w:szCs w:val="24"/>
          <w:highlight w:val="none"/>
        </w:rPr>
        <w:t>，从业人员</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人，营业收入为</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万元，资产总额为</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万元，属于（□中型企业、</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小型企业、□微型企业）；</w:t>
      </w:r>
    </w:p>
    <w:p w14:paraId="2F72B4F9">
      <w:pPr>
        <w:spacing w:line="500" w:lineRule="exact"/>
        <w:ind w:firstLine="486"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u w:val="single"/>
        </w:rPr>
        <w:t>（标的名称）</w:t>
      </w:r>
      <w:r>
        <w:rPr>
          <w:rFonts w:hint="eastAsia" w:ascii="宋体" w:hAnsi="宋体" w:eastAsia="宋体" w:cs="宋体"/>
          <w:color w:val="000000"/>
          <w:sz w:val="24"/>
          <w:szCs w:val="24"/>
          <w:highlight w:val="none"/>
        </w:rPr>
        <w:t>，属于</w:t>
      </w:r>
      <w:r>
        <w:rPr>
          <w:rFonts w:hint="eastAsia" w:ascii="宋体" w:hAnsi="宋体" w:eastAsia="宋体" w:cs="宋体"/>
          <w:color w:val="000000"/>
          <w:sz w:val="24"/>
          <w:szCs w:val="24"/>
          <w:highlight w:val="none"/>
          <w:u w:val="single"/>
        </w:rPr>
        <w:t>（所属行业）</w:t>
      </w:r>
      <w:r>
        <w:rPr>
          <w:rFonts w:hint="eastAsia" w:ascii="宋体" w:hAnsi="宋体" w:eastAsia="宋体" w:cs="宋体"/>
          <w:color w:val="000000"/>
          <w:sz w:val="24"/>
          <w:szCs w:val="24"/>
          <w:highlight w:val="none"/>
        </w:rPr>
        <w:t>行业；承接企业为</w:t>
      </w:r>
      <w:r>
        <w:rPr>
          <w:rFonts w:hint="eastAsia" w:ascii="宋体" w:hAnsi="宋体" w:eastAsia="宋体" w:cs="宋体"/>
          <w:color w:val="000000"/>
          <w:sz w:val="24"/>
          <w:szCs w:val="24"/>
          <w:highlight w:val="none"/>
          <w:u w:val="single"/>
        </w:rPr>
        <w:t>（企业名称）</w:t>
      </w:r>
      <w:r>
        <w:rPr>
          <w:rFonts w:hint="eastAsia" w:ascii="宋体" w:hAnsi="宋体" w:eastAsia="宋体" w:cs="宋体"/>
          <w:color w:val="000000"/>
          <w:sz w:val="24"/>
          <w:szCs w:val="24"/>
          <w:highlight w:val="none"/>
        </w:rPr>
        <w:t>，从业人员</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人，营业收入为</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万元，资产总额为</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万元，属于（□中型企业、□小型企业、□微型企业）；</w:t>
      </w:r>
    </w:p>
    <w:p w14:paraId="021216DF">
      <w:pPr>
        <w:spacing w:line="500" w:lineRule="exact"/>
        <w:ind w:firstLine="486"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518B0E10">
      <w:pPr>
        <w:spacing w:line="500" w:lineRule="exact"/>
        <w:ind w:firstLine="486"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以上企业，不属于大企业的分支机构，不存在控股股东为大企业的情形，也不存在与大企业的负责人为同一人的情形。</w:t>
      </w:r>
    </w:p>
    <w:p w14:paraId="0D19234B">
      <w:pPr>
        <w:spacing w:line="500" w:lineRule="exact"/>
        <w:ind w:firstLine="486"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本企业对上述声明内容的真实性负责。如有虚假，将依法承担相应责任。</w:t>
      </w:r>
    </w:p>
    <w:p w14:paraId="6DBA80E3">
      <w:pPr>
        <w:spacing w:line="500" w:lineRule="exact"/>
        <w:ind w:firstLine="3766" w:firstLineChars="1550"/>
        <w:rPr>
          <w:rFonts w:hint="eastAsia" w:ascii="宋体" w:hAnsi="宋体" w:eastAsia="宋体" w:cs="宋体"/>
          <w:color w:val="000000"/>
          <w:sz w:val="24"/>
          <w:szCs w:val="24"/>
          <w:highlight w:val="none"/>
        </w:rPr>
      </w:pPr>
    </w:p>
    <w:p w14:paraId="5A6EB268">
      <w:pPr>
        <w:spacing w:line="500" w:lineRule="exact"/>
        <w:ind w:firstLine="3766" w:firstLineChars="15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企业名称（盖章）： </w:t>
      </w:r>
    </w:p>
    <w:p w14:paraId="1167F807">
      <w:pPr>
        <w:spacing w:line="500" w:lineRule="exact"/>
        <w:ind w:firstLine="3766" w:firstLineChars="1550"/>
        <w:rPr>
          <w:rFonts w:hint="eastAsia" w:ascii="仿宋_GB2312" w:hAnsi="仿宋_GB2312" w:eastAsia="仿宋_GB2312" w:cs="仿宋_GB2312"/>
          <w:b/>
          <w:color w:val="000000"/>
          <w:sz w:val="24"/>
          <w:szCs w:val="24"/>
          <w:highlight w:val="none"/>
        </w:rPr>
      </w:pPr>
      <w:r>
        <w:rPr>
          <w:rFonts w:hint="eastAsia" w:ascii="宋体" w:hAnsi="宋体" w:eastAsia="宋体" w:cs="宋体"/>
          <w:color w:val="000000"/>
          <w:sz w:val="24"/>
          <w:szCs w:val="24"/>
          <w:highlight w:val="none"/>
        </w:rPr>
        <w:t>日 期：</w:t>
      </w:r>
    </w:p>
    <w:p w14:paraId="78727066">
      <w:pPr>
        <w:spacing w:line="440" w:lineRule="exact"/>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注：</w:t>
      </w:r>
    </w:p>
    <w:p w14:paraId="40429269">
      <w:pPr>
        <w:spacing w:line="440" w:lineRule="exact"/>
        <w:ind w:firstLine="486" w:firstLineChars="200"/>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1.填写要求：①从业人员、营业收入、资产总额填报上一年度数据，无上一年度数据的新成立企业可不填报；②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如国家颁布新的企业划型标准，则按最新标准执行。）；③供应商提供的《中小企业声明函》与实际情况不符的或者未按以上要求填写的，中小企业声明函无效，不享受中小企业扶持政策。声明内容不实的，属于提供虚假材料谋取中标、成交的，依法承担法律责任。</w:t>
      </w:r>
    </w:p>
    <w:p w14:paraId="145F0CFE">
      <w:pPr>
        <w:spacing w:line="440" w:lineRule="exact"/>
        <w:ind w:firstLine="486" w:firstLineChars="200"/>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5499A8A2">
      <w:pPr>
        <w:spacing w:line="588" w:lineRule="exact"/>
        <w:jc w:val="center"/>
        <w:rPr>
          <w:rFonts w:hint="eastAsia" w:ascii="宋体" w:hAnsi="宋体"/>
          <w:b/>
          <w:spacing w:val="6"/>
          <w:sz w:val="32"/>
          <w:szCs w:val="32"/>
          <w:highlight w:val="none"/>
        </w:rPr>
      </w:pPr>
    </w:p>
    <w:p w14:paraId="1A6BEF18">
      <w:pPr>
        <w:spacing w:line="588" w:lineRule="exact"/>
        <w:jc w:val="center"/>
        <w:rPr>
          <w:rFonts w:hint="eastAsia" w:ascii="宋体" w:hAnsi="宋体"/>
          <w:b/>
          <w:spacing w:val="6"/>
          <w:sz w:val="32"/>
          <w:szCs w:val="32"/>
          <w:highlight w:val="none"/>
        </w:rPr>
      </w:pPr>
    </w:p>
    <w:p w14:paraId="049F2C21">
      <w:pPr>
        <w:pStyle w:val="26"/>
        <w:rPr>
          <w:rFonts w:hint="eastAsia" w:ascii="宋体" w:hAnsi="宋体"/>
          <w:b/>
          <w:spacing w:val="6"/>
          <w:sz w:val="32"/>
          <w:szCs w:val="32"/>
          <w:highlight w:val="none"/>
        </w:rPr>
      </w:pPr>
    </w:p>
    <w:p w14:paraId="20AB40BC">
      <w:pPr>
        <w:rPr>
          <w:rFonts w:hint="eastAsia"/>
          <w:highlight w:val="none"/>
        </w:rPr>
      </w:pPr>
    </w:p>
    <w:p w14:paraId="624DAB5D">
      <w:pPr>
        <w:spacing w:line="588" w:lineRule="exact"/>
        <w:jc w:val="center"/>
        <w:rPr>
          <w:rFonts w:hint="eastAsia" w:ascii="宋体" w:hAnsi="宋体"/>
          <w:b/>
          <w:spacing w:val="6"/>
          <w:sz w:val="32"/>
          <w:szCs w:val="32"/>
          <w:highlight w:val="none"/>
        </w:rPr>
      </w:pPr>
      <w:r>
        <w:rPr>
          <w:rFonts w:hint="eastAsia" w:ascii="宋体" w:hAnsi="宋体"/>
          <w:b/>
          <w:spacing w:val="6"/>
          <w:sz w:val="32"/>
          <w:szCs w:val="32"/>
          <w:highlight w:val="none"/>
        </w:rPr>
        <w:t>残疾人福利性单位声明函</w:t>
      </w:r>
    </w:p>
    <w:p w14:paraId="6385AEE4">
      <w:pPr>
        <w:pStyle w:val="44"/>
        <w:tabs>
          <w:tab w:val="left" w:pos="1260"/>
        </w:tabs>
        <w:jc w:val="center"/>
        <w:rPr>
          <w:rFonts w:hint="eastAsia" w:ascii="宋体" w:hAnsi="宋体"/>
          <w:sz w:val="28"/>
          <w:szCs w:val="28"/>
          <w:highlight w:val="none"/>
          <w:lang w:val="en-GB"/>
        </w:rPr>
      </w:pPr>
      <w:r>
        <w:rPr>
          <w:rFonts w:hint="eastAsia" w:ascii="宋体" w:hAnsi="宋体"/>
          <w:sz w:val="28"/>
          <w:szCs w:val="28"/>
          <w:highlight w:val="none"/>
          <w:lang w:val="en-GB"/>
        </w:rPr>
        <w:t>【不属残疾人福利性单位，不用提供此函】</w:t>
      </w:r>
    </w:p>
    <w:p w14:paraId="529CCCF5">
      <w:pPr>
        <w:pStyle w:val="26"/>
        <w:rPr>
          <w:highlight w:val="none"/>
        </w:rPr>
      </w:pPr>
    </w:p>
    <w:p w14:paraId="50716F60">
      <w:pPr>
        <w:snapToGrid w:val="0"/>
        <w:spacing w:line="360" w:lineRule="auto"/>
        <w:ind w:firstLine="566" w:firstLineChars="200"/>
        <w:rPr>
          <w:rFonts w:ascii="宋体" w:hAnsi="宋体"/>
          <w:sz w:val="28"/>
          <w:szCs w:val="28"/>
          <w:highlight w:val="none"/>
        </w:rPr>
      </w:pPr>
      <w:r>
        <w:rPr>
          <w:rFonts w:hint="eastAsia" w:ascii="宋体" w:hAnsi="宋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796552">
      <w:pPr>
        <w:snapToGrid w:val="0"/>
        <w:spacing w:line="360" w:lineRule="auto"/>
        <w:ind w:firstLine="566" w:firstLineChars="200"/>
        <w:rPr>
          <w:rFonts w:ascii="宋体" w:hAnsi="宋体"/>
          <w:sz w:val="28"/>
          <w:szCs w:val="28"/>
          <w:highlight w:val="none"/>
        </w:rPr>
      </w:pPr>
      <w:r>
        <w:rPr>
          <w:rFonts w:hint="eastAsia" w:ascii="宋体" w:hAnsi="宋体"/>
          <w:sz w:val="28"/>
          <w:szCs w:val="28"/>
          <w:highlight w:val="none"/>
        </w:rPr>
        <w:t>本单位对上述声明的真实性负责。如有虚假，将依法承担相应责任。</w:t>
      </w:r>
    </w:p>
    <w:p w14:paraId="3F1ED371">
      <w:pPr>
        <w:snapToGrid w:val="0"/>
        <w:spacing w:line="360" w:lineRule="auto"/>
        <w:ind w:firstLine="566" w:firstLineChars="200"/>
        <w:rPr>
          <w:rFonts w:ascii="宋体" w:hAnsi="宋体"/>
          <w:sz w:val="28"/>
          <w:szCs w:val="28"/>
          <w:highlight w:val="none"/>
        </w:rPr>
      </w:pPr>
    </w:p>
    <w:p w14:paraId="7341AE0B">
      <w:pPr>
        <w:spacing w:line="588" w:lineRule="exact"/>
        <w:ind w:firstLine="630" w:firstLineChars="200"/>
        <w:rPr>
          <w:rFonts w:ascii="宋体" w:hAnsi="宋体"/>
          <w:spacing w:val="6"/>
          <w:sz w:val="30"/>
          <w:szCs w:val="30"/>
          <w:highlight w:val="none"/>
        </w:rPr>
      </w:pPr>
    </w:p>
    <w:p w14:paraId="29C4AE39">
      <w:pPr>
        <w:snapToGrid w:val="0"/>
        <w:spacing w:line="360" w:lineRule="auto"/>
        <w:ind w:firstLine="630" w:firstLineChars="200"/>
        <w:jc w:val="right"/>
        <w:rPr>
          <w:rFonts w:ascii="宋体" w:hAnsi="宋体"/>
          <w:sz w:val="28"/>
          <w:szCs w:val="28"/>
          <w:highlight w:val="none"/>
        </w:rPr>
      </w:pPr>
      <w:r>
        <w:rPr>
          <w:rFonts w:hint="eastAsia" w:ascii="宋体" w:hAnsi="宋体"/>
          <w:spacing w:val="6"/>
          <w:sz w:val="30"/>
          <w:szCs w:val="30"/>
          <w:highlight w:val="none"/>
        </w:rPr>
        <w:t xml:space="preserve">         </w:t>
      </w:r>
      <w:r>
        <w:rPr>
          <w:rFonts w:hint="eastAsia" w:ascii="宋体" w:hAnsi="宋体"/>
          <w:sz w:val="28"/>
          <w:szCs w:val="28"/>
          <w:highlight w:val="none"/>
        </w:rPr>
        <w:t xml:space="preserve">      单位名称（盖章）：</w:t>
      </w:r>
    </w:p>
    <w:p w14:paraId="5EFEC89E">
      <w:pPr>
        <w:pStyle w:val="43"/>
        <w:spacing w:line="540" w:lineRule="exact"/>
        <w:ind w:firstLine="0" w:firstLineChars="0"/>
        <w:jc w:val="center"/>
        <w:rPr>
          <w:rFonts w:ascii="宋体" w:hAnsi="宋体"/>
          <w:b/>
          <w:sz w:val="28"/>
          <w:szCs w:val="28"/>
          <w:highlight w:val="none"/>
          <w:lang w:val="en-GB"/>
        </w:rPr>
      </w:pPr>
      <w:r>
        <w:rPr>
          <w:rFonts w:hint="eastAsia" w:ascii="宋体" w:eastAsia="宋体"/>
          <w:sz w:val="28"/>
          <w:highlight w:val="none"/>
        </w:rPr>
        <w:t xml:space="preserve">                                       日  期：</w:t>
      </w:r>
    </w:p>
    <w:p w14:paraId="337FF02D">
      <w:pPr>
        <w:pStyle w:val="44"/>
        <w:jc w:val="center"/>
        <w:rPr>
          <w:rFonts w:ascii="宋体" w:hAnsi="宋体"/>
          <w:b/>
          <w:sz w:val="28"/>
          <w:szCs w:val="28"/>
          <w:highlight w:val="none"/>
          <w:lang w:val="en-GB"/>
        </w:rPr>
      </w:pPr>
    </w:p>
    <w:p w14:paraId="000BD7F1">
      <w:pPr>
        <w:pStyle w:val="44"/>
        <w:jc w:val="center"/>
        <w:rPr>
          <w:rFonts w:ascii="宋体" w:hAnsi="宋体"/>
          <w:b/>
          <w:sz w:val="28"/>
          <w:szCs w:val="28"/>
          <w:highlight w:val="none"/>
          <w:lang w:val="en-GB"/>
        </w:rPr>
      </w:pPr>
    </w:p>
    <w:p w14:paraId="5D9A8B93">
      <w:pPr>
        <w:pStyle w:val="44"/>
        <w:jc w:val="center"/>
        <w:rPr>
          <w:rFonts w:ascii="宋体" w:hAnsi="宋体"/>
          <w:b/>
          <w:sz w:val="28"/>
          <w:szCs w:val="28"/>
          <w:highlight w:val="none"/>
          <w:lang w:val="en-GB"/>
        </w:rPr>
      </w:pPr>
    </w:p>
    <w:p w14:paraId="554640FD">
      <w:pPr>
        <w:pStyle w:val="44"/>
        <w:jc w:val="center"/>
        <w:rPr>
          <w:rFonts w:ascii="宋体" w:hAnsi="宋体"/>
          <w:b/>
          <w:sz w:val="28"/>
          <w:szCs w:val="28"/>
          <w:highlight w:val="none"/>
          <w:lang w:val="en-GB"/>
        </w:rPr>
      </w:pPr>
    </w:p>
    <w:p w14:paraId="0EB85EBD">
      <w:pPr>
        <w:pStyle w:val="44"/>
        <w:jc w:val="center"/>
        <w:rPr>
          <w:rFonts w:ascii="宋体" w:hAnsi="宋体"/>
          <w:b/>
          <w:sz w:val="28"/>
          <w:szCs w:val="28"/>
          <w:highlight w:val="none"/>
          <w:lang w:val="en-GB"/>
        </w:rPr>
      </w:pPr>
      <w:r>
        <w:rPr>
          <w:rFonts w:hint="eastAsia" w:ascii="宋体" w:hAnsi="宋体"/>
          <w:b/>
          <w:sz w:val="28"/>
          <w:szCs w:val="28"/>
          <w:highlight w:val="none"/>
          <w:lang w:val="en-GB"/>
        </w:rPr>
        <w:t>产品适用</w:t>
      </w:r>
      <w:r>
        <w:rPr>
          <w:rFonts w:hint="eastAsia" w:ascii="宋体" w:hAnsi="宋体"/>
          <w:b/>
          <w:spacing w:val="6"/>
          <w:sz w:val="28"/>
          <w:szCs w:val="28"/>
          <w:highlight w:val="none"/>
        </w:rPr>
        <w:t>残疾人福利性单位</w:t>
      </w:r>
      <w:r>
        <w:rPr>
          <w:rFonts w:hint="eastAsia" w:ascii="宋体" w:hAnsi="宋体"/>
          <w:b/>
          <w:sz w:val="28"/>
          <w:szCs w:val="28"/>
          <w:highlight w:val="none"/>
          <w:lang w:val="en-GB"/>
        </w:rPr>
        <w:t>政策情况表</w:t>
      </w:r>
    </w:p>
    <w:p w14:paraId="57C2EC7F">
      <w:pPr>
        <w:pStyle w:val="44"/>
        <w:jc w:val="center"/>
        <w:rPr>
          <w:rFonts w:ascii="宋体" w:hAnsi="宋体"/>
          <w:b/>
          <w:sz w:val="28"/>
          <w:szCs w:val="28"/>
          <w:highlight w:val="none"/>
          <w:lang w:val="en-GB"/>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5315"/>
        <w:gridCol w:w="1327"/>
        <w:gridCol w:w="1327"/>
      </w:tblGrid>
      <w:tr w14:paraId="2827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restart"/>
            <w:noWrap/>
            <w:vAlign w:val="center"/>
          </w:tcPr>
          <w:p w14:paraId="069A4977">
            <w:pPr>
              <w:pStyle w:val="44"/>
              <w:tabs>
                <w:tab w:val="left" w:pos="1260"/>
              </w:tabs>
              <w:jc w:val="center"/>
              <w:rPr>
                <w:rFonts w:ascii="宋体" w:hAnsi="宋体"/>
                <w:sz w:val="28"/>
                <w:szCs w:val="28"/>
                <w:highlight w:val="none"/>
                <w:lang w:val="en-GB"/>
              </w:rPr>
            </w:pPr>
            <w:r>
              <w:rPr>
                <w:rFonts w:hint="eastAsia" w:ascii="宋体" w:hAnsi="宋体"/>
                <w:spacing w:val="6"/>
                <w:sz w:val="28"/>
                <w:szCs w:val="28"/>
                <w:highlight w:val="none"/>
              </w:rPr>
              <w:t>残疾人福利性单位扶持政策</w:t>
            </w:r>
          </w:p>
        </w:tc>
        <w:tc>
          <w:tcPr>
            <w:tcW w:w="5315" w:type="dxa"/>
            <w:noWrap/>
            <w:vAlign w:val="center"/>
          </w:tcPr>
          <w:p w14:paraId="2738E99D">
            <w:pPr>
              <w:pStyle w:val="44"/>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产品名称（品牌、型号）</w:t>
            </w:r>
          </w:p>
        </w:tc>
        <w:tc>
          <w:tcPr>
            <w:tcW w:w="1327" w:type="dxa"/>
            <w:noWrap/>
            <w:vAlign w:val="center"/>
          </w:tcPr>
          <w:p w14:paraId="769B34E1">
            <w:pPr>
              <w:pStyle w:val="44"/>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数量</w:t>
            </w:r>
          </w:p>
        </w:tc>
        <w:tc>
          <w:tcPr>
            <w:tcW w:w="1327" w:type="dxa"/>
            <w:noWrap/>
            <w:vAlign w:val="center"/>
          </w:tcPr>
          <w:p w14:paraId="75B9B64B">
            <w:pPr>
              <w:pStyle w:val="44"/>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金额</w:t>
            </w:r>
          </w:p>
        </w:tc>
      </w:tr>
      <w:tr w14:paraId="0126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3A97034C">
            <w:pPr>
              <w:pStyle w:val="44"/>
              <w:tabs>
                <w:tab w:val="left" w:pos="1260"/>
              </w:tabs>
              <w:jc w:val="center"/>
              <w:rPr>
                <w:rFonts w:ascii="宋体" w:hAnsi="宋体"/>
                <w:sz w:val="28"/>
                <w:szCs w:val="28"/>
                <w:highlight w:val="none"/>
                <w:lang w:val="en-GB"/>
              </w:rPr>
            </w:pPr>
          </w:p>
        </w:tc>
        <w:tc>
          <w:tcPr>
            <w:tcW w:w="5315" w:type="dxa"/>
            <w:noWrap/>
            <w:vAlign w:val="center"/>
          </w:tcPr>
          <w:p w14:paraId="3174230F">
            <w:pPr>
              <w:pStyle w:val="44"/>
              <w:tabs>
                <w:tab w:val="left" w:pos="1260"/>
              </w:tabs>
              <w:jc w:val="center"/>
              <w:rPr>
                <w:rFonts w:ascii="宋体" w:hAnsi="宋体"/>
                <w:sz w:val="28"/>
                <w:szCs w:val="28"/>
                <w:highlight w:val="none"/>
                <w:lang w:val="en-GB"/>
              </w:rPr>
            </w:pPr>
          </w:p>
        </w:tc>
        <w:tc>
          <w:tcPr>
            <w:tcW w:w="1327" w:type="dxa"/>
            <w:noWrap/>
            <w:vAlign w:val="top"/>
          </w:tcPr>
          <w:p w14:paraId="22F6BA03">
            <w:pPr>
              <w:pStyle w:val="44"/>
              <w:tabs>
                <w:tab w:val="left" w:pos="1260"/>
              </w:tabs>
              <w:jc w:val="center"/>
              <w:rPr>
                <w:rFonts w:ascii="宋体" w:hAnsi="宋体"/>
                <w:sz w:val="28"/>
                <w:szCs w:val="28"/>
                <w:highlight w:val="none"/>
                <w:lang w:val="en-GB"/>
              </w:rPr>
            </w:pPr>
          </w:p>
        </w:tc>
        <w:tc>
          <w:tcPr>
            <w:tcW w:w="1327" w:type="dxa"/>
            <w:noWrap/>
            <w:vAlign w:val="center"/>
          </w:tcPr>
          <w:p w14:paraId="5726CCC3">
            <w:pPr>
              <w:pStyle w:val="44"/>
              <w:tabs>
                <w:tab w:val="left" w:pos="1260"/>
              </w:tabs>
              <w:jc w:val="center"/>
              <w:rPr>
                <w:rFonts w:ascii="宋体" w:hAnsi="宋体"/>
                <w:sz w:val="28"/>
                <w:szCs w:val="28"/>
                <w:highlight w:val="none"/>
                <w:lang w:val="en-GB"/>
              </w:rPr>
            </w:pPr>
          </w:p>
        </w:tc>
      </w:tr>
      <w:tr w14:paraId="61DE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62A4EB33">
            <w:pPr>
              <w:pStyle w:val="44"/>
              <w:tabs>
                <w:tab w:val="left" w:pos="1260"/>
              </w:tabs>
              <w:jc w:val="center"/>
              <w:rPr>
                <w:rFonts w:ascii="宋体" w:hAnsi="宋体"/>
                <w:sz w:val="28"/>
                <w:szCs w:val="28"/>
                <w:highlight w:val="none"/>
                <w:lang w:val="en-GB"/>
              </w:rPr>
            </w:pPr>
          </w:p>
        </w:tc>
        <w:tc>
          <w:tcPr>
            <w:tcW w:w="5315" w:type="dxa"/>
            <w:noWrap/>
            <w:vAlign w:val="center"/>
          </w:tcPr>
          <w:p w14:paraId="362EA99E">
            <w:pPr>
              <w:pStyle w:val="44"/>
              <w:tabs>
                <w:tab w:val="left" w:pos="1260"/>
              </w:tabs>
              <w:jc w:val="center"/>
              <w:rPr>
                <w:rFonts w:ascii="宋体" w:hAnsi="宋体"/>
                <w:sz w:val="28"/>
                <w:szCs w:val="28"/>
                <w:highlight w:val="none"/>
                <w:lang w:val="en-GB"/>
              </w:rPr>
            </w:pPr>
          </w:p>
        </w:tc>
        <w:tc>
          <w:tcPr>
            <w:tcW w:w="1327" w:type="dxa"/>
            <w:noWrap/>
            <w:vAlign w:val="top"/>
          </w:tcPr>
          <w:p w14:paraId="4662BBE2">
            <w:pPr>
              <w:pStyle w:val="44"/>
              <w:tabs>
                <w:tab w:val="left" w:pos="1260"/>
              </w:tabs>
              <w:jc w:val="center"/>
              <w:rPr>
                <w:rFonts w:ascii="宋体" w:hAnsi="宋体"/>
                <w:sz w:val="28"/>
                <w:szCs w:val="28"/>
                <w:highlight w:val="none"/>
                <w:lang w:val="en-GB"/>
              </w:rPr>
            </w:pPr>
          </w:p>
        </w:tc>
        <w:tc>
          <w:tcPr>
            <w:tcW w:w="1327" w:type="dxa"/>
            <w:noWrap/>
            <w:vAlign w:val="center"/>
          </w:tcPr>
          <w:p w14:paraId="1C092988">
            <w:pPr>
              <w:pStyle w:val="44"/>
              <w:tabs>
                <w:tab w:val="left" w:pos="1260"/>
              </w:tabs>
              <w:jc w:val="center"/>
              <w:rPr>
                <w:rFonts w:ascii="宋体" w:hAnsi="宋体"/>
                <w:sz w:val="28"/>
                <w:szCs w:val="28"/>
                <w:highlight w:val="none"/>
                <w:lang w:val="en-GB"/>
              </w:rPr>
            </w:pPr>
          </w:p>
        </w:tc>
      </w:tr>
      <w:tr w14:paraId="75BA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0F3007F6">
            <w:pPr>
              <w:pStyle w:val="44"/>
              <w:tabs>
                <w:tab w:val="left" w:pos="1260"/>
              </w:tabs>
              <w:jc w:val="center"/>
              <w:rPr>
                <w:rFonts w:ascii="宋体" w:hAnsi="宋体"/>
                <w:sz w:val="28"/>
                <w:szCs w:val="28"/>
                <w:highlight w:val="none"/>
                <w:lang w:val="en-GB"/>
              </w:rPr>
            </w:pPr>
          </w:p>
        </w:tc>
        <w:tc>
          <w:tcPr>
            <w:tcW w:w="5315" w:type="dxa"/>
            <w:noWrap/>
            <w:vAlign w:val="center"/>
          </w:tcPr>
          <w:p w14:paraId="78913139">
            <w:pPr>
              <w:pStyle w:val="44"/>
              <w:tabs>
                <w:tab w:val="left" w:pos="1260"/>
              </w:tabs>
              <w:jc w:val="center"/>
              <w:rPr>
                <w:rFonts w:ascii="宋体" w:hAnsi="宋体"/>
                <w:sz w:val="28"/>
                <w:szCs w:val="28"/>
                <w:highlight w:val="none"/>
                <w:lang w:val="en-GB"/>
              </w:rPr>
            </w:pPr>
          </w:p>
        </w:tc>
        <w:tc>
          <w:tcPr>
            <w:tcW w:w="1327" w:type="dxa"/>
            <w:noWrap/>
            <w:vAlign w:val="top"/>
          </w:tcPr>
          <w:p w14:paraId="6337E1C6">
            <w:pPr>
              <w:pStyle w:val="44"/>
              <w:tabs>
                <w:tab w:val="left" w:pos="1260"/>
              </w:tabs>
              <w:jc w:val="center"/>
              <w:rPr>
                <w:rFonts w:ascii="宋体" w:hAnsi="宋体"/>
                <w:sz w:val="28"/>
                <w:szCs w:val="28"/>
                <w:highlight w:val="none"/>
                <w:lang w:val="en-GB"/>
              </w:rPr>
            </w:pPr>
          </w:p>
        </w:tc>
        <w:tc>
          <w:tcPr>
            <w:tcW w:w="1327" w:type="dxa"/>
            <w:noWrap/>
            <w:vAlign w:val="center"/>
          </w:tcPr>
          <w:p w14:paraId="26725C8B">
            <w:pPr>
              <w:pStyle w:val="44"/>
              <w:tabs>
                <w:tab w:val="left" w:pos="1260"/>
              </w:tabs>
              <w:jc w:val="center"/>
              <w:rPr>
                <w:rFonts w:ascii="宋体" w:hAnsi="宋体"/>
                <w:sz w:val="28"/>
                <w:szCs w:val="28"/>
                <w:highlight w:val="none"/>
                <w:lang w:val="en-GB"/>
              </w:rPr>
            </w:pPr>
          </w:p>
        </w:tc>
      </w:tr>
      <w:tr w14:paraId="726C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01F6DE85">
            <w:pPr>
              <w:pStyle w:val="44"/>
              <w:tabs>
                <w:tab w:val="left" w:pos="1260"/>
              </w:tabs>
              <w:jc w:val="center"/>
              <w:rPr>
                <w:rFonts w:ascii="宋体" w:hAnsi="宋体"/>
                <w:sz w:val="28"/>
                <w:szCs w:val="28"/>
                <w:highlight w:val="none"/>
                <w:lang w:val="en-GB"/>
              </w:rPr>
            </w:pPr>
          </w:p>
        </w:tc>
        <w:tc>
          <w:tcPr>
            <w:tcW w:w="6642" w:type="dxa"/>
            <w:gridSpan w:val="2"/>
            <w:noWrap/>
            <w:vAlign w:val="center"/>
          </w:tcPr>
          <w:p w14:paraId="06CF53A5">
            <w:pPr>
              <w:pStyle w:val="44"/>
              <w:tabs>
                <w:tab w:val="left" w:pos="1260"/>
              </w:tabs>
              <w:jc w:val="center"/>
              <w:rPr>
                <w:rFonts w:ascii="宋体" w:hAnsi="宋体"/>
                <w:sz w:val="28"/>
                <w:szCs w:val="28"/>
                <w:highlight w:val="none"/>
                <w:lang w:val="en-GB"/>
              </w:rPr>
            </w:pPr>
            <w:r>
              <w:rPr>
                <w:rFonts w:hint="eastAsia" w:ascii="宋体" w:hAnsi="宋体"/>
                <w:spacing w:val="6"/>
                <w:sz w:val="28"/>
                <w:szCs w:val="28"/>
                <w:highlight w:val="none"/>
              </w:rPr>
              <w:t>残疾人福利性单位</w:t>
            </w:r>
            <w:r>
              <w:rPr>
                <w:rFonts w:hint="eastAsia" w:ascii="宋体" w:hAnsi="宋体"/>
                <w:sz w:val="28"/>
                <w:szCs w:val="28"/>
                <w:highlight w:val="none"/>
              </w:rPr>
              <w:t>产品</w:t>
            </w:r>
            <w:r>
              <w:rPr>
                <w:rFonts w:hint="eastAsia" w:ascii="宋体" w:hAnsi="宋体"/>
                <w:sz w:val="28"/>
                <w:szCs w:val="28"/>
                <w:highlight w:val="none"/>
                <w:lang w:val="en-GB"/>
              </w:rPr>
              <w:t>金额合计</w:t>
            </w:r>
          </w:p>
        </w:tc>
        <w:tc>
          <w:tcPr>
            <w:tcW w:w="1327" w:type="dxa"/>
            <w:noWrap/>
            <w:vAlign w:val="center"/>
          </w:tcPr>
          <w:p w14:paraId="57829382">
            <w:pPr>
              <w:pStyle w:val="44"/>
              <w:tabs>
                <w:tab w:val="left" w:pos="1260"/>
              </w:tabs>
              <w:jc w:val="center"/>
              <w:rPr>
                <w:rFonts w:ascii="宋体" w:hAnsi="宋体"/>
                <w:sz w:val="28"/>
                <w:szCs w:val="28"/>
                <w:highlight w:val="none"/>
                <w:lang w:val="en-GB"/>
              </w:rPr>
            </w:pPr>
          </w:p>
        </w:tc>
      </w:tr>
    </w:tbl>
    <w:p w14:paraId="537EDEF4">
      <w:pPr>
        <w:pStyle w:val="44"/>
        <w:spacing w:line="460" w:lineRule="exact"/>
        <w:ind w:left="958" w:hanging="967" w:hangingChars="342"/>
        <w:rPr>
          <w:rFonts w:ascii="宋体" w:hAnsi="宋体"/>
          <w:sz w:val="28"/>
          <w:szCs w:val="28"/>
          <w:highlight w:val="none"/>
          <w:lang w:val="en-GB"/>
        </w:rPr>
      </w:pPr>
      <w:r>
        <w:rPr>
          <w:rFonts w:hint="eastAsia" w:ascii="宋体" w:hAnsi="宋体"/>
          <w:sz w:val="28"/>
          <w:szCs w:val="28"/>
          <w:highlight w:val="none"/>
          <w:lang w:val="en-GB"/>
        </w:rPr>
        <w:t>填报要求：</w:t>
      </w:r>
    </w:p>
    <w:p w14:paraId="27976D71">
      <w:pPr>
        <w:numPr>
          <w:ilvl w:val="0"/>
          <w:numId w:val="13"/>
        </w:numPr>
        <w:ind w:left="83" w:leftChars="39"/>
        <w:rPr>
          <w:rFonts w:hint="eastAsia" w:ascii="宋体" w:hAnsi="宋体"/>
          <w:sz w:val="28"/>
          <w:szCs w:val="28"/>
          <w:highlight w:val="none"/>
          <w:lang w:val="en-GB"/>
        </w:rPr>
      </w:pPr>
      <w:r>
        <w:rPr>
          <w:rFonts w:hint="eastAsia" w:ascii="宋体" w:hAnsi="宋体"/>
          <w:sz w:val="28"/>
          <w:szCs w:val="28"/>
          <w:highlight w:val="none"/>
          <w:lang w:val="en-GB"/>
        </w:rPr>
        <w:t>本表的产品名称、规格型号和注册商标、金额要与《报价明细表》一致。</w:t>
      </w:r>
    </w:p>
    <w:p w14:paraId="05A93BE7">
      <w:pPr>
        <w:numPr>
          <w:ilvl w:val="0"/>
          <w:numId w:val="0"/>
        </w:numPr>
        <w:rPr>
          <w:rFonts w:ascii="宋体" w:hAnsi="宋体"/>
          <w:bCs/>
          <w:color w:val="000000"/>
          <w:szCs w:val="21"/>
          <w:highlight w:val="none"/>
        </w:rPr>
      </w:pPr>
      <w:r>
        <w:rPr>
          <w:rFonts w:hint="eastAsia" w:ascii="宋体" w:hAnsi="宋体"/>
          <w:sz w:val="28"/>
          <w:szCs w:val="28"/>
          <w:highlight w:val="none"/>
          <w:lang w:val="en-GB"/>
        </w:rPr>
        <w:t>2.本表内容不填写将不能享受商务报价里</w:t>
      </w:r>
      <w:r>
        <w:rPr>
          <w:rFonts w:hint="eastAsia" w:ascii="宋体" w:hAnsi="宋体"/>
          <w:spacing w:val="6"/>
          <w:sz w:val="28"/>
          <w:szCs w:val="28"/>
          <w:highlight w:val="none"/>
        </w:rPr>
        <w:t>残疾人福利性单位</w:t>
      </w:r>
      <w:r>
        <w:rPr>
          <w:rFonts w:hint="eastAsia" w:ascii="宋体" w:hAnsi="宋体"/>
          <w:sz w:val="28"/>
          <w:szCs w:val="28"/>
          <w:highlight w:val="none"/>
          <w:lang w:val="en-GB"/>
        </w:rPr>
        <w:t>产品优惠政策。</w:t>
      </w:r>
    </w:p>
    <w:p w14:paraId="2CD21369">
      <w:pPr>
        <w:snapToGrid w:val="0"/>
        <w:spacing w:before="50" w:after="50"/>
        <w:ind w:right="-828" w:rightChars="-389"/>
        <w:rPr>
          <w:rFonts w:hint="eastAsia" w:ascii="宋体" w:hAnsi="宋体" w:cs="宋体"/>
          <w:b/>
          <w:sz w:val="24"/>
          <w:highlight w:val="none"/>
        </w:rPr>
      </w:pPr>
    </w:p>
    <w:p w14:paraId="73FB6A90">
      <w:pPr>
        <w:snapToGrid w:val="0"/>
        <w:spacing w:before="50" w:after="50"/>
        <w:ind w:right="-828" w:rightChars="-389"/>
        <w:rPr>
          <w:rFonts w:hint="eastAsia" w:ascii="宋体" w:hAnsi="宋体" w:cs="宋体"/>
          <w:b/>
          <w:sz w:val="24"/>
          <w:highlight w:val="none"/>
        </w:rPr>
      </w:pPr>
    </w:p>
    <w:p w14:paraId="4ED3A32B">
      <w:pPr>
        <w:snapToGrid w:val="0"/>
        <w:spacing w:before="50" w:after="50"/>
        <w:ind w:right="-828" w:rightChars="-389"/>
        <w:rPr>
          <w:rFonts w:hint="eastAsia" w:ascii="宋体" w:hAnsi="宋体" w:cs="宋体"/>
          <w:b/>
          <w:sz w:val="24"/>
          <w:highlight w:val="none"/>
        </w:rPr>
      </w:pPr>
    </w:p>
    <w:p w14:paraId="681F45BE">
      <w:pPr>
        <w:snapToGrid w:val="0"/>
        <w:spacing w:before="50" w:after="50"/>
        <w:ind w:right="-828" w:rightChars="-389"/>
        <w:rPr>
          <w:rFonts w:hint="eastAsia" w:ascii="宋体" w:hAnsi="宋体" w:cs="宋体"/>
          <w:b/>
          <w:sz w:val="24"/>
          <w:highlight w:val="none"/>
        </w:rPr>
      </w:pPr>
    </w:p>
    <w:p w14:paraId="58176C85">
      <w:pPr>
        <w:snapToGrid w:val="0"/>
        <w:spacing w:before="50" w:after="50"/>
        <w:ind w:right="-828" w:rightChars="-389"/>
        <w:rPr>
          <w:rFonts w:hint="eastAsia" w:ascii="宋体" w:hAnsi="宋体" w:cs="宋体"/>
          <w:b/>
          <w:sz w:val="24"/>
          <w:highlight w:val="none"/>
        </w:rPr>
      </w:pPr>
    </w:p>
    <w:p w14:paraId="5AC0B24B">
      <w:pPr>
        <w:snapToGrid w:val="0"/>
        <w:spacing w:before="50" w:after="50"/>
        <w:ind w:right="-828" w:rightChars="-389"/>
        <w:rPr>
          <w:rFonts w:hint="eastAsia" w:ascii="宋体" w:hAnsi="宋体" w:cs="宋体"/>
          <w:b/>
          <w:sz w:val="24"/>
          <w:highlight w:val="none"/>
        </w:rPr>
      </w:pPr>
    </w:p>
    <w:p w14:paraId="668D94D9">
      <w:pPr>
        <w:snapToGrid w:val="0"/>
        <w:spacing w:before="50" w:after="50"/>
        <w:ind w:right="-828" w:rightChars="-389"/>
        <w:rPr>
          <w:rFonts w:hint="eastAsia" w:ascii="宋体" w:hAnsi="宋体" w:cs="宋体"/>
          <w:b/>
          <w:sz w:val="24"/>
          <w:highlight w:val="none"/>
        </w:rPr>
      </w:pPr>
    </w:p>
    <w:p w14:paraId="0C99D9FA">
      <w:pPr>
        <w:snapToGrid w:val="0"/>
        <w:spacing w:before="50" w:after="50"/>
        <w:ind w:right="-828" w:rightChars="-389"/>
        <w:rPr>
          <w:rFonts w:hint="eastAsia" w:ascii="宋体" w:hAnsi="宋体" w:cs="宋体"/>
          <w:b/>
          <w:sz w:val="24"/>
          <w:highlight w:val="none"/>
        </w:rPr>
      </w:pPr>
    </w:p>
    <w:p w14:paraId="41736C34">
      <w:pPr>
        <w:snapToGrid w:val="0"/>
        <w:spacing w:before="50" w:after="50"/>
        <w:ind w:right="-828" w:rightChars="-389"/>
        <w:rPr>
          <w:rFonts w:hint="eastAsia" w:ascii="宋体" w:hAnsi="宋体" w:cs="宋体"/>
          <w:b/>
          <w:sz w:val="24"/>
          <w:highlight w:val="none"/>
        </w:rPr>
      </w:pPr>
    </w:p>
    <w:p w14:paraId="2C7F9033">
      <w:pPr>
        <w:snapToGrid w:val="0"/>
        <w:spacing w:before="50" w:after="50"/>
        <w:ind w:right="-828" w:rightChars="-389"/>
        <w:rPr>
          <w:rFonts w:hint="eastAsia" w:ascii="宋体" w:hAnsi="宋体" w:cs="宋体"/>
          <w:b/>
          <w:sz w:val="24"/>
          <w:highlight w:val="none"/>
        </w:rPr>
      </w:pPr>
    </w:p>
    <w:p w14:paraId="0FBD06EA">
      <w:pPr>
        <w:snapToGrid w:val="0"/>
        <w:spacing w:before="50" w:after="50"/>
        <w:ind w:right="-828" w:rightChars="-389"/>
        <w:rPr>
          <w:rFonts w:hint="eastAsia" w:ascii="宋体" w:hAnsi="宋体" w:cs="宋体"/>
          <w:b/>
          <w:sz w:val="24"/>
          <w:highlight w:val="none"/>
        </w:rPr>
      </w:pPr>
    </w:p>
    <w:p w14:paraId="204E24C8">
      <w:pPr>
        <w:snapToGrid w:val="0"/>
        <w:spacing w:before="50" w:after="50"/>
        <w:ind w:right="-828" w:rightChars="-389"/>
        <w:rPr>
          <w:rFonts w:hint="eastAsia" w:ascii="宋体" w:hAnsi="宋体" w:cs="宋体"/>
          <w:b/>
          <w:sz w:val="24"/>
          <w:highlight w:val="none"/>
        </w:rPr>
      </w:pPr>
    </w:p>
    <w:p w14:paraId="34FB2585">
      <w:pPr>
        <w:snapToGrid w:val="0"/>
        <w:spacing w:before="50" w:after="50"/>
        <w:ind w:right="-828" w:rightChars="-389"/>
        <w:rPr>
          <w:rFonts w:hint="eastAsia" w:ascii="宋体" w:hAnsi="宋体" w:cs="宋体"/>
          <w:b/>
          <w:sz w:val="24"/>
          <w:highlight w:val="none"/>
        </w:rPr>
      </w:pPr>
    </w:p>
    <w:p w14:paraId="15DC0D47">
      <w:pPr>
        <w:pStyle w:val="26"/>
        <w:rPr>
          <w:rFonts w:hint="eastAsia" w:ascii="宋体" w:hAnsi="宋体" w:cs="宋体"/>
          <w:b/>
          <w:sz w:val="24"/>
          <w:highlight w:val="none"/>
        </w:rPr>
      </w:pPr>
    </w:p>
    <w:p w14:paraId="43D47C92">
      <w:pPr>
        <w:snapToGrid w:val="0"/>
        <w:spacing w:before="50" w:after="50"/>
        <w:ind w:right="-828" w:rightChars="-389"/>
        <w:rPr>
          <w:rFonts w:hint="eastAsia" w:ascii="宋体" w:hAnsi="宋体" w:cs="宋体"/>
          <w:b/>
          <w:sz w:val="24"/>
          <w:highlight w:val="none"/>
        </w:rPr>
      </w:pPr>
    </w:p>
    <w:p w14:paraId="26E91647">
      <w:pPr>
        <w:rPr>
          <w:rFonts w:hint="eastAsia" w:ascii="宋体" w:hAnsi="宋体" w:cs="宋体"/>
          <w:b/>
          <w:sz w:val="24"/>
          <w:highlight w:val="none"/>
        </w:rPr>
      </w:pPr>
      <w:r>
        <w:rPr>
          <w:rFonts w:hint="eastAsia" w:ascii="宋体" w:hAnsi="宋体" w:cs="宋体"/>
          <w:b/>
          <w:sz w:val="24"/>
          <w:highlight w:val="none"/>
        </w:rPr>
        <w:br w:type="page"/>
      </w:r>
    </w:p>
    <w:p w14:paraId="1B33FA26">
      <w:pPr>
        <w:snapToGrid w:val="0"/>
        <w:spacing w:before="50" w:after="50"/>
        <w:ind w:right="-828" w:rightChars="-389"/>
        <w:rPr>
          <w:rFonts w:hint="eastAsia" w:ascii="宋体" w:hAnsi="宋体" w:cs="宋体"/>
          <w:b/>
          <w:sz w:val="24"/>
          <w:highlight w:val="none"/>
          <w:lang w:val="en-US" w:eastAsia="zh-CN"/>
        </w:rPr>
      </w:pPr>
      <w:r>
        <w:rPr>
          <w:rFonts w:hint="eastAsia" w:ascii="宋体" w:hAnsi="宋体" w:cs="宋体"/>
          <w:b/>
          <w:sz w:val="24"/>
          <w:highlight w:val="none"/>
          <w:lang w:val="en-US" w:eastAsia="zh-CN"/>
        </w:rPr>
        <w:t>附件13：</w:t>
      </w:r>
    </w:p>
    <w:p w14:paraId="4A68B3E4">
      <w:pPr>
        <w:pStyle w:val="60"/>
        <w:snapToGrid w:val="0"/>
        <w:spacing w:line="440" w:lineRule="exact"/>
        <w:ind w:firstLine="729" w:firstLineChars="300"/>
        <w:jc w:val="left"/>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政府采购活动现场确认声明书</w:t>
      </w:r>
    </w:p>
    <w:p w14:paraId="7BB54F01">
      <w:pPr>
        <w:pStyle w:val="60"/>
        <w:snapToGrid w:val="0"/>
        <w:spacing w:line="440" w:lineRule="exact"/>
        <w:rPr>
          <w:rFonts w:hint="eastAsia" w:ascii="宋体" w:hAnsi="宋体" w:eastAsia="宋体" w:cs="宋体"/>
          <w:color w:val="auto"/>
          <w:kern w:val="0"/>
          <w:sz w:val="24"/>
          <w:szCs w:val="24"/>
          <w:highlight w:val="none"/>
        </w:rPr>
      </w:pPr>
    </w:p>
    <w:p w14:paraId="3F02DF6A">
      <w:pPr>
        <w:pStyle w:val="60"/>
        <w:snapToGrid w:val="0"/>
        <w:spacing w:line="440" w:lineRule="exact"/>
        <w:textAlignment w:val="baseline"/>
        <w:rPr>
          <w:rFonts w:hint="eastAsia" w:ascii="宋体" w:hAnsi="宋体" w:eastAsia="宋体" w:cs="宋体"/>
          <w:b/>
          <w:color w:val="auto"/>
          <w:sz w:val="24"/>
          <w:szCs w:val="24"/>
          <w:highlight w:val="none"/>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eastAsia="宋体" w:cs="宋体"/>
          <w:color w:val="auto"/>
          <w:kern w:val="0"/>
          <w:sz w:val="24"/>
          <w:szCs w:val="24"/>
          <w:highlight w:val="none"/>
        </w:rPr>
        <w:t>：</w:t>
      </w:r>
    </w:p>
    <w:p w14:paraId="61E590EB">
      <w:pPr>
        <w:spacing w:before="240" w:beforeLines="100" w:line="440" w:lineRule="exact"/>
        <w:jc w:val="lef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本人经由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b w:val="0"/>
          <w:bCs/>
          <w:color w:val="auto"/>
          <w:spacing w:val="6"/>
          <w:sz w:val="24"/>
          <w:szCs w:val="24"/>
          <w:highlight w:val="none"/>
          <w:u w:val="single"/>
          <w:lang w:eastAsia="zh-CN"/>
        </w:rPr>
        <w:t>（</w:t>
      </w:r>
      <w:r>
        <w:rPr>
          <w:rFonts w:hint="eastAsia" w:ascii="宋体" w:hAnsi="宋体" w:cs="宋体"/>
          <w:b w:val="0"/>
          <w:bCs/>
          <w:color w:val="auto"/>
          <w:spacing w:val="6"/>
          <w:sz w:val="24"/>
          <w:szCs w:val="24"/>
          <w:highlight w:val="none"/>
          <w:u w:val="single"/>
          <w:lang w:val="en-US" w:eastAsia="zh-CN"/>
        </w:rPr>
        <w:t>项目名称</w:t>
      </w:r>
      <w:r>
        <w:rPr>
          <w:rFonts w:hint="eastAsia" w:ascii="宋体" w:hAnsi="宋体" w:cs="宋体"/>
          <w:b w:val="0"/>
          <w:bCs/>
          <w:color w:val="auto"/>
          <w:spacing w:val="6"/>
          <w:sz w:val="24"/>
          <w:szCs w:val="24"/>
          <w:highlight w:val="none"/>
          <w:u w:val="single"/>
          <w:lang w:eastAsia="zh-CN"/>
        </w:rPr>
        <w:t>）</w:t>
      </w:r>
      <w:r>
        <w:rPr>
          <w:rFonts w:hint="eastAsia" w:ascii="宋体" w:hAnsi="宋体" w:cs="宋体"/>
          <w:b w:val="0"/>
          <w:bCs/>
          <w:color w:val="auto"/>
          <w:spacing w:val="6"/>
          <w:sz w:val="24"/>
          <w:szCs w:val="24"/>
          <w:highlight w:val="none"/>
          <w:u w:val="single"/>
          <w:lang w:val="en-US" w:eastAsia="zh-CN"/>
        </w:rPr>
        <w:t>项目</w:t>
      </w:r>
      <w:r>
        <w:rPr>
          <w:rFonts w:hint="eastAsia" w:ascii="宋体" w:hAnsi="宋体" w:eastAsia="宋体" w:cs="宋体"/>
          <w:b w:val="0"/>
          <w:bCs/>
          <w:color w:val="auto"/>
          <w:spacing w:val="6"/>
          <w:sz w:val="24"/>
          <w:szCs w:val="24"/>
          <w:highlight w:val="none"/>
        </w:rPr>
        <w:t>（</w:t>
      </w:r>
      <w:r>
        <w:rPr>
          <w:rFonts w:hint="eastAsia" w:ascii="宋体" w:hAnsi="宋体" w:cs="宋体"/>
          <w:color w:val="auto"/>
          <w:spacing w:val="6"/>
          <w:sz w:val="24"/>
          <w:szCs w:val="24"/>
          <w:highlight w:val="none"/>
          <w:lang w:val="en-US" w:eastAsia="zh-CN"/>
        </w:rPr>
        <w:t>项目编号：</w:t>
      </w:r>
      <w:r>
        <w:rPr>
          <w:rFonts w:hint="eastAsia" w:ascii="宋体" w:hAnsi="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1F6AD04C">
      <w:pPr>
        <w:pStyle w:val="61"/>
        <w:widowControl/>
        <w:numPr>
          <w:ilvl w:val="0"/>
          <w:numId w:val="14"/>
        </w:numPr>
        <w:snapToGrid w:val="0"/>
        <w:spacing w:line="440" w:lineRule="exact"/>
        <w:ind w:firstLine="458" w:firstLineChars="189"/>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BDE4081">
      <w:pPr>
        <w:pStyle w:val="61"/>
        <w:widowControl/>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2C0B65EB">
      <w:pPr>
        <w:pStyle w:val="61"/>
        <w:widowControl/>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0A7A4DF1">
      <w:pPr>
        <w:pStyle w:val="61"/>
        <w:widowControl/>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现已清楚知道参加本项目采购活动的其他所有投标人名称，本单位 □与其他所有投标人之间均不存在利害关系 □与</w:t>
      </w:r>
      <w:r>
        <w:rPr>
          <w:rFonts w:hint="eastAsia" w:ascii="宋体" w:hAnsi="宋体" w:eastAsia="宋体" w:cs="宋体"/>
          <w:color w:val="auto"/>
          <w:kern w:val="0"/>
          <w:sz w:val="24"/>
          <w:szCs w:val="24"/>
          <w:highlight w:val="none"/>
          <w:u w:val="single"/>
        </w:rPr>
        <w:t xml:space="preserve">           （投标人名称）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5D4E245">
      <w:pPr>
        <w:pStyle w:val="60"/>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2304A729">
      <w:pPr>
        <w:pStyle w:val="60"/>
        <w:snapToGrid w:val="0"/>
        <w:spacing w:line="440" w:lineRule="exac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05D86C3F">
      <w:pPr>
        <w:pStyle w:val="60"/>
        <w:snapToGrid w:val="0"/>
        <w:spacing w:line="440" w:lineRule="exac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255B48A6">
      <w:pPr>
        <w:pStyle w:val="60"/>
        <w:snapToGrid w:val="0"/>
        <w:spacing w:line="440" w:lineRule="exac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43B8BA5A">
      <w:pPr>
        <w:pStyle w:val="60"/>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1706FC3C">
      <w:pPr>
        <w:pStyle w:val="60"/>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509A416F">
      <w:pPr>
        <w:pStyle w:val="60"/>
        <w:snapToGrid w:val="0"/>
        <w:spacing w:line="440" w:lineRule="exact"/>
        <w:textAlignment w:val="baseline"/>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2293541F">
      <w:pPr>
        <w:pStyle w:val="6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507CF1E6">
      <w:pPr>
        <w:pStyle w:val="60"/>
        <w:snapToGrid w:val="0"/>
        <w:spacing w:line="440" w:lineRule="exac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D5E23FD">
      <w:pPr>
        <w:pStyle w:val="61"/>
        <w:widowControl/>
        <w:numPr>
          <w:ilvl w:val="0"/>
          <w:numId w:val="15"/>
        </w:numPr>
        <w:snapToGrid w:val="0"/>
        <w:spacing w:line="440" w:lineRule="exact"/>
        <w:ind w:firstLine="458" w:firstLineChars="189"/>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5D7604BB">
      <w:pPr>
        <w:pStyle w:val="61"/>
        <w:widowControl/>
        <w:numPr>
          <w:ilvl w:val="0"/>
          <w:numId w:val="15"/>
        </w:numPr>
        <w:snapToGrid w:val="0"/>
        <w:spacing w:line="440" w:lineRule="exact"/>
        <w:ind w:firstLine="458" w:firstLineChars="189"/>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投标人之间存在或可能存在上述第二条第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31C406C8">
      <w:pPr>
        <w:pStyle w:val="60"/>
        <w:snapToGrid w:val="0"/>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（投标人代表签名）：</w:t>
      </w:r>
    </w:p>
    <w:p w14:paraId="3AFE26C1">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日 期：</w:t>
      </w:r>
    </w:p>
    <w:p w14:paraId="77153CD9">
      <w:pPr>
        <w:snapToGrid w:val="0"/>
        <w:spacing w:before="50" w:after="50"/>
        <w:ind w:right="-828" w:rightChars="-389"/>
        <w:rPr>
          <w:rFonts w:hint="eastAsia" w:ascii="宋体" w:hAnsi="宋体" w:eastAsia="宋体" w:cs="宋体"/>
          <w:b/>
          <w:sz w:val="24"/>
          <w:highlight w:val="none"/>
        </w:rPr>
      </w:pPr>
      <w:r>
        <w:rPr>
          <w:rFonts w:hint="eastAsia" w:ascii="宋体" w:hAnsi="宋体" w:eastAsia="宋体" w:cs="宋体"/>
          <w:b/>
          <w:color w:val="auto"/>
          <w:sz w:val="24"/>
          <w:szCs w:val="24"/>
          <w:highlight w:val="none"/>
        </w:rPr>
        <w:t>（注：投标人在开标后半小时内提供原件扫描件至邮箱：</w:t>
      </w:r>
      <w:r>
        <w:rPr>
          <w:rFonts w:hint="eastAsia" w:ascii="宋体" w:hAnsi="宋体" w:cs="宋体"/>
          <w:b/>
          <w:color w:val="auto"/>
          <w:sz w:val="24"/>
          <w:szCs w:val="24"/>
          <w:highlight w:val="none"/>
          <w:lang w:val="en-US" w:eastAsia="zh-CN"/>
        </w:rPr>
        <w:t>3611630580@qq</w:t>
      </w:r>
      <w:r>
        <w:rPr>
          <w:rFonts w:hint="eastAsia" w:ascii="宋体" w:hAnsi="宋体" w:eastAsia="宋体" w:cs="宋体"/>
          <w:b/>
          <w:color w:val="auto"/>
          <w:sz w:val="24"/>
          <w:szCs w:val="24"/>
          <w:highlight w:val="none"/>
        </w:rPr>
        <w:t>.com。）</w:t>
      </w:r>
    </w:p>
    <w:p w14:paraId="5F2B3F30">
      <w:pPr>
        <w:snapToGrid w:val="0"/>
        <w:spacing w:before="50" w:after="50"/>
        <w:ind w:right="-828" w:rightChars="-389"/>
        <w:rPr>
          <w:rFonts w:hint="default" w:ascii="宋体" w:hAnsi="宋体" w:cs="宋体"/>
          <w:b/>
          <w:sz w:val="24"/>
          <w:highlight w:val="none"/>
          <w:lang w:val="en-US" w:eastAsia="zh-CN"/>
        </w:rPr>
      </w:pPr>
    </w:p>
    <w:p w14:paraId="4A2A6B7C">
      <w:pPr>
        <w:snapToGrid w:val="0"/>
        <w:spacing w:before="50" w:after="50"/>
        <w:ind w:right="-828" w:rightChars="-389"/>
        <w:rPr>
          <w:rFonts w:ascii="宋体" w:hAnsi="宋体" w:cs="宋体"/>
          <w:b/>
          <w:sz w:val="24"/>
          <w:highlight w:val="none"/>
        </w:rPr>
      </w:pPr>
      <w:r>
        <w:rPr>
          <w:rFonts w:hint="eastAsia" w:ascii="宋体" w:hAnsi="宋体" w:cs="宋体"/>
          <w:b/>
          <w:sz w:val="24"/>
          <w:highlight w:val="none"/>
        </w:rPr>
        <w:t>质疑函范本</w:t>
      </w:r>
    </w:p>
    <w:p w14:paraId="482D8ED8">
      <w:pPr>
        <w:jc w:val="center"/>
        <w:rPr>
          <w:rFonts w:ascii="宋体" w:hAnsi="宋体" w:cs="宋体"/>
          <w:b/>
          <w:bCs/>
          <w:sz w:val="44"/>
          <w:szCs w:val="44"/>
          <w:highlight w:val="none"/>
        </w:rPr>
      </w:pPr>
      <w:r>
        <w:rPr>
          <w:rFonts w:hint="eastAsia" w:ascii="宋体" w:hAnsi="宋体" w:cs="宋体"/>
          <w:b/>
          <w:bCs/>
          <w:sz w:val="44"/>
          <w:szCs w:val="44"/>
          <w:highlight w:val="none"/>
        </w:rPr>
        <w:t>质疑函范本</w:t>
      </w:r>
    </w:p>
    <w:p w14:paraId="7A5A6A06">
      <w:pPr>
        <w:adjustRightInd w:val="0"/>
        <w:snapToGrid w:val="0"/>
        <w:spacing w:before="312" w:beforeLines="100" w:line="360" w:lineRule="auto"/>
        <w:rPr>
          <w:rFonts w:ascii="宋体" w:hAnsi="宋体" w:cs="宋体"/>
          <w:bCs/>
          <w:sz w:val="24"/>
          <w:szCs w:val="24"/>
          <w:highlight w:val="none"/>
        </w:rPr>
      </w:pPr>
      <w:r>
        <w:rPr>
          <w:rFonts w:hint="eastAsia" w:ascii="宋体" w:hAnsi="宋体" w:cs="宋体"/>
          <w:bCs/>
          <w:sz w:val="24"/>
          <w:szCs w:val="24"/>
          <w:highlight w:val="none"/>
        </w:rPr>
        <w:t>一、质疑供应商基本信息</w:t>
      </w:r>
    </w:p>
    <w:p w14:paraId="752CD3F7">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质疑供应商：</w:t>
      </w:r>
      <w:r>
        <w:rPr>
          <w:rFonts w:hint="eastAsia" w:ascii="宋体" w:hAnsi="宋体" w:cs="宋体"/>
          <w:sz w:val="24"/>
          <w:szCs w:val="24"/>
          <w:highlight w:val="none"/>
          <w:u w:val="dotted"/>
        </w:rPr>
        <w:t xml:space="preserve">                                        </w:t>
      </w:r>
    </w:p>
    <w:p w14:paraId="167F455B">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626CF26E">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2B77185C">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p>
    <w:p w14:paraId="7B266559">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4631CBE8">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地址： </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1E588CB3">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二、质疑项目基本情况</w:t>
      </w:r>
    </w:p>
    <w:p w14:paraId="1116B1EB">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质疑项目的名称：</w:t>
      </w:r>
      <w:r>
        <w:rPr>
          <w:rFonts w:hint="eastAsia" w:ascii="宋体" w:hAnsi="宋体" w:cs="宋体"/>
          <w:sz w:val="24"/>
          <w:szCs w:val="24"/>
          <w:highlight w:val="none"/>
          <w:u w:val="dotted"/>
        </w:rPr>
        <w:t xml:space="preserve">                                      </w:t>
      </w:r>
    </w:p>
    <w:p w14:paraId="3A0DE611">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35A114F6">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p>
    <w:p w14:paraId="17F1D6B2">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采购文件获取日期：</w:t>
      </w:r>
      <w:r>
        <w:rPr>
          <w:rFonts w:hint="eastAsia" w:ascii="宋体" w:hAnsi="宋体" w:cs="宋体"/>
          <w:sz w:val="24"/>
          <w:szCs w:val="24"/>
          <w:highlight w:val="none"/>
          <w:u w:val="dotted"/>
        </w:rPr>
        <w:t xml:space="preserve">                                           </w:t>
      </w:r>
    </w:p>
    <w:p w14:paraId="61D4CE2A">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三、质疑事项具体内容</w:t>
      </w:r>
    </w:p>
    <w:p w14:paraId="3E051FF1">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质疑事项1：</w:t>
      </w:r>
      <w:r>
        <w:rPr>
          <w:rFonts w:hint="eastAsia" w:ascii="宋体" w:hAnsi="宋体" w:cs="宋体"/>
          <w:sz w:val="24"/>
          <w:szCs w:val="24"/>
          <w:highlight w:val="none"/>
          <w:u w:val="dotted"/>
        </w:rPr>
        <w:t xml:space="preserve">                                         </w:t>
      </w:r>
    </w:p>
    <w:p w14:paraId="5EF29DCC">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3CCDE613">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u w:val="dotted"/>
        </w:rPr>
        <w:t xml:space="preserve">                                                       </w:t>
      </w:r>
    </w:p>
    <w:p w14:paraId="558BA758">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381B68B4">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302BB7E6">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质疑事项2</w:t>
      </w:r>
    </w:p>
    <w:p w14:paraId="258BBDDC">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w:t>
      </w:r>
    </w:p>
    <w:p w14:paraId="424A0FC1">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四、与质疑事项相关的质疑请求</w:t>
      </w:r>
    </w:p>
    <w:p w14:paraId="7FF21BD7">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p>
    <w:p w14:paraId="34370EB9">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5CD71462">
      <w:pPr>
        <w:rPr>
          <w:rFonts w:ascii="宋体" w:hAnsi="宋体" w:cs="宋体"/>
          <w:sz w:val="24"/>
          <w:szCs w:val="24"/>
          <w:highlight w:val="none"/>
        </w:rPr>
      </w:pPr>
      <w:r>
        <w:rPr>
          <w:rFonts w:hint="eastAsia" w:ascii="宋体" w:hAnsi="宋体" w:cs="宋体"/>
          <w:sz w:val="24"/>
          <w:szCs w:val="24"/>
          <w:highlight w:val="none"/>
        </w:rPr>
        <w:t xml:space="preserve">日期：    </w:t>
      </w:r>
    </w:p>
    <w:p w14:paraId="61C77C84">
      <w:pPr>
        <w:rPr>
          <w:rFonts w:ascii="宋体" w:hAnsi="宋体" w:cs="宋体"/>
          <w:b/>
          <w:sz w:val="24"/>
          <w:szCs w:val="24"/>
          <w:highlight w:val="none"/>
        </w:rPr>
      </w:pPr>
      <w:r>
        <w:rPr>
          <w:rFonts w:hint="eastAsia" w:ascii="宋体" w:hAnsi="宋体" w:cs="宋体"/>
          <w:b/>
          <w:sz w:val="24"/>
          <w:szCs w:val="24"/>
          <w:highlight w:val="none"/>
        </w:rPr>
        <w:t>质疑函制作说明：</w:t>
      </w:r>
    </w:p>
    <w:p w14:paraId="72981701">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1.供应商提出质疑时，应提交质疑函和必要的证明材料。</w:t>
      </w:r>
    </w:p>
    <w:p w14:paraId="1702C728">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2.质疑供应商若委托代理人进行质疑的，质疑函应按要求列明“授权代表”的有关内容，并在附件中提交由质疑</w:t>
      </w:r>
      <w:r>
        <w:rPr>
          <w:rFonts w:hint="eastAsia" w:ascii="宋体" w:hAnsi="宋体" w:cs="宋体"/>
          <w:kern w:val="0"/>
          <w:sz w:val="24"/>
          <w:szCs w:val="24"/>
          <w:highlight w:val="none"/>
        </w:rPr>
        <w:t>供应商签署的授权委托书。授权委托书应载明代理人的姓名或者名称、代理事项、具体权限、期限和相关事项。</w:t>
      </w:r>
    </w:p>
    <w:p w14:paraId="7BEFC37F">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3.质疑供应商若对项目的某一分包进行质疑，质疑函中应列明具体分包号。</w:t>
      </w:r>
    </w:p>
    <w:p w14:paraId="0E0BF97E">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4.质疑函的质疑事项应具体、明确，并有必要的事实依据和法律依据。</w:t>
      </w:r>
    </w:p>
    <w:p w14:paraId="377753E7">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5.质疑函的质疑请求应与质疑事项相关。</w:t>
      </w:r>
    </w:p>
    <w:p w14:paraId="150B1D82">
      <w:pPr>
        <w:widowControl/>
        <w:ind w:firstLine="486" w:firstLineChars="200"/>
        <w:jc w:val="left"/>
        <w:rPr>
          <w:rFonts w:ascii="宋体" w:hAnsi="宋体" w:cs="宋体"/>
          <w:sz w:val="32"/>
          <w:szCs w:val="32"/>
          <w:highlight w:val="none"/>
        </w:rPr>
      </w:pPr>
      <w:r>
        <w:rPr>
          <w:rFonts w:hint="eastAsia" w:ascii="宋体" w:hAnsi="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7D574FD0">
      <w:pPr>
        <w:widowControl/>
        <w:ind w:firstLine="606" w:firstLineChars="200"/>
        <w:jc w:val="left"/>
        <w:rPr>
          <w:rFonts w:ascii="宋体" w:hAnsi="宋体" w:cs="宋体"/>
          <w:sz w:val="30"/>
          <w:szCs w:val="30"/>
          <w:highlight w:val="none"/>
        </w:rPr>
      </w:pPr>
    </w:p>
    <w:p w14:paraId="6BD13F25">
      <w:pPr>
        <w:pStyle w:val="28"/>
        <w:ind w:left="426" w:firstLine="426"/>
        <w:rPr>
          <w:rFonts w:ascii="宋体" w:hAnsi="宋体" w:cs="宋体"/>
          <w:highlight w:val="none"/>
        </w:rPr>
      </w:pPr>
    </w:p>
    <w:p w14:paraId="243732C7">
      <w:pPr>
        <w:pStyle w:val="28"/>
        <w:ind w:left="426" w:firstLine="426"/>
        <w:rPr>
          <w:rFonts w:ascii="宋体" w:hAnsi="宋体" w:cs="宋体"/>
          <w:highlight w:val="none"/>
        </w:rPr>
      </w:pPr>
    </w:p>
    <w:p w14:paraId="53E81860">
      <w:pPr>
        <w:pStyle w:val="28"/>
        <w:ind w:left="0" w:leftChars="0" w:firstLine="0" w:firstLineChars="0"/>
        <w:rPr>
          <w:rFonts w:ascii="宋体" w:hAnsi="宋体" w:cs="宋体"/>
          <w:highlight w:val="none"/>
        </w:rPr>
      </w:pPr>
    </w:p>
    <w:p w14:paraId="5640BDC0">
      <w:pPr>
        <w:snapToGrid w:val="0"/>
        <w:spacing w:before="50" w:after="50"/>
        <w:ind w:right="-828" w:rightChars="-389"/>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投诉书范本</w:t>
      </w:r>
    </w:p>
    <w:p w14:paraId="0F647E8A">
      <w:pPr>
        <w:jc w:val="center"/>
        <w:rPr>
          <w:rFonts w:ascii="宋体" w:hAnsi="宋体" w:cs="宋体"/>
          <w:b/>
          <w:sz w:val="44"/>
          <w:szCs w:val="44"/>
          <w:highlight w:val="none"/>
        </w:rPr>
      </w:pPr>
      <w:r>
        <w:rPr>
          <w:rFonts w:hint="eastAsia" w:ascii="宋体" w:hAnsi="宋体" w:cs="宋体"/>
          <w:b/>
          <w:sz w:val="36"/>
          <w:szCs w:val="36"/>
          <w:highlight w:val="none"/>
        </w:rPr>
        <w:t>投诉书范本</w:t>
      </w:r>
    </w:p>
    <w:p w14:paraId="4C535E87">
      <w:pPr>
        <w:rPr>
          <w:rFonts w:ascii="宋体" w:hAnsi="宋体" w:cs="宋体"/>
          <w:sz w:val="24"/>
          <w:szCs w:val="24"/>
          <w:highlight w:val="none"/>
        </w:rPr>
      </w:pPr>
      <w:r>
        <w:rPr>
          <w:rFonts w:hint="eastAsia" w:ascii="宋体" w:hAnsi="宋体" w:cs="宋体"/>
          <w:sz w:val="24"/>
          <w:szCs w:val="24"/>
          <w:highlight w:val="none"/>
        </w:rPr>
        <w:t>一、投诉相关主体基本情况</w:t>
      </w:r>
    </w:p>
    <w:p w14:paraId="054C00FA">
      <w:pPr>
        <w:rPr>
          <w:rFonts w:ascii="宋体" w:hAnsi="宋体" w:cs="宋体"/>
          <w:sz w:val="24"/>
          <w:szCs w:val="24"/>
          <w:highlight w:val="none"/>
          <w:u w:val="dotted"/>
        </w:rPr>
      </w:pPr>
      <w:r>
        <w:rPr>
          <w:rFonts w:hint="eastAsia" w:ascii="宋体" w:hAnsi="宋体" w:cs="宋体"/>
          <w:sz w:val="24"/>
          <w:szCs w:val="24"/>
          <w:highlight w:val="none"/>
        </w:rPr>
        <w:t>投诉人：</w:t>
      </w:r>
      <w:r>
        <w:rPr>
          <w:rFonts w:hint="eastAsia" w:ascii="宋体" w:hAnsi="宋体" w:cs="宋体"/>
          <w:sz w:val="24"/>
          <w:szCs w:val="24"/>
          <w:highlight w:val="none"/>
          <w:u w:val="dotted"/>
        </w:rPr>
        <w:t xml:space="preserve">                                               </w:t>
      </w:r>
    </w:p>
    <w:p w14:paraId="645BAF9F">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65A0E61E">
      <w:pPr>
        <w:tabs>
          <w:tab w:val="left" w:pos="6510"/>
        </w:tabs>
        <w:jc w:val="left"/>
        <w:rPr>
          <w:rFonts w:ascii="宋体" w:hAnsi="宋体" w:cs="宋体"/>
          <w:sz w:val="24"/>
          <w:szCs w:val="24"/>
          <w:highlight w:val="none"/>
        </w:rPr>
      </w:pPr>
      <w:r>
        <w:rPr>
          <w:rFonts w:hint="eastAsia" w:ascii="宋体" w:hAnsi="宋体" w:cs="宋体"/>
          <w:sz w:val="24"/>
          <w:szCs w:val="24"/>
          <w:highlight w:val="none"/>
        </w:rPr>
        <w:t>法定代表人/主要负责人：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09ACA7C8">
      <w:pPr>
        <w:tabs>
          <w:tab w:val="left" w:pos="6510"/>
        </w:tabs>
        <w:rPr>
          <w:rFonts w:ascii="宋体" w:hAnsi="宋体" w:cs="宋体"/>
          <w:sz w:val="24"/>
          <w:szCs w:val="24"/>
          <w:highlight w:val="none"/>
          <w:u w:val="dotted"/>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2F1EC308">
      <w:pPr>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28038D66">
      <w:pPr>
        <w:rPr>
          <w:rFonts w:ascii="宋体" w:hAnsi="宋体" w:cs="宋体"/>
          <w:sz w:val="24"/>
          <w:szCs w:val="24"/>
          <w:highlight w:val="none"/>
          <w:u w:val="dotted"/>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dotted"/>
        </w:rPr>
        <w:t xml:space="preserve">                   </w:t>
      </w:r>
    </w:p>
    <w:p w14:paraId="5126FF5A">
      <w:pPr>
        <w:rPr>
          <w:rFonts w:ascii="宋体" w:hAnsi="宋体" w:cs="宋体"/>
          <w:sz w:val="24"/>
          <w:szCs w:val="24"/>
          <w:highlight w:val="none"/>
          <w:u w:val="single"/>
        </w:rPr>
      </w:pPr>
      <w:r>
        <w:rPr>
          <w:rFonts w:hint="eastAsia" w:ascii="宋体" w:hAnsi="宋体" w:cs="宋体"/>
          <w:sz w:val="24"/>
          <w:szCs w:val="24"/>
          <w:highlight w:val="none"/>
        </w:rPr>
        <w:t>被投诉人1：</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1FC74A0A">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55DDD7BF">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45D48F4D">
      <w:pPr>
        <w:rPr>
          <w:rFonts w:ascii="宋体" w:hAnsi="宋体" w:cs="宋体"/>
          <w:sz w:val="24"/>
          <w:szCs w:val="24"/>
          <w:highlight w:val="none"/>
        </w:rPr>
      </w:pPr>
      <w:r>
        <w:rPr>
          <w:rFonts w:hint="eastAsia" w:ascii="宋体" w:hAnsi="宋体" w:cs="宋体"/>
          <w:sz w:val="24"/>
          <w:szCs w:val="24"/>
          <w:highlight w:val="none"/>
        </w:rPr>
        <w:t>被投诉人2</w:t>
      </w:r>
    </w:p>
    <w:p w14:paraId="110DB5D0">
      <w:pPr>
        <w:rPr>
          <w:rFonts w:ascii="宋体" w:hAnsi="宋体" w:cs="宋体"/>
          <w:sz w:val="24"/>
          <w:szCs w:val="24"/>
          <w:highlight w:val="none"/>
          <w:u w:val="dotted"/>
        </w:rPr>
      </w:pPr>
      <w:r>
        <w:rPr>
          <w:rFonts w:hint="eastAsia" w:ascii="宋体" w:hAnsi="宋体" w:cs="宋体"/>
          <w:sz w:val="24"/>
          <w:szCs w:val="24"/>
          <w:highlight w:val="none"/>
        </w:rPr>
        <w:t>……</w:t>
      </w:r>
    </w:p>
    <w:p w14:paraId="17D0CC2B">
      <w:pPr>
        <w:rPr>
          <w:rFonts w:ascii="宋体" w:hAnsi="宋体" w:cs="宋体"/>
          <w:sz w:val="24"/>
          <w:szCs w:val="24"/>
          <w:highlight w:val="none"/>
          <w:u w:val="single"/>
        </w:rPr>
      </w:pPr>
      <w:r>
        <w:rPr>
          <w:rFonts w:hint="eastAsia" w:ascii="宋体" w:hAnsi="宋体" w:cs="宋体"/>
          <w:sz w:val="24"/>
          <w:szCs w:val="24"/>
          <w:highlight w:val="none"/>
        </w:rPr>
        <w:t>相关供应商：</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AF4DE8D">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4F43417E">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7858CB9E">
      <w:pPr>
        <w:rPr>
          <w:rFonts w:ascii="宋体" w:hAnsi="宋体" w:cs="宋体"/>
          <w:sz w:val="24"/>
          <w:szCs w:val="24"/>
          <w:highlight w:val="none"/>
        </w:rPr>
      </w:pPr>
      <w:r>
        <w:rPr>
          <w:rFonts w:hint="eastAsia" w:ascii="宋体" w:hAnsi="宋体" w:cs="宋体"/>
          <w:sz w:val="24"/>
          <w:szCs w:val="24"/>
          <w:highlight w:val="none"/>
        </w:rPr>
        <w:t>二、投诉项目基本情况</w:t>
      </w:r>
    </w:p>
    <w:p w14:paraId="47CBC4C8">
      <w:pPr>
        <w:rPr>
          <w:rFonts w:ascii="宋体" w:hAnsi="宋体" w:cs="宋体"/>
          <w:sz w:val="24"/>
          <w:szCs w:val="24"/>
          <w:highlight w:val="none"/>
          <w:u w:val="dotted"/>
        </w:rPr>
      </w:pPr>
      <w:r>
        <w:rPr>
          <w:rFonts w:hint="eastAsia" w:ascii="宋体" w:hAnsi="宋体" w:cs="宋体"/>
          <w:sz w:val="24"/>
          <w:szCs w:val="24"/>
          <w:highlight w:val="none"/>
        </w:rPr>
        <w:t>采购项目名称：</w:t>
      </w:r>
      <w:r>
        <w:rPr>
          <w:rFonts w:hint="eastAsia" w:ascii="宋体" w:hAnsi="宋体" w:cs="宋体"/>
          <w:sz w:val="24"/>
          <w:szCs w:val="24"/>
          <w:highlight w:val="none"/>
          <w:u w:val="dotted"/>
        </w:rPr>
        <w:t xml:space="preserve">                                        </w:t>
      </w:r>
    </w:p>
    <w:p w14:paraId="1C7879AA">
      <w:pPr>
        <w:rPr>
          <w:rFonts w:ascii="宋体" w:hAnsi="宋体" w:cs="宋体"/>
          <w:sz w:val="24"/>
          <w:szCs w:val="24"/>
          <w:highlight w:val="none"/>
          <w:u w:val="single"/>
        </w:rPr>
      </w:pPr>
      <w:r>
        <w:rPr>
          <w:rFonts w:hint="eastAsia" w:ascii="宋体" w:hAnsi="宋体" w:cs="宋体"/>
          <w:sz w:val="24"/>
          <w:szCs w:val="24"/>
          <w:highlight w:val="none"/>
        </w:rPr>
        <w:t>采购项目编号：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61E824DD">
      <w:pPr>
        <w:rPr>
          <w:rFonts w:ascii="宋体" w:hAnsi="宋体" w:cs="宋体"/>
          <w:sz w:val="24"/>
          <w:szCs w:val="24"/>
          <w:highlight w:val="none"/>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05F96EEC">
      <w:pPr>
        <w:rPr>
          <w:rFonts w:ascii="宋体" w:hAnsi="宋体" w:cs="宋体"/>
          <w:sz w:val="24"/>
          <w:szCs w:val="24"/>
          <w:highlight w:val="none"/>
          <w:u w:val="single"/>
        </w:rPr>
      </w:pPr>
      <w:r>
        <w:rPr>
          <w:rFonts w:hint="eastAsia" w:ascii="宋体" w:hAnsi="宋体" w:cs="宋体"/>
          <w:sz w:val="24"/>
          <w:szCs w:val="24"/>
          <w:highlight w:val="none"/>
        </w:rPr>
        <w:t>代理机构名称：</w:t>
      </w:r>
      <w:r>
        <w:rPr>
          <w:rFonts w:hint="eastAsia" w:ascii="宋体" w:hAnsi="宋体" w:cs="宋体"/>
          <w:sz w:val="24"/>
          <w:szCs w:val="24"/>
          <w:highlight w:val="none"/>
          <w:u w:val="dotted"/>
        </w:rPr>
        <w:t xml:space="preserve">                                         </w:t>
      </w:r>
    </w:p>
    <w:p w14:paraId="2A08734C">
      <w:pPr>
        <w:rPr>
          <w:rFonts w:ascii="宋体" w:hAnsi="宋体" w:cs="宋体"/>
          <w:sz w:val="24"/>
          <w:szCs w:val="24"/>
          <w:highlight w:val="none"/>
          <w:u w:val="dotted"/>
        </w:rPr>
      </w:pPr>
      <w:r>
        <w:rPr>
          <w:rFonts w:hint="eastAsia" w:ascii="宋体" w:hAnsi="宋体" w:cs="宋体"/>
          <w:sz w:val="24"/>
          <w:szCs w:val="24"/>
          <w:highlight w:val="none"/>
        </w:rPr>
        <w:t>采购文件公告: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1151CE36">
      <w:pPr>
        <w:rPr>
          <w:rFonts w:ascii="宋体" w:hAnsi="宋体" w:cs="宋体"/>
          <w:sz w:val="24"/>
          <w:szCs w:val="24"/>
          <w:highlight w:val="none"/>
          <w:u w:val="single"/>
        </w:rPr>
      </w:pPr>
      <w:r>
        <w:rPr>
          <w:rFonts w:hint="eastAsia" w:ascii="宋体" w:hAnsi="宋体" w:cs="宋体"/>
          <w:sz w:val="24"/>
          <w:szCs w:val="24"/>
          <w:highlight w:val="none"/>
        </w:rPr>
        <w:t>采购结果公告: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378C1186">
      <w:pPr>
        <w:rPr>
          <w:rFonts w:ascii="宋体" w:hAnsi="宋体" w:cs="宋体"/>
          <w:sz w:val="24"/>
          <w:szCs w:val="24"/>
          <w:highlight w:val="none"/>
        </w:rPr>
      </w:pPr>
      <w:r>
        <w:rPr>
          <w:rFonts w:hint="eastAsia" w:ascii="宋体" w:hAnsi="宋体" w:cs="宋体"/>
          <w:sz w:val="24"/>
          <w:szCs w:val="24"/>
          <w:highlight w:val="none"/>
        </w:rPr>
        <w:t>三、质疑基本情况</w:t>
      </w:r>
    </w:p>
    <w:p w14:paraId="2E6F7C1B">
      <w:pPr>
        <w:ind w:firstLine="486" w:firstLineChars="200"/>
        <w:rPr>
          <w:rFonts w:ascii="宋体" w:hAnsi="宋体" w:cs="宋体"/>
          <w:sz w:val="24"/>
          <w:szCs w:val="24"/>
          <w:highlight w:val="none"/>
          <w:u w:val="dotted"/>
        </w:rPr>
      </w:pPr>
      <w:r>
        <w:rPr>
          <w:rFonts w:hint="eastAsia" w:ascii="宋体" w:hAnsi="宋体" w:cs="宋体"/>
          <w:sz w:val="24"/>
          <w:szCs w:val="24"/>
          <w:highlight w:val="none"/>
        </w:rPr>
        <w:t>投诉人于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日,向</w:t>
      </w:r>
      <w:r>
        <w:rPr>
          <w:rFonts w:hint="eastAsia" w:ascii="宋体" w:hAnsi="宋体" w:cs="宋体"/>
          <w:sz w:val="24"/>
          <w:szCs w:val="24"/>
          <w:highlight w:val="none"/>
          <w:u w:val="dotted"/>
        </w:rPr>
        <w:t xml:space="preserve">                   </w:t>
      </w:r>
      <w:r>
        <w:rPr>
          <w:rFonts w:hint="eastAsia" w:ascii="宋体" w:hAnsi="宋体" w:cs="宋体"/>
          <w:sz w:val="24"/>
          <w:szCs w:val="24"/>
          <w:highlight w:val="none"/>
        </w:rPr>
        <w:t>提出质疑，质疑事项为：</w:t>
      </w:r>
      <w:r>
        <w:rPr>
          <w:rFonts w:hint="eastAsia" w:ascii="宋体" w:hAnsi="宋体" w:cs="宋体"/>
          <w:sz w:val="24"/>
          <w:szCs w:val="24"/>
          <w:highlight w:val="none"/>
          <w:u w:val="dotted"/>
        </w:rPr>
        <w:t xml:space="preserve">                                </w:t>
      </w:r>
    </w:p>
    <w:p w14:paraId="5509A6F7">
      <w:pPr>
        <w:rPr>
          <w:rFonts w:ascii="宋体" w:hAnsi="宋体" w:cs="宋体"/>
          <w:sz w:val="24"/>
          <w:szCs w:val="24"/>
          <w:highlight w:val="none"/>
          <w:u w:val="dotted"/>
        </w:rPr>
      </w:pP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330D6733">
      <w:pPr>
        <w:ind w:firstLine="364" w:firstLineChars="150"/>
        <w:rPr>
          <w:rFonts w:ascii="宋体" w:hAnsi="宋体" w:cs="宋体"/>
          <w:sz w:val="24"/>
          <w:szCs w:val="24"/>
          <w:highlight w:val="none"/>
        </w:rPr>
      </w:pPr>
      <w:r>
        <w:rPr>
          <w:rFonts w:hint="eastAsia" w:ascii="宋体" w:hAnsi="宋体" w:cs="宋体"/>
          <w:sz w:val="24"/>
          <w:szCs w:val="24"/>
          <w:highlight w:val="none"/>
          <w:u w:val="dotted"/>
        </w:rPr>
        <w:t>采购人/代理机构</w:t>
      </w:r>
      <w:r>
        <w:rPr>
          <w:rFonts w:hint="eastAsia" w:ascii="宋体" w:hAnsi="宋体" w:cs="宋体"/>
          <w:sz w:val="24"/>
          <w:szCs w:val="24"/>
          <w:highlight w:val="none"/>
        </w:rPr>
        <w:t>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日,就质疑事项作出了答复/没有在法定期限内作出答复。</w:t>
      </w:r>
    </w:p>
    <w:p w14:paraId="0676B0CB">
      <w:pPr>
        <w:rPr>
          <w:rFonts w:ascii="宋体" w:hAnsi="宋体" w:cs="宋体"/>
          <w:sz w:val="24"/>
          <w:szCs w:val="24"/>
          <w:highlight w:val="none"/>
        </w:rPr>
      </w:pPr>
      <w:r>
        <w:rPr>
          <w:rFonts w:hint="eastAsia" w:ascii="宋体" w:hAnsi="宋体" w:cs="宋体"/>
          <w:sz w:val="24"/>
          <w:szCs w:val="24"/>
          <w:highlight w:val="none"/>
        </w:rPr>
        <w:t>四、投诉事项具体内容</w:t>
      </w:r>
    </w:p>
    <w:p w14:paraId="6B4EC121">
      <w:pPr>
        <w:rPr>
          <w:rFonts w:ascii="宋体" w:hAnsi="宋体" w:cs="宋体"/>
          <w:sz w:val="24"/>
          <w:szCs w:val="24"/>
          <w:highlight w:val="none"/>
          <w:u w:val="single"/>
        </w:rPr>
      </w:pPr>
      <w:r>
        <w:rPr>
          <w:rFonts w:hint="eastAsia" w:ascii="宋体" w:hAnsi="宋体" w:cs="宋体"/>
          <w:sz w:val="24"/>
          <w:szCs w:val="24"/>
          <w:highlight w:val="none"/>
        </w:rPr>
        <w:t>投诉事项 1：</w:t>
      </w:r>
      <w:r>
        <w:rPr>
          <w:rFonts w:hint="eastAsia" w:ascii="宋体" w:hAnsi="宋体" w:cs="宋体"/>
          <w:sz w:val="24"/>
          <w:szCs w:val="24"/>
          <w:highlight w:val="none"/>
          <w:u w:val="dotted"/>
        </w:rPr>
        <w:t xml:space="preserve">                                       </w:t>
      </w:r>
    </w:p>
    <w:p w14:paraId="03CBC32A">
      <w:pPr>
        <w:rPr>
          <w:rFonts w:ascii="宋体" w:hAnsi="宋体" w:cs="宋体"/>
          <w:sz w:val="24"/>
          <w:szCs w:val="24"/>
          <w:highlight w:val="none"/>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345CAE16">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38E22703">
      <w:pPr>
        <w:rPr>
          <w:rFonts w:ascii="宋体" w:hAnsi="宋体" w:cs="宋体"/>
          <w:sz w:val="24"/>
          <w:szCs w:val="24"/>
          <w:highlight w:val="none"/>
          <w:u w:val="single"/>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31A93BE6">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5C557BE5">
      <w:pPr>
        <w:rPr>
          <w:rFonts w:ascii="宋体" w:hAnsi="宋体" w:cs="宋体"/>
          <w:sz w:val="24"/>
          <w:szCs w:val="24"/>
          <w:highlight w:val="none"/>
        </w:rPr>
      </w:pPr>
      <w:r>
        <w:rPr>
          <w:rFonts w:hint="eastAsia" w:ascii="宋体" w:hAnsi="宋体" w:cs="宋体"/>
          <w:sz w:val="24"/>
          <w:szCs w:val="24"/>
          <w:highlight w:val="none"/>
        </w:rPr>
        <w:t>投诉事项2</w:t>
      </w:r>
    </w:p>
    <w:p w14:paraId="05F9F3E4">
      <w:pPr>
        <w:rPr>
          <w:rFonts w:ascii="宋体" w:hAnsi="宋体" w:cs="宋体"/>
          <w:sz w:val="24"/>
          <w:szCs w:val="24"/>
          <w:highlight w:val="none"/>
          <w:u w:val="dotted"/>
        </w:rPr>
      </w:pPr>
      <w:r>
        <w:rPr>
          <w:rFonts w:hint="eastAsia" w:ascii="宋体" w:hAnsi="宋体" w:cs="宋体"/>
          <w:sz w:val="24"/>
          <w:szCs w:val="24"/>
          <w:highlight w:val="none"/>
        </w:rPr>
        <w:t>……</w:t>
      </w:r>
    </w:p>
    <w:p w14:paraId="1DD5A294">
      <w:pPr>
        <w:rPr>
          <w:rFonts w:ascii="宋体" w:hAnsi="宋体" w:cs="宋体"/>
          <w:sz w:val="24"/>
          <w:szCs w:val="24"/>
          <w:highlight w:val="none"/>
        </w:rPr>
      </w:pPr>
      <w:r>
        <w:rPr>
          <w:rFonts w:hint="eastAsia" w:ascii="宋体" w:hAnsi="宋体" w:cs="宋体"/>
          <w:sz w:val="24"/>
          <w:szCs w:val="24"/>
          <w:highlight w:val="none"/>
        </w:rPr>
        <w:t>五、与投诉事项相关的投诉请求</w:t>
      </w:r>
    </w:p>
    <w:p w14:paraId="36FC58D7">
      <w:pPr>
        <w:rPr>
          <w:rFonts w:ascii="宋体" w:hAnsi="宋体" w:cs="宋体"/>
          <w:sz w:val="24"/>
          <w:szCs w:val="24"/>
          <w:highlight w:val="none"/>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742C322D">
      <w:pPr>
        <w:rPr>
          <w:rFonts w:ascii="宋体" w:hAnsi="宋体" w:cs="宋体"/>
          <w:sz w:val="24"/>
          <w:szCs w:val="24"/>
          <w:highlight w:val="none"/>
          <w:u w:val="single"/>
        </w:rPr>
      </w:pPr>
      <w:r>
        <w:rPr>
          <w:rFonts w:hint="eastAsia" w:ascii="宋体" w:hAnsi="宋体" w:cs="宋体"/>
          <w:sz w:val="24"/>
          <w:szCs w:val="24"/>
          <w:highlight w:val="none"/>
        </w:rPr>
        <w:t xml:space="preserve">                                                                                                    </w:t>
      </w:r>
    </w:p>
    <w:p w14:paraId="603F51CC">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018C69A7">
      <w:pPr>
        <w:rPr>
          <w:rFonts w:ascii="宋体" w:hAnsi="宋体" w:cs="宋体"/>
          <w:sz w:val="24"/>
          <w:szCs w:val="24"/>
          <w:highlight w:val="none"/>
        </w:rPr>
      </w:pPr>
      <w:r>
        <w:rPr>
          <w:rFonts w:hint="eastAsia" w:ascii="宋体" w:hAnsi="宋体" w:cs="宋体"/>
          <w:sz w:val="24"/>
          <w:szCs w:val="24"/>
          <w:highlight w:val="none"/>
        </w:rPr>
        <w:t xml:space="preserve">日期：    </w:t>
      </w:r>
    </w:p>
    <w:p w14:paraId="07685F83">
      <w:pPr>
        <w:rPr>
          <w:rFonts w:ascii="宋体" w:hAnsi="宋体" w:cs="宋体"/>
          <w:b/>
          <w:sz w:val="24"/>
          <w:szCs w:val="24"/>
          <w:highlight w:val="none"/>
        </w:rPr>
      </w:pPr>
    </w:p>
    <w:p w14:paraId="3E4B3025">
      <w:pPr>
        <w:rPr>
          <w:rFonts w:ascii="宋体" w:hAnsi="宋体" w:cs="宋体"/>
          <w:b/>
          <w:sz w:val="24"/>
          <w:szCs w:val="24"/>
          <w:highlight w:val="none"/>
        </w:rPr>
      </w:pPr>
      <w:r>
        <w:rPr>
          <w:rFonts w:hint="eastAsia" w:ascii="宋体" w:hAnsi="宋体" w:cs="宋体"/>
          <w:b/>
          <w:sz w:val="24"/>
          <w:szCs w:val="24"/>
          <w:highlight w:val="none"/>
        </w:rPr>
        <w:t>投诉书制作说明：</w:t>
      </w:r>
    </w:p>
    <w:p w14:paraId="4FD156C5">
      <w:pPr>
        <w:widowControl/>
        <w:ind w:firstLine="486" w:firstLineChars="200"/>
        <w:rPr>
          <w:rFonts w:ascii="宋体" w:hAnsi="宋体" w:cs="宋体"/>
          <w:kern w:val="0"/>
          <w:sz w:val="24"/>
          <w:szCs w:val="24"/>
          <w:highlight w:val="none"/>
        </w:rPr>
      </w:pPr>
      <w:r>
        <w:rPr>
          <w:rFonts w:hint="eastAsia" w:ascii="宋体" w:hAnsi="宋体" w:cs="宋体"/>
          <w:sz w:val="24"/>
          <w:szCs w:val="24"/>
          <w:highlight w:val="none"/>
        </w:rPr>
        <w:t>1.投诉人提起投诉时，应当提交投诉书和必要的证明材料，并按照被投诉人和与投诉事项有关的供应商数量提供投诉书副本。</w:t>
      </w:r>
    </w:p>
    <w:p w14:paraId="35942BCC">
      <w:pPr>
        <w:widowControl/>
        <w:ind w:firstLine="486" w:firstLineChars="200"/>
        <w:jc w:val="left"/>
        <w:rPr>
          <w:rFonts w:ascii="宋体" w:hAnsi="宋体" w:cs="宋体"/>
          <w:kern w:val="0"/>
          <w:sz w:val="24"/>
          <w:szCs w:val="24"/>
          <w:highlight w:val="none"/>
        </w:rPr>
      </w:pPr>
      <w:r>
        <w:rPr>
          <w:rFonts w:hint="eastAsia" w:ascii="宋体" w:hAnsi="宋体" w:cs="宋体"/>
          <w:sz w:val="24"/>
          <w:szCs w:val="24"/>
          <w:highlight w:val="none"/>
        </w:rPr>
        <w:t>2.投诉人若委托代理人进行投诉的，投诉书应按照要求列明“授权代表”的有关内容，并在附件中提交由</w:t>
      </w:r>
      <w:r>
        <w:rPr>
          <w:rFonts w:hint="eastAsia" w:ascii="宋体" w:hAnsi="宋体" w:cs="宋体"/>
          <w:kern w:val="0"/>
          <w:sz w:val="24"/>
          <w:szCs w:val="24"/>
          <w:highlight w:val="none"/>
        </w:rPr>
        <w:t>投诉人签署的授权委托书。授权委托书应当载明代理人的姓名或者名称、代理事项、具体权限、期限和相关事项。</w:t>
      </w:r>
    </w:p>
    <w:p w14:paraId="31F1A09E">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3.投诉人若对项目的某一分包进行投诉，投诉书应列明具体分包号。</w:t>
      </w:r>
    </w:p>
    <w:p w14:paraId="35E0F5D1">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4.投诉书应简要列明质疑事项，质疑函、质疑答复等作为附件材料提供。</w:t>
      </w:r>
    </w:p>
    <w:p w14:paraId="2CF15E62">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5.投诉书的投诉事项应具体、明确，并有必要的事实依据和法律依据。</w:t>
      </w:r>
    </w:p>
    <w:p w14:paraId="09E1CFE3">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6.投诉书的投诉请求应与投诉事项相关。</w:t>
      </w:r>
    </w:p>
    <w:p w14:paraId="7107F8D7">
      <w:pPr>
        <w:widowControl/>
        <w:ind w:firstLine="486" w:firstLineChars="200"/>
        <w:jc w:val="left"/>
        <w:rPr>
          <w:rFonts w:ascii="宋体" w:hAnsi="宋体" w:cs="宋体"/>
          <w:kern w:val="0"/>
          <w:sz w:val="32"/>
          <w:szCs w:val="32"/>
          <w:highlight w:val="none"/>
        </w:rPr>
      </w:pPr>
      <w:r>
        <w:rPr>
          <w:rFonts w:hint="eastAsia" w:ascii="宋体" w:hAnsi="宋体" w:cs="宋体"/>
          <w:sz w:val="24"/>
          <w:szCs w:val="24"/>
          <w:highlight w:val="none"/>
        </w:rPr>
        <w:t>7.投诉人为自然人的，投诉书应当由本人签字；投诉人为法人或者其他组织的，投诉书应当由法定代表人、主要负责人，或者其授权代表签字或者盖章，并加盖公章。</w:t>
      </w:r>
    </w:p>
    <w:p w14:paraId="4E6DB0AE">
      <w:pPr>
        <w:jc w:val="left"/>
        <w:rPr>
          <w:rFonts w:ascii="宋体" w:hAnsi="宋体" w:cs="宋体"/>
          <w:b/>
          <w:sz w:val="30"/>
          <w:szCs w:val="30"/>
          <w:highlight w:val="none"/>
        </w:rPr>
      </w:pPr>
      <w:r>
        <w:rPr>
          <w:rFonts w:hint="eastAsia" w:ascii="宋体" w:hAnsi="宋体" w:cs="宋体"/>
          <w:sz w:val="30"/>
          <w:szCs w:val="30"/>
          <w:highlight w:val="none"/>
        </w:rPr>
        <w:t xml:space="preserve">         </w:t>
      </w:r>
      <w:r>
        <w:rPr>
          <w:rFonts w:hint="eastAsia" w:ascii="宋体" w:hAnsi="宋体" w:cs="宋体"/>
          <w:b/>
          <w:sz w:val="30"/>
          <w:szCs w:val="30"/>
          <w:highlight w:val="none"/>
        </w:rPr>
        <w:t xml:space="preserve"> </w:t>
      </w:r>
    </w:p>
    <w:p w14:paraId="35A2C1FC">
      <w:pPr>
        <w:jc w:val="left"/>
        <w:rPr>
          <w:rFonts w:ascii="宋体" w:hAnsi="宋体" w:cs="宋体"/>
          <w:b/>
          <w:sz w:val="30"/>
          <w:szCs w:val="30"/>
          <w:highlight w:val="none"/>
        </w:rPr>
      </w:pPr>
    </w:p>
    <w:p w14:paraId="6E480993">
      <w:pPr>
        <w:jc w:val="left"/>
        <w:rPr>
          <w:rFonts w:ascii="宋体" w:hAnsi="宋体" w:cs="宋体"/>
          <w:b/>
          <w:sz w:val="30"/>
          <w:szCs w:val="30"/>
          <w:highlight w:val="none"/>
        </w:rPr>
      </w:pPr>
    </w:p>
    <w:p w14:paraId="5B9D95AF">
      <w:pPr>
        <w:jc w:val="left"/>
        <w:rPr>
          <w:rFonts w:ascii="宋体" w:hAnsi="宋体" w:cs="宋体"/>
          <w:b/>
          <w:sz w:val="30"/>
          <w:szCs w:val="30"/>
          <w:highlight w:val="none"/>
        </w:rPr>
      </w:pPr>
    </w:p>
    <w:p w14:paraId="3DA17D38">
      <w:pPr>
        <w:jc w:val="left"/>
        <w:rPr>
          <w:rFonts w:ascii="宋体" w:hAnsi="宋体" w:cs="宋体"/>
          <w:b/>
          <w:sz w:val="30"/>
          <w:szCs w:val="30"/>
          <w:highlight w:val="none"/>
        </w:rPr>
      </w:pPr>
    </w:p>
    <w:p w14:paraId="32B42AB5">
      <w:pPr>
        <w:jc w:val="left"/>
        <w:rPr>
          <w:rFonts w:ascii="宋体" w:hAnsi="宋体" w:cs="宋体"/>
          <w:b/>
          <w:sz w:val="30"/>
          <w:szCs w:val="30"/>
          <w:highlight w:val="none"/>
        </w:rPr>
      </w:pPr>
    </w:p>
    <w:p w14:paraId="445DBF0F">
      <w:pPr>
        <w:jc w:val="left"/>
        <w:rPr>
          <w:rFonts w:ascii="宋体" w:hAnsi="宋体" w:cs="宋体"/>
          <w:b/>
          <w:sz w:val="30"/>
          <w:szCs w:val="30"/>
          <w:highlight w:val="none"/>
        </w:rPr>
      </w:pPr>
    </w:p>
    <w:p w14:paraId="1C6DFD33">
      <w:pPr>
        <w:jc w:val="left"/>
        <w:rPr>
          <w:rFonts w:ascii="宋体" w:hAnsi="宋体" w:cs="宋体"/>
          <w:b/>
          <w:sz w:val="30"/>
          <w:szCs w:val="30"/>
          <w:highlight w:val="none"/>
        </w:rPr>
      </w:pPr>
    </w:p>
    <w:p w14:paraId="248AE801">
      <w:pPr>
        <w:jc w:val="left"/>
        <w:rPr>
          <w:rFonts w:ascii="宋体" w:hAnsi="宋体" w:cs="宋体"/>
          <w:b/>
          <w:sz w:val="30"/>
          <w:szCs w:val="30"/>
          <w:highlight w:val="none"/>
        </w:rPr>
      </w:pPr>
    </w:p>
    <w:p w14:paraId="574FFFC2">
      <w:pPr>
        <w:jc w:val="left"/>
        <w:rPr>
          <w:rFonts w:ascii="宋体" w:hAnsi="宋体" w:cs="宋体"/>
          <w:b/>
          <w:sz w:val="30"/>
          <w:szCs w:val="30"/>
          <w:highlight w:val="none"/>
        </w:rPr>
      </w:pPr>
    </w:p>
    <w:p w14:paraId="4B487EEC">
      <w:pPr>
        <w:jc w:val="left"/>
        <w:rPr>
          <w:rFonts w:ascii="宋体" w:hAnsi="宋体" w:cs="宋体"/>
          <w:b/>
          <w:sz w:val="30"/>
          <w:szCs w:val="30"/>
          <w:highlight w:val="none"/>
        </w:rPr>
      </w:pPr>
    </w:p>
    <w:p w14:paraId="2C760B95">
      <w:pPr>
        <w:jc w:val="left"/>
        <w:rPr>
          <w:rFonts w:ascii="宋体" w:hAnsi="宋体" w:cs="宋体"/>
          <w:b/>
          <w:sz w:val="30"/>
          <w:szCs w:val="30"/>
          <w:highlight w:val="none"/>
        </w:rPr>
      </w:pPr>
    </w:p>
    <w:p w14:paraId="32DCDD12">
      <w:pPr>
        <w:jc w:val="left"/>
        <w:rPr>
          <w:rFonts w:ascii="宋体" w:hAnsi="宋体" w:cs="宋体"/>
          <w:b/>
          <w:sz w:val="30"/>
          <w:szCs w:val="30"/>
          <w:highlight w:val="none"/>
        </w:rPr>
      </w:pPr>
    </w:p>
    <w:p w14:paraId="08145395">
      <w:pPr>
        <w:rPr>
          <w:highlight w:val="none"/>
        </w:rPr>
      </w:pPr>
    </w:p>
    <w:p w14:paraId="2F3613AB">
      <w:pPr>
        <w:rPr>
          <w:highlight w:val="none"/>
        </w:rPr>
      </w:pPr>
    </w:p>
    <w:p w14:paraId="6652752A">
      <w:pPr>
        <w:rPr>
          <w:highlight w:val="none"/>
        </w:rPr>
      </w:pPr>
    </w:p>
    <w:p w14:paraId="76A5A10F">
      <w:pPr>
        <w:pStyle w:val="25"/>
        <w:shd w:val="clear" w:color="auto" w:fill="FFFFFF"/>
        <w:spacing w:before="0" w:beforeAutospacing="0" w:after="225" w:afterAutospacing="0" w:line="360" w:lineRule="atLeast"/>
        <w:ind w:firstLine="420"/>
        <w:rPr>
          <w:highlight w:val="none"/>
        </w:rPr>
      </w:pPr>
      <w:r>
        <w:rPr>
          <w:rFonts w:hint="eastAsia"/>
          <w:highlight w:val="none"/>
        </w:rPr>
        <w:tab/>
      </w:r>
    </w:p>
    <w:p w14:paraId="27373C20">
      <w:pPr>
        <w:tabs>
          <w:tab w:val="left" w:pos="2240"/>
        </w:tabs>
        <w:jc w:val="center"/>
        <w:rPr>
          <w:rFonts w:hint="eastAsia" w:ascii="宋体" w:hAnsi="宋体" w:cs="宋体"/>
          <w:b/>
          <w:bCs/>
          <w:kern w:val="0"/>
          <w:sz w:val="36"/>
          <w:szCs w:val="36"/>
          <w:highlight w:val="none"/>
        </w:rPr>
      </w:pPr>
      <w:r>
        <w:rPr>
          <w:rFonts w:hint="eastAsia" w:ascii="宋体" w:hAnsi="宋体" w:cs="宋体"/>
          <w:b/>
          <w:bCs/>
          <w:kern w:val="0"/>
          <w:sz w:val="36"/>
          <w:szCs w:val="36"/>
          <w:highlight w:val="none"/>
        </w:rPr>
        <w:t>国家统计局关于印发《统计上大中小微型企业划分办法（2017）》的通知</w:t>
      </w:r>
    </w:p>
    <w:p w14:paraId="3FEE2A0B">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各省、自治区、直辖市统计局，新疆生产建设兵团统计局，国务院各有关部门，国家统计局各调查总队：</w:t>
      </w:r>
    </w:p>
    <w:p w14:paraId="086F88F6">
      <w:pPr>
        <w:widowControl/>
        <w:shd w:val="clear" w:color="auto" w:fill="FFFFFF"/>
        <w:spacing w:before="150" w:line="420" w:lineRule="atLeast"/>
        <w:ind w:firstLine="426" w:firstLineChars="200"/>
        <w:jc w:val="left"/>
        <w:textAlignment w:val="baseline"/>
        <w:rPr>
          <w:rFonts w:hint="eastAsia" w:ascii="宋体" w:hAnsi="宋体" w:cs="宋体"/>
          <w:kern w:val="0"/>
          <w:szCs w:val="21"/>
          <w:highlight w:val="none"/>
        </w:rPr>
      </w:pPr>
      <w:r>
        <w:rPr>
          <w:rFonts w:hint="eastAsia" w:ascii="宋体" w:hAnsi="宋体" w:cs="宋体"/>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E16733F">
      <w:pPr>
        <w:widowControl/>
        <w:jc w:val="left"/>
        <w:rPr>
          <w:rFonts w:hint="eastAsia" w:ascii="宋体" w:hAnsi="宋体" w:cs="宋体"/>
          <w:kern w:val="0"/>
          <w:szCs w:val="21"/>
          <w:highlight w:val="none"/>
        </w:rPr>
      </w:pPr>
      <w:r>
        <w:rPr>
          <w:rFonts w:hint="eastAsia" w:ascii="宋体" w:hAnsi="宋体" w:cs="宋体"/>
          <w:kern w:val="0"/>
          <w:szCs w:val="21"/>
          <w:highlight w:val="none"/>
        </w:rPr>
        <w:t>附件：《统计上大中小微型企业划分办法（2017）》修订说明</w:t>
      </w:r>
    </w:p>
    <w:p w14:paraId="0BCF205E">
      <w:pPr>
        <w:widowControl/>
        <w:shd w:val="clear" w:color="auto" w:fill="FFFFFF"/>
        <w:spacing w:before="150" w:line="420" w:lineRule="atLeast"/>
        <w:ind w:right="825"/>
        <w:jc w:val="right"/>
        <w:textAlignment w:val="baseline"/>
        <w:rPr>
          <w:rFonts w:hint="eastAsia" w:ascii="宋体" w:hAnsi="宋体" w:cs="宋体"/>
          <w:kern w:val="0"/>
          <w:szCs w:val="21"/>
          <w:highlight w:val="none"/>
        </w:rPr>
      </w:pPr>
      <w:r>
        <w:rPr>
          <w:rFonts w:hint="eastAsia" w:ascii="宋体" w:hAnsi="宋体" w:cs="宋体"/>
          <w:kern w:val="0"/>
          <w:szCs w:val="21"/>
          <w:highlight w:val="none"/>
        </w:rPr>
        <w:t>国家统计局  </w:t>
      </w:r>
    </w:p>
    <w:p w14:paraId="5A8E4B90">
      <w:pPr>
        <w:widowControl/>
        <w:shd w:val="clear" w:color="auto" w:fill="FFFFFF"/>
        <w:spacing w:before="150" w:line="420" w:lineRule="atLeast"/>
        <w:ind w:right="825"/>
        <w:jc w:val="right"/>
        <w:textAlignment w:val="baseline"/>
        <w:rPr>
          <w:rFonts w:hint="eastAsia" w:ascii="宋体" w:hAnsi="宋体" w:cs="宋体"/>
          <w:highlight w:val="none"/>
        </w:rPr>
      </w:pPr>
      <w:r>
        <w:rPr>
          <w:rFonts w:hint="eastAsia" w:ascii="宋体" w:hAnsi="宋体" w:cs="宋体"/>
          <w:kern w:val="0"/>
          <w:szCs w:val="21"/>
          <w:highlight w:val="none"/>
        </w:rPr>
        <w:t>2017年12月28日</w:t>
      </w:r>
    </w:p>
    <w:p w14:paraId="23D8A5A6">
      <w:pPr>
        <w:widowControl/>
        <w:shd w:val="clear" w:color="auto" w:fill="FFFFFF"/>
        <w:spacing w:before="150" w:line="600" w:lineRule="atLeast"/>
        <w:jc w:val="center"/>
        <w:textAlignment w:val="baseline"/>
        <w:rPr>
          <w:rFonts w:hint="eastAsia" w:ascii="宋体" w:hAnsi="宋体" w:cs="宋体"/>
          <w:b/>
          <w:bCs/>
          <w:kern w:val="0"/>
          <w:sz w:val="36"/>
          <w:szCs w:val="36"/>
        </w:rPr>
      </w:pPr>
      <w:r>
        <w:rPr>
          <w:rFonts w:hint="eastAsia" w:ascii="宋体" w:hAnsi="宋体" w:cs="宋体"/>
          <w:b/>
          <w:bCs/>
          <w:kern w:val="0"/>
          <w:sz w:val="36"/>
          <w:szCs w:val="36"/>
          <w:highlight w:val="none"/>
        </w:rPr>
        <w:t>统计上大中小微型企业划</w:t>
      </w:r>
      <w:r>
        <w:rPr>
          <w:rFonts w:hint="eastAsia" w:ascii="宋体" w:hAnsi="宋体" w:cs="宋体"/>
          <w:b/>
          <w:bCs/>
          <w:kern w:val="0"/>
          <w:sz w:val="36"/>
          <w:szCs w:val="36"/>
        </w:rPr>
        <w:t>分办法（2017）</w:t>
      </w:r>
    </w:p>
    <w:p w14:paraId="319D57C4">
      <w:pPr>
        <w:widowControl/>
        <w:shd w:val="clear" w:color="auto" w:fill="FFFFFF"/>
        <w:spacing w:before="150" w:line="420" w:lineRule="atLeast"/>
        <w:jc w:val="left"/>
        <w:textAlignment w:val="baseline"/>
        <w:rPr>
          <w:rFonts w:hint="eastAsia" w:ascii="宋体" w:hAnsi="宋体" w:cs="宋体"/>
          <w:kern w:val="0"/>
          <w:szCs w:val="21"/>
        </w:rPr>
      </w:pPr>
      <w:r>
        <w:rPr>
          <w:rFonts w:hint="eastAsia"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4309E304">
      <w:pPr>
        <w:widowControl/>
        <w:shd w:val="clear" w:color="auto" w:fill="FFFFFF"/>
        <w:spacing w:before="150" w:line="420" w:lineRule="atLeast"/>
        <w:jc w:val="left"/>
        <w:textAlignment w:val="baseline"/>
        <w:rPr>
          <w:rFonts w:hint="eastAsia" w:ascii="宋体" w:hAnsi="宋体" w:cs="宋体"/>
          <w:kern w:val="0"/>
          <w:szCs w:val="21"/>
        </w:rPr>
      </w:pPr>
      <w:r>
        <w:rPr>
          <w:rFonts w:hint="eastAsia" w:ascii="宋体" w:hAnsi="宋体" w:cs="宋体"/>
          <w:kern w:val="0"/>
          <w:szCs w:val="21"/>
        </w:rPr>
        <w:t>二、本办法适用对象为在中华人民共和国境内依法设立的各种组织形式的法人企业或单位。个体工商户参照本办法进行划分。</w:t>
      </w:r>
    </w:p>
    <w:p w14:paraId="204B570B">
      <w:pPr>
        <w:widowControl/>
        <w:shd w:val="clear" w:color="auto" w:fill="FFFFFF"/>
        <w:spacing w:before="150" w:line="420" w:lineRule="atLeast"/>
        <w:jc w:val="left"/>
        <w:textAlignment w:val="baseline"/>
        <w:rPr>
          <w:rFonts w:hint="eastAsia" w:ascii="宋体" w:hAnsi="宋体" w:cs="宋体"/>
          <w:kern w:val="0"/>
          <w:szCs w:val="21"/>
        </w:rPr>
      </w:pPr>
      <w:r>
        <w:rPr>
          <w:rFonts w:hint="eastAsia"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ED9491A">
      <w:pPr>
        <w:widowControl/>
        <w:shd w:val="clear" w:color="auto" w:fill="FFFFFF"/>
        <w:spacing w:before="150" w:line="420" w:lineRule="atLeast"/>
        <w:jc w:val="left"/>
        <w:textAlignment w:val="baseline"/>
        <w:rPr>
          <w:rFonts w:hint="eastAsia" w:ascii="宋体" w:hAnsi="宋体" w:cs="宋体"/>
          <w:kern w:val="0"/>
          <w:szCs w:val="21"/>
        </w:rPr>
      </w:pPr>
      <w:r>
        <w:rPr>
          <w:rFonts w:hint="eastAsia"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097D3A76">
      <w:pPr>
        <w:widowControl/>
        <w:shd w:val="clear" w:color="auto" w:fill="FFFFFF"/>
        <w:spacing w:before="150" w:line="420" w:lineRule="atLeast"/>
        <w:jc w:val="left"/>
        <w:textAlignment w:val="baseline"/>
        <w:rPr>
          <w:rFonts w:hint="eastAsia" w:ascii="宋体" w:hAnsi="宋体" w:cs="宋体"/>
          <w:kern w:val="0"/>
          <w:szCs w:val="21"/>
        </w:rPr>
      </w:pPr>
      <w:r>
        <w:rPr>
          <w:rFonts w:hint="eastAsia" w:ascii="宋体" w:hAnsi="宋体" w:cs="宋体"/>
          <w:kern w:val="0"/>
          <w:szCs w:val="21"/>
        </w:rPr>
        <w:t>五、企业划分由政府综合统计部门根据统计年报每年确定一次，定报统计原则上不进行调整。</w:t>
      </w:r>
    </w:p>
    <w:p w14:paraId="1942DD1D">
      <w:pPr>
        <w:widowControl/>
        <w:shd w:val="clear" w:color="auto" w:fill="FFFFFF"/>
        <w:spacing w:before="150" w:line="420" w:lineRule="atLeast"/>
        <w:jc w:val="left"/>
        <w:textAlignment w:val="baseline"/>
        <w:rPr>
          <w:rFonts w:hint="eastAsia" w:ascii="宋体" w:hAnsi="宋体" w:cs="宋体"/>
          <w:kern w:val="0"/>
          <w:szCs w:val="21"/>
        </w:rPr>
      </w:pPr>
      <w:r>
        <w:rPr>
          <w:rFonts w:hint="eastAsia" w:ascii="宋体" w:hAnsi="宋体" w:cs="宋体"/>
          <w:kern w:val="0"/>
          <w:szCs w:val="21"/>
        </w:rPr>
        <w:t>六、本办法自印发之日起执行，国家统计局2011年印发的《统计上大中小微型企业划分办法》（国统字〔2011〕75号）同时废止。</w:t>
      </w:r>
    </w:p>
    <w:p w14:paraId="71D0BEB1">
      <w:pPr>
        <w:widowControl/>
        <w:shd w:val="clear" w:color="auto" w:fill="FFFFFF"/>
        <w:spacing w:before="150" w:line="420" w:lineRule="atLeast"/>
        <w:jc w:val="left"/>
        <w:textAlignment w:val="baseline"/>
        <w:rPr>
          <w:rFonts w:hint="eastAsia" w:ascii="宋体" w:hAnsi="宋体" w:cs="宋体"/>
          <w:kern w:val="0"/>
          <w:szCs w:val="21"/>
        </w:rPr>
      </w:pPr>
      <w:r>
        <w:rPr>
          <w:rFonts w:hint="eastAsia" w:ascii="宋体" w:hAnsi="宋体" w:cs="宋体"/>
          <w:kern w:val="0"/>
          <w:szCs w:val="21"/>
        </w:rPr>
        <w:t>附表：统计上大中小微型企业划分标准</w:t>
      </w:r>
    </w:p>
    <w:p w14:paraId="73CD9B29">
      <w:pPr>
        <w:widowControl/>
        <w:jc w:val="left"/>
        <w:rPr>
          <w:rFonts w:hint="eastAsia" w:ascii="宋体" w:hAnsi="宋体" w:cs="宋体"/>
          <w:kern w:val="0"/>
          <w:sz w:val="24"/>
        </w:rPr>
      </w:pPr>
    </w:p>
    <w:p w14:paraId="4148B6E9">
      <w:pPr>
        <w:widowControl/>
        <w:shd w:val="clear" w:color="auto" w:fill="FFFFFF"/>
        <w:spacing w:before="150" w:line="600" w:lineRule="atLeast"/>
        <w:jc w:val="center"/>
        <w:textAlignment w:val="baseline"/>
        <w:rPr>
          <w:rFonts w:hint="eastAsia" w:ascii="宋体" w:hAnsi="宋体" w:cs="宋体"/>
          <w:b/>
          <w:bCs/>
          <w:kern w:val="0"/>
          <w:sz w:val="36"/>
          <w:szCs w:val="36"/>
        </w:rPr>
      </w:pPr>
      <w:r>
        <w:rPr>
          <w:rFonts w:hint="eastAsia" w:ascii="宋体" w:hAnsi="宋体" w:cs="宋体"/>
          <w:b/>
          <w:bCs/>
          <w:kern w:val="0"/>
          <w:sz w:val="36"/>
          <w:szCs w:val="36"/>
        </w:rPr>
        <w:t>统计上大中小微型企业划分标准</w:t>
      </w:r>
    </w:p>
    <w:tbl>
      <w:tblPr>
        <w:tblStyle w:val="29"/>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40D8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bottom"/>
          </w:tcPr>
          <w:p w14:paraId="11B4056D">
            <w:pPr>
              <w:widowControl/>
              <w:jc w:val="center"/>
              <w:rPr>
                <w:rFonts w:hint="eastAsia" w:ascii="宋体" w:hAnsi="宋体" w:cs="宋体"/>
                <w:b/>
                <w:bCs/>
                <w:kern w:val="0"/>
                <w:szCs w:val="21"/>
              </w:rPr>
            </w:pPr>
            <w:r>
              <w:rPr>
                <w:rFonts w:hint="eastAsia" w:ascii="宋体" w:hAnsi="宋体" w:cs="宋体"/>
                <w:b/>
                <w:bCs/>
                <w:kern w:val="0"/>
                <w:szCs w:val="21"/>
              </w:rPr>
              <w:t>行业名称</w:t>
            </w:r>
          </w:p>
        </w:tc>
        <w:tc>
          <w:tcPr>
            <w:tcW w:w="1560" w:type="dxa"/>
            <w:noWrap w:val="0"/>
            <w:tcMar>
              <w:top w:w="75" w:type="dxa"/>
              <w:left w:w="75" w:type="dxa"/>
              <w:bottom w:w="75" w:type="dxa"/>
              <w:right w:w="75" w:type="dxa"/>
            </w:tcMar>
            <w:vAlign w:val="bottom"/>
          </w:tcPr>
          <w:p w14:paraId="55B98052">
            <w:pPr>
              <w:widowControl/>
              <w:jc w:val="center"/>
              <w:rPr>
                <w:rFonts w:hint="eastAsia" w:ascii="宋体" w:hAnsi="宋体" w:cs="宋体"/>
                <w:b/>
                <w:bCs/>
                <w:kern w:val="0"/>
                <w:szCs w:val="21"/>
              </w:rPr>
            </w:pPr>
            <w:r>
              <w:rPr>
                <w:rFonts w:hint="eastAsia" w:ascii="宋体" w:hAnsi="宋体" w:cs="宋体"/>
                <w:b/>
                <w:bCs/>
                <w:kern w:val="0"/>
                <w:szCs w:val="21"/>
              </w:rPr>
              <w:t>指标名称</w:t>
            </w:r>
          </w:p>
        </w:tc>
        <w:tc>
          <w:tcPr>
            <w:tcW w:w="671" w:type="dxa"/>
            <w:noWrap w:val="0"/>
            <w:tcMar>
              <w:top w:w="75" w:type="dxa"/>
              <w:left w:w="75" w:type="dxa"/>
              <w:bottom w:w="75" w:type="dxa"/>
              <w:right w:w="75" w:type="dxa"/>
            </w:tcMar>
            <w:vAlign w:val="bottom"/>
          </w:tcPr>
          <w:p w14:paraId="6215A84F">
            <w:pPr>
              <w:widowControl/>
              <w:jc w:val="center"/>
              <w:rPr>
                <w:rFonts w:hint="eastAsia" w:ascii="宋体" w:hAnsi="宋体" w:cs="宋体"/>
                <w:b/>
                <w:bCs/>
                <w:kern w:val="0"/>
                <w:szCs w:val="21"/>
              </w:rPr>
            </w:pPr>
            <w:r>
              <w:rPr>
                <w:rFonts w:hint="eastAsia" w:ascii="宋体" w:hAnsi="宋体" w:cs="宋体"/>
                <w:b/>
                <w:bCs/>
                <w:kern w:val="0"/>
                <w:szCs w:val="21"/>
              </w:rPr>
              <w:t>计量单位</w:t>
            </w:r>
          </w:p>
        </w:tc>
        <w:tc>
          <w:tcPr>
            <w:tcW w:w="1231" w:type="dxa"/>
            <w:noWrap w:val="0"/>
            <w:tcMar>
              <w:top w:w="75" w:type="dxa"/>
              <w:left w:w="75" w:type="dxa"/>
              <w:bottom w:w="75" w:type="dxa"/>
              <w:right w:w="75" w:type="dxa"/>
            </w:tcMar>
            <w:vAlign w:val="bottom"/>
          </w:tcPr>
          <w:p w14:paraId="5939BCCE">
            <w:pPr>
              <w:widowControl/>
              <w:jc w:val="center"/>
              <w:rPr>
                <w:rFonts w:hint="eastAsia" w:ascii="宋体" w:hAnsi="宋体" w:cs="宋体"/>
                <w:b/>
                <w:bCs/>
                <w:kern w:val="0"/>
                <w:szCs w:val="21"/>
              </w:rPr>
            </w:pPr>
            <w:r>
              <w:rPr>
                <w:rFonts w:hint="eastAsia" w:ascii="宋体" w:hAnsi="宋体" w:cs="宋体"/>
                <w:b/>
                <w:bCs/>
                <w:kern w:val="0"/>
                <w:szCs w:val="21"/>
              </w:rPr>
              <w:t>大型</w:t>
            </w:r>
          </w:p>
        </w:tc>
        <w:tc>
          <w:tcPr>
            <w:tcW w:w="1891" w:type="dxa"/>
            <w:noWrap w:val="0"/>
            <w:tcMar>
              <w:top w:w="75" w:type="dxa"/>
              <w:left w:w="75" w:type="dxa"/>
              <w:bottom w:w="75" w:type="dxa"/>
              <w:right w:w="75" w:type="dxa"/>
            </w:tcMar>
            <w:vAlign w:val="bottom"/>
          </w:tcPr>
          <w:p w14:paraId="13DF5484">
            <w:pPr>
              <w:widowControl/>
              <w:jc w:val="center"/>
              <w:rPr>
                <w:rFonts w:hint="eastAsia" w:ascii="宋体" w:hAnsi="宋体" w:cs="宋体"/>
                <w:b/>
                <w:bCs/>
                <w:kern w:val="0"/>
                <w:szCs w:val="21"/>
              </w:rPr>
            </w:pPr>
            <w:r>
              <w:rPr>
                <w:rFonts w:hint="eastAsia" w:ascii="宋体" w:hAnsi="宋体" w:cs="宋体"/>
                <w:b/>
                <w:bCs/>
                <w:kern w:val="0"/>
                <w:szCs w:val="21"/>
              </w:rPr>
              <w:t>中型</w:t>
            </w:r>
          </w:p>
        </w:tc>
        <w:tc>
          <w:tcPr>
            <w:tcW w:w="1730" w:type="dxa"/>
            <w:noWrap w:val="0"/>
            <w:tcMar>
              <w:top w:w="75" w:type="dxa"/>
              <w:left w:w="75" w:type="dxa"/>
              <w:bottom w:w="75" w:type="dxa"/>
              <w:right w:w="75" w:type="dxa"/>
            </w:tcMar>
            <w:vAlign w:val="bottom"/>
          </w:tcPr>
          <w:p w14:paraId="680CEEB5">
            <w:pPr>
              <w:widowControl/>
              <w:jc w:val="center"/>
              <w:rPr>
                <w:rFonts w:hint="eastAsia" w:ascii="宋体" w:hAnsi="宋体" w:cs="宋体"/>
                <w:b/>
                <w:bCs/>
                <w:kern w:val="0"/>
                <w:szCs w:val="21"/>
              </w:rPr>
            </w:pPr>
            <w:r>
              <w:rPr>
                <w:rFonts w:hint="eastAsia" w:ascii="宋体" w:hAnsi="宋体" w:cs="宋体"/>
                <w:b/>
                <w:bCs/>
                <w:kern w:val="0"/>
                <w:szCs w:val="21"/>
              </w:rPr>
              <w:t>小型</w:t>
            </w:r>
          </w:p>
        </w:tc>
        <w:tc>
          <w:tcPr>
            <w:tcW w:w="1203" w:type="dxa"/>
            <w:noWrap w:val="0"/>
            <w:tcMar>
              <w:top w:w="75" w:type="dxa"/>
              <w:left w:w="75" w:type="dxa"/>
              <w:bottom w:w="75" w:type="dxa"/>
              <w:right w:w="75" w:type="dxa"/>
            </w:tcMar>
            <w:vAlign w:val="bottom"/>
          </w:tcPr>
          <w:p w14:paraId="2E9E6DB9">
            <w:pPr>
              <w:widowControl/>
              <w:jc w:val="center"/>
              <w:rPr>
                <w:rFonts w:hint="eastAsia" w:ascii="宋体" w:hAnsi="宋体" w:cs="宋体"/>
                <w:b/>
                <w:bCs/>
                <w:kern w:val="0"/>
                <w:szCs w:val="21"/>
              </w:rPr>
            </w:pPr>
            <w:r>
              <w:rPr>
                <w:rFonts w:hint="eastAsia" w:ascii="宋体" w:hAnsi="宋体" w:cs="宋体"/>
                <w:b/>
                <w:bCs/>
                <w:kern w:val="0"/>
                <w:szCs w:val="21"/>
              </w:rPr>
              <w:t>微型</w:t>
            </w:r>
          </w:p>
        </w:tc>
      </w:tr>
      <w:tr w14:paraId="7068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2154DE71">
            <w:pPr>
              <w:widowControl/>
              <w:jc w:val="left"/>
              <w:rPr>
                <w:rFonts w:hint="eastAsia" w:ascii="宋体" w:hAnsi="宋体" w:cs="宋体"/>
                <w:kern w:val="0"/>
                <w:sz w:val="24"/>
              </w:rPr>
            </w:pPr>
            <w:r>
              <w:rPr>
                <w:rFonts w:hint="eastAsia" w:ascii="宋体" w:hAnsi="宋体" w:cs="宋体"/>
                <w:kern w:val="0"/>
                <w:sz w:val="24"/>
              </w:rPr>
              <w:t>农、林、牧、渔业</w:t>
            </w:r>
          </w:p>
        </w:tc>
        <w:tc>
          <w:tcPr>
            <w:tcW w:w="1560" w:type="dxa"/>
            <w:noWrap w:val="0"/>
            <w:vAlign w:val="center"/>
          </w:tcPr>
          <w:p w14:paraId="11F86F65">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5A67DD85">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1C802EEA">
            <w:pPr>
              <w:widowControl/>
              <w:jc w:val="left"/>
              <w:rPr>
                <w:rFonts w:hint="eastAsia" w:ascii="宋体" w:hAnsi="宋体" w:cs="宋体"/>
                <w:kern w:val="0"/>
                <w:sz w:val="24"/>
              </w:rPr>
            </w:pPr>
            <w:r>
              <w:rPr>
                <w:rFonts w:hint="eastAsia" w:ascii="宋体" w:hAnsi="宋体" w:cs="宋体"/>
                <w:kern w:val="0"/>
                <w:sz w:val="24"/>
              </w:rPr>
              <w:t>Y≥20000</w:t>
            </w:r>
          </w:p>
        </w:tc>
        <w:tc>
          <w:tcPr>
            <w:tcW w:w="1891" w:type="dxa"/>
            <w:noWrap w:val="0"/>
            <w:vAlign w:val="center"/>
          </w:tcPr>
          <w:p w14:paraId="71F7FCBD">
            <w:pPr>
              <w:widowControl/>
              <w:jc w:val="left"/>
              <w:rPr>
                <w:rFonts w:hint="eastAsia" w:ascii="宋体" w:hAnsi="宋体" w:cs="宋体"/>
                <w:kern w:val="0"/>
                <w:sz w:val="24"/>
              </w:rPr>
            </w:pPr>
            <w:r>
              <w:rPr>
                <w:rFonts w:hint="eastAsia" w:ascii="宋体" w:hAnsi="宋体" w:cs="宋体"/>
                <w:kern w:val="0"/>
                <w:sz w:val="24"/>
              </w:rPr>
              <w:t>500≤Y＜20000</w:t>
            </w:r>
          </w:p>
        </w:tc>
        <w:tc>
          <w:tcPr>
            <w:tcW w:w="1730" w:type="dxa"/>
            <w:noWrap w:val="0"/>
            <w:vAlign w:val="center"/>
          </w:tcPr>
          <w:p w14:paraId="5895DA3B">
            <w:pPr>
              <w:widowControl/>
              <w:jc w:val="left"/>
              <w:rPr>
                <w:rFonts w:hint="eastAsia" w:ascii="宋体" w:hAnsi="宋体" w:cs="宋体"/>
                <w:kern w:val="0"/>
                <w:sz w:val="24"/>
              </w:rPr>
            </w:pPr>
            <w:r>
              <w:rPr>
                <w:rFonts w:hint="eastAsia" w:ascii="宋体" w:hAnsi="宋体" w:cs="宋体"/>
                <w:kern w:val="0"/>
                <w:sz w:val="24"/>
              </w:rPr>
              <w:t>50≤Y＜500</w:t>
            </w:r>
          </w:p>
        </w:tc>
        <w:tc>
          <w:tcPr>
            <w:tcW w:w="1203" w:type="dxa"/>
            <w:noWrap w:val="0"/>
            <w:vAlign w:val="center"/>
          </w:tcPr>
          <w:p w14:paraId="29901939">
            <w:pPr>
              <w:widowControl/>
              <w:jc w:val="left"/>
              <w:rPr>
                <w:rFonts w:hint="eastAsia" w:ascii="宋体" w:hAnsi="宋体" w:cs="宋体"/>
                <w:kern w:val="0"/>
                <w:sz w:val="24"/>
              </w:rPr>
            </w:pPr>
            <w:r>
              <w:rPr>
                <w:rFonts w:hint="eastAsia" w:ascii="宋体" w:hAnsi="宋体" w:cs="宋体"/>
                <w:kern w:val="0"/>
                <w:sz w:val="24"/>
              </w:rPr>
              <w:t>Y＜50</w:t>
            </w:r>
          </w:p>
        </w:tc>
      </w:tr>
      <w:tr w14:paraId="1ADF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2E93CBA">
            <w:pPr>
              <w:widowControl/>
              <w:jc w:val="left"/>
              <w:rPr>
                <w:rFonts w:hint="eastAsia" w:ascii="宋体" w:hAnsi="宋体" w:cs="宋体"/>
                <w:kern w:val="0"/>
                <w:sz w:val="24"/>
              </w:rPr>
            </w:pPr>
            <w:r>
              <w:rPr>
                <w:rFonts w:hint="eastAsia" w:ascii="宋体" w:hAnsi="宋体" w:cs="宋体"/>
                <w:kern w:val="0"/>
                <w:sz w:val="24"/>
              </w:rPr>
              <w:t>工业 *</w:t>
            </w:r>
          </w:p>
        </w:tc>
        <w:tc>
          <w:tcPr>
            <w:tcW w:w="1560" w:type="dxa"/>
            <w:noWrap w:val="0"/>
            <w:vAlign w:val="center"/>
          </w:tcPr>
          <w:p w14:paraId="51D8169D">
            <w:pPr>
              <w:widowControl/>
              <w:jc w:val="left"/>
              <w:rPr>
                <w:rFonts w:hint="eastAsia" w:ascii="宋体" w:hAnsi="宋体" w:cs="宋体"/>
                <w:kern w:val="0"/>
                <w:sz w:val="24"/>
              </w:rPr>
            </w:pPr>
            <w:r>
              <w:rPr>
                <w:rFonts w:hint="eastAsia" w:ascii="宋体" w:hAnsi="宋体" w:cs="宋体"/>
                <w:kern w:val="0"/>
                <w:sz w:val="24"/>
              </w:rPr>
              <w:t>从业人员(X)</w:t>
            </w:r>
          </w:p>
        </w:tc>
        <w:tc>
          <w:tcPr>
            <w:tcW w:w="671" w:type="dxa"/>
            <w:noWrap w:val="0"/>
            <w:vAlign w:val="center"/>
          </w:tcPr>
          <w:p w14:paraId="1C4F605F">
            <w:pPr>
              <w:widowControl/>
              <w:jc w:val="left"/>
              <w:rPr>
                <w:rFonts w:hint="eastAsia" w:ascii="宋体" w:hAnsi="宋体" w:cs="宋体"/>
                <w:kern w:val="0"/>
                <w:sz w:val="24"/>
              </w:rPr>
            </w:pPr>
            <w:r>
              <w:rPr>
                <w:rFonts w:hint="eastAsia" w:ascii="宋体" w:hAnsi="宋体" w:cs="宋体"/>
                <w:kern w:val="0"/>
                <w:sz w:val="24"/>
              </w:rPr>
              <w:t>人</w:t>
            </w:r>
          </w:p>
        </w:tc>
        <w:tc>
          <w:tcPr>
            <w:tcW w:w="1231" w:type="dxa"/>
            <w:noWrap w:val="0"/>
            <w:vAlign w:val="center"/>
          </w:tcPr>
          <w:p w14:paraId="4591EC2B">
            <w:pPr>
              <w:widowControl/>
              <w:jc w:val="left"/>
              <w:rPr>
                <w:rFonts w:hint="eastAsia" w:ascii="宋体" w:hAnsi="宋体" w:cs="宋体"/>
                <w:kern w:val="0"/>
                <w:sz w:val="24"/>
              </w:rPr>
            </w:pPr>
            <w:r>
              <w:rPr>
                <w:rFonts w:hint="eastAsia" w:ascii="宋体" w:hAnsi="宋体" w:cs="宋体"/>
                <w:kern w:val="0"/>
                <w:sz w:val="24"/>
              </w:rPr>
              <w:t>X≥1000</w:t>
            </w:r>
          </w:p>
        </w:tc>
        <w:tc>
          <w:tcPr>
            <w:tcW w:w="1891" w:type="dxa"/>
            <w:noWrap w:val="0"/>
            <w:vAlign w:val="center"/>
          </w:tcPr>
          <w:p w14:paraId="76B36F5F">
            <w:pPr>
              <w:widowControl/>
              <w:jc w:val="left"/>
              <w:rPr>
                <w:rFonts w:hint="eastAsia" w:ascii="宋体" w:hAnsi="宋体" w:cs="宋体"/>
                <w:kern w:val="0"/>
                <w:sz w:val="24"/>
              </w:rPr>
            </w:pPr>
            <w:r>
              <w:rPr>
                <w:rFonts w:hint="eastAsia" w:ascii="宋体" w:hAnsi="宋体" w:cs="宋体"/>
                <w:kern w:val="0"/>
                <w:sz w:val="24"/>
              </w:rPr>
              <w:t>300≤X＜1000</w:t>
            </w:r>
          </w:p>
        </w:tc>
        <w:tc>
          <w:tcPr>
            <w:tcW w:w="1730" w:type="dxa"/>
            <w:noWrap w:val="0"/>
            <w:vAlign w:val="center"/>
          </w:tcPr>
          <w:p w14:paraId="2E96E614">
            <w:pPr>
              <w:widowControl/>
              <w:jc w:val="left"/>
              <w:rPr>
                <w:rFonts w:hint="eastAsia" w:ascii="宋体" w:hAnsi="宋体" w:cs="宋体"/>
                <w:kern w:val="0"/>
                <w:sz w:val="24"/>
              </w:rPr>
            </w:pPr>
            <w:r>
              <w:rPr>
                <w:rFonts w:hint="eastAsia" w:ascii="宋体" w:hAnsi="宋体" w:cs="宋体"/>
                <w:kern w:val="0"/>
                <w:sz w:val="24"/>
              </w:rPr>
              <w:t>20≤X＜300</w:t>
            </w:r>
          </w:p>
        </w:tc>
        <w:tc>
          <w:tcPr>
            <w:tcW w:w="1203" w:type="dxa"/>
            <w:noWrap w:val="0"/>
            <w:vAlign w:val="center"/>
          </w:tcPr>
          <w:p w14:paraId="6F397FB2">
            <w:pPr>
              <w:widowControl/>
              <w:jc w:val="left"/>
              <w:rPr>
                <w:rFonts w:hint="eastAsia" w:ascii="宋体" w:hAnsi="宋体" w:cs="宋体"/>
                <w:kern w:val="0"/>
                <w:sz w:val="24"/>
              </w:rPr>
            </w:pPr>
            <w:r>
              <w:rPr>
                <w:rFonts w:hint="eastAsia" w:ascii="宋体" w:hAnsi="宋体" w:cs="宋体"/>
                <w:kern w:val="0"/>
                <w:sz w:val="24"/>
              </w:rPr>
              <w:t>X＜20</w:t>
            </w:r>
          </w:p>
        </w:tc>
      </w:tr>
      <w:tr w14:paraId="2315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B1548A4">
            <w:pPr>
              <w:widowControl/>
              <w:jc w:val="left"/>
              <w:rPr>
                <w:rFonts w:hint="eastAsia" w:ascii="宋体" w:hAnsi="宋体" w:cs="宋体"/>
                <w:kern w:val="0"/>
                <w:sz w:val="24"/>
              </w:rPr>
            </w:pPr>
          </w:p>
        </w:tc>
        <w:tc>
          <w:tcPr>
            <w:tcW w:w="1560" w:type="dxa"/>
            <w:noWrap w:val="0"/>
            <w:vAlign w:val="center"/>
          </w:tcPr>
          <w:p w14:paraId="313A8A16">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2A2A9BE6">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46C8ABE6">
            <w:pPr>
              <w:widowControl/>
              <w:jc w:val="left"/>
              <w:rPr>
                <w:rFonts w:hint="eastAsia" w:ascii="宋体" w:hAnsi="宋体" w:cs="宋体"/>
                <w:kern w:val="0"/>
                <w:sz w:val="24"/>
              </w:rPr>
            </w:pPr>
            <w:r>
              <w:rPr>
                <w:rFonts w:hint="eastAsia" w:ascii="宋体" w:hAnsi="宋体" w:cs="宋体"/>
                <w:kern w:val="0"/>
                <w:sz w:val="24"/>
              </w:rPr>
              <w:t>Y≥40000</w:t>
            </w:r>
          </w:p>
        </w:tc>
        <w:tc>
          <w:tcPr>
            <w:tcW w:w="1891" w:type="dxa"/>
            <w:noWrap w:val="0"/>
            <w:vAlign w:val="center"/>
          </w:tcPr>
          <w:p w14:paraId="0C32A853">
            <w:pPr>
              <w:widowControl/>
              <w:jc w:val="left"/>
              <w:rPr>
                <w:rFonts w:hint="eastAsia" w:ascii="宋体" w:hAnsi="宋体" w:cs="宋体"/>
                <w:kern w:val="0"/>
                <w:sz w:val="24"/>
              </w:rPr>
            </w:pPr>
            <w:r>
              <w:rPr>
                <w:rFonts w:hint="eastAsia" w:ascii="宋体" w:hAnsi="宋体" w:cs="宋体"/>
                <w:kern w:val="0"/>
                <w:sz w:val="24"/>
              </w:rPr>
              <w:t>2000≤Y＜40000</w:t>
            </w:r>
          </w:p>
        </w:tc>
        <w:tc>
          <w:tcPr>
            <w:tcW w:w="1730" w:type="dxa"/>
            <w:noWrap w:val="0"/>
            <w:vAlign w:val="center"/>
          </w:tcPr>
          <w:p w14:paraId="1F79A81A">
            <w:pPr>
              <w:widowControl/>
              <w:jc w:val="left"/>
              <w:rPr>
                <w:rFonts w:hint="eastAsia" w:ascii="宋体" w:hAnsi="宋体" w:cs="宋体"/>
                <w:kern w:val="0"/>
                <w:sz w:val="24"/>
              </w:rPr>
            </w:pPr>
            <w:r>
              <w:rPr>
                <w:rFonts w:hint="eastAsia" w:ascii="宋体" w:hAnsi="宋体" w:cs="宋体"/>
                <w:kern w:val="0"/>
                <w:sz w:val="24"/>
              </w:rPr>
              <w:t>300≤Y＜2000</w:t>
            </w:r>
          </w:p>
        </w:tc>
        <w:tc>
          <w:tcPr>
            <w:tcW w:w="1203" w:type="dxa"/>
            <w:noWrap w:val="0"/>
            <w:vAlign w:val="center"/>
          </w:tcPr>
          <w:p w14:paraId="1A8C0A0C">
            <w:pPr>
              <w:widowControl/>
              <w:jc w:val="left"/>
              <w:rPr>
                <w:rFonts w:hint="eastAsia" w:ascii="宋体" w:hAnsi="宋体" w:cs="宋体"/>
                <w:kern w:val="0"/>
                <w:sz w:val="24"/>
              </w:rPr>
            </w:pPr>
            <w:r>
              <w:rPr>
                <w:rFonts w:hint="eastAsia" w:ascii="宋体" w:hAnsi="宋体" w:cs="宋体"/>
                <w:kern w:val="0"/>
                <w:sz w:val="24"/>
              </w:rPr>
              <w:t>Y＜300</w:t>
            </w:r>
          </w:p>
        </w:tc>
      </w:tr>
      <w:tr w14:paraId="0A430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3453DF8">
            <w:pPr>
              <w:widowControl/>
              <w:jc w:val="left"/>
              <w:rPr>
                <w:rFonts w:hint="eastAsia" w:ascii="宋体" w:hAnsi="宋体" w:cs="宋体"/>
                <w:kern w:val="0"/>
                <w:sz w:val="24"/>
              </w:rPr>
            </w:pPr>
            <w:r>
              <w:rPr>
                <w:rFonts w:hint="eastAsia" w:ascii="宋体" w:hAnsi="宋体" w:cs="宋体"/>
                <w:kern w:val="0"/>
                <w:sz w:val="24"/>
              </w:rPr>
              <w:t>建筑业</w:t>
            </w:r>
          </w:p>
        </w:tc>
        <w:tc>
          <w:tcPr>
            <w:tcW w:w="1560" w:type="dxa"/>
            <w:noWrap w:val="0"/>
            <w:vAlign w:val="center"/>
          </w:tcPr>
          <w:p w14:paraId="57696928">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1A931ACB">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1E55AD20">
            <w:pPr>
              <w:widowControl/>
              <w:jc w:val="left"/>
              <w:rPr>
                <w:rFonts w:hint="eastAsia" w:ascii="宋体" w:hAnsi="宋体" w:cs="宋体"/>
                <w:kern w:val="0"/>
                <w:sz w:val="24"/>
              </w:rPr>
            </w:pPr>
            <w:r>
              <w:rPr>
                <w:rFonts w:hint="eastAsia" w:ascii="宋体" w:hAnsi="宋体" w:cs="宋体"/>
                <w:kern w:val="0"/>
                <w:sz w:val="24"/>
              </w:rPr>
              <w:t>Y≥80000</w:t>
            </w:r>
          </w:p>
        </w:tc>
        <w:tc>
          <w:tcPr>
            <w:tcW w:w="1891" w:type="dxa"/>
            <w:noWrap w:val="0"/>
            <w:vAlign w:val="center"/>
          </w:tcPr>
          <w:p w14:paraId="511E0364">
            <w:pPr>
              <w:widowControl/>
              <w:jc w:val="left"/>
              <w:rPr>
                <w:rFonts w:hint="eastAsia" w:ascii="宋体" w:hAnsi="宋体" w:cs="宋体"/>
                <w:kern w:val="0"/>
                <w:sz w:val="24"/>
              </w:rPr>
            </w:pPr>
            <w:r>
              <w:rPr>
                <w:rFonts w:hint="eastAsia" w:ascii="宋体" w:hAnsi="宋体" w:cs="宋体"/>
                <w:kern w:val="0"/>
                <w:sz w:val="24"/>
              </w:rPr>
              <w:t>6000≤Y＜80000</w:t>
            </w:r>
          </w:p>
        </w:tc>
        <w:tc>
          <w:tcPr>
            <w:tcW w:w="1730" w:type="dxa"/>
            <w:noWrap w:val="0"/>
            <w:vAlign w:val="center"/>
          </w:tcPr>
          <w:p w14:paraId="735C52A5">
            <w:pPr>
              <w:widowControl/>
              <w:jc w:val="left"/>
              <w:rPr>
                <w:rFonts w:hint="eastAsia" w:ascii="宋体" w:hAnsi="宋体" w:cs="宋体"/>
                <w:kern w:val="0"/>
                <w:sz w:val="24"/>
              </w:rPr>
            </w:pPr>
            <w:r>
              <w:rPr>
                <w:rFonts w:hint="eastAsia" w:ascii="宋体" w:hAnsi="宋体" w:cs="宋体"/>
                <w:kern w:val="0"/>
                <w:sz w:val="24"/>
              </w:rPr>
              <w:t>300≤Y＜6000</w:t>
            </w:r>
          </w:p>
        </w:tc>
        <w:tc>
          <w:tcPr>
            <w:tcW w:w="1203" w:type="dxa"/>
            <w:noWrap w:val="0"/>
            <w:vAlign w:val="center"/>
          </w:tcPr>
          <w:p w14:paraId="0D6ECBC4">
            <w:pPr>
              <w:widowControl/>
              <w:jc w:val="left"/>
              <w:rPr>
                <w:rFonts w:hint="eastAsia" w:ascii="宋体" w:hAnsi="宋体" w:cs="宋体"/>
                <w:kern w:val="0"/>
                <w:sz w:val="24"/>
              </w:rPr>
            </w:pPr>
            <w:r>
              <w:rPr>
                <w:rFonts w:hint="eastAsia" w:ascii="宋体" w:hAnsi="宋体" w:cs="宋体"/>
                <w:kern w:val="0"/>
                <w:sz w:val="24"/>
              </w:rPr>
              <w:t>Y＜300</w:t>
            </w:r>
          </w:p>
        </w:tc>
      </w:tr>
      <w:tr w14:paraId="43975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D0AFA9E">
            <w:pPr>
              <w:widowControl/>
              <w:jc w:val="left"/>
              <w:rPr>
                <w:rFonts w:hint="eastAsia" w:ascii="宋体" w:hAnsi="宋体" w:cs="宋体"/>
                <w:kern w:val="0"/>
                <w:sz w:val="24"/>
              </w:rPr>
            </w:pPr>
          </w:p>
        </w:tc>
        <w:tc>
          <w:tcPr>
            <w:tcW w:w="1560" w:type="dxa"/>
            <w:noWrap w:val="0"/>
            <w:vAlign w:val="center"/>
          </w:tcPr>
          <w:p w14:paraId="5C6B9C2F">
            <w:pPr>
              <w:widowControl/>
              <w:jc w:val="left"/>
              <w:rPr>
                <w:rFonts w:hint="eastAsia" w:ascii="宋体" w:hAnsi="宋体" w:cs="宋体"/>
                <w:kern w:val="0"/>
                <w:sz w:val="24"/>
              </w:rPr>
            </w:pPr>
            <w:r>
              <w:rPr>
                <w:rFonts w:hint="eastAsia" w:ascii="宋体" w:hAnsi="宋体" w:cs="宋体"/>
                <w:kern w:val="0"/>
                <w:sz w:val="24"/>
              </w:rPr>
              <w:t>资产总额(Z)</w:t>
            </w:r>
          </w:p>
        </w:tc>
        <w:tc>
          <w:tcPr>
            <w:tcW w:w="671" w:type="dxa"/>
            <w:noWrap w:val="0"/>
            <w:vAlign w:val="center"/>
          </w:tcPr>
          <w:p w14:paraId="711EE6E9">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431EA1A0">
            <w:pPr>
              <w:widowControl/>
              <w:jc w:val="left"/>
              <w:rPr>
                <w:rFonts w:hint="eastAsia" w:ascii="宋体" w:hAnsi="宋体" w:cs="宋体"/>
                <w:kern w:val="0"/>
                <w:sz w:val="24"/>
              </w:rPr>
            </w:pPr>
            <w:r>
              <w:rPr>
                <w:rFonts w:hint="eastAsia" w:ascii="宋体" w:hAnsi="宋体" w:cs="宋体"/>
                <w:kern w:val="0"/>
                <w:sz w:val="24"/>
              </w:rPr>
              <w:t>Z≥80000</w:t>
            </w:r>
          </w:p>
        </w:tc>
        <w:tc>
          <w:tcPr>
            <w:tcW w:w="1891" w:type="dxa"/>
            <w:noWrap w:val="0"/>
            <w:vAlign w:val="center"/>
          </w:tcPr>
          <w:p w14:paraId="17A838DC">
            <w:pPr>
              <w:widowControl/>
              <w:jc w:val="left"/>
              <w:rPr>
                <w:rFonts w:hint="eastAsia" w:ascii="宋体" w:hAnsi="宋体" w:cs="宋体"/>
                <w:kern w:val="0"/>
                <w:sz w:val="24"/>
              </w:rPr>
            </w:pPr>
            <w:r>
              <w:rPr>
                <w:rFonts w:hint="eastAsia" w:ascii="宋体" w:hAnsi="宋体" w:cs="宋体"/>
                <w:kern w:val="0"/>
                <w:sz w:val="24"/>
              </w:rPr>
              <w:t>5000≤Z＜80000</w:t>
            </w:r>
          </w:p>
        </w:tc>
        <w:tc>
          <w:tcPr>
            <w:tcW w:w="1730" w:type="dxa"/>
            <w:noWrap w:val="0"/>
            <w:vAlign w:val="center"/>
          </w:tcPr>
          <w:p w14:paraId="268A2D8A">
            <w:pPr>
              <w:widowControl/>
              <w:jc w:val="left"/>
              <w:rPr>
                <w:rFonts w:hint="eastAsia" w:ascii="宋体" w:hAnsi="宋体" w:cs="宋体"/>
                <w:kern w:val="0"/>
                <w:sz w:val="24"/>
              </w:rPr>
            </w:pPr>
            <w:r>
              <w:rPr>
                <w:rFonts w:hint="eastAsia" w:ascii="宋体" w:hAnsi="宋体" w:cs="宋体"/>
                <w:kern w:val="0"/>
                <w:sz w:val="24"/>
              </w:rPr>
              <w:t>300≤Z＜5000</w:t>
            </w:r>
          </w:p>
        </w:tc>
        <w:tc>
          <w:tcPr>
            <w:tcW w:w="1203" w:type="dxa"/>
            <w:noWrap w:val="0"/>
            <w:vAlign w:val="center"/>
          </w:tcPr>
          <w:p w14:paraId="200A16F2">
            <w:pPr>
              <w:widowControl/>
              <w:jc w:val="left"/>
              <w:rPr>
                <w:rFonts w:hint="eastAsia" w:ascii="宋体" w:hAnsi="宋体" w:cs="宋体"/>
                <w:kern w:val="0"/>
                <w:sz w:val="24"/>
              </w:rPr>
            </w:pPr>
            <w:r>
              <w:rPr>
                <w:rFonts w:hint="eastAsia" w:ascii="宋体" w:hAnsi="宋体" w:cs="宋体"/>
                <w:kern w:val="0"/>
                <w:sz w:val="24"/>
              </w:rPr>
              <w:t>Z＜300</w:t>
            </w:r>
          </w:p>
        </w:tc>
      </w:tr>
      <w:tr w14:paraId="12A2F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E0B3D10">
            <w:pPr>
              <w:widowControl/>
              <w:jc w:val="left"/>
              <w:rPr>
                <w:rFonts w:hint="eastAsia" w:ascii="宋体" w:hAnsi="宋体" w:cs="宋体"/>
                <w:kern w:val="0"/>
                <w:sz w:val="24"/>
              </w:rPr>
            </w:pPr>
            <w:r>
              <w:rPr>
                <w:rFonts w:hint="eastAsia" w:ascii="宋体" w:hAnsi="宋体" w:cs="宋体"/>
                <w:kern w:val="0"/>
                <w:sz w:val="24"/>
              </w:rPr>
              <w:t>批发业</w:t>
            </w:r>
          </w:p>
        </w:tc>
        <w:tc>
          <w:tcPr>
            <w:tcW w:w="1560" w:type="dxa"/>
            <w:noWrap w:val="0"/>
            <w:vAlign w:val="center"/>
          </w:tcPr>
          <w:p w14:paraId="77D57830">
            <w:pPr>
              <w:widowControl/>
              <w:jc w:val="left"/>
              <w:rPr>
                <w:rFonts w:hint="eastAsia" w:ascii="宋体" w:hAnsi="宋体" w:cs="宋体"/>
                <w:kern w:val="0"/>
                <w:sz w:val="24"/>
              </w:rPr>
            </w:pPr>
            <w:r>
              <w:rPr>
                <w:rFonts w:hint="eastAsia" w:ascii="宋体" w:hAnsi="宋体" w:cs="宋体"/>
                <w:kern w:val="0"/>
                <w:sz w:val="24"/>
              </w:rPr>
              <w:t>从业人员(X)</w:t>
            </w:r>
          </w:p>
        </w:tc>
        <w:tc>
          <w:tcPr>
            <w:tcW w:w="671" w:type="dxa"/>
            <w:noWrap w:val="0"/>
            <w:vAlign w:val="center"/>
          </w:tcPr>
          <w:p w14:paraId="48ACFB2A">
            <w:pPr>
              <w:widowControl/>
              <w:jc w:val="left"/>
              <w:rPr>
                <w:rFonts w:hint="eastAsia" w:ascii="宋体" w:hAnsi="宋体" w:cs="宋体"/>
                <w:kern w:val="0"/>
                <w:sz w:val="24"/>
              </w:rPr>
            </w:pPr>
            <w:r>
              <w:rPr>
                <w:rFonts w:hint="eastAsia" w:ascii="宋体" w:hAnsi="宋体" w:cs="宋体"/>
                <w:kern w:val="0"/>
                <w:sz w:val="24"/>
              </w:rPr>
              <w:t>人</w:t>
            </w:r>
          </w:p>
        </w:tc>
        <w:tc>
          <w:tcPr>
            <w:tcW w:w="1231" w:type="dxa"/>
            <w:noWrap w:val="0"/>
            <w:vAlign w:val="center"/>
          </w:tcPr>
          <w:p w14:paraId="26A6B958">
            <w:pPr>
              <w:widowControl/>
              <w:jc w:val="left"/>
              <w:rPr>
                <w:rFonts w:hint="eastAsia" w:ascii="宋体" w:hAnsi="宋体" w:cs="宋体"/>
                <w:kern w:val="0"/>
                <w:sz w:val="24"/>
              </w:rPr>
            </w:pPr>
            <w:r>
              <w:rPr>
                <w:rFonts w:hint="eastAsia" w:ascii="宋体" w:hAnsi="宋体" w:cs="宋体"/>
                <w:kern w:val="0"/>
                <w:sz w:val="24"/>
              </w:rPr>
              <w:t>X≥200</w:t>
            </w:r>
          </w:p>
        </w:tc>
        <w:tc>
          <w:tcPr>
            <w:tcW w:w="1891" w:type="dxa"/>
            <w:noWrap w:val="0"/>
            <w:vAlign w:val="center"/>
          </w:tcPr>
          <w:p w14:paraId="5FA36367">
            <w:pPr>
              <w:widowControl/>
              <w:jc w:val="left"/>
              <w:rPr>
                <w:rFonts w:hint="eastAsia" w:ascii="宋体" w:hAnsi="宋体" w:cs="宋体"/>
                <w:kern w:val="0"/>
                <w:sz w:val="24"/>
              </w:rPr>
            </w:pPr>
            <w:r>
              <w:rPr>
                <w:rFonts w:hint="eastAsia" w:ascii="宋体" w:hAnsi="宋体" w:cs="宋体"/>
                <w:kern w:val="0"/>
                <w:sz w:val="24"/>
              </w:rPr>
              <w:t>20≤X＜200</w:t>
            </w:r>
          </w:p>
        </w:tc>
        <w:tc>
          <w:tcPr>
            <w:tcW w:w="1730" w:type="dxa"/>
            <w:noWrap w:val="0"/>
            <w:vAlign w:val="center"/>
          </w:tcPr>
          <w:p w14:paraId="5BF93C62">
            <w:pPr>
              <w:widowControl/>
              <w:jc w:val="left"/>
              <w:rPr>
                <w:rFonts w:hint="eastAsia" w:ascii="宋体" w:hAnsi="宋体" w:cs="宋体"/>
                <w:kern w:val="0"/>
                <w:sz w:val="24"/>
              </w:rPr>
            </w:pPr>
            <w:r>
              <w:rPr>
                <w:rFonts w:hint="eastAsia" w:ascii="宋体" w:hAnsi="宋体" w:cs="宋体"/>
                <w:kern w:val="0"/>
                <w:sz w:val="24"/>
              </w:rPr>
              <w:t>5≤X＜20</w:t>
            </w:r>
          </w:p>
        </w:tc>
        <w:tc>
          <w:tcPr>
            <w:tcW w:w="1203" w:type="dxa"/>
            <w:noWrap w:val="0"/>
            <w:vAlign w:val="center"/>
          </w:tcPr>
          <w:p w14:paraId="2E158D2E">
            <w:pPr>
              <w:widowControl/>
              <w:jc w:val="left"/>
              <w:rPr>
                <w:rFonts w:hint="eastAsia" w:ascii="宋体" w:hAnsi="宋体" w:cs="宋体"/>
                <w:kern w:val="0"/>
                <w:sz w:val="24"/>
              </w:rPr>
            </w:pPr>
            <w:r>
              <w:rPr>
                <w:rFonts w:hint="eastAsia" w:ascii="宋体" w:hAnsi="宋体" w:cs="宋体"/>
                <w:kern w:val="0"/>
                <w:sz w:val="24"/>
              </w:rPr>
              <w:t>X＜5</w:t>
            </w:r>
          </w:p>
        </w:tc>
      </w:tr>
      <w:tr w14:paraId="3691D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2450067">
            <w:pPr>
              <w:widowControl/>
              <w:jc w:val="left"/>
              <w:rPr>
                <w:rFonts w:hint="eastAsia" w:ascii="宋体" w:hAnsi="宋体" w:cs="宋体"/>
                <w:kern w:val="0"/>
                <w:sz w:val="24"/>
              </w:rPr>
            </w:pPr>
          </w:p>
        </w:tc>
        <w:tc>
          <w:tcPr>
            <w:tcW w:w="1560" w:type="dxa"/>
            <w:noWrap w:val="0"/>
            <w:vAlign w:val="center"/>
          </w:tcPr>
          <w:p w14:paraId="3AD7DBA2">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7FFD33DA">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421B3370">
            <w:pPr>
              <w:widowControl/>
              <w:jc w:val="left"/>
              <w:rPr>
                <w:rFonts w:hint="eastAsia" w:ascii="宋体" w:hAnsi="宋体" w:cs="宋体"/>
                <w:kern w:val="0"/>
                <w:sz w:val="24"/>
              </w:rPr>
            </w:pPr>
            <w:r>
              <w:rPr>
                <w:rFonts w:hint="eastAsia" w:ascii="宋体" w:hAnsi="宋体" w:cs="宋体"/>
                <w:kern w:val="0"/>
                <w:sz w:val="24"/>
              </w:rPr>
              <w:t>Y≥40000</w:t>
            </w:r>
          </w:p>
        </w:tc>
        <w:tc>
          <w:tcPr>
            <w:tcW w:w="1891" w:type="dxa"/>
            <w:noWrap w:val="0"/>
            <w:vAlign w:val="center"/>
          </w:tcPr>
          <w:p w14:paraId="61859908">
            <w:pPr>
              <w:widowControl/>
              <w:jc w:val="left"/>
              <w:rPr>
                <w:rFonts w:hint="eastAsia" w:ascii="宋体" w:hAnsi="宋体" w:cs="宋体"/>
                <w:kern w:val="0"/>
                <w:sz w:val="24"/>
              </w:rPr>
            </w:pPr>
            <w:r>
              <w:rPr>
                <w:rFonts w:hint="eastAsia" w:ascii="宋体" w:hAnsi="宋体" w:cs="宋体"/>
                <w:kern w:val="0"/>
                <w:sz w:val="24"/>
              </w:rPr>
              <w:t>5000≤Y＜40000</w:t>
            </w:r>
          </w:p>
        </w:tc>
        <w:tc>
          <w:tcPr>
            <w:tcW w:w="1730" w:type="dxa"/>
            <w:noWrap w:val="0"/>
            <w:vAlign w:val="center"/>
          </w:tcPr>
          <w:p w14:paraId="14C9400B">
            <w:pPr>
              <w:widowControl/>
              <w:jc w:val="left"/>
              <w:rPr>
                <w:rFonts w:hint="eastAsia" w:ascii="宋体" w:hAnsi="宋体" w:cs="宋体"/>
                <w:kern w:val="0"/>
                <w:sz w:val="24"/>
              </w:rPr>
            </w:pPr>
            <w:r>
              <w:rPr>
                <w:rFonts w:hint="eastAsia" w:ascii="宋体" w:hAnsi="宋体" w:cs="宋体"/>
                <w:kern w:val="0"/>
                <w:sz w:val="24"/>
              </w:rPr>
              <w:t>1000≤Y＜5000</w:t>
            </w:r>
          </w:p>
        </w:tc>
        <w:tc>
          <w:tcPr>
            <w:tcW w:w="1203" w:type="dxa"/>
            <w:noWrap w:val="0"/>
            <w:vAlign w:val="center"/>
          </w:tcPr>
          <w:p w14:paraId="2BF7922C">
            <w:pPr>
              <w:widowControl/>
              <w:jc w:val="left"/>
              <w:rPr>
                <w:rFonts w:hint="eastAsia" w:ascii="宋体" w:hAnsi="宋体" w:cs="宋体"/>
                <w:kern w:val="0"/>
                <w:sz w:val="24"/>
              </w:rPr>
            </w:pPr>
            <w:r>
              <w:rPr>
                <w:rFonts w:hint="eastAsia" w:ascii="宋体" w:hAnsi="宋体" w:cs="宋体"/>
                <w:kern w:val="0"/>
                <w:sz w:val="24"/>
              </w:rPr>
              <w:t>Y＜1000</w:t>
            </w:r>
          </w:p>
        </w:tc>
      </w:tr>
      <w:tr w14:paraId="55CC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33D8AAA">
            <w:pPr>
              <w:widowControl/>
              <w:jc w:val="left"/>
              <w:rPr>
                <w:rFonts w:hint="eastAsia" w:ascii="宋体" w:hAnsi="宋体" w:cs="宋体"/>
                <w:kern w:val="0"/>
                <w:sz w:val="24"/>
              </w:rPr>
            </w:pPr>
            <w:r>
              <w:rPr>
                <w:rFonts w:hint="eastAsia" w:ascii="宋体" w:hAnsi="宋体" w:cs="宋体"/>
                <w:kern w:val="0"/>
                <w:sz w:val="24"/>
              </w:rPr>
              <w:t>零售业</w:t>
            </w:r>
          </w:p>
        </w:tc>
        <w:tc>
          <w:tcPr>
            <w:tcW w:w="1560" w:type="dxa"/>
            <w:noWrap w:val="0"/>
            <w:vAlign w:val="center"/>
          </w:tcPr>
          <w:p w14:paraId="2F73A55B">
            <w:pPr>
              <w:widowControl/>
              <w:jc w:val="left"/>
              <w:rPr>
                <w:rFonts w:hint="eastAsia" w:ascii="宋体" w:hAnsi="宋体" w:cs="宋体"/>
                <w:kern w:val="0"/>
                <w:sz w:val="24"/>
              </w:rPr>
            </w:pPr>
            <w:r>
              <w:rPr>
                <w:rFonts w:hint="eastAsia" w:ascii="宋体" w:hAnsi="宋体" w:cs="宋体"/>
                <w:kern w:val="0"/>
                <w:sz w:val="24"/>
              </w:rPr>
              <w:t>从业人员(X)</w:t>
            </w:r>
          </w:p>
        </w:tc>
        <w:tc>
          <w:tcPr>
            <w:tcW w:w="671" w:type="dxa"/>
            <w:noWrap w:val="0"/>
            <w:vAlign w:val="center"/>
          </w:tcPr>
          <w:p w14:paraId="097E3BCE">
            <w:pPr>
              <w:widowControl/>
              <w:jc w:val="left"/>
              <w:rPr>
                <w:rFonts w:hint="eastAsia" w:ascii="宋体" w:hAnsi="宋体" w:cs="宋体"/>
                <w:kern w:val="0"/>
                <w:sz w:val="24"/>
              </w:rPr>
            </w:pPr>
            <w:r>
              <w:rPr>
                <w:rFonts w:hint="eastAsia" w:ascii="宋体" w:hAnsi="宋体" w:cs="宋体"/>
                <w:kern w:val="0"/>
                <w:sz w:val="24"/>
              </w:rPr>
              <w:t>人</w:t>
            </w:r>
          </w:p>
        </w:tc>
        <w:tc>
          <w:tcPr>
            <w:tcW w:w="1231" w:type="dxa"/>
            <w:noWrap w:val="0"/>
            <w:vAlign w:val="center"/>
          </w:tcPr>
          <w:p w14:paraId="7C3C38B4">
            <w:pPr>
              <w:widowControl/>
              <w:jc w:val="left"/>
              <w:rPr>
                <w:rFonts w:hint="eastAsia" w:ascii="宋体" w:hAnsi="宋体" w:cs="宋体"/>
                <w:kern w:val="0"/>
                <w:sz w:val="24"/>
              </w:rPr>
            </w:pPr>
            <w:r>
              <w:rPr>
                <w:rFonts w:hint="eastAsia" w:ascii="宋体" w:hAnsi="宋体" w:cs="宋体"/>
                <w:kern w:val="0"/>
                <w:sz w:val="24"/>
              </w:rPr>
              <w:t>X≥300</w:t>
            </w:r>
          </w:p>
        </w:tc>
        <w:tc>
          <w:tcPr>
            <w:tcW w:w="1891" w:type="dxa"/>
            <w:noWrap w:val="0"/>
            <w:vAlign w:val="center"/>
          </w:tcPr>
          <w:p w14:paraId="35E30933">
            <w:pPr>
              <w:widowControl/>
              <w:jc w:val="left"/>
              <w:rPr>
                <w:rFonts w:hint="eastAsia" w:ascii="宋体" w:hAnsi="宋体" w:cs="宋体"/>
                <w:kern w:val="0"/>
                <w:sz w:val="24"/>
              </w:rPr>
            </w:pPr>
            <w:r>
              <w:rPr>
                <w:rFonts w:hint="eastAsia" w:ascii="宋体" w:hAnsi="宋体" w:cs="宋体"/>
                <w:kern w:val="0"/>
                <w:sz w:val="24"/>
              </w:rPr>
              <w:t>50≤X＜300</w:t>
            </w:r>
          </w:p>
        </w:tc>
        <w:tc>
          <w:tcPr>
            <w:tcW w:w="1730" w:type="dxa"/>
            <w:noWrap w:val="0"/>
            <w:vAlign w:val="center"/>
          </w:tcPr>
          <w:p w14:paraId="08903782">
            <w:pPr>
              <w:widowControl/>
              <w:jc w:val="left"/>
              <w:rPr>
                <w:rFonts w:hint="eastAsia" w:ascii="宋体" w:hAnsi="宋体" w:cs="宋体"/>
                <w:kern w:val="0"/>
                <w:sz w:val="24"/>
              </w:rPr>
            </w:pPr>
            <w:r>
              <w:rPr>
                <w:rFonts w:hint="eastAsia" w:ascii="宋体" w:hAnsi="宋体" w:cs="宋体"/>
                <w:kern w:val="0"/>
                <w:sz w:val="24"/>
              </w:rPr>
              <w:t>10≤X＜50</w:t>
            </w:r>
          </w:p>
        </w:tc>
        <w:tc>
          <w:tcPr>
            <w:tcW w:w="1203" w:type="dxa"/>
            <w:noWrap w:val="0"/>
            <w:vAlign w:val="center"/>
          </w:tcPr>
          <w:p w14:paraId="0DBB4E44">
            <w:pPr>
              <w:widowControl/>
              <w:jc w:val="left"/>
              <w:rPr>
                <w:rFonts w:hint="eastAsia" w:ascii="宋体" w:hAnsi="宋体" w:cs="宋体"/>
                <w:kern w:val="0"/>
                <w:sz w:val="24"/>
              </w:rPr>
            </w:pPr>
            <w:r>
              <w:rPr>
                <w:rFonts w:hint="eastAsia" w:ascii="宋体" w:hAnsi="宋体" w:cs="宋体"/>
                <w:kern w:val="0"/>
                <w:sz w:val="24"/>
              </w:rPr>
              <w:t>X＜10</w:t>
            </w:r>
          </w:p>
        </w:tc>
      </w:tr>
      <w:tr w14:paraId="447AE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C42A3D6">
            <w:pPr>
              <w:widowControl/>
              <w:jc w:val="left"/>
              <w:rPr>
                <w:rFonts w:hint="eastAsia" w:ascii="宋体" w:hAnsi="宋体" w:cs="宋体"/>
                <w:kern w:val="0"/>
                <w:sz w:val="24"/>
              </w:rPr>
            </w:pPr>
          </w:p>
        </w:tc>
        <w:tc>
          <w:tcPr>
            <w:tcW w:w="1560" w:type="dxa"/>
            <w:noWrap w:val="0"/>
            <w:vAlign w:val="center"/>
          </w:tcPr>
          <w:p w14:paraId="3B184996">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1894F776">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0CB55EF9">
            <w:pPr>
              <w:widowControl/>
              <w:jc w:val="left"/>
              <w:rPr>
                <w:rFonts w:hint="eastAsia" w:ascii="宋体" w:hAnsi="宋体" w:cs="宋体"/>
                <w:kern w:val="0"/>
                <w:sz w:val="24"/>
              </w:rPr>
            </w:pPr>
            <w:r>
              <w:rPr>
                <w:rFonts w:hint="eastAsia" w:ascii="宋体" w:hAnsi="宋体" w:cs="宋体"/>
                <w:kern w:val="0"/>
                <w:sz w:val="24"/>
              </w:rPr>
              <w:t>Y≥20000</w:t>
            </w:r>
          </w:p>
        </w:tc>
        <w:tc>
          <w:tcPr>
            <w:tcW w:w="1891" w:type="dxa"/>
            <w:noWrap w:val="0"/>
            <w:vAlign w:val="center"/>
          </w:tcPr>
          <w:p w14:paraId="6A277B9E">
            <w:pPr>
              <w:widowControl/>
              <w:jc w:val="left"/>
              <w:rPr>
                <w:rFonts w:hint="eastAsia" w:ascii="宋体" w:hAnsi="宋体" w:cs="宋体"/>
                <w:kern w:val="0"/>
                <w:sz w:val="24"/>
              </w:rPr>
            </w:pPr>
            <w:r>
              <w:rPr>
                <w:rFonts w:hint="eastAsia" w:ascii="宋体" w:hAnsi="宋体" w:cs="宋体"/>
                <w:kern w:val="0"/>
                <w:sz w:val="24"/>
              </w:rPr>
              <w:t>500≤Y＜20000</w:t>
            </w:r>
          </w:p>
        </w:tc>
        <w:tc>
          <w:tcPr>
            <w:tcW w:w="1730" w:type="dxa"/>
            <w:noWrap w:val="0"/>
            <w:vAlign w:val="center"/>
          </w:tcPr>
          <w:p w14:paraId="56101D28">
            <w:pPr>
              <w:widowControl/>
              <w:jc w:val="left"/>
              <w:rPr>
                <w:rFonts w:hint="eastAsia" w:ascii="宋体" w:hAnsi="宋体" w:cs="宋体"/>
                <w:kern w:val="0"/>
                <w:sz w:val="24"/>
              </w:rPr>
            </w:pPr>
            <w:r>
              <w:rPr>
                <w:rFonts w:hint="eastAsia" w:ascii="宋体" w:hAnsi="宋体" w:cs="宋体"/>
                <w:kern w:val="0"/>
                <w:sz w:val="24"/>
              </w:rPr>
              <w:t>100≤Y＜500</w:t>
            </w:r>
          </w:p>
        </w:tc>
        <w:tc>
          <w:tcPr>
            <w:tcW w:w="1203" w:type="dxa"/>
            <w:noWrap w:val="0"/>
            <w:vAlign w:val="center"/>
          </w:tcPr>
          <w:p w14:paraId="2A8D920A">
            <w:pPr>
              <w:widowControl/>
              <w:jc w:val="left"/>
              <w:rPr>
                <w:rFonts w:hint="eastAsia" w:ascii="宋体" w:hAnsi="宋体" w:cs="宋体"/>
                <w:kern w:val="0"/>
                <w:sz w:val="24"/>
              </w:rPr>
            </w:pPr>
            <w:r>
              <w:rPr>
                <w:rFonts w:hint="eastAsia" w:ascii="宋体" w:hAnsi="宋体" w:cs="宋体"/>
                <w:kern w:val="0"/>
                <w:sz w:val="24"/>
              </w:rPr>
              <w:t>Y＜100</w:t>
            </w:r>
          </w:p>
        </w:tc>
      </w:tr>
      <w:tr w14:paraId="7945C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86D8603">
            <w:pPr>
              <w:widowControl/>
              <w:jc w:val="left"/>
              <w:rPr>
                <w:rFonts w:hint="eastAsia" w:ascii="宋体" w:hAnsi="宋体" w:cs="宋体"/>
                <w:kern w:val="0"/>
                <w:sz w:val="24"/>
              </w:rPr>
            </w:pPr>
            <w:r>
              <w:rPr>
                <w:rFonts w:hint="eastAsia" w:ascii="宋体" w:hAnsi="宋体" w:cs="宋体"/>
                <w:kern w:val="0"/>
                <w:sz w:val="24"/>
              </w:rPr>
              <w:t>交通运输业 *</w:t>
            </w:r>
          </w:p>
        </w:tc>
        <w:tc>
          <w:tcPr>
            <w:tcW w:w="1560" w:type="dxa"/>
            <w:noWrap w:val="0"/>
            <w:vAlign w:val="center"/>
          </w:tcPr>
          <w:p w14:paraId="041AA77E">
            <w:pPr>
              <w:widowControl/>
              <w:jc w:val="left"/>
              <w:rPr>
                <w:rFonts w:hint="eastAsia" w:ascii="宋体" w:hAnsi="宋体" w:cs="宋体"/>
                <w:kern w:val="0"/>
                <w:sz w:val="24"/>
              </w:rPr>
            </w:pPr>
            <w:r>
              <w:rPr>
                <w:rFonts w:hint="eastAsia" w:ascii="宋体" w:hAnsi="宋体" w:cs="宋体"/>
                <w:kern w:val="0"/>
                <w:sz w:val="24"/>
              </w:rPr>
              <w:t>从业人员(X)</w:t>
            </w:r>
          </w:p>
        </w:tc>
        <w:tc>
          <w:tcPr>
            <w:tcW w:w="671" w:type="dxa"/>
            <w:noWrap w:val="0"/>
            <w:vAlign w:val="center"/>
          </w:tcPr>
          <w:p w14:paraId="22DFFE31">
            <w:pPr>
              <w:widowControl/>
              <w:jc w:val="left"/>
              <w:rPr>
                <w:rFonts w:hint="eastAsia" w:ascii="宋体" w:hAnsi="宋体" w:cs="宋体"/>
                <w:kern w:val="0"/>
                <w:sz w:val="24"/>
              </w:rPr>
            </w:pPr>
            <w:r>
              <w:rPr>
                <w:rFonts w:hint="eastAsia" w:ascii="宋体" w:hAnsi="宋体" w:cs="宋体"/>
                <w:kern w:val="0"/>
                <w:sz w:val="24"/>
              </w:rPr>
              <w:t>人</w:t>
            </w:r>
          </w:p>
        </w:tc>
        <w:tc>
          <w:tcPr>
            <w:tcW w:w="1231" w:type="dxa"/>
            <w:noWrap w:val="0"/>
            <w:vAlign w:val="center"/>
          </w:tcPr>
          <w:p w14:paraId="692F7D17">
            <w:pPr>
              <w:widowControl/>
              <w:jc w:val="left"/>
              <w:rPr>
                <w:rFonts w:hint="eastAsia" w:ascii="宋体" w:hAnsi="宋体" w:cs="宋体"/>
                <w:kern w:val="0"/>
                <w:sz w:val="24"/>
              </w:rPr>
            </w:pPr>
            <w:r>
              <w:rPr>
                <w:rFonts w:hint="eastAsia" w:ascii="宋体" w:hAnsi="宋体" w:cs="宋体"/>
                <w:kern w:val="0"/>
                <w:sz w:val="24"/>
              </w:rPr>
              <w:t>X≥1000</w:t>
            </w:r>
          </w:p>
        </w:tc>
        <w:tc>
          <w:tcPr>
            <w:tcW w:w="1891" w:type="dxa"/>
            <w:noWrap w:val="0"/>
            <w:vAlign w:val="center"/>
          </w:tcPr>
          <w:p w14:paraId="07471341">
            <w:pPr>
              <w:widowControl/>
              <w:jc w:val="left"/>
              <w:rPr>
                <w:rFonts w:hint="eastAsia" w:ascii="宋体" w:hAnsi="宋体" w:cs="宋体"/>
                <w:kern w:val="0"/>
                <w:sz w:val="24"/>
              </w:rPr>
            </w:pPr>
            <w:r>
              <w:rPr>
                <w:rFonts w:hint="eastAsia" w:ascii="宋体" w:hAnsi="宋体" w:cs="宋体"/>
                <w:kern w:val="0"/>
                <w:sz w:val="24"/>
              </w:rPr>
              <w:t>300≤X＜1000</w:t>
            </w:r>
          </w:p>
        </w:tc>
        <w:tc>
          <w:tcPr>
            <w:tcW w:w="1730" w:type="dxa"/>
            <w:noWrap w:val="0"/>
            <w:vAlign w:val="center"/>
          </w:tcPr>
          <w:p w14:paraId="0B6444F9">
            <w:pPr>
              <w:widowControl/>
              <w:jc w:val="left"/>
              <w:rPr>
                <w:rFonts w:hint="eastAsia" w:ascii="宋体" w:hAnsi="宋体" w:cs="宋体"/>
                <w:kern w:val="0"/>
                <w:sz w:val="24"/>
              </w:rPr>
            </w:pPr>
            <w:r>
              <w:rPr>
                <w:rFonts w:hint="eastAsia" w:ascii="宋体" w:hAnsi="宋体" w:cs="宋体"/>
                <w:kern w:val="0"/>
                <w:sz w:val="24"/>
              </w:rPr>
              <w:t>20≤X＜300</w:t>
            </w:r>
          </w:p>
        </w:tc>
        <w:tc>
          <w:tcPr>
            <w:tcW w:w="1203" w:type="dxa"/>
            <w:noWrap w:val="0"/>
            <w:vAlign w:val="center"/>
          </w:tcPr>
          <w:p w14:paraId="6AC92B23">
            <w:pPr>
              <w:widowControl/>
              <w:jc w:val="left"/>
              <w:rPr>
                <w:rFonts w:hint="eastAsia" w:ascii="宋体" w:hAnsi="宋体" w:cs="宋体"/>
                <w:kern w:val="0"/>
                <w:sz w:val="24"/>
              </w:rPr>
            </w:pPr>
            <w:r>
              <w:rPr>
                <w:rFonts w:hint="eastAsia" w:ascii="宋体" w:hAnsi="宋体" w:cs="宋体"/>
                <w:kern w:val="0"/>
                <w:sz w:val="24"/>
              </w:rPr>
              <w:t>X＜20</w:t>
            </w:r>
          </w:p>
        </w:tc>
      </w:tr>
      <w:tr w14:paraId="15CB9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6FAF498">
            <w:pPr>
              <w:widowControl/>
              <w:jc w:val="left"/>
              <w:rPr>
                <w:rFonts w:hint="eastAsia" w:ascii="宋体" w:hAnsi="宋体" w:cs="宋体"/>
                <w:kern w:val="0"/>
                <w:sz w:val="24"/>
              </w:rPr>
            </w:pPr>
          </w:p>
        </w:tc>
        <w:tc>
          <w:tcPr>
            <w:tcW w:w="1560" w:type="dxa"/>
            <w:noWrap w:val="0"/>
            <w:vAlign w:val="center"/>
          </w:tcPr>
          <w:p w14:paraId="78958BC7">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37481D2E">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3DA1B4B2">
            <w:pPr>
              <w:widowControl/>
              <w:jc w:val="left"/>
              <w:rPr>
                <w:rFonts w:hint="eastAsia" w:ascii="宋体" w:hAnsi="宋体" w:cs="宋体"/>
                <w:kern w:val="0"/>
                <w:sz w:val="24"/>
              </w:rPr>
            </w:pPr>
            <w:r>
              <w:rPr>
                <w:rFonts w:hint="eastAsia" w:ascii="宋体" w:hAnsi="宋体" w:cs="宋体"/>
                <w:kern w:val="0"/>
                <w:sz w:val="24"/>
              </w:rPr>
              <w:t>Y≥30000</w:t>
            </w:r>
          </w:p>
        </w:tc>
        <w:tc>
          <w:tcPr>
            <w:tcW w:w="1891" w:type="dxa"/>
            <w:noWrap w:val="0"/>
            <w:vAlign w:val="center"/>
          </w:tcPr>
          <w:p w14:paraId="37F9E917">
            <w:pPr>
              <w:widowControl/>
              <w:jc w:val="left"/>
              <w:rPr>
                <w:rFonts w:hint="eastAsia" w:ascii="宋体" w:hAnsi="宋体" w:cs="宋体"/>
                <w:kern w:val="0"/>
                <w:sz w:val="24"/>
              </w:rPr>
            </w:pPr>
            <w:r>
              <w:rPr>
                <w:rFonts w:hint="eastAsia" w:ascii="宋体" w:hAnsi="宋体" w:cs="宋体"/>
                <w:kern w:val="0"/>
                <w:sz w:val="24"/>
              </w:rPr>
              <w:t>3000≤Y＜30000</w:t>
            </w:r>
          </w:p>
        </w:tc>
        <w:tc>
          <w:tcPr>
            <w:tcW w:w="1730" w:type="dxa"/>
            <w:noWrap w:val="0"/>
            <w:vAlign w:val="center"/>
          </w:tcPr>
          <w:p w14:paraId="58F99FF0">
            <w:pPr>
              <w:widowControl/>
              <w:jc w:val="left"/>
              <w:rPr>
                <w:rFonts w:hint="eastAsia" w:ascii="宋体" w:hAnsi="宋体" w:cs="宋体"/>
                <w:kern w:val="0"/>
                <w:sz w:val="24"/>
              </w:rPr>
            </w:pPr>
            <w:r>
              <w:rPr>
                <w:rFonts w:hint="eastAsia" w:ascii="宋体" w:hAnsi="宋体" w:cs="宋体"/>
                <w:kern w:val="0"/>
                <w:sz w:val="24"/>
              </w:rPr>
              <w:t>200≤Y＜3000</w:t>
            </w:r>
          </w:p>
        </w:tc>
        <w:tc>
          <w:tcPr>
            <w:tcW w:w="1203" w:type="dxa"/>
            <w:noWrap w:val="0"/>
            <w:vAlign w:val="center"/>
          </w:tcPr>
          <w:p w14:paraId="104F3877">
            <w:pPr>
              <w:widowControl/>
              <w:jc w:val="left"/>
              <w:rPr>
                <w:rFonts w:hint="eastAsia" w:ascii="宋体" w:hAnsi="宋体" w:cs="宋体"/>
                <w:kern w:val="0"/>
                <w:sz w:val="24"/>
              </w:rPr>
            </w:pPr>
            <w:r>
              <w:rPr>
                <w:rFonts w:hint="eastAsia" w:ascii="宋体" w:hAnsi="宋体" w:cs="宋体"/>
                <w:kern w:val="0"/>
                <w:sz w:val="24"/>
              </w:rPr>
              <w:t>Y＜200</w:t>
            </w:r>
          </w:p>
        </w:tc>
      </w:tr>
      <w:tr w14:paraId="14AF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00F54DF">
            <w:pPr>
              <w:widowControl/>
              <w:jc w:val="left"/>
              <w:rPr>
                <w:rFonts w:hint="eastAsia" w:ascii="宋体" w:hAnsi="宋体" w:cs="宋体"/>
                <w:kern w:val="0"/>
                <w:sz w:val="24"/>
              </w:rPr>
            </w:pPr>
            <w:r>
              <w:rPr>
                <w:rFonts w:hint="eastAsia" w:ascii="宋体" w:hAnsi="宋体" w:cs="宋体"/>
                <w:kern w:val="0"/>
                <w:sz w:val="24"/>
              </w:rPr>
              <w:t>仓储业*</w:t>
            </w:r>
          </w:p>
        </w:tc>
        <w:tc>
          <w:tcPr>
            <w:tcW w:w="1560" w:type="dxa"/>
            <w:noWrap w:val="0"/>
            <w:vAlign w:val="center"/>
          </w:tcPr>
          <w:p w14:paraId="782A4346">
            <w:pPr>
              <w:widowControl/>
              <w:jc w:val="left"/>
              <w:rPr>
                <w:rFonts w:hint="eastAsia" w:ascii="宋体" w:hAnsi="宋体" w:cs="宋体"/>
                <w:kern w:val="0"/>
                <w:sz w:val="24"/>
              </w:rPr>
            </w:pPr>
            <w:r>
              <w:rPr>
                <w:rFonts w:hint="eastAsia" w:ascii="宋体" w:hAnsi="宋体" w:cs="宋体"/>
                <w:kern w:val="0"/>
                <w:sz w:val="24"/>
              </w:rPr>
              <w:t>从业人员(X)</w:t>
            </w:r>
          </w:p>
        </w:tc>
        <w:tc>
          <w:tcPr>
            <w:tcW w:w="671" w:type="dxa"/>
            <w:noWrap w:val="0"/>
            <w:vAlign w:val="center"/>
          </w:tcPr>
          <w:p w14:paraId="3548A03C">
            <w:pPr>
              <w:widowControl/>
              <w:jc w:val="left"/>
              <w:rPr>
                <w:rFonts w:hint="eastAsia" w:ascii="宋体" w:hAnsi="宋体" w:cs="宋体"/>
                <w:kern w:val="0"/>
                <w:sz w:val="24"/>
              </w:rPr>
            </w:pPr>
            <w:r>
              <w:rPr>
                <w:rFonts w:hint="eastAsia" w:ascii="宋体" w:hAnsi="宋体" w:cs="宋体"/>
                <w:kern w:val="0"/>
                <w:sz w:val="24"/>
              </w:rPr>
              <w:t>人</w:t>
            </w:r>
          </w:p>
        </w:tc>
        <w:tc>
          <w:tcPr>
            <w:tcW w:w="1231" w:type="dxa"/>
            <w:noWrap w:val="0"/>
            <w:vAlign w:val="center"/>
          </w:tcPr>
          <w:p w14:paraId="647AA0EF">
            <w:pPr>
              <w:widowControl/>
              <w:jc w:val="left"/>
              <w:rPr>
                <w:rFonts w:hint="eastAsia" w:ascii="宋体" w:hAnsi="宋体" w:cs="宋体"/>
                <w:kern w:val="0"/>
                <w:sz w:val="24"/>
              </w:rPr>
            </w:pPr>
            <w:r>
              <w:rPr>
                <w:rFonts w:hint="eastAsia" w:ascii="宋体" w:hAnsi="宋体" w:cs="宋体"/>
                <w:kern w:val="0"/>
                <w:sz w:val="24"/>
              </w:rPr>
              <w:t>X≥200</w:t>
            </w:r>
          </w:p>
        </w:tc>
        <w:tc>
          <w:tcPr>
            <w:tcW w:w="1891" w:type="dxa"/>
            <w:noWrap w:val="0"/>
            <w:vAlign w:val="center"/>
          </w:tcPr>
          <w:p w14:paraId="7013ECFD">
            <w:pPr>
              <w:widowControl/>
              <w:jc w:val="left"/>
              <w:rPr>
                <w:rFonts w:hint="eastAsia" w:ascii="宋体" w:hAnsi="宋体" w:cs="宋体"/>
                <w:kern w:val="0"/>
                <w:sz w:val="24"/>
              </w:rPr>
            </w:pPr>
            <w:r>
              <w:rPr>
                <w:rFonts w:hint="eastAsia" w:ascii="宋体" w:hAnsi="宋体" w:cs="宋体"/>
                <w:kern w:val="0"/>
                <w:sz w:val="24"/>
              </w:rPr>
              <w:t>100≤X＜200</w:t>
            </w:r>
          </w:p>
        </w:tc>
        <w:tc>
          <w:tcPr>
            <w:tcW w:w="1730" w:type="dxa"/>
            <w:noWrap w:val="0"/>
            <w:vAlign w:val="center"/>
          </w:tcPr>
          <w:p w14:paraId="43A4A115">
            <w:pPr>
              <w:widowControl/>
              <w:jc w:val="left"/>
              <w:rPr>
                <w:rFonts w:hint="eastAsia" w:ascii="宋体" w:hAnsi="宋体" w:cs="宋体"/>
                <w:kern w:val="0"/>
                <w:sz w:val="24"/>
              </w:rPr>
            </w:pPr>
            <w:r>
              <w:rPr>
                <w:rFonts w:hint="eastAsia" w:ascii="宋体" w:hAnsi="宋体" w:cs="宋体"/>
                <w:kern w:val="0"/>
                <w:sz w:val="24"/>
              </w:rPr>
              <w:t>20≤X＜100</w:t>
            </w:r>
          </w:p>
        </w:tc>
        <w:tc>
          <w:tcPr>
            <w:tcW w:w="1203" w:type="dxa"/>
            <w:noWrap w:val="0"/>
            <w:vAlign w:val="center"/>
          </w:tcPr>
          <w:p w14:paraId="2AF6DAAE">
            <w:pPr>
              <w:widowControl/>
              <w:jc w:val="left"/>
              <w:rPr>
                <w:rFonts w:hint="eastAsia" w:ascii="宋体" w:hAnsi="宋体" w:cs="宋体"/>
                <w:kern w:val="0"/>
                <w:sz w:val="24"/>
              </w:rPr>
            </w:pPr>
            <w:r>
              <w:rPr>
                <w:rFonts w:hint="eastAsia" w:ascii="宋体" w:hAnsi="宋体" w:cs="宋体"/>
                <w:kern w:val="0"/>
                <w:sz w:val="24"/>
              </w:rPr>
              <w:t>X＜20</w:t>
            </w:r>
          </w:p>
        </w:tc>
      </w:tr>
      <w:tr w14:paraId="5114B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5F5AC7A">
            <w:pPr>
              <w:widowControl/>
              <w:jc w:val="left"/>
              <w:rPr>
                <w:rFonts w:hint="eastAsia" w:ascii="宋体" w:hAnsi="宋体" w:cs="宋体"/>
                <w:kern w:val="0"/>
                <w:sz w:val="24"/>
              </w:rPr>
            </w:pPr>
          </w:p>
        </w:tc>
        <w:tc>
          <w:tcPr>
            <w:tcW w:w="1560" w:type="dxa"/>
            <w:noWrap w:val="0"/>
            <w:vAlign w:val="center"/>
          </w:tcPr>
          <w:p w14:paraId="27E43EF4">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1F2E7B3A">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19C05F05">
            <w:pPr>
              <w:widowControl/>
              <w:jc w:val="left"/>
              <w:rPr>
                <w:rFonts w:hint="eastAsia" w:ascii="宋体" w:hAnsi="宋体" w:cs="宋体"/>
                <w:kern w:val="0"/>
                <w:sz w:val="24"/>
              </w:rPr>
            </w:pPr>
            <w:r>
              <w:rPr>
                <w:rFonts w:hint="eastAsia" w:ascii="宋体" w:hAnsi="宋体" w:cs="宋体"/>
                <w:kern w:val="0"/>
                <w:sz w:val="24"/>
              </w:rPr>
              <w:t>Y≥30000</w:t>
            </w:r>
          </w:p>
        </w:tc>
        <w:tc>
          <w:tcPr>
            <w:tcW w:w="1891" w:type="dxa"/>
            <w:noWrap w:val="0"/>
            <w:vAlign w:val="center"/>
          </w:tcPr>
          <w:p w14:paraId="70747E10">
            <w:pPr>
              <w:widowControl/>
              <w:jc w:val="left"/>
              <w:rPr>
                <w:rFonts w:hint="eastAsia" w:ascii="宋体" w:hAnsi="宋体" w:cs="宋体"/>
                <w:kern w:val="0"/>
                <w:sz w:val="24"/>
              </w:rPr>
            </w:pPr>
            <w:r>
              <w:rPr>
                <w:rFonts w:hint="eastAsia" w:ascii="宋体" w:hAnsi="宋体" w:cs="宋体"/>
                <w:kern w:val="0"/>
                <w:sz w:val="24"/>
              </w:rPr>
              <w:t>1000≤Y＜30000</w:t>
            </w:r>
          </w:p>
        </w:tc>
        <w:tc>
          <w:tcPr>
            <w:tcW w:w="1730" w:type="dxa"/>
            <w:noWrap w:val="0"/>
            <w:vAlign w:val="center"/>
          </w:tcPr>
          <w:p w14:paraId="46B40EF3">
            <w:pPr>
              <w:widowControl/>
              <w:jc w:val="left"/>
              <w:rPr>
                <w:rFonts w:hint="eastAsia" w:ascii="宋体" w:hAnsi="宋体" w:cs="宋体"/>
                <w:kern w:val="0"/>
                <w:sz w:val="24"/>
              </w:rPr>
            </w:pPr>
            <w:r>
              <w:rPr>
                <w:rFonts w:hint="eastAsia" w:ascii="宋体" w:hAnsi="宋体" w:cs="宋体"/>
                <w:kern w:val="0"/>
                <w:sz w:val="24"/>
              </w:rPr>
              <w:t>100≤Y＜1000</w:t>
            </w:r>
          </w:p>
        </w:tc>
        <w:tc>
          <w:tcPr>
            <w:tcW w:w="1203" w:type="dxa"/>
            <w:noWrap w:val="0"/>
            <w:vAlign w:val="center"/>
          </w:tcPr>
          <w:p w14:paraId="762C05CB">
            <w:pPr>
              <w:widowControl/>
              <w:jc w:val="left"/>
              <w:rPr>
                <w:rFonts w:hint="eastAsia" w:ascii="宋体" w:hAnsi="宋体" w:cs="宋体"/>
                <w:kern w:val="0"/>
                <w:sz w:val="24"/>
              </w:rPr>
            </w:pPr>
            <w:r>
              <w:rPr>
                <w:rFonts w:hint="eastAsia" w:ascii="宋体" w:hAnsi="宋体" w:cs="宋体"/>
                <w:kern w:val="0"/>
                <w:sz w:val="24"/>
              </w:rPr>
              <w:t>Y＜100</w:t>
            </w:r>
          </w:p>
        </w:tc>
      </w:tr>
      <w:tr w14:paraId="6BE83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F2EB37B">
            <w:pPr>
              <w:widowControl/>
              <w:jc w:val="left"/>
              <w:rPr>
                <w:rFonts w:hint="eastAsia" w:ascii="宋体" w:hAnsi="宋体" w:cs="宋体"/>
                <w:kern w:val="0"/>
                <w:sz w:val="24"/>
              </w:rPr>
            </w:pPr>
            <w:r>
              <w:rPr>
                <w:rFonts w:hint="eastAsia" w:ascii="宋体" w:hAnsi="宋体" w:cs="宋体"/>
                <w:kern w:val="0"/>
                <w:sz w:val="24"/>
              </w:rPr>
              <w:t>邮政业</w:t>
            </w:r>
          </w:p>
        </w:tc>
        <w:tc>
          <w:tcPr>
            <w:tcW w:w="1560" w:type="dxa"/>
            <w:noWrap w:val="0"/>
            <w:vAlign w:val="center"/>
          </w:tcPr>
          <w:p w14:paraId="4D6DB68A">
            <w:pPr>
              <w:widowControl/>
              <w:jc w:val="left"/>
              <w:rPr>
                <w:rFonts w:hint="eastAsia" w:ascii="宋体" w:hAnsi="宋体" w:cs="宋体"/>
                <w:kern w:val="0"/>
                <w:sz w:val="24"/>
              </w:rPr>
            </w:pPr>
            <w:r>
              <w:rPr>
                <w:rFonts w:hint="eastAsia" w:ascii="宋体" w:hAnsi="宋体" w:cs="宋体"/>
                <w:kern w:val="0"/>
                <w:sz w:val="24"/>
              </w:rPr>
              <w:t>从业人员(X)</w:t>
            </w:r>
          </w:p>
        </w:tc>
        <w:tc>
          <w:tcPr>
            <w:tcW w:w="671" w:type="dxa"/>
            <w:noWrap w:val="0"/>
            <w:vAlign w:val="center"/>
          </w:tcPr>
          <w:p w14:paraId="646C9472">
            <w:pPr>
              <w:widowControl/>
              <w:jc w:val="left"/>
              <w:rPr>
                <w:rFonts w:hint="eastAsia" w:ascii="宋体" w:hAnsi="宋体" w:cs="宋体"/>
                <w:kern w:val="0"/>
                <w:sz w:val="24"/>
              </w:rPr>
            </w:pPr>
            <w:r>
              <w:rPr>
                <w:rFonts w:hint="eastAsia" w:ascii="宋体" w:hAnsi="宋体" w:cs="宋体"/>
                <w:kern w:val="0"/>
                <w:sz w:val="24"/>
              </w:rPr>
              <w:t>人</w:t>
            </w:r>
          </w:p>
        </w:tc>
        <w:tc>
          <w:tcPr>
            <w:tcW w:w="1231" w:type="dxa"/>
            <w:noWrap w:val="0"/>
            <w:vAlign w:val="center"/>
          </w:tcPr>
          <w:p w14:paraId="649622B8">
            <w:pPr>
              <w:widowControl/>
              <w:jc w:val="left"/>
              <w:rPr>
                <w:rFonts w:hint="eastAsia" w:ascii="宋体" w:hAnsi="宋体" w:cs="宋体"/>
                <w:kern w:val="0"/>
                <w:sz w:val="24"/>
              </w:rPr>
            </w:pPr>
            <w:r>
              <w:rPr>
                <w:rFonts w:hint="eastAsia" w:ascii="宋体" w:hAnsi="宋体" w:cs="宋体"/>
                <w:kern w:val="0"/>
                <w:sz w:val="24"/>
              </w:rPr>
              <w:t>X≥1000</w:t>
            </w:r>
          </w:p>
        </w:tc>
        <w:tc>
          <w:tcPr>
            <w:tcW w:w="1891" w:type="dxa"/>
            <w:noWrap w:val="0"/>
            <w:vAlign w:val="center"/>
          </w:tcPr>
          <w:p w14:paraId="00645F03">
            <w:pPr>
              <w:widowControl/>
              <w:jc w:val="left"/>
              <w:rPr>
                <w:rFonts w:hint="eastAsia" w:ascii="宋体" w:hAnsi="宋体" w:cs="宋体"/>
                <w:kern w:val="0"/>
                <w:sz w:val="24"/>
              </w:rPr>
            </w:pPr>
            <w:r>
              <w:rPr>
                <w:rFonts w:hint="eastAsia" w:ascii="宋体" w:hAnsi="宋体" w:cs="宋体"/>
                <w:kern w:val="0"/>
                <w:sz w:val="24"/>
              </w:rPr>
              <w:t>300≤X＜1000</w:t>
            </w:r>
          </w:p>
        </w:tc>
        <w:tc>
          <w:tcPr>
            <w:tcW w:w="1730" w:type="dxa"/>
            <w:noWrap w:val="0"/>
            <w:vAlign w:val="center"/>
          </w:tcPr>
          <w:p w14:paraId="28BBEE42">
            <w:pPr>
              <w:widowControl/>
              <w:jc w:val="left"/>
              <w:rPr>
                <w:rFonts w:hint="eastAsia" w:ascii="宋体" w:hAnsi="宋体" w:cs="宋体"/>
                <w:kern w:val="0"/>
                <w:sz w:val="24"/>
              </w:rPr>
            </w:pPr>
            <w:r>
              <w:rPr>
                <w:rFonts w:hint="eastAsia" w:ascii="宋体" w:hAnsi="宋体" w:cs="宋体"/>
                <w:kern w:val="0"/>
                <w:sz w:val="24"/>
              </w:rPr>
              <w:t>20≤X＜300</w:t>
            </w:r>
          </w:p>
        </w:tc>
        <w:tc>
          <w:tcPr>
            <w:tcW w:w="1203" w:type="dxa"/>
            <w:noWrap w:val="0"/>
            <w:vAlign w:val="center"/>
          </w:tcPr>
          <w:p w14:paraId="590C1C57">
            <w:pPr>
              <w:widowControl/>
              <w:jc w:val="left"/>
              <w:rPr>
                <w:rFonts w:hint="eastAsia" w:ascii="宋体" w:hAnsi="宋体" w:cs="宋体"/>
                <w:kern w:val="0"/>
                <w:sz w:val="24"/>
              </w:rPr>
            </w:pPr>
            <w:r>
              <w:rPr>
                <w:rFonts w:hint="eastAsia" w:ascii="宋体" w:hAnsi="宋体" w:cs="宋体"/>
                <w:kern w:val="0"/>
                <w:sz w:val="24"/>
              </w:rPr>
              <w:t>X＜20</w:t>
            </w:r>
          </w:p>
        </w:tc>
      </w:tr>
      <w:tr w14:paraId="6D4C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E2F82C8">
            <w:pPr>
              <w:widowControl/>
              <w:jc w:val="left"/>
              <w:rPr>
                <w:rFonts w:hint="eastAsia" w:ascii="宋体" w:hAnsi="宋体" w:cs="宋体"/>
                <w:kern w:val="0"/>
                <w:sz w:val="24"/>
              </w:rPr>
            </w:pPr>
          </w:p>
        </w:tc>
        <w:tc>
          <w:tcPr>
            <w:tcW w:w="1560" w:type="dxa"/>
            <w:noWrap w:val="0"/>
            <w:vAlign w:val="center"/>
          </w:tcPr>
          <w:p w14:paraId="1C4A3AEE">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01F34373">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581C2B16">
            <w:pPr>
              <w:widowControl/>
              <w:jc w:val="left"/>
              <w:rPr>
                <w:rFonts w:hint="eastAsia" w:ascii="宋体" w:hAnsi="宋体" w:cs="宋体"/>
                <w:kern w:val="0"/>
                <w:sz w:val="24"/>
              </w:rPr>
            </w:pPr>
            <w:r>
              <w:rPr>
                <w:rFonts w:hint="eastAsia" w:ascii="宋体" w:hAnsi="宋体" w:cs="宋体"/>
                <w:kern w:val="0"/>
                <w:sz w:val="24"/>
              </w:rPr>
              <w:t>Y≥30000</w:t>
            </w:r>
          </w:p>
        </w:tc>
        <w:tc>
          <w:tcPr>
            <w:tcW w:w="1891" w:type="dxa"/>
            <w:noWrap w:val="0"/>
            <w:vAlign w:val="center"/>
          </w:tcPr>
          <w:p w14:paraId="4181DB04">
            <w:pPr>
              <w:widowControl/>
              <w:jc w:val="left"/>
              <w:rPr>
                <w:rFonts w:hint="eastAsia" w:ascii="宋体" w:hAnsi="宋体" w:cs="宋体"/>
                <w:kern w:val="0"/>
                <w:sz w:val="24"/>
              </w:rPr>
            </w:pPr>
            <w:r>
              <w:rPr>
                <w:rFonts w:hint="eastAsia" w:ascii="宋体" w:hAnsi="宋体" w:cs="宋体"/>
                <w:kern w:val="0"/>
                <w:sz w:val="24"/>
              </w:rPr>
              <w:t>2000≤Y＜30000</w:t>
            </w:r>
          </w:p>
        </w:tc>
        <w:tc>
          <w:tcPr>
            <w:tcW w:w="1730" w:type="dxa"/>
            <w:noWrap w:val="0"/>
            <w:vAlign w:val="center"/>
          </w:tcPr>
          <w:p w14:paraId="49A5E912">
            <w:pPr>
              <w:widowControl/>
              <w:jc w:val="left"/>
              <w:rPr>
                <w:rFonts w:hint="eastAsia" w:ascii="宋体" w:hAnsi="宋体" w:cs="宋体"/>
                <w:kern w:val="0"/>
                <w:sz w:val="24"/>
              </w:rPr>
            </w:pPr>
            <w:r>
              <w:rPr>
                <w:rFonts w:hint="eastAsia" w:ascii="宋体" w:hAnsi="宋体" w:cs="宋体"/>
                <w:kern w:val="0"/>
                <w:sz w:val="24"/>
              </w:rPr>
              <w:t>100≤Y＜2000</w:t>
            </w:r>
          </w:p>
        </w:tc>
        <w:tc>
          <w:tcPr>
            <w:tcW w:w="1203" w:type="dxa"/>
            <w:noWrap w:val="0"/>
            <w:vAlign w:val="center"/>
          </w:tcPr>
          <w:p w14:paraId="6ACE3382">
            <w:pPr>
              <w:widowControl/>
              <w:jc w:val="left"/>
              <w:rPr>
                <w:rFonts w:hint="eastAsia" w:ascii="宋体" w:hAnsi="宋体" w:cs="宋体"/>
                <w:kern w:val="0"/>
                <w:sz w:val="24"/>
              </w:rPr>
            </w:pPr>
            <w:r>
              <w:rPr>
                <w:rFonts w:hint="eastAsia" w:ascii="宋体" w:hAnsi="宋体" w:cs="宋体"/>
                <w:kern w:val="0"/>
                <w:sz w:val="24"/>
              </w:rPr>
              <w:t>Y＜100</w:t>
            </w:r>
          </w:p>
        </w:tc>
      </w:tr>
      <w:tr w14:paraId="0001F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9B02509">
            <w:pPr>
              <w:widowControl/>
              <w:jc w:val="left"/>
              <w:rPr>
                <w:rFonts w:hint="eastAsia" w:ascii="宋体" w:hAnsi="宋体" w:cs="宋体"/>
                <w:kern w:val="0"/>
                <w:sz w:val="24"/>
              </w:rPr>
            </w:pPr>
            <w:r>
              <w:rPr>
                <w:rFonts w:hint="eastAsia" w:ascii="宋体" w:hAnsi="宋体" w:cs="宋体"/>
                <w:kern w:val="0"/>
                <w:sz w:val="24"/>
              </w:rPr>
              <w:t>住宿业</w:t>
            </w:r>
          </w:p>
        </w:tc>
        <w:tc>
          <w:tcPr>
            <w:tcW w:w="1560" w:type="dxa"/>
            <w:noWrap w:val="0"/>
            <w:vAlign w:val="center"/>
          </w:tcPr>
          <w:p w14:paraId="33DB78C6">
            <w:pPr>
              <w:widowControl/>
              <w:jc w:val="left"/>
              <w:rPr>
                <w:rFonts w:hint="eastAsia" w:ascii="宋体" w:hAnsi="宋体" w:cs="宋体"/>
                <w:kern w:val="0"/>
                <w:sz w:val="24"/>
              </w:rPr>
            </w:pPr>
            <w:r>
              <w:rPr>
                <w:rFonts w:hint="eastAsia" w:ascii="宋体" w:hAnsi="宋体" w:cs="宋体"/>
                <w:kern w:val="0"/>
                <w:sz w:val="24"/>
              </w:rPr>
              <w:t>从业人员(X)</w:t>
            </w:r>
          </w:p>
        </w:tc>
        <w:tc>
          <w:tcPr>
            <w:tcW w:w="671" w:type="dxa"/>
            <w:noWrap w:val="0"/>
            <w:vAlign w:val="center"/>
          </w:tcPr>
          <w:p w14:paraId="489E6C44">
            <w:pPr>
              <w:widowControl/>
              <w:jc w:val="left"/>
              <w:rPr>
                <w:rFonts w:hint="eastAsia" w:ascii="宋体" w:hAnsi="宋体" w:cs="宋体"/>
                <w:kern w:val="0"/>
                <w:sz w:val="24"/>
              </w:rPr>
            </w:pPr>
            <w:r>
              <w:rPr>
                <w:rFonts w:hint="eastAsia" w:ascii="宋体" w:hAnsi="宋体" w:cs="宋体"/>
                <w:kern w:val="0"/>
                <w:sz w:val="24"/>
              </w:rPr>
              <w:t>人</w:t>
            </w:r>
          </w:p>
        </w:tc>
        <w:tc>
          <w:tcPr>
            <w:tcW w:w="1231" w:type="dxa"/>
            <w:noWrap w:val="0"/>
            <w:vAlign w:val="center"/>
          </w:tcPr>
          <w:p w14:paraId="674B8B4C">
            <w:pPr>
              <w:widowControl/>
              <w:jc w:val="left"/>
              <w:rPr>
                <w:rFonts w:hint="eastAsia" w:ascii="宋体" w:hAnsi="宋体" w:cs="宋体"/>
                <w:kern w:val="0"/>
                <w:sz w:val="24"/>
              </w:rPr>
            </w:pPr>
            <w:r>
              <w:rPr>
                <w:rFonts w:hint="eastAsia" w:ascii="宋体" w:hAnsi="宋体" w:cs="宋体"/>
                <w:kern w:val="0"/>
                <w:sz w:val="24"/>
              </w:rPr>
              <w:t>X≥300</w:t>
            </w:r>
          </w:p>
        </w:tc>
        <w:tc>
          <w:tcPr>
            <w:tcW w:w="1891" w:type="dxa"/>
            <w:noWrap w:val="0"/>
            <w:vAlign w:val="center"/>
          </w:tcPr>
          <w:p w14:paraId="460A75DB">
            <w:pPr>
              <w:widowControl/>
              <w:jc w:val="left"/>
              <w:rPr>
                <w:rFonts w:hint="eastAsia" w:ascii="宋体" w:hAnsi="宋体" w:cs="宋体"/>
                <w:kern w:val="0"/>
                <w:sz w:val="24"/>
              </w:rPr>
            </w:pPr>
            <w:r>
              <w:rPr>
                <w:rFonts w:hint="eastAsia" w:ascii="宋体" w:hAnsi="宋体" w:cs="宋体"/>
                <w:kern w:val="0"/>
                <w:sz w:val="24"/>
              </w:rPr>
              <w:t>100≤X＜300</w:t>
            </w:r>
          </w:p>
        </w:tc>
        <w:tc>
          <w:tcPr>
            <w:tcW w:w="1730" w:type="dxa"/>
            <w:noWrap w:val="0"/>
            <w:vAlign w:val="center"/>
          </w:tcPr>
          <w:p w14:paraId="63B2CA37">
            <w:pPr>
              <w:widowControl/>
              <w:jc w:val="left"/>
              <w:rPr>
                <w:rFonts w:hint="eastAsia" w:ascii="宋体" w:hAnsi="宋体" w:cs="宋体"/>
                <w:kern w:val="0"/>
                <w:sz w:val="24"/>
              </w:rPr>
            </w:pPr>
            <w:r>
              <w:rPr>
                <w:rFonts w:hint="eastAsia" w:ascii="宋体" w:hAnsi="宋体" w:cs="宋体"/>
                <w:kern w:val="0"/>
                <w:sz w:val="24"/>
              </w:rPr>
              <w:t>10≤X＜100</w:t>
            </w:r>
          </w:p>
        </w:tc>
        <w:tc>
          <w:tcPr>
            <w:tcW w:w="1203" w:type="dxa"/>
            <w:noWrap w:val="0"/>
            <w:vAlign w:val="center"/>
          </w:tcPr>
          <w:p w14:paraId="751CDE26">
            <w:pPr>
              <w:widowControl/>
              <w:jc w:val="left"/>
              <w:rPr>
                <w:rFonts w:hint="eastAsia" w:ascii="宋体" w:hAnsi="宋体" w:cs="宋体"/>
                <w:kern w:val="0"/>
                <w:sz w:val="24"/>
              </w:rPr>
            </w:pPr>
            <w:r>
              <w:rPr>
                <w:rFonts w:hint="eastAsia" w:ascii="宋体" w:hAnsi="宋体" w:cs="宋体"/>
                <w:kern w:val="0"/>
                <w:sz w:val="24"/>
              </w:rPr>
              <w:t>X＜10</w:t>
            </w:r>
          </w:p>
        </w:tc>
      </w:tr>
      <w:tr w14:paraId="1F6D2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29435F9">
            <w:pPr>
              <w:widowControl/>
              <w:jc w:val="left"/>
              <w:rPr>
                <w:rFonts w:hint="eastAsia" w:ascii="宋体" w:hAnsi="宋体" w:cs="宋体"/>
                <w:kern w:val="0"/>
                <w:sz w:val="24"/>
              </w:rPr>
            </w:pPr>
          </w:p>
        </w:tc>
        <w:tc>
          <w:tcPr>
            <w:tcW w:w="1560" w:type="dxa"/>
            <w:noWrap w:val="0"/>
            <w:vAlign w:val="center"/>
          </w:tcPr>
          <w:p w14:paraId="26C011A1">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5FC86C1C">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4A1842A7">
            <w:pPr>
              <w:widowControl/>
              <w:jc w:val="left"/>
              <w:rPr>
                <w:rFonts w:hint="eastAsia" w:ascii="宋体" w:hAnsi="宋体" w:cs="宋体"/>
                <w:kern w:val="0"/>
                <w:sz w:val="24"/>
              </w:rPr>
            </w:pPr>
            <w:r>
              <w:rPr>
                <w:rFonts w:hint="eastAsia" w:ascii="宋体" w:hAnsi="宋体" w:cs="宋体"/>
                <w:kern w:val="0"/>
                <w:sz w:val="24"/>
              </w:rPr>
              <w:t>Y≥10000</w:t>
            </w:r>
          </w:p>
        </w:tc>
        <w:tc>
          <w:tcPr>
            <w:tcW w:w="1891" w:type="dxa"/>
            <w:noWrap w:val="0"/>
            <w:vAlign w:val="center"/>
          </w:tcPr>
          <w:p w14:paraId="22274ABB">
            <w:pPr>
              <w:widowControl/>
              <w:jc w:val="left"/>
              <w:rPr>
                <w:rFonts w:hint="eastAsia" w:ascii="宋体" w:hAnsi="宋体" w:cs="宋体"/>
                <w:kern w:val="0"/>
                <w:sz w:val="24"/>
              </w:rPr>
            </w:pPr>
            <w:r>
              <w:rPr>
                <w:rFonts w:hint="eastAsia" w:ascii="宋体" w:hAnsi="宋体" w:cs="宋体"/>
                <w:kern w:val="0"/>
                <w:sz w:val="24"/>
              </w:rPr>
              <w:t>2000≤Y＜10000</w:t>
            </w:r>
          </w:p>
        </w:tc>
        <w:tc>
          <w:tcPr>
            <w:tcW w:w="1730" w:type="dxa"/>
            <w:noWrap w:val="0"/>
            <w:vAlign w:val="center"/>
          </w:tcPr>
          <w:p w14:paraId="69AB3B00">
            <w:pPr>
              <w:widowControl/>
              <w:jc w:val="left"/>
              <w:rPr>
                <w:rFonts w:hint="eastAsia" w:ascii="宋体" w:hAnsi="宋体" w:cs="宋体"/>
                <w:kern w:val="0"/>
                <w:sz w:val="24"/>
              </w:rPr>
            </w:pPr>
            <w:r>
              <w:rPr>
                <w:rFonts w:hint="eastAsia" w:ascii="宋体" w:hAnsi="宋体" w:cs="宋体"/>
                <w:kern w:val="0"/>
                <w:sz w:val="24"/>
              </w:rPr>
              <w:t>100≤Y＜2000</w:t>
            </w:r>
          </w:p>
        </w:tc>
        <w:tc>
          <w:tcPr>
            <w:tcW w:w="1203" w:type="dxa"/>
            <w:noWrap w:val="0"/>
            <w:vAlign w:val="center"/>
          </w:tcPr>
          <w:p w14:paraId="0B6DD4E3">
            <w:pPr>
              <w:widowControl/>
              <w:jc w:val="left"/>
              <w:rPr>
                <w:rFonts w:hint="eastAsia" w:ascii="宋体" w:hAnsi="宋体" w:cs="宋体"/>
                <w:kern w:val="0"/>
                <w:sz w:val="24"/>
              </w:rPr>
            </w:pPr>
            <w:r>
              <w:rPr>
                <w:rFonts w:hint="eastAsia" w:ascii="宋体" w:hAnsi="宋体" w:cs="宋体"/>
                <w:kern w:val="0"/>
                <w:sz w:val="24"/>
              </w:rPr>
              <w:t>Y＜100</w:t>
            </w:r>
          </w:p>
        </w:tc>
      </w:tr>
      <w:tr w14:paraId="55611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7C251D5">
            <w:pPr>
              <w:widowControl/>
              <w:jc w:val="left"/>
              <w:rPr>
                <w:rFonts w:hint="eastAsia" w:ascii="宋体" w:hAnsi="宋体" w:cs="宋体"/>
                <w:kern w:val="0"/>
                <w:sz w:val="24"/>
              </w:rPr>
            </w:pPr>
            <w:r>
              <w:rPr>
                <w:rFonts w:hint="eastAsia" w:ascii="宋体" w:hAnsi="宋体" w:cs="宋体"/>
                <w:kern w:val="0"/>
                <w:sz w:val="24"/>
              </w:rPr>
              <w:t>餐饮业</w:t>
            </w:r>
          </w:p>
        </w:tc>
        <w:tc>
          <w:tcPr>
            <w:tcW w:w="1560" w:type="dxa"/>
            <w:noWrap w:val="0"/>
            <w:vAlign w:val="center"/>
          </w:tcPr>
          <w:p w14:paraId="0898BD1B">
            <w:pPr>
              <w:widowControl/>
              <w:jc w:val="left"/>
              <w:rPr>
                <w:rFonts w:hint="eastAsia" w:ascii="宋体" w:hAnsi="宋体" w:cs="宋体"/>
                <w:kern w:val="0"/>
                <w:sz w:val="24"/>
              </w:rPr>
            </w:pPr>
            <w:r>
              <w:rPr>
                <w:rFonts w:hint="eastAsia" w:ascii="宋体" w:hAnsi="宋体" w:cs="宋体"/>
                <w:kern w:val="0"/>
                <w:sz w:val="24"/>
              </w:rPr>
              <w:t>从业人员(X)</w:t>
            </w:r>
          </w:p>
        </w:tc>
        <w:tc>
          <w:tcPr>
            <w:tcW w:w="671" w:type="dxa"/>
            <w:noWrap w:val="0"/>
            <w:vAlign w:val="center"/>
          </w:tcPr>
          <w:p w14:paraId="2BE04127">
            <w:pPr>
              <w:widowControl/>
              <w:jc w:val="left"/>
              <w:rPr>
                <w:rFonts w:hint="eastAsia" w:ascii="宋体" w:hAnsi="宋体" w:cs="宋体"/>
                <w:kern w:val="0"/>
                <w:sz w:val="24"/>
              </w:rPr>
            </w:pPr>
            <w:r>
              <w:rPr>
                <w:rFonts w:hint="eastAsia" w:ascii="宋体" w:hAnsi="宋体" w:cs="宋体"/>
                <w:kern w:val="0"/>
                <w:sz w:val="24"/>
              </w:rPr>
              <w:t>人</w:t>
            </w:r>
          </w:p>
        </w:tc>
        <w:tc>
          <w:tcPr>
            <w:tcW w:w="1231" w:type="dxa"/>
            <w:noWrap w:val="0"/>
            <w:vAlign w:val="center"/>
          </w:tcPr>
          <w:p w14:paraId="4B1BF512">
            <w:pPr>
              <w:widowControl/>
              <w:jc w:val="left"/>
              <w:rPr>
                <w:rFonts w:hint="eastAsia" w:ascii="宋体" w:hAnsi="宋体" w:cs="宋体"/>
                <w:kern w:val="0"/>
                <w:sz w:val="24"/>
              </w:rPr>
            </w:pPr>
            <w:r>
              <w:rPr>
                <w:rFonts w:hint="eastAsia" w:ascii="宋体" w:hAnsi="宋体" w:cs="宋体"/>
                <w:kern w:val="0"/>
                <w:sz w:val="24"/>
              </w:rPr>
              <w:t>X≥300</w:t>
            </w:r>
          </w:p>
        </w:tc>
        <w:tc>
          <w:tcPr>
            <w:tcW w:w="1891" w:type="dxa"/>
            <w:noWrap w:val="0"/>
            <w:vAlign w:val="center"/>
          </w:tcPr>
          <w:p w14:paraId="2C29761C">
            <w:pPr>
              <w:widowControl/>
              <w:jc w:val="left"/>
              <w:rPr>
                <w:rFonts w:hint="eastAsia" w:ascii="宋体" w:hAnsi="宋体" w:cs="宋体"/>
                <w:kern w:val="0"/>
                <w:sz w:val="24"/>
              </w:rPr>
            </w:pPr>
            <w:r>
              <w:rPr>
                <w:rFonts w:hint="eastAsia" w:ascii="宋体" w:hAnsi="宋体" w:cs="宋体"/>
                <w:kern w:val="0"/>
                <w:sz w:val="24"/>
              </w:rPr>
              <w:t>100≤X＜300</w:t>
            </w:r>
          </w:p>
        </w:tc>
        <w:tc>
          <w:tcPr>
            <w:tcW w:w="1730" w:type="dxa"/>
            <w:noWrap w:val="0"/>
            <w:vAlign w:val="center"/>
          </w:tcPr>
          <w:p w14:paraId="475886FA">
            <w:pPr>
              <w:widowControl/>
              <w:jc w:val="left"/>
              <w:rPr>
                <w:rFonts w:hint="eastAsia" w:ascii="宋体" w:hAnsi="宋体" w:cs="宋体"/>
                <w:kern w:val="0"/>
                <w:sz w:val="24"/>
              </w:rPr>
            </w:pPr>
            <w:r>
              <w:rPr>
                <w:rFonts w:hint="eastAsia" w:ascii="宋体" w:hAnsi="宋体" w:cs="宋体"/>
                <w:kern w:val="0"/>
                <w:sz w:val="24"/>
              </w:rPr>
              <w:t>10≤X＜100</w:t>
            </w:r>
          </w:p>
        </w:tc>
        <w:tc>
          <w:tcPr>
            <w:tcW w:w="1203" w:type="dxa"/>
            <w:noWrap w:val="0"/>
            <w:vAlign w:val="center"/>
          </w:tcPr>
          <w:p w14:paraId="0360C62D">
            <w:pPr>
              <w:widowControl/>
              <w:jc w:val="left"/>
              <w:rPr>
                <w:rFonts w:hint="eastAsia" w:ascii="宋体" w:hAnsi="宋体" w:cs="宋体"/>
                <w:kern w:val="0"/>
                <w:sz w:val="24"/>
              </w:rPr>
            </w:pPr>
            <w:r>
              <w:rPr>
                <w:rFonts w:hint="eastAsia" w:ascii="宋体" w:hAnsi="宋体" w:cs="宋体"/>
                <w:kern w:val="0"/>
                <w:sz w:val="24"/>
              </w:rPr>
              <w:t>X＜10</w:t>
            </w:r>
          </w:p>
        </w:tc>
      </w:tr>
      <w:tr w14:paraId="3608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8436278">
            <w:pPr>
              <w:widowControl/>
              <w:jc w:val="left"/>
              <w:rPr>
                <w:rFonts w:hint="eastAsia" w:ascii="宋体" w:hAnsi="宋体" w:cs="宋体"/>
                <w:kern w:val="0"/>
                <w:sz w:val="24"/>
              </w:rPr>
            </w:pPr>
          </w:p>
        </w:tc>
        <w:tc>
          <w:tcPr>
            <w:tcW w:w="1560" w:type="dxa"/>
            <w:noWrap w:val="0"/>
            <w:vAlign w:val="center"/>
          </w:tcPr>
          <w:p w14:paraId="32A1C992">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21D0DA2F">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1A2EBA67">
            <w:pPr>
              <w:widowControl/>
              <w:jc w:val="left"/>
              <w:rPr>
                <w:rFonts w:hint="eastAsia" w:ascii="宋体" w:hAnsi="宋体" w:cs="宋体"/>
                <w:kern w:val="0"/>
                <w:sz w:val="24"/>
              </w:rPr>
            </w:pPr>
            <w:r>
              <w:rPr>
                <w:rFonts w:hint="eastAsia" w:ascii="宋体" w:hAnsi="宋体" w:cs="宋体"/>
                <w:kern w:val="0"/>
                <w:sz w:val="24"/>
              </w:rPr>
              <w:t>Y≥10000</w:t>
            </w:r>
          </w:p>
        </w:tc>
        <w:tc>
          <w:tcPr>
            <w:tcW w:w="1891" w:type="dxa"/>
            <w:noWrap w:val="0"/>
            <w:vAlign w:val="center"/>
          </w:tcPr>
          <w:p w14:paraId="12F6446E">
            <w:pPr>
              <w:widowControl/>
              <w:jc w:val="left"/>
              <w:rPr>
                <w:rFonts w:hint="eastAsia" w:ascii="宋体" w:hAnsi="宋体" w:cs="宋体"/>
                <w:kern w:val="0"/>
                <w:sz w:val="24"/>
              </w:rPr>
            </w:pPr>
            <w:r>
              <w:rPr>
                <w:rFonts w:hint="eastAsia" w:ascii="宋体" w:hAnsi="宋体" w:cs="宋体"/>
                <w:kern w:val="0"/>
                <w:sz w:val="24"/>
              </w:rPr>
              <w:t>2000≤Y＜10000</w:t>
            </w:r>
          </w:p>
        </w:tc>
        <w:tc>
          <w:tcPr>
            <w:tcW w:w="1730" w:type="dxa"/>
            <w:noWrap w:val="0"/>
            <w:vAlign w:val="center"/>
          </w:tcPr>
          <w:p w14:paraId="33ED03E8">
            <w:pPr>
              <w:widowControl/>
              <w:jc w:val="left"/>
              <w:rPr>
                <w:rFonts w:hint="eastAsia" w:ascii="宋体" w:hAnsi="宋体" w:cs="宋体"/>
                <w:kern w:val="0"/>
                <w:sz w:val="24"/>
              </w:rPr>
            </w:pPr>
            <w:r>
              <w:rPr>
                <w:rFonts w:hint="eastAsia" w:ascii="宋体" w:hAnsi="宋体" w:cs="宋体"/>
                <w:kern w:val="0"/>
                <w:sz w:val="24"/>
              </w:rPr>
              <w:t>100≤Y＜2000</w:t>
            </w:r>
          </w:p>
        </w:tc>
        <w:tc>
          <w:tcPr>
            <w:tcW w:w="1203" w:type="dxa"/>
            <w:noWrap w:val="0"/>
            <w:vAlign w:val="center"/>
          </w:tcPr>
          <w:p w14:paraId="6030A697">
            <w:pPr>
              <w:widowControl/>
              <w:jc w:val="left"/>
              <w:rPr>
                <w:rFonts w:hint="eastAsia" w:ascii="宋体" w:hAnsi="宋体" w:cs="宋体"/>
                <w:kern w:val="0"/>
                <w:sz w:val="24"/>
              </w:rPr>
            </w:pPr>
            <w:r>
              <w:rPr>
                <w:rFonts w:hint="eastAsia" w:ascii="宋体" w:hAnsi="宋体" w:cs="宋体"/>
                <w:kern w:val="0"/>
                <w:sz w:val="24"/>
              </w:rPr>
              <w:t>Y＜100</w:t>
            </w:r>
          </w:p>
        </w:tc>
      </w:tr>
      <w:tr w14:paraId="483A3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05B62C2">
            <w:pPr>
              <w:widowControl/>
              <w:jc w:val="left"/>
              <w:rPr>
                <w:rFonts w:hint="eastAsia" w:ascii="宋体" w:hAnsi="宋体" w:cs="宋体"/>
                <w:kern w:val="0"/>
                <w:sz w:val="24"/>
              </w:rPr>
            </w:pPr>
            <w:r>
              <w:rPr>
                <w:rFonts w:hint="eastAsia" w:ascii="宋体" w:hAnsi="宋体" w:cs="宋体"/>
                <w:kern w:val="0"/>
                <w:sz w:val="24"/>
              </w:rPr>
              <w:t>信息传输业 *</w:t>
            </w:r>
          </w:p>
        </w:tc>
        <w:tc>
          <w:tcPr>
            <w:tcW w:w="1560" w:type="dxa"/>
            <w:noWrap w:val="0"/>
            <w:vAlign w:val="center"/>
          </w:tcPr>
          <w:p w14:paraId="0B131CD7">
            <w:pPr>
              <w:widowControl/>
              <w:jc w:val="left"/>
              <w:rPr>
                <w:rFonts w:hint="eastAsia" w:ascii="宋体" w:hAnsi="宋体" w:cs="宋体"/>
                <w:kern w:val="0"/>
                <w:sz w:val="24"/>
              </w:rPr>
            </w:pPr>
            <w:r>
              <w:rPr>
                <w:rFonts w:hint="eastAsia" w:ascii="宋体" w:hAnsi="宋体" w:cs="宋体"/>
                <w:kern w:val="0"/>
                <w:sz w:val="24"/>
              </w:rPr>
              <w:t>从业人员(X)</w:t>
            </w:r>
          </w:p>
        </w:tc>
        <w:tc>
          <w:tcPr>
            <w:tcW w:w="671" w:type="dxa"/>
            <w:noWrap w:val="0"/>
            <w:vAlign w:val="center"/>
          </w:tcPr>
          <w:p w14:paraId="54F9B1DA">
            <w:pPr>
              <w:widowControl/>
              <w:jc w:val="left"/>
              <w:rPr>
                <w:rFonts w:hint="eastAsia" w:ascii="宋体" w:hAnsi="宋体" w:cs="宋体"/>
                <w:kern w:val="0"/>
                <w:sz w:val="24"/>
              </w:rPr>
            </w:pPr>
            <w:r>
              <w:rPr>
                <w:rFonts w:hint="eastAsia" w:ascii="宋体" w:hAnsi="宋体" w:cs="宋体"/>
                <w:kern w:val="0"/>
                <w:sz w:val="24"/>
              </w:rPr>
              <w:t>人</w:t>
            </w:r>
          </w:p>
        </w:tc>
        <w:tc>
          <w:tcPr>
            <w:tcW w:w="1231" w:type="dxa"/>
            <w:noWrap w:val="0"/>
            <w:vAlign w:val="center"/>
          </w:tcPr>
          <w:p w14:paraId="392C736E">
            <w:pPr>
              <w:widowControl/>
              <w:jc w:val="left"/>
              <w:rPr>
                <w:rFonts w:hint="eastAsia" w:ascii="宋体" w:hAnsi="宋体" w:cs="宋体"/>
                <w:kern w:val="0"/>
                <w:sz w:val="24"/>
              </w:rPr>
            </w:pPr>
            <w:r>
              <w:rPr>
                <w:rFonts w:hint="eastAsia" w:ascii="宋体" w:hAnsi="宋体" w:cs="宋体"/>
                <w:kern w:val="0"/>
                <w:sz w:val="24"/>
              </w:rPr>
              <w:t>X≥2000</w:t>
            </w:r>
          </w:p>
        </w:tc>
        <w:tc>
          <w:tcPr>
            <w:tcW w:w="1891" w:type="dxa"/>
            <w:noWrap w:val="0"/>
            <w:vAlign w:val="center"/>
          </w:tcPr>
          <w:p w14:paraId="5A2C5779">
            <w:pPr>
              <w:widowControl/>
              <w:jc w:val="left"/>
              <w:rPr>
                <w:rFonts w:hint="eastAsia" w:ascii="宋体" w:hAnsi="宋体" w:cs="宋体"/>
                <w:kern w:val="0"/>
                <w:sz w:val="24"/>
              </w:rPr>
            </w:pPr>
            <w:r>
              <w:rPr>
                <w:rFonts w:hint="eastAsia" w:ascii="宋体" w:hAnsi="宋体" w:cs="宋体"/>
                <w:kern w:val="0"/>
                <w:sz w:val="24"/>
              </w:rPr>
              <w:t>100≤X＜2000</w:t>
            </w:r>
          </w:p>
        </w:tc>
        <w:tc>
          <w:tcPr>
            <w:tcW w:w="1730" w:type="dxa"/>
            <w:noWrap w:val="0"/>
            <w:vAlign w:val="center"/>
          </w:tcPr>
          <w:p w14:paraId="094069E5">
            <w:pPr>
              <w:widowControl/>
              <w:jc w:val="left"/>
              <w:rPr>
                <w:rFonts w:hint="eastAsia" w:ascii="宋体" w:hAnsi="宋体" w:cs="宋体"/>
                <w:kern w:val="0"/>
                <w:sz w:val="24"/>
              </w:rPr>
            </w:pPr>
            <w:r>
              <w:rPr>
                <w:rFonts w:hint="eastAsia" w:ascii="宋体" w:hAnsi="宋体" w:cs="宋体"/>
                <w:kern w:val="0"/>
                <w:sz w:val="24"/>
              </w:rPr>
              <w:t>10≤X＜100</w:t>
            </w:r>
          </w:p>
        </w:tc>
        <w:tc>
          <w:tcPr>
            <w:tcW w:w="1203" w:type="dxa"/>
            <w:noWrap w:val="0"/>
            <w:vAlign w:val="center"/>
          </w:tcPr>
          <w:p w14:paraId="48EF26A2">
            <w:pPr>
              <w:widowControl/>
              <w:jc w:val="left"/>
              <w:rPr>
                <w:rFonts w:hint="eastAsia" w:ascii="宋体" w:hAnsi="宋体" w:cs="宋体"/>
                <w:kern w:val="0"/>
                <w:sz w:val="24"/>
              </w:rPr>
            </w:pPr>
            <w:r>
              <w:rPr>
                <w:rFonts w:hint="eastAsia" w:ascii="宋体" w:hAnsi="宋体" w:cs="宋体"/>
                <w:kern w:val="0"/>
                <w:sz w:val="24"/>
              </w:rPr>
              <w:t>X＜10</w:t>
            </w:r>
          </w:p>
        </w:tc>
      </w:tr>
      <w:tr w14:paraId="7480A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D1CB94E">
            <w:pPr>
              <w:widowControl/>
              <w:jc w:val="left"/>
              <w:rPr>
                <w:rFonts w:hint="eastAsia" w:ascii="宋体" w:hAnsi="宋体" w:cs="宋体"/>
                <w:kern w:val="0"/>
                <w:sz w:val="24"/>
              </w:rPr>
            </w:pPr>
          </w:p>
        </w:tc>
        <w:tc>
          <w:tcPr>
            <w:tcW w:w="1560" w:type="dxa"/>
            <w:noWrap w:val="0"/>
            <w:vAlign w:val="center"/>
          </w:tcPr>
          <w:p w14:paraId="0FD1D06A">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7DC7F46A">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08AE7F05">
            <w:pPr>
              <w:widowControl/>
              <w:jc w:val="left"/>
              <w:rPr>
                <w:rFonts w:hint="eastAsia" w:ascii="宋体" w:hAnsi="宋体" w:cs="宋体"/>
                <w:kern w:val="0"/>
                <w:sz w:val="24"/>
              </w:rPr>
            </w:pPr>
            <w:r>
              <w:rPr>
                <w:rFonts w:hint="eastAsia" w:ascii="宋体" w:hAnsi="宋体" w:cs="宋体"/>
                <w:kern w:val="0"/>
                <w:sz w:val="24"/>
              </w:rPr>
              <w:t>Y≥100000</w:t>
            </w:r>
          </w:p>
        </w:tc>
        <w:tc>
          <w:tcPr>
            <w:tcW w:w="1891" w:type="dxa"/>
            <w:noWrap w:val="0"/>
            <w:vAlign w:val="center"/>
          </w:tcPr>
          <w:p w14:paraId="3BD1D113">
            <w:pPr>
              <w:widowControl/>
              <w:jc w:val="left"/>
              <w:rPr>
                <w:rFonts w:hint="eastAsia" w:ascii="宋体" w:hAnsi="宋体" w:cs="宋体"/>
                <w:kern w:val="0"/>
                <w:sz w:val="24"/>
              </w:rPr>
            </w:pPr>
            <w:r>
              <w:rPr>
                <w:rFonts w:hint="eastAsia" w:ascii="宋体" w:hAnsi="宋体" w:cs="宋体"/>
                <w:kern w:val="0"/>
                <w:sz w:val="24"/>
              </w:rPr>
              <w:t>1000≤Y＜100000</w:t>
            </w:r>
          </w:p>
        </w:tc>
        <w:tc>
          <w:tcPr>
            <w:tcW w:w="1730" w:type="dxa"/>
            <w:noWrap w:val="0"/>
            <w:vAlign w:val="center"/>
          </w:tcPr>
          <w:p w14:paraId="69B0A97F">
            <w:pPr>
              <w:widowControl/>
              <w:jc w:val="left"/>
              <w:rPr>
                <w:rFonts w:hint="eastAsia" w:ascii="宋体" w:hAnsi="宋体" w:cs="宋体"/>
                <w:kern w:val="0"/>
                <w:sz w:val="24"/>
              </w:rPr>
            </w:pPr>
            <w:r>
              <w:rPr>
                <w:rFonts w:hint="eastAsia" w:ascii="宋体" w:hAnsi="宋体" w:cs="宋体"/>
                <w:kern w:val="0"/>
                <w:sz w:val="24"/>
              </w:rPr>
              <w:t>100≤Y＜1000</w:t>
            </w:r>
          </w:p>
        </w:tc>
        <w:tc>
          <w:tcPr>
            <w:tcW w:w="1203" w:type="dxa"/>
            <w:noWrap w:val="0"/>
            <w:vAlign w:val="center"/>
          </w:tcPr>
          <w:p w14:paraId="0C78CC45">
            <w:pPr>
              <w:widowControl/>
              <w:jc w:val="left"/>
              <w:rPr>
                <w:rFonts w:hint="eastAsia" w:ascii="宋体" w:hAnsi="宋体" w:cs="宋体"/>
                <w:kern w:val="0"/>
                <w:sz w:val="24"/>
              </w:rPr>
            </w:pPr>
            <w:r>
              <w:rPr>
                <w:rFonts w:hint="eastAsia" w:ascii="宋体" w:hAnsi="宋体" w:cs="宋体"/>
                <w:kern w:val="0"/>
                <w:sz w:val="24"/>
              </w:rPr>
              <w:t>Y＜100</w:t>
            </w:r>
          </w:p>
        </w:tc>
      </w:tr>
      <w:tr w14:paraId="451A5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E6A49BB">
            <w:pPr>
              <w:widowControl/>
              <w:jc w:val="left"/>
              <w:rPr>
                <w:rFonts w:hint="eastAsia" w:ascii="宋体" w:hAnsi="宋体" w:cs="宋体"/>
                <w:kern w:val="0"/>
                <w:sz w:val="24"/>
              </w:rPr>
            </w:pPr>
            <w:r>
              <w:rPr>
                <w:rFonts w:hint="eastAsia" w:ascii="宋体" w:hAnsi="宋体" w:cs="宋体"/>
                <w:kern w:val="0"/>
                <w:sz w:val="24"/>
              </w:rPr>
              <w:t>软件和信息技术服务业</w:t>
            </w:r>
          </w:p>
        </w:tc>
        <w:tc>
          <w:tcPr>
            <w:tcW w:w="1560" w:type="dxa"/>
            <w:noWrap w:val="0"/>
            <w:vAlign w:val="center"/>
          </w:tcPr>
          <w:p w14:paraId="084E6043">
            <w:pPr>
              <w:widowControl/>
              <w:jc w:val="left"/>
              <w:rPr>
                <w:rFonts w:hint="eastAsia" w:ascii="宋体" w:hAnsi="宋体" w:cs="宋体"/>
                <w:kern w:val="0"/>
                <w:sz w:val="24"/>
              </w:rPr>
            </w:pPr>
            <w:r>
              <w:rPr>
                <w:rFonts w:hint="eastAsia" w:ascii="宋体" w:hAnsi="宋体" w:cs="宋体"/>
                <w:kern w:val="0"/>
                <w:sz w:val="24"/>
              </w:rPr>
              <w:t>从业人员(X)</w:t>
            </w:r>
          </w:p>
        </w:tc>
        <w:tc>
          <w:tcPr>
            <w:tcW w:w="671" w:type="dxa"/>
            <w:noWrap w:val="0"/>
            <w:vAlign w:val="center"/>
          </w:tcPr>
          <w:p w14:paraId="581CCB01">
            <w:pPr>
              <w:widowControl/>
              <w:jc w:val="left"/>
              <w:rPr>
                <w:rFonts w:hint="eastAsia" w:ascii="宋体" w:hAnsi="宋体" w:cs="宋体"/>
                <w:kern w:val="0"/>
                <w:sz w:val="24"/>
              </w:rPr>
            </w:pPr>
            <w:r>
              <w:rPr>
                <w:rFonts w:hint="eastAsia" w:ascii="宋体" w:hAnsi="宋体" w:cs="宋体"/>
                <w:kern w:val="0"/>
                <w:sz w:val="24"/>
              </w:rPr>
              <w:t>人</w:t>
            </w:r>
          </w:p>
        </w:tc>
        <w:tc>
          <w:tcPr>
            <w:tcW w:w="1231" w:type="dxa"/>
            <w:noWrap w:val="0"/>
            <w:vAlign w:val="center"/>
          </w:tcPr>
          <w:p w14:paraId="149DD0A8">
            <w:pPr>
              <w:widowControl/>
              <w:jc w:val="left"/>
              <w:rPr>
                <w:rFonts w:hint="eastAsia" w:ascii="宋体" w:hAnsi="宋体" w:cs="宋体"/>
                <w:kern w:val="0"/>
                <w:sz w:val="24"/>
              </w:rPr>
            </w:pPr>
            <w:r>
              <w:rPr>
                <w:rFonts w:hint="eastAsia" w:ascii="宋体" w:hAnsi="宋体" w:cs="宋体"/>
                <w:kern w:val="0"/>
                <w:sz w:val="24"/>
              </w:rPr>
              <w:t>X≥300</w:t>
            </w:r>
          </w:p>
        </w:tc>
        <w:tc>
          <w:tcPr>
            <w:tcW w:w="1891" w:type="dxa"/>
            <w:noWrap w:val="0"/>
            <w:vAlign w:val="center"/>
          </w:tcPr>
          <w:p w14:paraId="1BB707A1">
            <w:pPr>
              <w:widowControl/>
              <w:jc w:val="left"/>
              <w:rPr>
                <w:rFonts w:hint="eastAsia" w:ascii="宋体" w:hAnsi="宋体" w:cs="宋体"/>
                <w:kern w:val="0"/>
                <w:sz w:val="24"/>
              </w:rPr>
            </w:pPr>
            <w:r>
              <w:rPr>
                <w:rFonts w:hint="eastAsia" w:ascii="宋体" w:hAnsi="宋体" w:cs="宋体"/>
                <w:kern w:val="0"/>
                <w:sz w:val="24"/>
              </w:rPr>
              <w:t>100≤X＜300</w:t>
            </w:r>
          </w:p>
        </w:tc>
        <w:tc>
          <w:tcPr>
            <w:tcW w:w="1730" w:type="dxa"/>
            <w:noWrap w:val="0"/>
            <w:vAlign w:val="center"/>
          </w:tcPr>
          <w:p w14:paraId="2F8AD341">
            <w:pPr>
              <w:widowControl/>
              <w:jc w:val="left"/>
              <w:rPr>
                <w:rFonts w:hint="eastAsia" w:ascii="宋体" w:hAnsi="宋体" w:cs="宋体"/>
                <w:kern w:val="0"/>
                <w:sz w:val="24"/>
              </w:rPr>
            </w:pPr>
            <w:r>
              <w:rPr>
                <w:rFonts w:hint="eastAsia" w:ascii="宋体" w:hAnsi="宋体" w:cs="宋体"/>
                <w:kern w:val="0"/>
                <w:sz w:val="24"/>
              </w:rPr>
              <w:t>10≤X＜100</w:t>
            </w:r>
          </w:p>
        </w:tc>
        <w:tc>
          <w:tcPr>
            <w:tcW w:w="1203" w:type="dxa"/>
            <w:noWrap w:val="0"/>
            <w:vAlign w:val="center"/>
          </w:tcPr>
          <w:p w14:paraId="649BB114">
            <w:pPr>
              <w:widowControl/>
              <w:jc w:val="left"/>
              <w:rPr>
                <w:rFonts w:hint="eastAsia" w:ascii="宋体" w:hAnsi="宋体" w:cs="宋体"/>
                <w:kern w:val="0"/>
                <w:sz w:val="24"/>
              </w:rPr>
            </w:pPr>
            <w:r>
              <w:rPr>
                <w:rFonts w:hint="eastAsia" w:ascii="宋体" w:hAnsi="宋体" w:cs="宋体"/>
                <w:kern w:val="0"/>
                <w:sz w:val="24"/>
              </w:rPr>
              <w:t>X＜10</w:t>
            </w:r>
          </w:p>
        </w:tc>
      </w:tr>
      <w:tr w14:paraId="2FAB3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929F56B">
            <w:pPr>
              <w:widowControl/>
              <w:jc w:val="left"/>
              <w:rPr>
                <w:rFonts w:hint="eastAsia" w:ascii="宋体" w:hAnsi="宋体" w:cs="宋体"/>
                <w:kern w:val="0"/>
                <w:sz w:val="24"/>
              </w:rPr>
            </w:pPr>
          </w:p>
        </w:tc>
        <w:tc>
          <w:tcPr>
            <w:tcW w:w="1560" w:type="dxa"/>
            <w:noWrap w:val="0"/>
            <w:vAlign w:val="center"/>
          </w:tcPr>
          <w:p w14:paraId="4A3874A2">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3C99DB04">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7034243F">
            <w:pPr>
              <w:widowControl/>
              <w:jc w:val="left"/>
              <w:rPr>
                <w:rFonts w:hint="eastAsia" w:ascii="宋体" w:hAnsi="宋体" w:cs="宋体"/>
                <w:kern w:val="0"/>
                <w:sz w:val="24"/>
              </w:rPr>
            </w:pPr>
            <w:r>
              <w:rPr>
                <w:rFonts w:hint="eastAsia" w:ascii="宋体" w:hAnsi="宋体" w:cs="宋体"/>
                <w:kern w:val="0"/>
                <w:sz w:val="24"/>
              </w:rPr>
              <w:t>Y≥10000</w:t>
            </w:r>
          </w:p>
        </w:tc>
        <w:tc>
          <w:tcPr>
            <w:tcW w:w="1891" w:type="dxa"/>
            <w:noWrap w:val="0"/>
            <w:vAlign w:val="center"/>
          </w:tcPr>
          <w:p w14:paraId="437017D9">
            <w:pPr>
              <w:widowControl/>
              <w:jc w:val="left"/>
              <w:rPr>
                <w:rFonts w:hint="eastAsia" w:ascii="宋体" w:hAnsi="宋体" w:cs="宋体"/>
                <w:kern w:val="0"/>
                <w:sz w:val="24"/>
              </w:rPr>
            </w:pPr>
            <w:r>
              <w:rPr>
                <w:rFonts w:hint="eastAsia" w:ascii="宋体" w:hAnsi="宋体" w:cs="宋体"/>
                <w:kern w:val="0"/>
                <w:sz w:val="24"/>
              </w:rPr>
              <w:t>1000≤Y＜10000</w:t>
            </w:r>
          </w:p>
        </w:tc>
        <w:tc>
          <w:tcPr>
            <w:tcW w:w="1730" w:type="dxa"/>
            <w:noWrap w:val="0"/>
            <w:vAlign w:val="center"/>
          </w:tcPr>
          <w:p w14:paraId="5EFB0344">
            <w:pPr>
              <w:widowControl/>
              <w:jc w:val="left"/>
              <w:rPr>
                <w:rFonts w:hint="eastAsia" w:ascii="宋体" w:hAnsi="宋体" w:cs="宋体"/>
                <w:kern w:val="0"/>
                <w:sz w:val="24"/>
              </w:rPr>
            </w:pPr>
            <w:r>
              <w:rPr>
                <w:rFonts w:hint="eastAsia" w:ascii="宋体" w:hAnsi="宋体" w:cs="宋体"/>
                <w:kern w:val="0"/>
                <w:sz w:val="24"/>
              </w:rPr>
              <w:t>50≤Y＜1000</w:t>
            </w:r>
          </w:p>
        </w:tc>
        <w:tc>
          <w:tcPr>
            <w:tcW w:w="1203" w:type="dxa"/>
            <w:noWrap w:val="0"/>
            <w:vAlign w:val="center"/>
          </w:tcPr>
          <w:p w14:paraId="4F62D88B">
            <w:pPr>
              <w:widowControl/>
              <w:jc w:val="left"/>
              <w:rPr>
                <w:rFonts w:hint="eastAsia" w:ascii="宋体" w:hAnsi="宋体" w:cs="宋体"/>
                <w:kern w:val="0"/>
                <w:sz w:val="24"/>
              </w:rPr>
            </w:pPr>
            <w:r>
              <w:rPr>
                <w:rFonts w:hint="eastAsia" w:ascii="宋体" w:hAnsi="宋体" w:cs="宋体"/>
                <w:kern w:val="0"/>
                <w:sz w:val="24"/>
              </w:rPr>
              <w:t>Y＜50</w:t>
            </w:r>
          </w:p>
        </w:tc>
      </w:tr>
      <w:tr w14:paraId="6A5D5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1372DA0">
            <w:pPr>
              <w:widowControl/>
              <w:jc w:val="left"/>
              <w:rPr>
                <w:rFonts w:hint="eastAsia" w:ascii="宋体" w:hAnsi="宋体" w:cs="宋体"/>
                <w:kern w:val="0"/>
                <w:sz w:val="24"/>
              </w:rPr>
            </w:pPr>
            <w:r>
              <w:rPr>
                <w:rFonts w:hint="eastAsia" w:ascii="宋体" w:hAnsi="宋体" w:cs="宋体"/>
                <w:kern w:val="0"/>
                <w:sz w:val="24"/>
              </w:rPr>
              <w:t>房地产开发经营</w:t>
            </w:r>
          </w:p>
        </w:tc>
        <w:tc>
          <w:tcPr>
            <w:tcW w:w="1560" w:type="dxa"/>
            <w:noWrap w:val="0"/>
            <w:vAlign w:val="center"/>
          </w:tcPr>
          <w:p w14:paraId="64CE8C69">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09625F61">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0009DFE0">
            <w:pPr>
              <w:widowControl/>
              <w:jc w:val="left"/>
              <w:rPr>
                <w:rFonts w:hint="eastAsia" w:ascii="宋体" w:hAnsi="宋体" w:cs="宋体"/>
                <w:kern w:val="0"/>
                <w:sz w:val="24"/>
              </w:rPr>
            </w:pPr>
            <w:r>
              <w:rPr>
                <w:rFonts w:hint="eastAsia" w:ascii="宋体" w:hAnsi="宋体" w:cs="宋体"/>
                <w:kern w:val="0"/>
                <w:sz w:val="24"/>
              </w:rPr>
              <w:t>Y≥200000</w:t>
            </w:r>
          </w:p>
        </w:tc>
        <w:tc>
          <w:tcPr>
            <w:tcW w:w="1891" w:type="dxa"/>
            <w:noWrap w:val="0"/>
            <w:vAlign w:val="center"/>
          </w:tcPr>
          <w:p w14:paraId="1442D2A4">
            <w:pPr>
              <w:widowControl/>
              <w:jc w:val="left"/>
              <w:rPr>
                <w:rFonts w:hint="eastAsia" w:ascii="宋体" w:hAnsi="宋体" w:cs="宋体"/>
                <w:kern w:val="0"/>
                <w:sz w:val="24"/>
              </w:rPr>
            </w:pPr>
            <w:r>
              <w:rPr>
                <w:rFonts w:hint="eastAsia" w:ascii="宋体" w:hAnsi="宋体" w:cs="宋体"/>
                <w:kern w:val="0"/>
                <w:sz w:val="24"/>
              </w:rPr>
              <w:t>1000≤Y＜200000</w:t>
            </w:r>
          </w:p>
        </w:tc>
        <w:tc>
          <w:tcPr>
            <w:tcW w:w="1730" w:type="dxa"/>
            <w:noWrap w:val="0"/>
            <w:vAlign w:val="center"/>
          </w:tcPr>
          <w:p w14:paraId="4D296128">
            <w:pPr>
              <w:widowControl/>
              <w:jc w:val="left"/>
              <w:rPr>
                <w:rFonts w:hint="eastAsia" w:ascii="宋体" w:hAnsi="宋体" w:cs="宋体"/>
                <w:kern w:val="0"/>
                <w:sz w:val="24"/>
              </w:rPr>
            </w:pPr>
            <w:r>
              <w:rPr>
                <w:rFonts w:hint="eastAsia" w:ascii="宋体" w:hAnsi="宋体" w:cs="宋体"/>
                <w:kern w:val="0"/>
                <w:sz w:val="24"/>
              </w:rPr>
              <w:t>100≤Y＜1000</w:t>
            </w:r>
          </w:p>
        </w:tc>
        <w:tc>
          <w:tcPr>
            <w:tcW w:w="1203" w:type="dxa"/>
            <w:noWrap w:val="0"/>
            <w:vAlign w:val="center"/>
          </w:tcPr>
          <w:p w14:paraId="45AE45C9">
            <w:pPr>
              <w:widowControl/>
              <w:jc w:val="left"/>
              <w:rPr>
                <w:rFonts w:hint="eastAsia" w:ascii="宋体" w:hAnsi="宋体" w:cs="宋体"/>
                <w:kern w:val="0"/>
                <w:sz w:val="24"/>
              </w:rPr>
            </w:pPr>
            <w:r>
              <w:rPr>
                <w:rFonts w:hint="eastAsia" w:ascii="宋体" w:hAnsi="宋体" w:cs="宋体"/>
                <w:kern w:val="0"/>
                <w:sz w:val="24"/>
              </w:rPr>
              <w:t>Y＜100</w:t>
            </w:r>
          </w:p>
        </w:tc>
      </w:tr>
      <w:tr w14:paraId="7B5B7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C30FB17">
            <w:pPr>
              <w:widowControl/>
              <w:jc w:val="left"/>
              <w:rPr>
                <w:rFonts w:hint="eastAsia" w:ascii="宋体" w:hAnsi="宋体" w:cs="宋体"/>
                <w:kern w:val="0"/>
                <w:sz w:val="24"/>
              </w:rPr>
            </w:pPr>
          </w:p>
        </w:tc>
        <w:tc>
          <w:tcPr>
            <w:tcW w:w="1560" w:type="dxa"/>
            <w:noWrap w:val="0"/>
            <w:vAlign w:val="center"/>
          </w:tcPr>
          <w:p w14:paraId="624C463C">
            <w:pPr>
              <w:widowControl/>
              <w:jc w:val="left"/>
              <w:rPr>
                <w:rFonts w:hint="eastAsia" w:ascii="宋体" w:hAnsi="宋体" w:cs="宋体"/>
                <w:kern w:val="0"/>
                <w:sz w:val="24"/>
              </w:rPr>
            </w:pPr>
            <w:r>
              <w:rPr>
                <w:rFonts w:hint="eastAsia" w:ascii="宋体" w:hAnsi="宋体" w:cs="宋体"/>
                <w:kern w:val="0"/>
                <w:sz w:val="24"/>
              </w:rPr>
              <w:t>资产总额(Z)</w:t>
            </w:r>
          </w:p>
        </w:tc>
        <w:tc>
          <w:tcPr>
            <w:tcW w:w="671" w:type="dxa"/>
            <w:noWrap w:val="0"/>
            <w:vAlign w:val="center"/>
          </w:tcPr>
          <w:p w14:paraId="1847E739">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3217CE1D">
            <w:pPr>
              <w:widowControl/>
              <w:jc w:val="left"/>
              <w:rPr>
                <w:rFonts w:hint="eastAsia" w:ascii="宋体" w:hAnsi="宋体" w:cs="宋体"/>
                <w:kern w:val="0"/>
                <w:sz w:val="24"/>
              </w:rPr>
            </w:pPr>
            <w:r>
              <w:rPr>
                <w:rFonts w:hint="eastAsia" w:ascii="宋体" w:hAnsi="宋体" w:cs="宋体"/>
                <w:kern w:val="0"/>
                <w:sz w:val="24"/>
              </w:rPr>
              <w:t>Z≥10000</w:t>
            </w:r>
          </w:p>
        </w:tc>
        <w:tc>
          <w:tcPr>
            <w:tcW w:w="1891" w:type="dxa"/>
            <w:noWrap w:val="0"/>
            <w:vAlign w:val="center"/>
          </w:tcPr>
          <w:p w14:paraId="7BA3F1AC">
            <w:pPr>
              <w:widowControl/>
              <w:jc w:val="left"/>
              <w:rPr>
                <w:rFonts w:hint="eastAsia" w:ascii="宋体" w:hAnsi="宋体" w:cs="宋体"/>
                <w:kern w:val="0"/>
                <w:sz w:val="24"/>
              </w:rPr>
            </w:pPr>
            <w:r>
              <w:rPr>
                <w:rFonts w:hint="eastAsia" w:ascii="宋体" w:hAnsi="宋体" w:cs="宋体"/>
                <w:kern w:val="0"/>
                <w:sz w:val="24"/>
              </w:rPr>
              <w:t>5000≤Z＜10000</w:t>
            </w:r>
          </w:p>
        </w:tc>
        <w:tc>
          <w:tcPr>
            <w:tcW w:w="1730" w:type="dxa"/>
            <w:noWrap w:val="0"/>
            <w:vAlign w:val="center"/>
          </w:tcPr>
          <w:p w14:paraId="6E650EAC">
            <w:pPr>
              <w:widowControl/>
              <w:jc w:val="left"/>
              <w:rPr>
                <w:rFonts w:hint="eastAsia" w:ascii="宋体" w:hAnsi="宋体" w:cs="宋体"/>
                <w:kern w:val="0"/>
                <w:sz w:val="24"/>
              </w:rPr>
            </w:pPr>
            <w:r>
              <w:rPr>
                <w:rFonts w:hint="eastAsia" w:ascii="宋体" w:hAnsi="宋体" w:cs="宋体"/>
                <w:kern w:val="0"/>
                <w:sz w:val="24"/>
              </w:rPr>
              <w:t>2000≤Z＜5000</w:t>
            </w:r>
          </w:p>
        </w:tc>
        <w:tc>
          <w:tcPr>
            <w:tcW w:w="1203" w:type="dxa"/>
            <w:noWrap w:val="0"/>
            <w:vAlign w:val="center"/>
          </w:tcPr>
          <w:p w14:paraId="2A19E131">
            <w:pPr>
              <w:widowControl/>
              <w:jc w:val="left"/>
              <w:rPr>
                <w:rFonts w:hint="eastAsia" w:ascii="宋体" w:hAnsi="宋体" w:cs="宋体"/>
                <w:kern w:val="0"/>
                <w:sz w:val="24"/>
              </w:rPr>
            </w:pPr>
            <w:r>
              <w:rPr>
                <w:rFonts w:hint="eastAsia" w:ascii="宋体" w:hAnsi="宋体" w:cs="宋体"/>
                <w:kern w:val="0"/>
                <w:sz w:val="24"/>
              </w:rPr>
              <w:t>Z＜2000</w:t>
            </w:r>
          </w:p>
        </w:tc>
      </w:tr>
      <w:tr w14:paraId="5AB6F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F40FF9D">
            <w:pPr>
              <w:widowControl/>
              <w:jc w:val="left"/>
              <w:rPr>
                <w:rFonts w:hint="eastAsia" w:ascii="宋体" w:hAnsi="宋体" w:cs="宋体"/>
                <w:kern w:val="0"/>
                <w:sz w:val="24"/>
              </w:rPr>
            </w:pPr>
            <w:r>
              <w:rPr>
                <w:rFonts w:hint="eastAsia" w:ascii="宋体" w:hAnsi="宋体" w:cs="宋体"/>
                <w:kern w:val="0"/>
                <w:sz w:val="24"/>
              </w:rPr>
              <w:t>物业管理</w:t>
            </w:r>
          </w:p>
        </w:tc>
        <w:tc>
          <w:tcPr>
            <w:tcW w:w="1560" w:type="dxa"/>
            <w:noWrap w:val="0"/>
            <w:vAlign w:val="center"/>
          </w:tcPr>
          <w:p w14:paraId="46F9A287">
            <w:pPr>
              <w:widowControl/>
              <w:jc w:val="left"/>
              <w:rPr>
                <w:rFonts w:hint="eastAsia" w:ascii="宋体" w:hAnsi="宋体" w:cs="宋体"/>
                <w:kern w:val="0"/>
                <w:sz w:val="24"/>
              </w:rPr>
            </w:pPr>
            <w:r>
              <w:rPr>
                <w:rFonts w:hint="eastAsia" w:ascii="宋体" w:hAnsi="宋体" w:cs="宋体"/>
                <w:kern w:val="0"/>
                <w:sz w:val="24"/>
              </w:rPr>
              <w:t>从业人员(X)</w:t>
            </w:r>
          </w:p>
        </w:tc>
        <w:tc>
          <w:tcPr>
            <w:tcW w:w="671" w:type="dxa"/>
            <w:noWrap w:val="0"/>
            <w:vAlign w:val="center"/>
          </w:tcPr>
          <w:p w14:paraId="71123A80">
            <w:pPr>
              <w:widowControl/>
              <w:jc w:val="left"/>
              <w:rPr>
                <w:rFonts w:hint="eastAsia" w:ascii="宋体" w:hAnsi="宋体" w:cs="宋体"/>
                <w:kern w:val="0"/>
                <w:sz w:val="24"/>
              </w:rPr>
            </w:pPr>
            <w:r>
              <w:rPr>
                <w:rFonts w:hint="eastAsia" w:ascii="宋体" w:hAnsi="宋体" w:cs="宋体"/>
                <w:kern w:val="0"/>
                <w:sz w:val="24"/>
              </w:rPr>
              <w:t>人</w:t>
            </w:r>
          </w:p>
        </w:tc>
        <w:tc>
          <w:tcPr>
            <w:tcW w:w="1231" w:type="dxa"/>
            <w:noWrap w:val="0"/>
            <w:vAlign w:val="center"/>
          </w:tcPr>
          <w:p w14:paraId="76676C9F">
            <w:pPr>
              <w:widowControl/>
              <w:jc w:val="left"/>
              <w:rPr>
                <w:rFonts w:hint="eastAsia" w:ascii="宋体" w:hAnsi="宋体" w:cs="宋体"/>
                <w:kern w:val="0"/>
                <w:sz w:val="24"/>
              </w:rPr>
            </w:pPr>
            <w:r>
              <w:rPr>
                <w:rFonts w:hint="eastAsia" w:ascii="宋体" w:hAnsi="宋体" w:cs="宋体"/>
                <w:kern w:val="0"/>
                <w:sz w:val="24"/>
              </w:rPr>
              <w:t>X≥1000</w:t>
            </w:r>
          </w:p>
        </w:tc>
        <w:tc>
          <w:tcPr>
            <w:tcW w:w="1891" w:type="dxa"/>
            <w:noWrap w:val="0"/>
            <w:vAlign w:val="center"/>
          </w:tcPr>
          <w:p w14:paraId="3870EF81">
            <w:pPr>
              <w:widowControl/>
              <w:jc w:val="left"/>
              <w:rPr>
                <w:rFonts w:hint="eastAsia" w:ascii="宋体" w:hAnsi="宋体" w:cs="宋体"/>
                <w:kern w:val="0"/>
                <w:sz w:val="24"/>
              </w:rPr>
            </w:pPr>
            <w:r>
              <w:rPr>
                <w:rFonts w:hint="eastAsia" w:ascii="宋体" w:hAnsi="宋体" w:cs="宋体"/>
                <w:kern w:val="0"/>
                <w:sz w:val="24"/>
              </w:rPr>
              <w:t>300≤X＜1000</w:t>
            </w:r>
          </w:p>
        </w:tc>
        <w:tc>
          <w:tcPr>
            <w:tcW w:w="1730" w:type="dxa"/>
            <w:noWrap w:val="0"/>
            <w:vAlign w:val="center"/>
          </w:tcPr>
          <w:p w14:paraId="24FE6A59">
            <w:pPr>
              <w:widowControl/>
              <w:jc w:val="left"/>
              <w:rPr>
                <w:rFonts w:hint="eastAsia" w:ascii="宋体" w:hAnsi="宋体" w:cs="宋体"/>
                <w:kern w:val="0"/>
                <w:sz w:val="24"/>
              </w:rPr>
            </w:pPr>
            <w:r>
              <w:rPr>
                <w:rFonts w:hint="eastAsia" w:ascii="宋体" w:hAnsi="宋体" w:cs="宋体"/>
                <w:kern w:val="0"/>
                <w:sz w:val="24"/>
              </w:rPr>
              <w:t>100≤X＜300</w:t>
            </w:r>
          </w:p>
        </w:tc>
        <w:tc>
          <w:tcPr>
            <w:tcW w:w="1203" w:type="dxa"/>
            <w:noWrap w:val="0"/>
            <w:vAlign w:val="center"/>
          </w:tcPr>
          <w:p w14:paraId="626152E9">
            <w:pPr>
              <w:widowControl/>
              <w:jc w:val="left"/>
              <w:rPr>
                <w:rFonts w:hint="eastAsia" w:ascii="宋体" w:hAnsi="宋体" w:cs="宋体"/>
                <w:kern w:val="0"/>
                <w:sz w:val="24"/>
              </w:rPr>
            </w:pPr>
            <w:r>
              <w:rPr>
                <w:rFonts w:hint="eastAsia" w:ascii="宋体" w:hAnsi="宋体" w:cs="宋体"/>
                <w:kern w:val="0"/>
                <w:sz w:val="24"/>
              </w:rPr>
              <w:t>X＜100</w:t>
            </w:r>
          </w:p>
        </w:tc>
      </w:tr>
      <w:tr w14:paraId="328C8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AB0FB35">
            <w:pPr>
              <w:widowControl/>
              <w:jc w:val="left"/>
              <w:rPr>
                <w:rFonts w:hint="eastAsia" w:ascii="宋体" w:hAnsi="宋体" w:cs="宋体"/>
                <w:kern w:val="0"/>
                <w:sz w:val="24"/>
              </w:rPr>
            </w:pPr>
          </w:p>
        </w:tc>
        <w:tc>
          <w:tcPr>
            <w:tcW w:w="1560" w:type="dxa"/>
            <w:noWrap w:val="0"/>
            <w:vAlign w:val="center"/>
          </w:tcPr>
          <w:p w14:paraId="32091C1E">
            <w:pPr>
              <w:widowControl/>
              <w:jc w:val="left"/>
              <w:rPr>
                <w:rFonts w:hint="eastAsia" w:ascii="宋体" w:hAnsi="宋体" w:cs="宋体"/>
                <w:kern w:val="0"/>
                <w:sz w:val="24"/>
              </w:rPr>
            </w:pPr>
            <w:r>
              <w:rPr>
                <w:rFonts w:hint="eastAsia" w:ascii="宋体" w:hAnsi="宋体" w:cs="宋体"/>
                <w:kern w:val="0"/>
                <w:sz w:val="24"/>
              </w:rPr>
              <w:t>营业收入(Y)</w:t>
            </w:r>
          </w:p>
        </w:tc>
        <w:tc>
          <w:tcPr>
            <w:tcW w:w="671" w:type="dxa"/>
            <w:noWrap w:val="0"/>
            <w:vAlign w:val="center"/>
          </w:tcPr>
          <w:p w14:paraId="1C9558F0">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30741F76">
            <w:pPr>
              <w:widowControl/>
              <w:jc w:val="left"/>
              <w:rPr>
                <w:rFonts w:hint="eastAsia" w:ascii="宋体" w:hAnsi="宋体" w:cs="宋体"/>
                <w:kern w:val="0"/>
                <w:sz w:val="24"/>
              </w:rPr>
            </w:pPr>
            <w:r>
              <w:rPr>
                <w:rFonts w:hint="eastAsia" w:ascii="宋体" w:hAnsi="宋体" w:cs="宋体"/>
                <w:kern w:val="0"/>
                <w:sz w:val="24"/>
              </w:rPr>
              <w:t>Y≥5000</w:t>
            </w:r>
          </w:p>
        </w:tc>
        <w:tc>
          <w:tcPr>
            <w:tcW w:w="1891" w:type="dxa"/>
            <w:noWrap w:val="0"/>
            <w:vAlign w:val="center"/>
          </w:tcPr>
          <w:p w14:paraId="6C911CF1">
            <w:pPr>
              <w:widowControl/>
              <w:jc w:val="left"/>
              <w:rPr>
                <w:rFonts w:hint="eastAsia" w:ascii="宋体" w:hAnsi="宋体" w:cs="宋体"/>
                <w:kern w:val="0"/>
                <w:sz w:val="24"/>
              </w:rPr>
            </w:pPr>
            <w:r>
              <w:rPr>
                <w:rFonts w:hint="eastAsia" w:ascii="宋体" w:hAnsi="宋体" w:cs="宋体"/>
                <w:kern w:val="0"/>
                <w:sz w:val="24"/>
              </w:rPr>
              <w:t>1000≤Y＜5000</w:t>
            </w:r>
          </w:p>
        </w:tc>
        <w:tc>
          <w:tcPr>
            <w:tcW w:w="1730" w:type="dxa"/>
            <w:noWrap w:val="0"/>
            <w:vAlign w:val="center"/>
          </w:tcPr>
          <w:p w14:paraId="7940FBA5">
            <w:pPr>
              <w:widowControl/>
              <w:jc w:val="left"/>
              <w:rPr>
                <w:rFonts w:hint="eastAsia" w:ascii="宋体" w:hAnsi="宋体" w:cs="宋体"/>
                <w:kern w:val="0"/>
                <w:sz w:val="24"/>
              </w:rPr>
            </w:pPr>
            <w:r>
              <w:rPr>
                <w:rFonts w:hint="eastAsia" w:ascii="宋体" w:hAnsi="宋体" w:cs="宋体"/>
                <w:kern w:val="0"/>
                <w:sz w:val="24"/>
              </w:rPr>
              <w:t>500≤Y＜1000</w:t>
            </w:r>
          </w:p>
        </w:tc>
        <w:tc>
          <w:tcPr>
            <w:tcW w:w="1203" w:type="dxa"/>
            <w:noWrap w:val="0"/>
            <w:vAlign w:val="center"/>
          </w:tcPr>
          <w:p w14:paraId="5F39142D">
            <w:pPr>
              <w:widowControl/>
              <w:jc w:val="left"/>
              <w:rPr>
                <w:rFonts w:hint="eastAsia" w:ascii="宋体" w:hAnsi="宋体" w:cs="宋体"/>
                <w:kern w:val="0"/>
                <w:sz w:val="24"/>
              </w:rPr>
            </w:pPr>
            <w:r>
              <w:rPr>
                <w:rFonts w:hint="eastAsia" w:ascii="宋体" w:hAnsi="宋体" w:cs="宋体"/>
                <w:kern w:val="0"/>
                <w:sz w:val="24"/>
              </w:rPr>
              <w:t>Y＜500</w:t>
            </w:r>
          </w:p>
        </w:tc>
      </w:tr>
      <w:tr w14:paraId="5952A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DB47E32">
            <w:pPr>
              <w:widowControl/>
              <w:jc w:val="left"/>
              <w:rPr>
                <w:rFonts w:hint="eastAsia" w:ascii="宋体" w:hAnsi="宋体" w:cs="宋体"/>
                <w:kern w:val="0"/>
                <w:sz w:val="24"/>
              </w:rPr>
            </w:pPr>
            <w:r>
              <w:rPr>
                <w:rFonts w:hint="eastAsia" w:ascii="宋体" w:hAnsi="宋体" w:cs="宋体"/>
                <w:kern w:val="0"/>
                <w:sz w:val="24"/>
              </w:rPr>
              <w:t>租赁和商务服务业</w:t>
            </w:r>
          </w:p>
        </w:tc>
        <w:tc>
          <w:tcPr>
            <w:tcW w:w="1560" w:type="dxa"/>
            <w:noWrap w:val="0"/>
            <w:vAlign w:val="center"/>
          </w:tcPr>
          <w:p w14:paraId="7E6361B8">
            <w:pPr>
              <w:widowControl/>
              <w:jc w:val="left"/>
              <w:rPr>
                <w:rFonts w:hint="eastAsia" w:ascii="宋体" w:hAnsi="宋体" w:cs="宋体"/>
                <w:kern w:val="0"/>
                <w:sz w:val="24"/>
              </w:rPr>
            </w:pPr>
            <w:r>
              <w:rPr>
                <w:rFonts w:hint="eastAsia" w:ascii="宋体" w:hAnsi="宋体" w:cs="宋体"/>
                <w:kern w:val="0"/>
                <w:sz w:val="24"/>
              </w:rPr>
              <w:t>从业人员(X)</w:t>
            </w:r>
          </w:p>
        </w:tc>
        <w:tc>
          <w:tcPr>
            <w:tcW w:w="671" w:type="dxa"/>
            <w:noWrap w:val="0"/>
            <w:vAlign w:val="center"/>
          </w:tcPr>
          <w:p w14:paraId="3C55FA5B">
            <w:pPr>
              <w:widowControl/>
              <w:jc w:val="left"/>
              <w:rPr>
                <w:rFonts w:hint="eastAsia" w:ascii="宋体" w:hAnsi="宋体" w:cs="宋体"/>
                <w:kern w:val="0"/>
                <w:sz w:val="24"/>
              </w:rPr>
            </w:pPr>
            <w:r>
              <w:rPr>
                <w:rFonts w:hint="eastAsia" w:ascii="宋体" w:hAnsi="宋体" w:cs="宋体"/>
                <w:kern w:val="0"/>
                <w:sz w:val="24"/>
              </w:rPr>
              <w:t>人</w:t>
            </w:r>
          </w:p>
        </w:tc>
        <w:tc>
          <w:tcPr>
            <w:tcW w:w="1231" w:type="dxa"/>
            <w:noWrap w:val="0"/>
            <w:vAlign w:val="center"/>
          </w:tcPr>
          <w:p w14:paraId="284ABD8B">
            <w:pPr>
              <w:widowControl/>
              <w:jc w:val="left"/>
              <w:rPr>
                <w:rFonts w:hint="eastAsia" w:ascii="宋体" w:hAnsi="宋体" w:cs="宋体"/>
                <w:kern w:val="0"/>
                <w:sz w:val="24"/>
              </w:rPr>
            </w:pPr>
            <w:r>
              <w:rPr>
                <w:rFonts w:hint="eastAsia" w:ascii="宋体" w:hAnsi="宋体" w:cs="宋体"/>
                <w:kern w:val="0"/>
                <w:sz w:val="24"/>
              </w:rPr>
              <w:t>X≥300</w:t>
            </w:r>
          </w:p>
        </w:tc>
        <w:tc>
          <w:tcPr>
            <w:tcW w:w="1891" w:type="dxa"/>
            <w:noWrap w:val="0"/>
            <w:vAlign w:val="center"/>
          </w:tcPr>
          <w:p w14:paraId="28C73F2E">
            <w:pPr>
              <w:widowControl/>
              <w:jc w:val="left"/>
              <w:rPr>
                <w:rFonts w:hint="eastAsia" w:ascii="宋体" w:hAnsi="宋体" w:cs="宋体"/>
                <w:kern w:val="0"/>
                <w:sz w:val="24"/>
              </w:rPr>
            </w:pPr>
            <w:r>
              <w:rPr>
                <w:rFonts w:hint="eastAsia" w:ascii="宋体" w:hAnsi="宋体" w:cs="宋体"/>
                <w:kern w:val="0"/>
                <w:sz w:val="24"/>
              </w:rPr>
              <w:t>100≤X＜300</w:t>
            </w:r>
          </w:p>
        </w:tc>
        <w:tc>
          <w:tcPr>
            <w:tcW w:w="1730" w:type="dxa"/>
            <w:noWrap w:val="0"/>
            <w:vAlign w:val="center"/>
          </w:tcPr>
          <w:p w14:paraId="2DFE5F3F">
            <w:pPr>
              <w:widowControl/>
              <w:jc w:val="left"/>
              <w:rPr>
                <w:rFonts w:hint="eastAsia" w:ascii="宋体" w:hAnsi="宋体" w:cs="宋体"/>
                <w:kern w:val="0"/>
                <w:sz w:val="24"/>
              </w:rPr>
            </w:pPr>
            <w:r>
              <w:rPr>
                <w:rFonts w:hint="eastAsia" w:ascii="宋体" w:hAnsi="宋体" w:cs="宋体"/>
                <w:kern w:val="0"/>
                <w:sz w:val="24"/>
              </w:rPr>
              <w:t>10≤X＜100</w:t>
            </w:r>
          </w:p>
        </w:tc>
        <w:tc>
          <w:tcPr>
            <w:tcW w:w="1203" w:type="dxa"/>
            <w:noWrap w:val="0"/>
            <w:vAlign w:val="center"/>
          </w:tcPr>
          <w:p w14:paraId="0B979332">
            <w:pPr>
              <w:widowControl/>
              <w:jc w:val="left"/>
              <w:rPr>
                <w:rFonts w:hint="eastAsia" w:ascii="宋体" w:hAnsi="宋体" w:cs="宋体"/>
                <w:kern w:val="0"/>
                <w:sz w:val="24"/>
              </w:rPr>
            </w:pPr>
            <w:r>
              <w:rPr>
                <w:rFonts w:hint="eastAsia" w:ascii="宋体" w:hAnsi="宋体" w:cs="宋体"/>
                <w:kern w:val="0"/>
                <w:sz w:val="24"/>
              </w:rPr>
              <w:t>X＜10</w:t>
            </w:r>
          </w:p>
        </w:tc>
      </w:tr>
      <w:tr w14:paraId="2B545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9CF1D34">
            <w:pPr>
              <w:widowControl/>
              <w:jc w:val="left"/>
              <w:rPr>
                <w:rFonts w:hint="eastAsia" w:ascii="宋体" w:hAnsi="宋体" w:cs="宋体"/>
                <w:kern w:val="0"/>
                <w:sz w:val="24"/>
              </w:rPr>
            </w:pPr>
          </w:p>
        </w:tc>
        <w:tc>
          <w:tcPr>
            <w:tcW w:w="1560" w:type="dxa"/>
            <w:noWrap w:val="0"/>
            <w:vAlign w:val="center"/>
          </w:tcPr>
          <w:p w14:paraId="18496001">
            <w:pPr>
              <w:widowControl/>
              <w:jc w:val="left"/>
              <w:rPr>
                <w:rFonts w:hint="eastAsia" w:ascii="宋体" w:hAnsi="宋体" w:cs="宋体"/>
                <w:kern w:val="0"/>
                <w:sz w:val="24"/>
              </w:rPr>
            </w:pPr>
            <w:r>
              <w:rPr>
                <w:rFonts w:hint="eastAsia" w:ascii="宋体" w:hAnsi="宋体" w:cs="宋体"/>
                <w:kern w:val="0"/>
                <w:sz w:val="24"/>
              </w:rPr>
              <w:t>资产总额(Z)</w:t>
            </w:r>
          </w:p>
        </w:tc>
        <w:tc>
          <w:tcPr>
            <w:tcW w:w="671" w:type="dxa"/>
            <w:noWrap w:val="0"/>
            <w:vAlign w:val="center"/>
          </w:tcPr>
          <w:p w14:paraId="318B2DAB">
            <w:pPr>
              <w:widowControl/>
              <w:jc w:val="left"/>
              <w:rPr>
                <w:rFonts w:hint="eastAsia" w:ascii="宋体" w:hAnsi="宋体" w:cs="宋体"/>
                <w:kern w:val="0"/>
                <w:sz w:val="24"/>
              </w:rPr>
            </w:pPr>
            <w:r>
              <w:rPr>
                <w:rFonts w:hint="eastAsia" w:ascii="宋体" w:hAnsi="宋体" w:cs="宋体"/>
                <w:kern w:val="0"/>
                <w:sz w:val="24"/>
              </w:rPr>
              <w:t>万元</w:t>
            </w:r>
          </w:p>
        </w:tc>
        <w:tc>
          <w:tcPr>
            <w:tcW w:w="1231" w:type="dxa"/>
            <w:noWrap w:val="0"/>
            <w:vAlign w:val="center"/>
          </w:tcPr>
          <w:p w14:paraId="418F2055">
            <w:pPr>
              <w:widowControl/>
              <w:jc w:val="left"/>
              <w:rPr>
                <w:rFonts w:hint="eastAsia" w:ascii="宋体" w:hAnsi="宋体" w:cs="宋体"/>
                <w:kern w:val="0"/>
                <w:sz w:val="24"/>
              </w:rPr>
            </w:pPr>
            <w:r>
              <w:rPr>
                <w:rFonts w:hint="eastAsia" w:ascii="宋体" w:hAnsi="宋体" w:cs="宋体"/>
                <w:kern w:val="0"/>
                <w:sz w:val="24"/>
              </w:rPr>
              <w:t>Z≥120000</w:t>
            </w:r>
          </w:p>
        </w:tc>
        <w:tc>
          <w:tcPr>
            <w:tcW w:w="1891" w:type="dxa"/>
            <w:noWrap w:val="0"/>
            <w:vAlign w:val="center"/>
          </w:tcPr>
          <w:p w14:paraId="3032AEC5">
            <w:pPr>
              <w:widowControl/>
              <w:jc w:val="left"/>
              <w:rPr>
                <w:rFonts w:hint="eastAsia" w:ascii="宋体" w:hAnsi="宋体" w:cs="宋体"/>
                <w:kern w:val="0"/>
                <w:sz w:val="24"/>
              </w:rPr>
            </w:pPr>
            <w:r>
              <w:rPr>
                <w:rFonts w:hint="eastAsia" w:ascii="宋体" w:hAnsi="宋体" w:cs="宋体"/>
                <w:kern w:val="0"/>
                <w:sz w:val="24"/>
              </w:rPr>
              <w:t>8000≤Z＜120000</w:t>
            </w:r>
          </w:p>
        </w:tc>
        <w:tc>
          <w:tcPr>
            <w:tcW w:w="1730" w:type="dxa"/>
            <w:noWrap w:val="0"/>
            <w:vAlign w:val="center"/>
          </w:tcPr>
          <w:p w14:paraId="0139B2B0">
            <w:pPr>
              <w:widowControl/>
              <w:jc w:val="left"/>
              <w:rPr>
                <w:rFonts w:hint="eastAsia" w:ascii="宋体" w:hAnsi="宋体" w:cs="宋体"/>
                <w:kern w:val="0"/>
                <w:sz w:val="24"/>
              </w:rPr>
            </w:pPr>
            <w:r>
              <w:rPr>
                <w:rFonts w:hint="eastAsia" w:ascii="宋体" w:hAnsi="宋体" w:cs="宋体"/>
                <w:kern w:val="0"/>
                <w:sz w:val="24"/>
              </w:rPr>
              <w:t>100≤Z＜8000</w:t>
            </w:r>
          </w:p>
        </w:tc>
        <w:tc>
          <w:tcPr>
            <w:tcW w:w="1203" w:type="dxa"/>
            <w:noWrap w:val="0"/>
            <w:vAlign w:val="center"/>
          </w:tcPr>
          <w:p w14:paraId="215DDE49">
            <w:pPr>
              <w:widowControl/>
              <w:jc w:val="left"/>
              <w:rPr>
                <w:rFonts w:hint="eastAsia" w:ascii="宋体" w:hAnsi="宋体" w:cs="宋体"/>
                <w:kern w:val="0"/>
                <w:sz w:val="24"/>
              </w:rPr>
            </w:pPr>
            <w:r>
              <w:rPr>
                <w:rFonts w:hint="eastAsia" w:ascii="宋体" w:hAnsi="宋体" w:cs="宋体"/>
                <w:kern w:val="0"/>
                <w:sz w:val="24"/>
              </w:rPr>
              <w:t>Z＜100</w:t>
            </w:r>
          </w:p>
        </w:tc>
      </w:tr>
      <w:tr w14:paraId="45787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12FA666A">
            <w:pPr>
              <w:widowControl/>
              <w:jc w:val="left"/>
              <w:rPr>
                <w:rFonts w:hint="eastAsia" w:ascii="宋体" w:hAnsi="宋体" w:cs="宋体"/>
                <w:kern w:val="0"/>
                <w:sz w:val="24"/>
              </w:rPr>
            </w:pPr>
            <w:r>
              <w:rPr>
                <w:rFonts w:hint="eastAsia" w:ascii="宋体" w:hAnsi="宋体" w:cs="宋体"/>
                <w:kern w:val="0"/>
                <w:sz w:val="24"/>
              </w:rPr>
              <w:t>其他未列明行业 *</w:t>
            </w:r>
          </w:p>
        </w:tc>
        <w:tc>
          <w:tcPr>
            <w:tcW w:w="1560" w:type="dxa"/>
            <w:noWrap w:val="0"/>
            <w:vAlign w:val="center"/>
          </w:tcPr>
          <w:p w14:paraId="7A71813A">
            <w:pPr>
              <w:widowControl/>
              <w:jc w:val="left"/>
              <w:rPr>
                <w:rFonts w:hint="eastAsia" w:ascii="宋体" w:hAnsi="宋体" w:cs="宋体"/>
                <w:kern w:val="0"/>
                <w:sz w:val="24"/>
              </w:rPr>
            </w:pPr>
            <w:r>
              <w:rPr>
                <w:rFonts w:hint="eastAsia" w:ascii="宋体" w:hAnsi="宋体" w:cs="宋体"/>
                <w:kern w:val="0"/>
                <w:sz w:val="24"/>
              </w:rPr>
              <w:t>从业人员(X)</w:t>
            </w:r>
          </w:p>
        </w:tc>
        <w:tc>
          <w:tcPr>
            <w:tcW w:w="671" w:type="dxa"/>
            <w:noWrap w:val="0"/>
            <w:vAlign w:val="center"/>
          </w:tcPr>
          <w:p w14:paraId="2B001D3A">
            <w:pPr>
              <w:widowControl/>
              <w:jc w:val="left"/>
              <w:rPr>
                <w:rFonts w:hint="eastAsia" w:ascii="宋体" w:hAnsi="宋体" w:cs="宋体"/>
                <w:kern w:val="0"/>
                <w:sz w:val="24"/>
              </w:rPr>
            </w:pPr>
            <w:r>
              <w:rPr>
                <w:rFonts w:hint="eastAsia" w:ascii="宋体" w:hAnsi="宋体" w:cs="宋体"/>
                <w:kern w:val="0"/>
                <w:sz w:val="24"/>
              </w:rPr>
              <w:t>人</w:t>
            </w:r>
          </w:p>
        </w:tc>
        <w:tc>
          <w:tcPr>
            <w:tcW w:w="1231" w:type="dxa"/>
            <w:noWrap w:val="0"/>
            <w:vAlign w:val="center"/>
          </w:tcPr>
          <w:p w14:paraId="29E494C1">
            <w:pPr>
              <w:widowControl/>
              <w:jc w:val="left"/>
              <w:rPr>
                <w:rFonts w:hint="eastAsia" w:ascii="宋体" w:hAnsi="宋体" w:cs="宋体"/>
                <w:kern w:val="0"/>
                <w:sz w:val="24"/>
              </w:rPr>
            </w:pPr>
            <w:r>
              <w:rPr>
                <w:rFonts w:hint="eastAsia" w:ascii="宋体" w:hAnsi="宋体" w:cs="宋体"/>
                <w:kern w:val="0"/>
                <w:sz w:val="24"/>
              </w:rPr>
              <w:t>X≥300</w:t>
            </w:r>
          </w:p>
        </w:tc>
        <w:tc>
          <w:tcPr>
            <w:tcW w:w="1891" w:type="dxa"/>
            <w:noWrap w:val="0"/>
            <w:vAlign w:val="center"/>
          </w:tcPr>
          <w:p w14:paraId="688E91CB">
            <w:pPr>
              <w:widowControl/>
              <w:jc w:val="left"/>
              <w:rPr>
                <w:rFonts w:hint="eastAsia" w:ascii="宋体" w:hAnsi="宋体" w:cs="宋体"/>
                <w:kern w:val="0"/>
                <w:sz w:val="24"/>
              </w:rPr>
            </w:pPr>
            <w:r>
              <w:rPr>
                <w:rFonts w:hint="eastAsia" w:ascii="宋体" w:hAnsi="宋体" w:cs="宋体"/>
                <w:kern w:val="0"/>
                <w:sz w:val="24"/>
              </w:rPr>
              <w:t>100≤X＜300</w:t>
            </w:r>
          </w:p>
        </w:tc>
        <w:tc>
          <w:tcPr>
            <w:tcW w:w="1730" w:type="dxa"/>
            <w:noWrap w:val="0"/>
            <w:vAlign w:val="center"/>
          </w:tcPr>
          <w:p w14:paraId="787E591C">
            <w:pPr>
              <w:widowControl/>
              <w:jc w:val="left"/>
              <w:rPr>
                <w:rFonts w:hint="eastAsia" w:ascii="宋体" w:hAnsi="宋体" w:cs="宋体"/>
                <w:kern w:val="0"/>
                <w:sz w:val="24"/>
              </w:rPr>
            </w:pPr>
            <w:r>
              <w:rPr>
                <w:rFonts w:hint="eastAsia" w:ascii="宋体" w:hAnsi="宋体" w:cs="宋体"/>
                <w:kern w:val="0"/>
                <w:sz w:val="24"/>
              </w:rPr>
              <w:t>10≤X＜100</w:t>
            </w:r>
          </w:p>
        </w:tc>
        <w:tc>
          <w:tcPr>
            <w:tcW w:w="1203" w:type="dxa"/>
            <w:noWrap w:val="0"/>
            <w:vAlign w:val="center"/>
          </w:tcPr>
          <w:p w14:paraId="77042504">
            <w:pPr>
              <w:widowControl/>
              <w:jc w:val="left"/>
              <w:rPr>
                <w:rFonts w:hint="eastAsia" w:ascii="宋体" w:hAnsi="宋体" w:cs="宋体"/>
                <w:kern w:val="0"/>
                <w:sz w:val="24"/>
              </w:rPr>
            </w:pPr>
            <w:r>
              <w:rPr>
                <w:rFonts w:hint="eastAsia" w:ascii="宋体" w:hAnsi="宋体" w:cs="宋体"/>
                <w:kern w:val="0"/>
                <w:sz w:val="24"/>
              </w:rPr>
              <w:t>X＜10</w:t>
            </w:r>
          </w:p>
        </w:tc>
      </w:tr>
    </w:tbl>
    <w:p w14:paraId="2B667F26">
      <w:pPr>
        <w:widowControl/>
        <w:shd w:val="clear" w:color="auto" w:fill="FFFFFF"/>
        <w:spacing w:line="420" w:lineRule="atLeast"/>
        <w:jc w:val="left"/>
        <w:textAlignment w:val="baseline"/>
        <w:rPr>
          <w:rFonts w:hint="eastAsia" w:ascii="宋体" w:hAnsi="宋体" w:cs="宋体"/>
          <w:kern w:val="0"/>
          <w:szCs w:val="21"/>
        </w:rPr>
      </w:pPr>
      <w:r>
        <w:rPr>
          <w:rFonts w:hint="eastAsia" w:ascii="宋体" w:hAnsi="宋体" w:cs="宋体"/>
          <w:kern w:val="0"/>
          <w:szCs w:val="21"/>
        </w:rPr>
        <w:t>说明： 　　</w:t>
      </w:r>
    </w:p>
    <w:p w14:paraId="68E57A25">
      <w:pPr>
        <w:widowControl/>
        <w:shd w:val="clear" w:color="auto" w:fill="FFFFFF"/>
        <w:spacing w:line="420" w:lineRule="atLeast"/>
        <w:jc w:val="left"/>
        <w:textAlignment w:val="baseline"/>
        <w:rPr>
          <w:rFonts w:hint="eastAsia" w:ascii="宋体" w:hAnsi="宋体" w:cs="宋体"/>
          <w:kern w:val="0"/>
          <w:szCs w:val="21"/>
        </w:rPr>
      </w:pPr>
      <w:r>
        <w:rPr>
          <w:rFonts w:hint="eastAsia" w:ascii="宋体" w:hAnsi="宋体" w:cs="宋体"/>
          <w:kern w:val="0"/>
          <w:szCs w:val="21"/>
        </w:rPr>
        <w:t>    1.大型、中型和小型企业须同时满足所列指标的下限，否则下划一档；微型企业只须满足所列指标中的一项即可。 　　</w:t>
      </w:r>
    </w:p>
    <w:p w14:paraId="09515475">
      <w:pPr>
        <w:widowControl/>
        <w:shd w:val="clear" w:color="auto" w:fill="FFFFFF"/>
        <w:spacing w:line="420" w:lineRule="atLeast"/>
        <w:jc w:val="left"/>
        <w:textAlignment w:val="baseline"/>
        <w:rPr>
          <w:rFonts w:hint="eastAsia" w:ascii="宋体" w:hAnsi="宋体" w:cs="宋体"/>
          <w:kern w:val="0"/>
          <w:szCs w:val="21"/>
        </w:rPr>
      </w:pPr>
      <w:r>
        <w:rPr>
          <w:rFonts w:hint="eastAsia" w:ascii="宋体" w:hAnsi="宋体" w:cs="宋体"/>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9F1A85F">
      <w:pPr>
        <w:widowControl/>
        <w:shd w:val="clear" w:color="auto" w:fill="FFFFFF"/>
        <w:spacing w:line="420" w:lineRule="atLeast"/>
        <w:jc w:val="left"/>
        <w:textAlignment w:val="baseline"/>
        <w:rPr>
          <w:rFonts w:hint="eastAsia" w:ascii="宋体" w:hAnsi="宋体" w:cs="宋体"/>
          <w:kern w:val="0"/>
          <w:szCs w:val="21"/>
        </w:rPr>
      </w:pPr>
      <w:r>
        <w:rPr>
          <w:rFonts w:hint="eastAsia" w:ascii="宋体" w:hAnsi="宋体" w:cs="宋体"/>
          <w:kern w:val="0"/>
          <w:szCs w:val="21"/>
        </w:rPr>
        <w:t>    3.企业划分指标以现行统计制度为准。</w:t>
      </w:r>
    </w:p>
    <w:p w14:paraId="1640CA78">
      <w:pPr>
        <w:widowControl/>
        <w:shd w:val="clear" w:color="auto" w:fill="FFFFFF"/>
        <w:spacing w:line="420" w:lineRule="atLeast"/>
        <w:jc w:val="left"/>
        <w:textAlignment w:val="baseline"/>
        <w:rPr>
          <w:rFonts w:hint="eastAsia" w:ascii="宋体" w:hAnsi="宋体" w:cs="宋体"/>
          <w:kern w:val="0"/>
          <w:szCs w:val="21"/>
        </w:rPr>
      </w:pPr>
      <w:r>
        <w:rPr>
          <w:rFonts w:hint="eastAsia" w:ascii="宋体" w:hAnsi="宋体" w:cs="宋体"/>
          <w:kern w:val="0"/>
          <w:szCs w:val="21"/>
        </w:rPr>
        <w:t>    （1）从业人员，是指期末从业人员数，没有期末从业人员数的，采用全年平均人员数代替。</w:t>
      </w:r>
    </w:p>
    <w:p w14:paraId="7E69D5CA">
      <w:pPr>
        <w:widowControl/>
        <w:shd w:val="clear" w:color="auto" w:fill="FFFFFF"/>
        <w:spacing w:line="420" w:lineRule="atLeast"/>
        <w:jc w:val="left"/>
        <w:textAlignment w:val="baseline"/>
        <w:rPr>
          <w:rFonts w:hint="eastAsia" w:ascii="宋体" w:hAnsi="宋体" w:cs="宋体"/>
          <w:kern w:val="0"/>
          <w:szCs w:val="21"/>
        </w:rPr>
      </w:pPr>
      <w:r>
        <w:rPr>
          <w:rFonts w:hint="eastAsia" w:ascii="宋体" w:hAnsi="宋体" w:cs="宋体"/>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B3A0333">
      <w:pPr>
        <w:widowControl/>
        <w:shd w:val="clear" w:color="auto" w:fill="FFFFFF"/>
        <w:spacing w:line="420" w:lineRule="atLeast"/>
        <w:jc w:val="left"/>
        <w:textAlignment w:val="baseline"/>
        <w:rPr>
          <w:rFonts w:hint="eastAsia" w:ascii="宋体" w:hAnsi="宋体" w:cs="宋体"/>
          <w:kern w:val="0"/>
          <w:szCs w:val="21"/>
        </w:rPr>
      </w:pPr>
      <w:r>
        <w:rPr>
          <w:rFonts w:hint="eastAsia" w:ascii="宋体" w:hAnsi="宋体" w:cs="宋体"/>
          <w:kern w:val="0"/>
          <w:szCs w:val="21"/>
        </w:rPr>
        <w:t>    （3）资产总额，采用资产总计代替。</w:t>
      </w:r>
    </w:p>
    <w:p w14:paraId="4BA99310">
      <w:pPr>
        <w:widowControl/>
        <w:jc w:val="left"/>
        <w:rPr>
          <w:rFonts w:hint="eastAsia" w:ascii="宋体" w:hAnsi="宋体" w:cs="宋体"/>
          <w:kern w:val="0"/>
          <w:sz w:val="24"/>
        </w:rPr>
      </w:pPr>
    </w:p>
    <w:p w14:paraId="3BB4806B">
      <w:pPr>
        <w:widowControl/>
        <w:jc w:val="left"/>
        <w:rPr>
          <w:rFonts w:hint="eastAsia" w:ascii="宋体" w:hAnsi="宋体" w:cs="宋体"/>
          <w:kern w:val="0"/>
          <w:sz w:val="24"/>
        </w:rPr>
      </w:pPr>
    </w:p>
    <w:p w14:paraId="74F785F4">
      <w:pPr>
        <w:widowControl/>
        <w:shd w:val="clear" w:color="auto" w:fill="FFFFFF"/>
        <w:spacing w:before="150" w:line="600" w:lineRule="atLeast"/>
        <w:jc w:val="center"/>
        <w:textAlignment w:val="baseline"/>
        <w:rPr>
          <w:rFonts w:hint="eastAsia" w:ascii="宋体" w:hAnsi="宋体" w:cs="宋体"/>
          <w:b/>
          <w:bCs/>
          <w:kern w:val="0"/>
          <w:sz w:val="36"/>
          <w:szCs w:val="36"/>
        </w:rPr>
      </w:pPr>
    </w:p>
    <w:p w14:paraId="449C14E3">
      <w:pPr>
        <w:widowControl/>
        <w:shd w:val="clear" w:color="auto" w:fill="FFFFFF"/>
        <w:spacing w:before="150" w:line="600" w:lineRule="atLeast"/>
        <w:jc w:val="center"/>
        <w:textAlignment w:val="baseline"/>
        <w:rPr>
          <w:rFonts w:hint="eastAsia" w:ascii="宋体" w:hAnsi="宋体" w:cs="宋体"/>
          <w:b/>
          <w:bCs/>
          <w:kern w:val="0"/>
          <w:sz w:val="36"/>
          <w:szCs w:val="36"/>
        </w:rPr>
      </w:pPr>
    </w:p>
    <w:p w14:paraId="2392F855">
      <w:pPr>
        <w:widowControl/>
        <w:shd w:val="clear" w:color="auto" w:fill="FFFFFF"/>
        <w:spacing w:before="150" w:line="600" w:lineRule="atLeast"/>
        <w:jc w:val="center"/>
        <w:textAlignment w:val="baseline"/>
        <w:rPr>
          <w:rFonts w:hint="eastAsia" w:ascii="宋体" w:hAnsi="宋体" w:cs="宋体"/>
          <w:b/>
          <w:bCs/>
          <w:kern w:val="0"/>
          <w:sz w:val="36"/>
          <w:szCs w:val="36"/>
        </w:rPr>
      </w:pPr>
    </w:p>
    <w:p w14:paraId="732706E3">
      <w:pPr>
        <w:widowControl/>
        <w:shd w:val="clear" w:color="auto" w:fill="FFFFFF"/>
        <w:spacing w:before="150" w:line="600" w:lineRule="atLeast"/>
        <w:jc w:val="center"/>
        <w:textAlignment w:val="baseline"/>
        <w:rPr>
          <w:rFonts w:hint="eastAsia" w:ascii="宋体" w:hAnsi="宋体" w:cs="宋体"/>
          <w:b/>
          <w:bCs/>
          <w:kern w:val="0"/>
          <w:sz w:val="36"/>
          <w:szCs w:val="36"/>
        </w:rPr>
      </w:pPr>
    </w:p>
    <w:p w14:paraId="5C9CBA52">
      <w:pPr>
        <w:widowControl/>
        <w:shd w:val="clear" w:color="auto" w:fill="FFFFFF"/>
        <w:spacing w:before="150" w:line="600" w:lineRule="atLeast"/>
        <w:textAlignment w:val="baseline"/>
        <w:rPr>
          <w:rFonts w:hint="eastAsia" w:ascii="宋体" w:hAnsi="宋体" w:cs="宋体"/>
          <w:b/>
          <w:bCs/>
          <w:kern w:val="0"/>
          <w:sz w:val="36"/>
          <w:szCs w:val="36"/>
        </w:rPr>
      </w:pPr>
    </w:p>
    <w:p w14:paraId="451D69E3">
      <w:pPr>
        <w:widowControl/>
        <w:shd w:val="clear" w:color="auto" w:fill="FFFFFF"/>
        <w:spacing w:before="150" w:line="600" w:lineRule="atLeast"/>
        <w:textAlignment w:val="baseline"/>
        <w:rPr>
          <w:rFonts w:hint="eastAsia" w:ascii="宋体" w:hAnsi="宋体" w:cs="宋体"/>
          <w:b/>
          <w:bCs/>
          <w:kern w:val="0"/>
          <w:sz w:val="36"/>
          <w:szCs w:val="36"/>
        </w:rPr>
      </w:pPr>
    </w:p>
    <w:p w14:paraId="5BF60256">
      <w:pPr>
        <w:widowControl/>
        <w:shd w:val="clear" w:color="auto" w:fill="FFFFFF"/>
        <w:spacing w:before="150" w:line="600" w:lineRule="atLeast"/>
        <w:textAlignment w:val="baseline"/>
        <w:rPr>
          <w:rFonts w:hint="eastAsia" w:ascii="宋体" w:hAnsi="宋体" w:cs="宋体"/>
          <w:b/>
          <w:bCs/>
          <w:kern w:val="0"/>
          <w:sz w:val="36"/>
          <w:szCs w:val="36"/>
        </w:rPr>
      </w:pPr>
    </w:p>
    <w:p w14:paraId="6CF42CC4">
      <w:pPr>
        <w:widowControl/>
        <w:shd w:val="clear" w:color="auto" w:fill="FFFFFF"/>
        <w:spacing w:before="150" w:line="600" w:lineRule="atLeast"/>
        <w:textAlignment w:val="baseline"/>
        <w:rPr>
          <w:rFonts w:hint="eastAsia" w:ascii="宋体" w:hAnsi="宋体" w:cs="宋体"/>
          <w:b/>
          <w:bCs/>
          <w:kern w:val="0"/>
          <w:sz w:val="36"/>
          <w:szCs w:val="36"/>
        </w:rPr>
      </w:pPr>
      <w:r>
        <w:rPr>
          <w:rFonts w:hint="eastAsia" w:ascii="宋体" w:hAnsi="宋体" w:cs="宋体"/>
          <w:b/>
          <w:bCs/>
          <w:kern w:val="0"/>
          <w:sz w:val="36"/>
          <w:szCs w:val="36"/>
        </w:rPr>
        <w:t>《统计上大中小微型企业划分办法（2017）》修订说明</w:t>
      </w:r>
    </w:p>
    <w:p w14:paraId="4943A9C6">
      <w:pPr>
        <w:widowControl/>
        <w:shd w:val="clear" w:color="auto" w:fill="FFFFFF"/>
        <w:spacing w:before="150" w:line="540" w:lineRule="atLeast"/>
        <w:jc w:val="left"/>
        <w:textAlignment w:val="baseline"/>
        <w:rPr>
          <w:rFonts w:hint="eastAsia" w:ascii="宋体" w:hAnsi="宋体" w:cs="宋体"/>
          <w:b/>
          <w:bCs/>
          <w:kern w:val="0"/>
          <w:sz w:val="27"/>
          <w:szCs w:val="27"/>
        </w:rPr>
      </w:pPr>
      <w:r>
        <w:rPr>
          <w:rFonts w:hint="eastAsia" w:ascii="宋体" w:hAnsi="宋体" w:cs="宋体"/>
          <w:b/>
          <w:bCs/>
          <w:kern w:val="0"/>
          <w:sz w:val="27"/>
          <w:szCs w:val="27"/>
        </w:rPr>
        <w:t>一、修订背景</w:t>
      </w:r>
    </w:p>
    <w:p w14:paraId="620291AB">
      <w:pPr>
        <w:widowControl/>
        <w:shd w:val="clear" w:color="auto" w:fill="FFFFFF"/>
        <w:spacing w:before="150" w:line="420" w:lineRule="atLeast"/>
        <w:jc w:val="left"/>
        <w:textAlignment w:val="baseline"/>
        <w:rPr>
          <w:rFonts w:hint="eastAsia" w:ascii="宋体" w:hAnsi="宋体" w:cs="宋体"/>
          <w:kern w:val="0"/>
          <w:szCs w:val="21"/>
        </w:rPr>
      </w:pPr>
      <w:r>
        <w:rPr>
          <w:rFonts w:hint="eastAsia" w:ascii="宋体" w:hAnsi="宋体" w:cs="宋体"/>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0B0C6170">
      <w:pPr>
        <w:widowControl/>
        <w:shd w:val="clear" w:color="auto" w:fill="FFFFFF"/>
        <w:spacing w:before="150" w:line="420" w:lineRule="atLeast"/>
        <w:jc w:val="left"/>
        <w:textAlignment w:val="baseline"/>
        <w:rPr>
          <w:rFonts w:hint="eastAsia" w:ascii="宋体" w:hAnsi="宋体" w:cs="宋体"/>
          <w:kern w:val="0"/>
          <w:szCs w:val="21"/>
        </w:rPr>
      </w:pPr>
      <w:r>
        <w:rPr>
          <w:rFonts w:hint="eastAsia" w:ascii="宋体" w:hAnsi="宋体" w:cs="宋体"/>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981E9AC">
      <w:pPr>
        <w:widowControl/>
        <w:shd w:val="clear" w:color="auto" w:fill="FFFFFF"/>
        <w:spacing w:before="150" w:line="540" w:lineRule="atLeast"/>
        <w:jc w:val="left"/>
        <w:textAlignment w:val="baseline"/>
        <w:rPr>
          <w:rFonts w:hint="eastAsia" w:ascii="宋体" w:hAnsi="宋体" w:cs="宋体"/>
          <w:b/>
          <w:bCs/>
          <w:kern w:val="0"/>
          <w:sz w:val="27"/>
          <w:szCs w:val="27"/>
        </w:rPr>
      </w:pPr>
      <w:r>
        <w:rPr>
          <w:rFonts w:hint="eastAsia" w:ascii="宋体" w:hAnsi="宋体" w:cs="宋体"/>
          <w:b/>
          <w:bCs/>
          <w:kern w:val="0"/>
          <w:sz w:val="27"/>
          <w:szCs w:val="27"/>
        </w:rPr>
        <w:t>二、修订主要内容</w:t>
      </w:r>
    </w:p>
    <w:p w14:paraId="15589FA1">
      <w:pPr>
        <w:widowControl/>
        <w:shd w:val="clear" w:color="auto" w:fill="FFFFFF"/>
        <w:spacing w:before="150" w:line="420" w:lineRule="atLeast"/>
        <w:jc w:val="left"/>
        <w:textAlignment w:val="baseline"/>
        <w:rPr>
          <w:rFonts w:hint="eastAsia" w:ascii="宋体" w:hAnsi="宋体" w:cs="宋体"/>
          <w:kern w:val="0"/>
          <w:szCs w:val="21"/>
        </w:rPr>
      </w:pPr>
      <w:r>
        <w:rPr>
          <w:rFonts w:hint="eastAsia" w:ascii="宋体" w:hAnsi="宋体" w:cs="宋体"/>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FF03488">
      <w:pPr>
        <w:widowControl/>
        <w:shd w:val="clear" w:color="auto" w:fill="FFFFFF"/>
        <w:spacing w:before="150" w:line="420" w:lineRule="atLeast"/>
        <w:jc w:val="left"/>
        <w:textAlignment w:val="baseline"/>
        <w:rPr>
          <w:rFonts w:hint="eastAsia" w:ascii="宋体" w:hAnsi="宋体" w:cs="宋体"/>
          <w:kern w:val="0"/>
          <w:szCs w:val="21"/>
        </w:rPr>
      </w:pPr>
      <w:r>
        <w:rPr>
          <w:rFonts w:hint="eastAsia" w:ascii="宋体" w:hAnsi="宋体" w:cs="宋体"/>
          <w:kern w:val="0"/>
          <w:szCs w:val="21"/>
        </w:rPr>
        <w:t>    将交通运输业中包括的“装卸搬运和运输代理业”修改为“多式联运和运输代理业、装卸搬运”。</w:t>
      </w:r>
    </w:p>
    <w:p w14:paraId="3FEC43BB">
      <w:pPr>
        <w:widowControl/>
        <w:shd w:val="clear" w:color="auto" w:fill="FFFFFF"/>
        <w:spacing w:before="150" w:line="420" w:lineRule="atLeast"/>
        <w:jc w:val="left"/>
        <w:textAlignment w:val="baseline"/>
        <w:rPr>
          <w:rFonts w:hint="eastAsia" w:ascii="宋体" w:hAnsi="宋体" w:cs="宋体"/>
          <w:kern w:val="0"/>
          <w:szCs w:val="21"/>
        </w:rPr>
      </w:pPr>
      <w:r>
        <w:rPr>
          <w:rFonts w:hint="eastAsia" w:ascii="宋体" w:hAnsi="宋体" w:cs="宋体"/>
          <w:kern w:val="0"/>
          <w:szCs w:val="21"/>
        </w:rPr>
        <w:t>    仓储业所包括的行业中类，根据《国民经济行业分类》（GB/T4754—2017）调整为“通用仓储，低温仓储，危险品仓储，谷物、棉花等农产品仓储，中药材仓储和其他仓储业”。</w:t>
      </w:r>
    </w:p>
    <w:p w14:paraId="6005A618">
      <w:pPr>
        <w:widowControl/>
        <w:jc w:val="left"/>
        <w:rPr>
          <w:rFonts w:hint="eastAsia" w:ascii="宋体" w:hAnsi="宋体" w:cs="宋体"/>
          <w:kern w:val="0"/>
          <w:sz w:val="18"/>
          <w:szCs w:val="18"/>
        </w:rPr>
      </w:pPr>
    </w:p>
    <w:p w14:paraId="4703F9FE"/>
    <w:p w14:paraId="6A06DC29"/>
    <w:sectPr>
      <w:headerReference r:id="rId12" w:type="default"/>
      <w:footerReference r:id="rId13" w:type="default"/>
      <w:type w:val="continuous"/>
      <w:pgSz w:w="11906" w:h="16838"/>
      <w:pgMar w:top="1440" w:right="1169" w:bottom="1440" w:left="1797" w:header="851" w:footer="992" w:gutter="0"/>
      <w:pgBorders>
        <w:top w:val="none" w:sz="0" w:space="0"/>
        <w:left w:val="none" w:sz="0" w:space="0"/>
        <w:bottom w:val="none" w:sz="0" w:space="0"/>
        <w:right w:val="none" w:sz="0" w:space="0"/>
      </w:pgBorders>
      <w:cols w:space="72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0052C">
    <w:pPr>
      <w:pStyle w:val="19"/>
      <w:jc w:val="center"/>
    </w:pPr>
    <w:r>
      <w:rPr>
        <w:rFonts w:hint="eastAsia"/>
        <w:lang w:eastAsia="zh-CN"/>
      </w:rPr>
      <w:t>浙江五石中正工程咨询有限公司衢州分公司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D2041">
    <w:pPr>
      <w:pStyle w:val="19"/>
      <w:ind w:right="360"/>
      <w:jc w:val="center"/>
      <w:rPr>
        <w:rFonts w:hint="eastAsia" w:eastAsia="黑体"/>
        <w:lang w:eastAsia="zh-CN"/>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E3FC7D">
                          <w:pPr>
                            <w:pStyle w:val="19"/>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tWvccBAACd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ljtWvccBAACdAwAADgAAAAAAAAABACAAAAAeAQAAZHJzL2Uyb0RvYy54&#10;bWxQSwUGAAAAAAYABgBZAQAAVwUAAAAA&#10;">
              <v:fill on="f" focussize="0,0"/>
              <v:stroke on="f"/>
              <v:imagedata o:title=""/>
              <o:lock v:ext="edit" aspectratio="f"/>
              <v:textbox inset="0mm,0mm,0mm,0mm" style="mso-fit-shape-to-text:t;">
                <w:txbxContent>
                  <w:p w14:paraId="02E3FC7D">
                    <w:pPr>
                      <w:pStyle w:val="19"/>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r>
      <w:rPr>
        <w:rFonts w:hint="eastAsia"/>
        <w:lang w:eastAsia="zh-CN"/>
      </w:rPr>
      <w:t>浙江五石中正工程咨询有限公司衢州分公司</w:t>
    </w:r>
  </w:p>
  <w:p w14:paraId="78FD61B4">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1D0C">
    <w:pPr>
      <w:pStyle w:val="19"/>
      <w:ind w:right="360" w:firstLine="360"/>
      <w:jc w:val="center"/>
    </w:pPr>
    <w:r>
      <w:rPr>
        <w:rFonts w:hint="eastAsia"/>
        <w:lang w:eastAsia="zh-CN"/>
      </w:rPr>
      <w:t>浙江五石中正工程咨询有限公司衢州分公司</w: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10378D">
                          <w:pPr>
                            <w:pStyle w:val="1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610378D">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4911">
    <w:pPr>
      <w:pStyle w:val="19"/>
      <w:ind w:right="360"/>
      <w:jc w:val="center"/>
      <w:rPr>
        <w:rFonts w:hint="eastAsia" w:eastAsia="黑体"/>
        <w:lang w:eastAsia="zh-CN"/>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4F670A">
                          <w:pPr>
                            <w:pStyle w:val="19"/>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394F670A">
                    <w:pPr>
                      <w:pStyle w:val="19"/>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lang w:eastAsia="zh-CN"/>
      </w:rPr>
      <w:t>浙江五石中正工程咨询有限公司衢州分公司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611A">
    <w:pPr>
      <w:pStyle w:val="19"/>
      <w:ind w:right="360"/>
      <w:jc w:val="center"/>
      <w:rPr>
        <w:rFonts w:hint="eastAsia" w:eastAsia="黑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C8032">
                          <w:pPr>
                            <w:pStyle w:val="1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9C8032">
                    <w:pPr>
                      <w:pStyle w:val="19"/>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lang w:eastAsia="zh-CN"/>
      </w:rPr>
      <w:t>浙江五石中正工程咨询有限公司衢州分公司</w:t>
    </w:r>
  </w:p>
  <w:p w14:paraId="09BF6B0C">
    <w:pPr>
      <w:pStyle w:val="19"/>
      <w:tabs>
        <w:tab w:val="left" w:pos="7004"/>
        <w:tab w:val="clear" w:pos="4153"/>
      </w:tabs>
      <w:rPr>
        <w:rFonts w:hint="eastAsia" w:eastAsia="黑体"/>
        <w:lang w:eastAsia="zh-CN"/>
      </w:rPr>
    </w:pP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E8563">
    <w:pPr>
      <w:pStyle w:val="19"/>
      <w:ind w:right="720" w:firstLine="180" w:firstLineChars="100"/>
      <w:jc w:val="center"/>
      <w:rPr>
        <w:rFonts w:hint="eastAsia" w:eastAsia="黑体"/>
        <w:lang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ECD57A">
                          <w:pPr>
                            <w:pStyle w:val="19"/>
                            <w:rPr>
                              <w:rFonts w:eastAsia="宋体"/>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7BECD57A">
                    <w:pPr>
                      <w:pStyle w:val="19"/>
                      <w:rPr>
                        <w:rFonts w:eastAsia="宋体"/>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r>
      <w:rPr>
        <w:rFonts w:hint="eastAsia"/>
        <w:lang w:eastAsia="zh-CN"/>
      </w:rPr>
      <w:t>浙江五石中正工程咨询有限公司衢州分公司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269D3">
    <w:pPr>
      <w:pStyle w:val="20"/>
      <w:rPr>
        <w:rFonts w:ascii="宋体" w:hAnsi="宋体" w:cs="宋体"/>
        <w:b/>
        <w:bCs/>
        <w:sz w:val="21"/>
        <w:szCs w:val="21"/>
      </w:rPr>
    </w:pPr>
    <w:r>
      <w:rPr>
        <w:rFonts w:hint="eastAsia" w:ascii="宋体" w:hAnsi="宋体" w:cs="宋体"/>
        <w:b/>
        <w:bCs/>
        <w:sz w:val="21"/>
        <w:szCs w:val="21"/>
        <w:lang w:eastAsia="zh-CN"/>
      </w:rPr>
      <w:t>信息安全运维服务项目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52C7">
    <w:pPr>
      <w:pStyle w:val="20"/>
      <w:rPr>
        <w:rFonts w:ascii="宋体" w:hAnsi="宋体" w:eastAsia="宋体" w:cs="宋体"/>
        <w:b/>
        <w:bCs/>
        <w:sz w:val="24"/>
        <w:u w:val="single"/>
      </w:rPr>
    </w:pPr>
    <w:r>
      <w:rPr>
        <w:rFonts w:hint="eastAsia" w:ascii="宋体" w:hAnsi="宋体" w:cs="宋体"/>
        <w:b/>
        <w:bCs/>
        <w:sz w:val="21"/>
        <w:szCs w:val="21"/>
        <w:lang w:eastAsia="zh-CN"/>
      </w:rPr>
      <w:t>医院检验外送检测服务项目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A3A16">
    <w:pPr>
      <w:pStyle w:val="20"/>
      <w:rPr>
        <w:rFonts w:ascii="宋体" w:hAnsi="宋体" w:cs="宋体"/>
        <w:b/>
        <w:bCs/>
        <w:sz w:val="21"/>
        <w:szCs w:val="21"/>
      </w:rPr>
    </w:pPr>
    <w:r>
      <w:rPr>
        <w:rFonts w:hint="eastAsia" w:ascii="宋体" w:hAnsi="宋体" w:cs="宋体"/>
        <w:b/>
        <w:bCs/>
        <w:sz w:val="21"/>
        <w:szCs w:val="21"/>
        <w:lang w:eastAsia="zh-CN"/>
      </w:rPr>
      <w:t>信息安全运维服务项目</w:t>
    </w:r>
  </w:p>
  <w:p w14:paraId="0D3139AE">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B0C5">
    <w:pPr>
      <w:pStyle w:val="20"/>
      <w:rPr>
        <w:rFonts w:ascii="宋体" w:hAnsi="宋体" w:cs="宋体"/>
        <w:b/>
        <w:bCs/>
        <w:sz w:val="21"/>
        <w:szCs w:val="21"/>
      </w:rPr>
    </w:pPr>
    <w:r>
      <w:rPr>
        <w:rFonts w:hint="eastAsia" w:ascii="宋体" w:hAnsi="宋体" w:cs="宋体"/>
        <w:b/>
        <w:bCs/>
        <w:sz w:val="21"/>
        <w:szCs w:val="21"/>
        <w:lang w:eastAsia="zh-CN"/>
      </w:rPr>
      <w:t>信息安全运维服务项目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A27BC">
    <w:pPr>
      <w:pStyle w:val="20"/>
      <w:rPr>
        <w:rFonts w:ascii="宋体" w:hAnsi="宋体" w:cs="宋体"/>
        <w:b/>
        <w:bCs/>
        <w:sz w:val="21"/>
        <w:szCs w:val="21"/>
      </w:rPr>
    </w:pPr>
    <w:r>
      <w:rPr>
        <w:rFonts w:hint="eastAsia" w:ascii="宋体" w:hAnsi="宋体" w:cs="宋体"/>
        <w:b/>
        <w:bCs/>
        <w:sz w:val="21"/>
        <w:szCs w:val="21"/>
        <w:lang w:eastAsia="zh-CN"/>
      </w:rPr>
      <w:t>信息安全运维服务项目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CEF20"/>
    <w:multiLevelType w:val="singleLevel"/>
    <w:tmpl w:val="96CCEF20"/>
    <w:lvl w:ilvl="0" w:tentative="0">
      <w:start w:val="1"/>
      <w:numFmt w:val="decimal"/>
      <w:suff w:val="nothing"/>
      <w:lvlText w:val="%1、"/>
      <w:lvlJc w:val="left"/>
    </w:lvl>
  </w:abstractNum>
  <w:abstractNum w:abstractNumId="1">
    <w:nsid w:val="9CCF384F"/>
    <w:multiLevelType w:val="singleLevel"/>
    <w:tmpl w:val="9CCF384F"/>
    <w:lvl w:ilvl="0" w:tentative="0">
      <w:start w:val="5"/>
      <w:numFmt w:val="chineseCounting"/>
      <w:suff w:val="space"/>
      <w:lvlText w:val="第%1章"/>
      <w:lvlJc w:val="left"/>
      <w:rPr>
        <w:rFonts w:hint="eastAsia"/>
      </w:rPr>
    </w:lvl>
  </w:abstractNum>
  <w:abstractNum w:abstractNumId="2">
    <w:nsid w:val="A9F97AF1"/>
    <w:multiLevelType w:val="singleLevel"/>
    <w:tmpl w:val="A9F97AF1"/>
    <w:lvl w:ilvl="0" w:tentative="0">
      <w:start w:val="2"/>
      <w:numFmt w:val="chineseCounting"/>
      <w:suff w:val="nothing"/>
      <w:lvlText w:val="%1、"/>
      <w:lvlJc w:val="left"/>
      <w:rPr>
        <w:rFonts w:hint="eastAsia"/>
      </w:rPr>
    </w:lvl>
  </w:abstractNum>
  <w:abstractNum w:abstractNumId="3">
    <w:nsid w:val="CA8BB5BD"/>
    <w:multiLevelType w:val="singleLevel"/>
    <w:tmpl w:val="CA8BB5BD"/>
    <w:lvl w:ilvl="0" w:tentative="0">
      <w:start w:val="1"/>
      <w:numFmt w:val="decimal"/>
      <w:lvlText w:val="%1."/>
      <w:lvlJc w:val="left"/>
      <w:pPr>
        <w:tabs>
          <w:tab w:val="left" w:pos="312"/>
        </w:tabs>
      </w:pPr>
    </w:lvl>
  </w:abstractNum>
  <w:abstractNum w:abstractNumId="4">
    <w:nsid w:val="D4FA1C4D"/>
    <w:multiLevelType w:val="singleLevel"/>
    <w:tmpl w:val="D4FA1C4D"/>
    <w:lvl w:ilvl="0" w:tentative="0">
      <w:start w:val="1"/>
      <w:numFmt w:val="decimal"/>
      <w:suff w:val="nothing"/>
      <w:lvlText w:val="（%1）"/>
      <w:lvlJc w:val="left"/>
    </w:lvl>
  </w:abstractNum>
  <w:abstractNum w:abstractNumId="5">
    <w:nsid w:val="E20347C9"/>
    <w:multiLevelType w:val="multilevel"/>
    <w:tmpl w:val="E20347C9"/>
    <w:lvl w:ilvl="0" w:tentative="0">
      <w:start w:val="1"/>
      <w:numFmt w:val="chineseCounting"/>
      <w:suff w:val="nothing"/>
      <w:lvlText w:val="第%1章 "/>
      <w:lvlJc w:val="left"/>
      <w:pPr>
        <w:tabs>
          <w:tab w:val="left" w:pos="420"/>
        </w:tabs>
        <w:ind w:left="425" w:hanging="425"/>
      </w:pPr>
      <w:rPr>
        <w:rFonts w:hint="eastAsia"/>
      </w:rPr>
    </w:lvl>
    <w:lvl w:ilvl="1" w:tentative="0">
      <w:start w:val="1"/>
      <w:numFmt w:val="decimal"/>
      <w:isLgl/>
      <w:lvlText w:val="%1.%2"/>
      <w:lvlJc w:val="left"/>
      <w:pPr>
        <w:tabs>
          <w:tab w:val="left" w:pos="420"/>
        </w:tabs>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pStyle w:val="6"/>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6">
    <w:nsid w:val="EB4BE631"/>
    <w:multiLevelType w:val="singleLevel"/>
    <w:tmpl w:val="EB4BE631"/>
    <w:lvl w:ilvl="0" w:tentative="0">
      <w:start w:val="1"/>
      <w:numFmt w:val="decimal"/>
      <w:lvlText w:val="%1."/>
      <w:lvlJc w:val="left"/>
      <w:pPr>
        <w:tabs>
          <w:tab w:val="left" w:pos="312"/>
        </w:tabs>
      </w:pPr>
    </w:lvl>
  </w:abstractNum>
  <w:abstractNum w:abstractNumId="7">
    <w:nsid w:val="EFFE6432"/>
    <w:multiLevelType w:val="singleLevel"/>
    <w:tmpl w:val="EFFE6432"/>
    <w:lvl w:ilvl="0" w:tentative="0">
      <w:start w:val="1"/>
      <w:numFmt w:val="decimal"/>
      <w:suff w:val="nothing"/>
      <w:lvlText w:val="%1、"/>
      <w:lvlJc w:val="left"/>
    </w:lvl>
  </w:abstractNum>
  <w:abstractNum w:abstractNumId="8">
    <w:nsid w:val="FBB4CFF8"/>
    <w:multiLevelType w:val="multilevel"/>
    <w:tmpl w:val="FBB4CFF8"/>
    <w:lvl w:ilvl="0" w:tentative="0">
      <w:start w:val="1"/>
      <w:numFmt w:val="decimal"/>
      <w:suff w:val="space"/>
      <w:lvlText w:val="第%1章"/>
      <w:lvlJc w:val="left"/>
      <w:pPr>
        <w:ind w:left="0" w:firstLine="0"/>
      </w:pPr>
      <w:rPr>
        <w:rFonts w:hint="eastAsia"/>
        <w:lang w:val="en-US"/>
      </w:rPr>
    </w:lvl>
    <w:lvl w:ilvl="1" w:tentative="0">
      <w:start w:val="1"/>
      <w:numFmt w:val="decimal"/>
      <w:suff w:val="space"/>
      <w:lvlText w:val="%1.%2"/>
      <w:lvlJc w:val="left"/>
      <w:pPr>
        <w:tabs>
          <w:tab w:val="left" w:pos="0"/>
        </w:tabs>
        <w:ind w:left="710" w:hanging="710"/>
      </w:pPr>
      <w:rPr>
        <w:rFonts w:hint="default" w:cs="Times New Roman"/>
        <w:i w:val="0"/>
        <w:iCs w:val="0"/>
        <w:caps w:val="0"/>
        <w:smallCaps w:val="0"/>
        <w:strike w:val="0"/>
        <w:dstrike w:val="0"/>
        <w:vanish w:val="0"/>
        <w:spacing w:val="0"/>
        <w:position w:val="0"/>
        <w:u w:val="none"/>
        <w:vertAlign w:val="baseline"/>
      </w:rPr>
    </w:lvl>
    <w:lvl w:ilvl="2" w:tentative="0">
      <w:start w:val="1"/>
      <w:numFmt w:val="decimal"/>
      <w:suff w:val="space"/>
      <w:lvlText w:val="%1.%2.%3"/>
      <w:lvlJc w:val="left"/>
      <w:pPr>
        <w:tabs>
          <w:tab w:val="left" w:pos="0"/>
        </w:tabs>
        <w:ind w:left="1419" w:hanging="1419"/>
      </w:pPr>
      <w:rPr>
        <w:rFonts w:hint="default" w:cs="Times New Roman"/>
        <w:i w:val="0"/>
        <w:iCs w:val="0"/>
        <w:caps w:val="0"/>
        <w:smallCaps w:val="0"/>
        <w:strike w:val="0"/>
        <w:dstrike w:val="0"/>
        <w:vanish w:val="0"/>
        <w:spacing w:val="0"/>
        <w:position w:val="0"/>
        <w:u w:val="none"/>
        <w:vertAlign w:val="baseline"/>
      </w:rPr>
    </w:lvl>
    <w:lvl w:ilvl="3" w:tentative="0">
      <w:start w:val="1"/>
      <w:numFmt w:val="decimal"/>
      <w:suff w:val="nothing"/>
      <w:lvlText w:val="%1.%2.%3.%4"/>
      <w:lvlJc w:val="left"/>
      <w:pPr>
        <w:tabs>
          <w:tab w:val="left" w:pos="0"/>
        </w:tabs>
        <w:ind w:left="0" w:firstLine="0"/>
      </w:pPr>
      <w:rPr>
        <w:rFonts w:hint="default"/>
        <w:color w:val="auto"/>
      </w:rPr>
    </w:lvl>
    <w:lvl w:ilvl="4" w:tentative="0">
      <w:start w:val="1"/>
      <w:numFmt w:val="decimal"/>
      <w:pStyle w:val="8"/>
      <w:suff w:val="space"/>
      <w:lvlText w:val="（%5）"/>
      <w:lvlJc w:val="left"/>
      <w:pPr>
        <w:tabs>
          <w:tab w:val="left" w:pos="0"/>
        </w:tabs>
        <w:ind w:left="1134" w:hanging="850"/>
      </w:pPr>
      <w:rPr>
        <w:rFonts w:hint="default"/>
      </w:rPr>
    </w:lvl>
    <w:lvl w:ilvl="5" w:tentative="0">
      <w:start w:val="1"/>
      <w:numFmt w:val="upperLetter"/>
      <w:suff w:val="space"/>
      <w:lvlText w:val="%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FFFF613F"/>
    <w:multiLevelType w:val="singleLevel"/>
    <w:tmpl w:val="FFFF613F"/>
    <w:lvl w:ilvl="0" w:tentative="0">
      <w:start w:val="1"/>
      <w:numFmt w:val="decimal"/>
      <w:suff w:val="nothing"/>
      <w:lvlText w:val="%1、"/>
      <w:lvlJc w:val="left"/>
    </w:lvl>
  </w:abstractNum>
  <w:abstractNum w:abstractNumId="10">
    <w:nsid w:val="00000003"/>
    <w:multiLevelType w:val="singleLevel"/>
    <w:tmpl w:val="00000003"/>
    <w:lvl w:ilvl="0" w:tentative="0">
      <w:start w:val="1"/>
      <w:numFmt w:val="chineseCounting"/>
      <w:suff w:val="nothing"/>
      <w:lvlText w:val="%1、"/>
      <w:lvlJc w:val="left"/>
    </w:lvl>
  </w:abstractNum>
  <w:abstractNum w:abstractNumId="11">
    <w:nsid w:val="00000008"/>
    <w:multiLevelType w:val="singleLevel"/>
    <w:tmpl w:val="00000008"/>
    <w:lvl w:ilvl="0" w:tentative="0">
      <w:start w:val="3"/>
      <w:numFmt w:val="chineseCounting"/>
      <w:suff w:val="nothing"/>
      <w:lvlText w:val="%1、"/>
      <w:lvlJc w:val="left"/>
    </w:lvl>
  </w:abstractNum>
  <w:abstractNum w:abstractNumId="12">
    <w:nsid w:val="0DE55648"/>
    <w:multiLevelType w:val="singleLevel"/>
    <w:tmpl w:val="0DE55648"/>
    <w:lvl w:ilvl="0" w:tentative="0">
      <w:start w:val="1"/>
      <w:numFmt w:val="decimal"/>
      <w:suff w:val="nothing"/>
      <w:lvlText w:val="%1、"/>
      <w:lvlJc w:val="left"/>
    </w:lvl>
  </w:abstractNum>
  <w:abstractNum w:abstractNumId="13">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4">
    <w:nsid w:val="7B588253"/>
    <w:multiLevelType w:val="singleLevel"/>
    <w:tmpl w:val="7B588253"/>
    <w:lvl w:ilvl="0" w:tentative="0">
      <w:start w:val="1"/>
      <w:numFmt w:val="decimal"/>
      <w:pStyle w:val="11"/>
      <w:lvlText w:val="%1."/>
      <w:lvlJc w:val="left"/>
      <w:pPr>
        <w:tabs>
          <w:tab w:val="left" w:pos="360"/>
        </w:tabs>
        <w:ind w:left="360" w:hanging="360"/>
      </w:pPr>
    </w:lvl>
  </w:abstractNum>
  <w:num w:numId="1">
    <w:abstractNumId w:val="5"/>
  </w:num>
  <w:num w:numId="2">
    <w:abstractNumId w:val="8"/>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7"/>
  </w:num>
  <w:num w:numId="8">
    <w:abstractNumId w:val="12"/>
  </w:num>
  <w:num w:numId="9">
    <w:abstractNumId w:val="9"/>
  </w:num>
  <w:num w:numId="10">
    <w:abstractNumId w:val="0"/>
  </w:num>
  <w:num w:numId="11">
    <w:abstractNumId w:val="1"/>
  </w:num>
  <w:num w:numId="12">
    <w:abstractNumId w:val="2"/>
  </w:num>
  <w:num w:numId="13">
    <w:abstractNumId w:val="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jg3ODhmNjk1NjQ2ZjFkNmZmM2NjN2VjOGVlOWMifQ=="/>
  </w:docVars>
  <w:rsids>
    <w:rsidRoot w:val="00000000"/>
    <w:rsid w:val="00180788"/>
    <w:rsid w:val="001D58C3"/>
    <w:rsid w:val="00245594"/>
    <w:rsid w:val="00315C18"/>
    <w:rsid w:val="00382DEE"/>
    <w:rsid w:val="003F2954"/>
    <w:rsid w:val="00442CAF"/>
    <w:rsid w:val="004B3D42"/>
    <w:rsid w:val="00515C5E"/>
    <w:rsid w:val="005B7FE4"/>
    <w:rsid w:val="005F0BED"/>
    <w:rsid w:val="00640DA3"/>
    <w:rsid w:val="00643BE3"/>
    <w:rsid w:val="00651537"/>
    <w:rsid w:val="006D6F3B"/>
    <w:rsid w:val="007759E0"/>
    <w:rsid w:val="007B7CC8"/>
    <w:rsid w:val="0089189B"/>
    <w:rsid w:val="00951FEE"/>
    <w:rsid w:val="009931E2"/>
    <w:rsid w:val="009A5857"/>
    <w:rsid w:val="009E70F5"/>
    <w:rsid w:val="00B20DF2"/>
    <w:rsid w:val="00BA7CA7"/>
    <w:rsid w:val="00C564E6"/>
    <w:rsid w:val="00C85F20"/>
    <w:rsid w:val="00CD3AEB"/>
    <w:rsid w:val="00CD79DA"/>
    <w:rsid w:val="00D64AE1"/>
    <w:rsid w:val="00D743B5"/>
    <w:rsid w:val="00DE1A7A"/>
    <w:rsid w:val="00FC501F"/>
    <w:rsid w:val="0100390C"/>
    <w:rsid w:val="01006779"/>
    <w:rsid w:val="010A6538"/>
    <w:rsid w:val="0118690F"/>
    <w:rsid w:val="011A3F34"/>
    <w:rsid w:val="012313A8"/>
    <w:rsid w:val="012515C4"/>
    <w:rsid w:val="012B64AF"/>
    <w:rsid w:val="013209AD"/>
    <w:rsid w:val="0143304E"/>
    <w:rsid w:val="014B3038"/>
    <w:rsid w:val="015C48BA"/>
    <w:rsid w:val="016A190C"/>
    <w:rsid w:val="017577D0"/>
    <w:rsid w:val="01806516"/>
    <w:rsid w:val="01827286"/>
    <w:rsid w:val="018A2655"/>
    <w:rsid w:val="018F2DF5"/>
    <w:rsid w:val="01A26771"/>
    <w:rsid w:val="01A3073B"/>
    <w:rsid w:val="01A7043C"/>
    <w:rsid w:val="01AD5116"/>
    <w:rsid w:val="01AF62C3"/>
    <w:rsid w:val="01B100BC"/>
    <w:rsid w:val="01B36BD0"/>
    <w:rsid w:val="01B83F92"/>
    <w:rsid w:val="01D7751B"/>
    <w:rsid w:val="01DD59FB"/>
    <w:rsid w:val="01E70628"/>
    <w:rsid w:val="01F757C0"/>
    <w:rsid w:val="01FA7DAA"/>
    <w:rsid w:val="020016E9"/>
    <w:rsid w:val="02101F44"/>
    <w:rsid w:val="02186A33"/>
    <w:rsid w:val="02385327"/>
    <w:rsid w:val="023A530D"/>
    <w:rsid w:val="02522030"/>
    <w:rsid w:val="025A704C"/>
    <w:rsid w:val="027520D7"/>
    <w:rsid w:val="02832A46"/>
    <w:rsid w:val="02866093"/>
    <w:rsid w:val="028916DF"/>
    <w:rsid w:val="02924A37"/>
    <w:rsid w:val="029A7D90"/>
    <w:rsid w:val="029C1412"/>
    <w:rsid w:val="02A209F3"/>
    <w:rsid w:val="02A36C44"/>
    <w:rsid w:val="02BF3353"/>
    <w:rsid w:val="02C0446B"/>
    <w:rsid w:val="02C9118C"/>
    <w:rsid w:val="02D05560"/>
    <w:rsid w:val="02DE7C7D"/>
    <w:rsid w:val="02E02D8D"/>
    <w:rsid w:val="02EA4873"/>
    <w:rsid w:val="02F54FC6"/>
    <w:rsid w:val="02F7260F"/>
    <w:rsid w:val="02F72AEC"/>
    <w:rsid w:val="030E7E36"/>
    <w:rsid w:val="03326801"/>
    <w:rsid w:val="03333B32"/>
    <w:rsid w:val="033755DF"/>
    <w:rsid w:val="033E4BBF"/>
    <w:rsid w:val="034026E5"/>
    <w:rsid w:val="03486E5D"/>
    <w:rsid w:val="034877EC"/>
    <w:rsid w:val="034B4BE6"/>
    <w:rsid w:val="034D095E"/>
    <w:rsid w:val="035B12CD"/>
    <w:rsid w:val="0370574B"/>
    <w:rsid w:val="03804EC3"/>
    <w:rsid w:val="0382186E"/>
    <w:rsid w:val="038460A9"/>
    <w:rsid w:val="038A15DD"/>
    <w:rsid w:val="038A1BB2"/>
    <w:rsid w:val="03914CEF"/>
    <w:rsid w:val="03960557"/>
    <w:rsid w:val="039F3234"/>
    <w:rsid w:val="03A26EFC"/>
    <w:rsid w:val="03B1713F"/>
    <w:rsid w:val="03B95FF4"/>
    <w:rsid w:val="03C50E3C"/>
    <w:rsid w:val="03C95805"/>
    <w:rsid w:val="03CC64F1"/>
    <w:rsid w:val="03D60954"/>
    <w:rsid w:val="03DD1CE2"/>
    <w:rsid w:val="03DD6186"/>
    <w:rsid w:val="03DD70A4"/>
    <w:rsid w:val="03E219EE"/>
    <w:rsid w:val="03E70DB3"/>
    <w:rsid w:val="03E727F4"/>
    <w:rsid w:val="03EA43FF"/>
    <w:rsid w:val="03F90AE6"/>
    <w:rsid w:val="040B2CD0"/>
    <w:rsid w:val="040D00EE"/>
    <w:rsid w:val="0414147C"/>
    <w:rsid w:val="041B11B3"/>
    <w:rsid w:val="04343D89"/>
    <w:rsid w:val="044E03A3"/>
    <w:rsid w:val="0451447E"/>
    <w:rsid w:val="04545D1C"/>
    <w:rsid w:val="046248DD"/>
    <w:rsid w:val="04636866"/>
    <w:rsid w:val="046441B2"/>
    <w:rsid w:val="0465172E"/>
    <w:rsid w:val="047F0FEB"/>
    <w:rsid w:val="04820ADC"/>
    <w:rsid w:val="048876CC"/>
    <w:rsid w:val="048E2C65"/>
    <w:rsid w:val="04B06424"/>
    <w:rsid w:val="04BA0275"/>
    <w:rsid w:val="04C44C50"/>
    <w:rsid w:val="04CE3D21"/>
    <w:rsid w:val="04CE66EF"/>
    <w:rsid w:val="04D96B7B"/>
    <w:rsid w:val="04E52EB2"/>
    <w:rsid w:val="04F419D9"/>
    <w:rsid w:val="04F95C85"/>
    <w:rsid w:val="04FC6AE0"/>
    <w:rsid w:val="05017C52"/>
    <w:rsid w:val="05025778"/>
    <w:rsid w:val="05092FAB"/>
    <w:rsid w:val="051060E7"/>
    <w:rsid w:val="05110522"/>
    <w:rsid w:val="05146F21"/>
    <w:rsid w:val="05184AF3"/>
    <w:rsid w:val="051A0D14"/>
    <w:rsid w:val="052E6BC2"/>
    <w:rsid w:val="05355B4E"/>
    <w:rsid w:val="054D10EA"/>
    <w:rsid w:val="05531088"/>
    <w:rsid w:val="05685F23"/>
    <w:rsid w:val="0571302A"/>
    <w:rsid w:val="057A17B3"/>
    <w:rsid w:val="059065C7"/>
    <w:rsid w:val="0598379D"/>
    <w:rsid w:val="059A3C03"/>
    <w:rsid w:val="05A30D0A"/>
    <w:rsid w:val="05A449FD"/>
    <w:rsid w:val="05AD1B88"/>
    <w:rsid w:val="05AF3B52"/>
    <w:rsid w:val="05B13426"/>
    <w:rsid w:val="05BD7E8D"/>
    <w:rsid w:val="05C23886"/>
    <w:rsid w:val="05CB1DA9"/>
    <w:rsid w:val="05E622B0"/>
    <w:rsid w:val="05F15F19"/>
    <w:rsid w:val="05F30660"/>
    <w:rsid w:val="05F37618"/>
    <w:rsid w:val="06163BD1"/>
    <w:rsid w:val="06182533"/>
    <w:rsid w:val="061B2F96"/>
    <w:rsid w:val="06203A56"/>
    <w:rsid w:val="062736E9"/>
    <w:rsid w:val="06293905"/>
    <w:rsid w:val="0642797C"/>
    <w:rsid w:val="06495287"/>
    <w:rsid w:val="064A6717"/>
    <w:rsid w:val="064E5119"/>
    <w:rsid w:val="065344DE"/>
    <w:rsid w:val="065B15E4"/>
    <w:rsid w:val="065F7326"/>
    <w:rsid w:val="06606BFB"/>
    <w:rsid w:val="066E57BB"/>
    <w:rsid w:val="067508F8"/>
    <w:rsid w:val="0680104B"/>
    <w:rsid w:val="0680729D"/>
    <w:rsid w:val="06B75327"/>
    <w:rsid w:val="06BD5DFB"/>
    <w:rsid w:val="06DE6A7F"/>
    <w:rsid w:val="07027CB2"/>
    <w:rsid w:val="07075FC9"/>
    <w:rsid w:val="0708176C"/>
    <w:rsid w:val="07317F89"/>
    <w:rsid w:val="073910ED"/>
    <w:rsid w:val="073C70FF"/>
    <w:rsid w:val="07413D40"/>
    <w:rsid w:val="0748600C"/>
    <w:rsid w:val="074D53D1"/>
    <w:rsid w:val="076646E5"/>
    <w:rsid w:val="07666493"/>
    <w:rsid w:val="076F17EB"/>
    <w:rsid w:val="07736B6E"/>
    <w:rsid w:val="07790AFB"/>
    <w:rsid w:val="077B0B47"/>
    <w:rsid w:val="078B414B"/>
    <w:rsid w:val="07A02CD3"/>
    <w:rsid w:val="07A1571D"/>
    <w:rsid w:val="07AD40C1"/>
    <w:rsid w:val="07E938A8"/>
    <w:rsid w:val="07F910B5"/>
    <w:rsid w:val="07FA451A"/>
    <w:rsid w:val="07FC0BA5"/>
    <w:rsid w:val="080F08D8"/>
    <w:rsid w:val="08253C58"/>
    <w:rsid w:val="082814CF"/>
    <w:rsid w:val="08316AA1"/>
    <w:rsid w:val="085A5FF7"/>
    <w:rsid w:val="085F6B82"/>
    <w:rsid w:val="0865202A"/>
    <w:rsid w:val="086F1377"/>
    <w:rsid w:val="08775D00"/>
    <w:rsid w:val="088018F7"/>
    <w:rsid w:val="08836BD0"/>
    <w:rsid w:val="0898267C"/>
    <w:rsid w:val="089F5554"/>
    <w:rsid w:val="08A13C26"/>
    <w:rsid w:val="08A27D6C"/>
    <w:rsid w:val="08B17BE1"/>
    <w:rsid w:val="08C6173B"/>
    <w:rsid w:val="08C6543B"/>
    <w:rsid w:val="08CE42EF"/>
    <w:rsid w:val="08DB07BA"/>
    <w:rsid w:val="08DD09D6"/>
    <w:rsid w:val="08E3447F"/>
    <w:rsid w:val="08E45B7B"/>
    <w:rsid w:val="08E63707"/>
    <w:rsid w:val="08E95BA7"/>
    <w:rsid w:val="08EB36B9"/>
    <w:rsid w:val="08EB6C4F"/>
    <w:rsid w:val="08F16230"/>
    <w:rsid w:val="08FE04F3"/>
    <w:rsid w:val="08FF094D"/>
    <w:rsid w:val="090B4360"/>
    <w:rsid w:val="09136D79"/>
    <w:rsid w:val="09150170"/>
    <w:rsid w:val="0922463B"/>
    <w:rsid w:val="092263E9"/>
    <w:rsid w:val="09302681"/>
    <w:rsid w:val="09320D22"/>
    <w:rsid w:val="09337F79"/>
    <w:rsid w:val="093C74AB"/>
    <w:rsid w:val="093D3223"/>
    <w:rsid w:val="09497E1A"/>
    <w:rsid w:val="094C2162"/>
    <w:rsid w:val="096413AA"/>
    <w:rsid w:val="096C65C2"/>
    <w:rsid w:val="096D1D5A"/>
    <w:rsid w:val="096F5AD2"/>
    <w:rsid w:val="09964FB0"/>
    <w:rsid w:val="099866AB"/>
    <w:rsid w:val="099C619C"/>
    <w:rsid w:val="099E7AD4"/>
    <w:rsid w:val="09A11A04"/>
    <w:rsid w:val="09AC2863"/>
    <w:rsid w:val="09BB5C35"/>
    <w:rsid w:val="09C15C02"/>
    <w:rsid w:val="09D75426"/>
    <w:rsid w:val="09E162A4"/>
    <w:rsid w:val="0A03446D"/>
    <w:rsid w:val="0A0855DF"/>
    <w:rsid w:val="0A0D3075"/>
    <w:rsid w:val="0A206DCD"/>
    <w:rsid w:val="0A2A19F9"/>
    <w:rsid w:val="0A330A9D"/>
    <w:rsid w:val="0A3E36F7"/>
    <w:rsid w:val="0A3E398A"/>
    <w:rsid w:val="0A424F95"/>
    <w:rsid w:val="0A522CFE"/>
    <w:rsid w:val="0A5A74DD"/>
    <w:rsid w:val="0A621193"/>
    <w:rsid w:val="0A66192D"/>
    <w:rsid w:val="0A747118"/>
    <w:rsid w:val="0A784D07"/>
    <w:rsid w:val="0A7D6925"/>
    <w:rsid w:val="0A886CD4"/>
    <w:rsid w:val="0A9831C1"/>
    <w:rsid w:val="0AA95014"/>
    <w:rsid w:val="0ABB6AF5"/>
    <w:rsid w:val="0ABD286D"/>
    <w:rsid w:val="0AC21C32"/>
    <w:rsid w:val="0AD442DC"/>
    <w:rsid w:val="0AD61B81"/>
    <w:rsid w:val="0AFA33E5"/>
    <w:rsid w:val="0B0A1C92"/>
    <w:rsid w:val="0B1D155E"/>
    <w:rsid w:val="0B372620"/>
    <w:rsid w:val="0B375270"/>
    <w:rsid w:val="0B3C7C36"/>
    <w:rsid w:val="0B5807E8"/>
    <w:rsid w:val="0B5A00BC"/>
    <w:rsid w:val="0B640F3B"/>
    <w:rsid w:val="0B686E11"/>
    <w:rsid w:val="0B696551"/>
    <w:rsid w:val="0B6E1EE8"/>
    <w:rsid w:val="0B857A1F"/>
    <w:rsid w:val="0B896BF3"/>
    <w:rsid w:val="0B8D0492"/>
    <w:rsid w:val="0BA37CB5"/>
    <w:rsid w:val="0BA47589"/>
    <w:rsid w:val="0BA61553"/>
    <w:rsid w:val="0BB332F8"/>
    <w:rsid w:val="0BD643B3"/>
    <w:rsid w:val="0BD7170D"/>
    <w:rsid w:val="0BF57DE5"/>
    <w:rsid w:val="0BF7590B"/>
    <w:rsid w:val="0C2801BA"/>
    <w:rsid w:val="0C2F32F7"/>
    <w:rsid w:val="0C30706F"/>
    <w:rsid w:val="0C346B5F"/>
    <w:rsid w:val="0C366956"/>
    <w:rsid w:val="0C3703FE"/>
    <w:rsid w:val="0C4D5E73"/>
    <w:rsid w:val="0C4F4031"/>
    <w:rsid w:val="0C5C1C12"/>
    <w:rsid w:val="0C721436"/>
    <w:rsid w:val="0C801DA5"/>
    <w:rsid w:val="0C8F023A"/>
    <w:rsid w:val="0C9A5778"/>
    <w:rsid w:val="0C9B098C"/>
    <w:rsid w:val="0CA02447"/>
    <w:rsid w:val="0CA64D1B"/>
    <w:rsid w:val="0CA743FB"/>
    <w:rsid w:val="0CAA4779"/>
    <w:rsid w:val="0CAB4DA3"/>
    <w:rsid w:val="0CB11F5E"/>
    <w:rsid w:val="0CBD0903"/>
    <w:rsid w:val="0CC25F19"/>
    <w:rsid w:val="0CEC7AB2"/>
    <w:rsid w:val="0CF112B7"/>
    <w:rsid w:val="0D026C5D"/>
    <w:rsid w:val="0D034DEC"/>
    <w:rsid w:val="0D140B10"/>
    <w:rsid w:val="0D162709"/>
    <w:rsid w:val="0D183D8B"/>
    <w:rsid w:val="0D1F511A"/>
    <w:rsid w:val="0D333F71"/>
    <w:rsid w:val="0D3B5CCB"/>
    <w:rsid w:val="0D4E1EA3"/>
    <w:rsid w:val="0D502628"/>
    <w:rsid w:val="0D5972D7"/>
    <w:rsid w:val="0D643474"/>
    <w:rsid w:val="0D7511DD"/>
    <w:rsid w:val="0D860EC5"/>
    <w:rsid w:val="0D887163"/>
    <w:rsid w:val="0D9A6E96"/>
    <w:rsid w:val="0D9C2C0E"/>
    <w:rsid w:val="0DA63A8D"/>
    <w:rsid w:val="0DAB4BFF"/>
    <w:rsid w:val="0DB02D1E"/>
    <w:rsid w:val="0DC1145D"/>
    <w:rsid w:val="0DC618C3"/>
    <w:rsid w:val="0DC61A39"/>
    <w:rsid w:val="0DE819AF"/>
    <w:rsid w:val="0DEB14A0"/>
    <w:rsid w:val="0E007979"/>
    <w:rsid w:val="0E056A05"/>
    <w:rsid w:val="0E1D4822"/>
    <w:rsid w:val="0E215C3B"/>
    <w:rsid w:val="0E343C97"/>
    <w:rsid w:val="0E406235"/>
    <w:rsid w:val="0E455035"/>
    <w:rsid w:val="0E4F5ED2"/>
    <w:rsid w:val="0E56697C"/>
    <w:rsid w:val="0E5928AD"/>
    <w:rsid w:val="0E5B279A"/>
    <w:rsid w:val="0E745939"/>
    <w:rsid w:val="0E87566C"/>
    <w:rsid w:val="0E8A0849"/>
    <w:rsid w:val="0E8A0CB9"/>
    <w:rsid w:val="0E903CBF"/>
    <w:rsid w:val="0E9748BB"/>
    <w:rsid w:val="0EA578A0"/>
    <w:rsid w:val="0EAA135B"/>
    <w:rsid w:val="0EB2255C"/>
    <w:rsid w:val="0EB42F0D"/>
    <w:rsid w:val="0EB43F87"/>
    <w:rsid w:val="0EB9334C"/>
    <w:rsid w:val="0EC44FD6"/>
    <w:rsid w:val="0EC8744E"/>
    <w:rsid w:val="0EC966A2"/>
    <w:rsid w:val="0ED347A7"/>
    <w:rsid w:val="0EDA48C9"/>
    <w:rsid w:val="0EE54141"/>
    <w:rsid w:val="0EE91E83"/>
    <w:rsid w:val="0EF127ED"/>
    <w:rsid w:val="0EF16F8A"/>
    <w:rsid w:val="0EF878C6"/>
    <w:rsid w:val="0F07055B"/>
    <w:rsid w:val="0F20161D"/>
    <w:rsid w:val="0F2A54FA"/>
    <w:rsid w:val="0F2D46A6"/>
    <w:rsid w:val="0F360E40"/>
    <w:rsid w:val="0F401899"/>
    <w:rsid w:val="0F4C21DD"/>
    <w:rsid w:val="0F582B65"/>
    <w:rsid w:val="0F5A68DD"/>
    <w:rsid w:val="0F615EBD"/>
    <w:rsid w:val="0F6E642B"/>
    <w:rsid w:val="0F81030D"/>
    <w:rsid w:val="0F8B2F3A"/>
    <w:rsid w:val="0F9811B3"/>
    <w:rsid w:val="0F9C1A87"/>
    <w:rsid w:val="0F9F69E6"/>
    <w:rsid w:val="0FA91612"/>
    <w:rsid w:val="0FB12275"/>
    <w:rsid w:val="0FBA0991"/>
    <w:rsid w:val="0FBF4992"/>
    <w:rsid w:val="0FC40EE9"/>
    <w:rsid w:val="0FCE72CB"/>
    <w:rsid w:val="0FD57F70"/>
    <w:rsid w:val="0FEB39D9"/>
    <w:rsid w:val="0FF3288D"/>
    <w:rsid w:val="0FF7237E"/>
    <w:rsid w:val="10003BC3"/>
    <w:rsid w:val="100625C1"/>
    <w:rsid w:val="100B7BD7"/>
    <w:rsid w:val="10125409"/>
    <w:rsid w:val="10172A20"/>
    <w:rsid w:val="10282537"/>
    <w:rsid w:val="102A0947"/>
    <w:rsid w:val="102D3FF1"/>
    <w:rsid w:val="102E67ED"/>
    <w:rsid w:val="10304163"/>
    <w:rsid w:val="1038725B"/>
    <w:rsid w:val="10453B42"/>
    <w:rsid w:val="10535722"/>
    <w:rsid w:val="10554415"/>
    <w:rsid w:val="105B556C"/>
    <w:rsid w:val="105E6582"/>
    <w:rsid w:val="10677240"/>
    <w:rsid w:val="107B364E"/>
    <w:rsid w:val="108A4FA0"/>
    <w:rsid w:val="1097590F"/>
    <w:rsid w:val="10A047C3"/>
    <w:rsid w:val="10A225A6"/>
    <w:rsid w:val="10AB0662"/>
    <w:rsid w:val="10AC760C"/>
    <w:rsid w:val="10B1077E"/>
    <w:rsid w:val="10B90CAA"/>
    <w:rsid w:val="10BC7123"/>
    <w:rsid w:val="10CD30DE"/>
    <w:rsid w:val="10D2406B"/>
    <w:rsid w:val="10D426BF"/>
    <w:rsid w:val="10D66437"/>
    <w:rsid w:val="10E16B8A"/>
    <w:rsid w:val="10ED552F"/>
    <w:rsid w:val="10F63272"/>
    <w:rsid w:val="10F863AD"/>
    <w:rsid w:val="10FB5E9E"/>
    <w:rsid w:val="11160F29"/>
    <w:rsid w:val="111D5E14"/>
    <w:rsid w:val="112A6783"/>
    <w:rsid w:val="113461CB"/>
    <w:rsid w:val="113F222E"/>
    <w:rsid w:val="116F4196"/>
    <w:rsid w:val="1176151E"/>
    <w:rsid w:val="11763776"/>
    <w:rsid w:val="11916802"/>
    <w:rsid w:val="11A03FC4"/>
    <w:rsid w:val="11B5604C"/>
    <w:rsid w:val="11CC64D3"/>
    <w:rsid w:val="11DA1F57"/>
    <w:rsid w:val="11E9219A"/>
    <w:rsid w:val="12072F4E"/>
    <w:rsid w:val="120B3EBE"/>
    <w:rsid w:val="12240205"/>
    <w:rsid w:val="123C49C0"/>
    <w:rsid w:val="12402693"/>
    <w:rsid w:val="12403587"/>
    <w:rsid w:val="124B69B1"/>
    <w:rsid w:val="12575356"/>
    <w:rsid w:val="126B6286"/>
    <w:rsid w:val="127A1044"/>
    <w:rsid w:val="1283439D"/>
    <w:rsid w:val="12902616"/>
    <w:rsid w:val="129B3434"/>
    <w:rsid w:val="12B409FA"/>
    <w:rsid w:val="12C81DAF"/>
    <w:rsid w:val="12CF1140"/>
    <w:rsid w:val="12D6271E"/>
    <w:rsid w:val="12DA1AE3"/>
    <w:rsid w:val="12E27315"/>
    <w:rsid w:val="12ED5CBA"/>
    <w:rsid w:val="13166FBF"/>
    <w:rsid w:val="131905E4"/>
    <w:rsid w:val="132316DC"/>
    <w:rsid w:val="13232472"/>
    <w:rsid w:val="13250FB0"/>
    <w:rsid w:val="13280A60"/>
    <w:rsid w:val="132C1124"/>
    <w:rsid w:val="132D4308"/>
    <w:rsid w:val="133D1E75"/>
    <w:rsid w:val="133D454B"/>
    <w:rsid w:val="13547AE7"/>
    <w:rsid w:val="13597C90"/>
    <w:rsid w:val="13616DDA"/>
    <w:rsid w:val="13664A7A"/>
    <w:rsid w:val="13666A4F"/>
    <w:rsid w:val="136917E4"/>
    <w:rsid w:val="136A10B9"/>
    <w:rsid w:val="136E7F4E"/>
    <w:rsid w:val="13712447"/>
    <w:rsid w:val="137D5290"/>
    <w:rsid w:val="137F459A"/>
    <w:rsid w:val="137F55D6"/>
    <w:rsid w:val="13897791"/>
    <w:rsid w:val="138C102F"/>
    <w:rsid w:val="13904FC3"/>
    <w:rsid w:val="139E0D62"/>
    <w:rsid w:val="13BB7C9E"/>
    <w:rsid w:val="13BF7656"/>
    <w:rsid w:val="13C62793"/>
    <w:rsid w:val="13D221E3"/>
    <w:rsid w:val="13D2292A"/>
    <w:rsid w:val="13D84738"/>
    <w:rsid w:val="13E0771A"/>
    <w:rsid w:val="13EE3A98"/>
    <w:rsid w:val="13FC2B54"/>
    <w:rsid w:val="14042DB7"/>
    <w:rsid w:val="14172FEE"/>
    <w:rsid w:val="141A6268"/>
    <w:rsid w:val="14434DB5"/>
    <w:rsid w:val="14435965"/>
    <w:rsid w:val="144A0E81"/>
    <w:rsid w:val="144E4536"/>
    <w:rsid w:val="14531D83"/>
    <w:rsid w:val="14531E2D"/>
    <w:rsid w:val="145853B5"/>
    <w:rsid w:val="145874BE"/>
    <w:rsid w:val="146E3A58"/>
    <w:rsid w:val="147540F4"/>
    <w:rsid w:val="14785D3D"/>
    <w:rsid w:val="14902DA1"/>
    <w:rsid w:val="149363ED"/>
    <w:rsid w:val="14956609"/>
    <w:rsid w:val="1497412F"/>
    <w:rsid w:val="14A402F2"/>
    <w:rsid w:val="14AF1479"/>
    <w:rsid w:val="14B95E54"/>
    <w:rsid w:val="14BD701C"/>
    <w:rsid w:val="14BE790E"/>
    <w:rsid w:val="14C33176"/>
    <w:rsid w:val="14C64A14"/>
    <w:rsid w:val="14CD18FF"/>
    <w:rsid w:val="14D507B4"/>
    <w:rsid w:val="14D60783"/>
    <w:rsid w:val="14E064CE"/>
    <w:rsid w:val="14E76E65"/>
    <w:rsid w:val="14F15C58"/>
    <w:rsid w:val="14FA4D92"/>
    <w:rsid w:val="150C6804"/>
    <w:rsid w:val="150C68CB"/>
    <w:rsid w:val="15115C90"/>
    <w:rsid w:val="1519357C"/>
    <w:rsid w:val="152439DA"/>
    <w:rsid w:val="152534E9"/>
    <w:rsid w:val="152539A7"/>
    <w:rsid w:val="152635A8"/>
    <w:rsid w:val="153575CA"/>
    <w:rsid w:val="153656F6"/>
    <w:rsid w:val="153876C0"/>
    <w:rsid w:val="15436065"/>
    <w:rsid w:val="15437E13"/>
    <w:rsid w:val="154871D8"/>
    <w:rsid w:val="155838BF"/>
    <w:rsid w:val="15596A7E"/>
    <w:rsid w:val="15602773"/>
    <w:rsid w:val="156C7A57"/>
    <w:rsid w:val="15804BC3"/>
    <w:rsid w:val="1582093B"/>
    <w:rsid w:val="158346B4"/>
    <w:rsid w:val="158F12AA"/>
    <w:rsid w:val="15981F0D"/>
    <w:rsid w:val="15997A33"/>
    <w:rsid w:val="15A44D56"/>
    <w:rsid w:val="15A64DD3"/>
    <w:rsid w:val="15AA0BE3"/>
    <w:rsid w:val="15BF56EC"/>
    <w:rsid w:val="15C82479"/>
    <w:rsid w:val="15D07265"/>
    <w:rsid w:val="15D97ECD"/>
    <w:rsid w:val="15FD6214"/>
    <w:rsid w:val="1602382A"/>
    <w:rsid w:val="16115843"/>
    <w:rsid w:val="161D0664"/>
    <w:rsid w:val="162714E3"/>
    <w:rsid w:val="16322361"/>
    <w:rsid w:val="163559AE"/>
    <w:rsid w:val="163C4F8E"/>
    <w:rsid w:val="16445BF1"/>
    <w:rsid w:val="164B3423"/>
    <w:rsid w:val="164E5475"/>
    <w:rsid w:val="1650051A"/>
    <w:rsid w:val="16777D74"/>
    <w:rsid w:val="167A1613"/>
    <w:rsid w:val="16832BBD"/>
    <w:rsid w:val="16873D30"/>
    <w:rsid w:val="168A026F"/>
    <w:rsid w:val="16946B78"/>
    <w:rsid w:val="16985F3D"/>
    <w:rsid w:val="16B0554A"/>
    <w:rsid w:val="16B66E01"/>
    <w:rsid w:val="16D2144F"/>
    <w:rsid w:val="16D451C7"/>
    <w:rsid w:val="16D45410"/>
    <w:rsid w:val="16D8458B"/>
    <w:rsid w:val="16E318AE"/>
    <w:rsid w:val="16E80769"/>
    <w:rsid w:val="16EB42BE"/>
    <w:rsid w:val="16F13FCB"/>
    <w:rsid w:val="16F413C5"/>
    <w:rsid w:val="16F74B8C"/>
    <w:rsid w:val="16F838BF"/>
    <w:rsid w:val="17173305"/>
    <w:rsid w:val="171C6B6E"/>
    <w:rsid w:val="172249FA"/>
    <w:rsid w:val="17424826"/>
    <w:rsid w:val="174A36DB"/>
    <w:rsid w:val="17606A5A"/>
    <w:rsid w:val="176A5B2B"/>
    <w:rsid w:val="178564C1"/>
    <w:rsid w:val="178F10EE"/>
    <w:rsid w:val="17966F3F"/>
    <w:rsid w:val="179901BE"/>
    <w:rsid w:val="179B7A92"/>
    <w:rsid w:val="179E7583"/>
    <w:rsid w:val="17A3219C"/>
    <w:rsid w:val="17B9260F"/>
    <w:rsid w:val="17C52D61"/>
    <w:rsid w:val="17C544DF"/>
    <w:rsid w:val="17C74D2B"/>
    <w:rsid w:val="17C76AD9"/>
    <w:rsid w:val="17DB07D7"/>
    <w:rsid w:val="17DB2818"/>
    <w:rsid w:val="17DF02C7"/>
    <w:rsid w:val="17E21B65"/>
    <w:rsid w:val="17E43F59"/>
    <w:rsid w:val="17F378CF"/>
    <w:rsid w:val="18042941"/>
    <w:rsid w:val="180970F2"/>
    <w:rsid w:val="180D4CD7"/>
    <w:rsid w:val="18221F62"/>
    <w:rsid w:val="182B73B7"/>
    <w:rsid w:val="182F6603"/>
    <w:rsid w:val="183A54FD"/>
    <w:rsid w:val="18420856"/>
    <w:rsid w:val="18495ABD"/>
    <w:rsid w:val="184B14B9"/>
    <w:rsid w:val="184E2D57"/>
    <w:rsid w:val="18510A99"/>
    <w:rsid w:val="185A794E"/>
    <w:rsid w:val="18641EBA"/>
    <w:rsid w:val="188C387F"/>
    <w:rsid w:val="189D5176"/>
    <w:rsid w:val="18A64941"/>
    <w:rsid w:val="18B05567"/>
    <w:rsid w:val="18BC23B6"/>
    <w:rsid w:val="18C15C1F"/>
    <w:rsid w:val="18C474BD"/>
    <w:rsid w:val="18CB25F9"/>
    <w:rsid w:val="18DE232D"/>
    <w:rsid w:val="18E65685"/>
    <w:rsid w:val="18FE477D"/>
    <w:rsid w:val="19007C61"/>
    <w:rsid w:val="190F698A"/>
    <w:rsid w:val="19102953"/>
    <w:rsid w:val="191D25B2"/>
    <w:rsid w:val="192166BD"/>
    <w:rsid w:val="19235F91"/>
    <w:rsid w:val="19255C97"/>
    <w:rsid w:val="193261D5"/>
    <w:rsid w:val="193637AA"/>
    <w:rsid w:val="193C7053"/>
    <w:rsid w:val="1941466A"/>
    <w:rsid w:val="194725B1"/>
    <w:rsid w:val="194859F8"/>
    <w:rsid w:val="194A1770"/>
    <w:rsid w:val="19614D0C"/>
    <w:rsid w:val="196C232A"/>
    <w:rsid w:val="19836A30"/>
    <w:rsid w:val="199C7AF2"/>
    <w:rsid w:val="199D3F96"/>
    <w:rsid w:val="19A03A86"/>
    <w:rsid w:val="19A3213C"/>
    <w:rsid w:val="19AC5F87"/>
    <w:rsid w:val="19AF1F1B"/>
    <w:rsid w:val="19B36563"/>
    <w:rsid w:val="19B47531"/>
    <w:rsid w:val="19C57049"/>
    <w:rsid w:val="19C907C6"/>
    <w:rsid w:val="19D21766"/>
    <w:rsid w:val="19D43730"/>
    <w:rsid w:val="19D63004"/>
    <w:rsid w:val="19DB686C"/>
    <w:rsid w:val="19E716B5"/>
    <w:rsid w:val="19F53DD2"/>
    <w:rsid w:val="19F93FF6"/>
    <w:rsid w:val="1A022F45"/>
    <w:rsid w:val="1A023DF9"/>
    <w:rsid w:val="1A0C111B"/>
    <w:rsid w:val="1A0E09F0"/>
    <w:rsid w:val="1A154CEA"/>
    <w:rsid w:val="1A255D39"/>
    <w:rsid w:val="1A3537A8"/>
    <w:rsid w:val="1A383CBF"/>
    <w:rsid w:val="1A3C021D"/>
    <w:rsid w:val="1A4239CB"/>
    <w:rsid w:val="1A52614B"/>
    <w:rsid w:val="1A646862"/>
    <w:rsid w:val="1A6920CA"/>
    <w:rsid w:val="1A6A5B3B"/>
    <w:rsid w:val="1A6C3968"/>
    <w:rsid w:val="1A7171D0"/>
    <w:rsid w:val="1A7E38C5"/>
    <w:rsid w:val="1A942910"/>
    <w:rsid w:val="1A9731B0"/>
    <w:rsid w:val="1A9C424D"/>
    <w:rsid w:val="1A9D4B2C"/>
    <w:rsid w:val="1AA41354"/>
    <w:rsid w:val="1AA753F4"/>
    <w:rsid w:val="1AAB458D"/>
    <w:rsid w:val="1AB837C9"/>
    <w:rsid w:val="1ABC669E"/>
    <w:rsid w:val="1AC10063"/>
    <w:rsid w:val="1B010554"/>
    <w:rsid w:val="1B010B08"/>
    <w:rsid w:val="1B0D5BF6"/>
    <w:rsid w:val="1B0D6EF9"/>
    <w:rsid w:val="1B122762"/>
    <w:rsid w:val="1B1E2EB4"/>
    <w:rsid w:val="1B214753"/>
    <w:rsid w:val="1B2A7AAB"/>
    <w:rsid w:val="1B2D759B"/>
    <w:rsid w:val="1B340839"/>
    <w:rsid w:val="1B34092A"/>
    <w:rsid w:val="1B346E0F"/>
    <w:rsid w:val="1B4A1EFB"/>
    <w:rsid w:val="1B7900EB"/>
    <w:rsid w:val="1B813443"/>
    <w:rsid w:val="1B8B6070"/>
    <w:rsid w:val="1BA01B1B"/>
    <w:rsid w:val="1BBA19E9"/>
    <w:rsid w:val="1BBD6855"/>
    <w:rsid w:val="1BCE7E48"/>
    <w:rsid w:val="1BDD7954"/>
    <w:rsid w:val="1BF31A30"/>
    <w:rsid w:val="1BF61A7E"/>
    <w:rsid w:val="1C033E58"/>
    <w:rsid w:val="1C0F0A4F"/>
    <w:rsid w:val="1C165B8E"/>
    <w:rsid w:val="1C183DA8"/>
    <w:rsid w:val="1C1F66F6"/>
    <w:rsid w:val="1C202C5C"/>
    <w:rsid w:val="1C224C26"/>
    <w:rsid w:val="1C2F10F1"/>
    <w:rsid w:val="1C3D380E"/>
    <w:rsid w:val="1C3E1334"/>
    <w:rsid w:val="1C490249"/>
    <w:rsid w:val="1C536B8E"/>
    <w:rsid w:val="1C5A08D3"/>
    <w:rsid w:val="1C5C139F"/>
    <w:rsid w:val="1C64490D"/>
    <w:rsid w:val="1C8054A9"/>
    <w:rsid w:val="1C9232C3"/>
    <w:rsid w:val="1C980A44"/>
    <w:rsid w:val="1CB66791"/>
    <w:rsid w:val="1CBB2985"/>
    <w:rsid w:val="1CC23D13"/>
    <w:rsid w:val="1CC614DF"/>
    <w:rsid w:val="1CC95AED"/>
    <w:rsid w:val="1CE375C1"/>
    <w:rsid w:val="1CF00880"/>
    <w:rsid w:val="1CF06AD2"/>
    <w:rsid w:val="1CF8327D"/>
    <w:rsid w:val="1CFC5477"/>
    <w:rsid w:val="1D035DBE"/>
    <w:rsid w:val="1D03682B"/>
    <w:rsid w:val="1D07002F"/>
    <w:rsid w:val="1D120B58"/>
    <w:rsid w:val="1D1D719C"/>
    <w:rsid w:val="1D216C8C"/>
    <w:rsid w:val="1D2247B2"/>
    <w:rsid w:val="1D2624F4"/>
    <w:rsid w:val="1D28001A"/>
    <w:rsid w:val="1D291FE4"/>
    <w:rsid w:val="1D2A5EB1"/>
    <w:rsid w:val="1D3D6432"/>
    <w:rsid w:val="1D412E8A"/>
    <w:rsid w:val="1D440BCC"/>
    <w:rsid w:val="1D4806BC"/>
    <w:rsid w:val="1D660B43"/>
    <w:rsid w:val="1D6628F1"/>
    <w:rsid w:val="1D666D95"/>
    <w:rsid w:val="1D7029EA"/>
    <w:rsid w:val="1D724738"/>
    <w:rsid w:val="1D7414B2"/>
    <w:rsid w:val="1D784376"/>
    <w:rsid w:val="1D7E40DE"/>
    <w:rsid w:val="1D8045B7"/>
    <w:rsid w:val="1D835251"/>
    <w:rsid w:val="1DA9032A"/>
    <w:rsid w:val="1DB95116"/>
    <w:rsid w:val="1DD75C8E"/>
    <w:rsid w:val="1DEF28E6"/>
    <w:rsid w:val="1E004AF3"/>
    <w:rsid w:val="1E103F30"/>
    <w:rsid w:val="1E207B73"/>
    <w:rsid w:val="1E2101B0"/>
    <w:rsid w:val="1E2D340E"/>
    <w:rsid w:val="1E333DD2"/>
    <w:rsid w:val="1E35213E"/>
    <w:rsid w:val="1E3D7AF5"/>
    <w:rsid w:val="1E4C5F8A"/>
    <w:rsid w:val="1E5703E7"/>
    <w:rsid w:val="1E594203"/>
    <w:rsid w:val="1E5B7F7C"/>
    <w:rsid w:val="1E6F15C7"/>
    <w:rsid w:val="1E770070"/>
    <w:rsid w:val="1E7C5C66"/>
    <w:rsid w:val="1E8A0861"/>
    <w:rsid w:val="1E8A15A9"/>
    <w:rsid w:val="1E952A60"/>
    <w:rsid w:val="1EB63404"/>
    <w:rsid w:val="1EBA2EF4"/>
    <w:rsid w:val="1EC45B21"/>
    <w:rsid w:val="1EC51E86"/>
    <w:rsid w:val="1ECE2E43"/>
    <w:rsid w:val="1EDB2E6A"/>
    <w:rsid w:val="1EED151B"/>
    <w:rsid w:val="1EF67CA4"/>
    <w:rsid w:val="1EFD1033"/>
    <w:rsid w:val="1EFF4DAB"/>
    <w:rsid w:val="1F040613"/>
    <w:rsid w:val="1F04279E"/>
    <w:rsid w:val="1F050B5D"/>
    <w:rsid w:val="1F136AA8"/>
    <w:rsid w:val="1F170346"/>
    <w:rsid w:val="1F3C0F4E"/>
    <w:rsid w:val="1F3F05BE"/>
    <w:rsid w:val="1F4B600D"/>
    <w:rsid w:val="1F552E57"/>
    <w:rsid w:val="1F593DA4"/>
    <w:rsid w:val="1F5A4475"/>
    <w:rsid w:val="1F5F1CED"/>
    <w:rsid w:val="1F620570"/>
    <w:rsid w:val="1F6B7C4E"/>
    <w:rsid w:val="1F776E02"/>
    <w:rsid w:val="1F7A0A03"/>
    <w:rsid w:val="1F813A12"/>
    <w:rsid w:val="1F896D6A"/>
    <w:rsid w:val="1F965A60"/>
    <w:rsid w:val="1F9C01BD"/>
    <w:rsid w:val="1F9F4AF1"/>
    <w:rsid w:val="1FA63478"/>
    <w:rsid w:val="1FA912D2"/>
    <w:rsid w:val="1FAE657C"/>
    <w:rsid w:val="1FB042F7"/>
    <w:rsid w:val="1FCA53B9"/>
    <w:rsid w:val="1FCA73DF"/>
    <w:rsid w:val="1FE02E2E"/>
    <w:rsid w:val="1FE25784"/>
    <w:rsid w:val="1FEB338E"/>
    <w:rsid w:val="1FF24910"/>
    <w:rsid w:val="1FF27875"/>
    <w:rsid w:val="200A4D09"/>
    <w:rsid w:val="200C59D1"/>
    <w:rsid w:val="201A79C2"/>
    <w:rsid w:val="20250841"/>
    <w:rsid w:val="20286583"/>
    <w:rsid w:val="202C7E22"/>
    <w:rsid w:val="204933B2"/>
    <w:rsid w:val="20566C4C"/>
    <w:rsid w:val="20586E69"/>
    <w:rsid w:val="20667A75"/>
    <w:rsid w:val="20692E24"/>
    <w:rsid w:val="20711CD8"/>
    <w:rsid w:val="207275C9"/>
    <w:rsid w:val="208B4EA6"/>
    <w:rsid w:val="20A752C9"/>
    <w:rsid w:val="20C067BC"/>
    <w:rsid w:val="20C938C2"/>
    <w:rsid w:val="20CA3CF8"/>
    <w:rsid w:val="20CF4C51"/>
    <w:rsid w:val="20D707DB"/>
    <w:rsid w:val="20DF4E94"/>
    <w:rsid w:val="20E73D48"/>
    <w:rsid w:val="20EF4D3D"/>
    <w:rsid w:val="20F83789"/>
    <w:rsid w:val="21050673"/>
    <w:rsid w:val="21076199"/>
    <w:rsid w:val="21110DC5"/>
    <w:rsid w:val="212761F9"/>
    <w:rsid w:val="2129610F"/>
    <w:rsid w:val="213845A4"/>
    <w:rsid w:val="213B5E42"/>
    <w:rsid w:val="21423675"/>
    <w:rsid w:val="214B42D7"/>
    <w:rsid w:val="21661111"/>
    <w:rsid w:val="216B7513"/>
    <w:rsid w:val="216E7FC6"/>
    <w:rsid w:val="217521D2"/>
    <w:rsid w:val="217557F8"/>
    <w:rsid w:val="217F0425"/>
    <w:rsid w:val="217F6E19"/>
    <w:rsid w:val="219954B9"/>
    <w:rsid w:val="21B005DE"/>
    <w:rsid w:val="21BD3EBC"/>
    <w:rsid w:val="21C10E76"/>
    <w:rsid w:val="21C347B6"/>
    <w:rsid w:val="21CB366A"/>
    <w:rsid w:val="21CD2C68"/>
    <w:rsid w:val="22010E3A"/>
    <w:rsid w:val="220E15D3"/>
    <w:rsid w:val="22123047"/>
    <w:rsid w:val="22146DBF"/>
    <w:rsid w:val="221C3EC6"/>
    <w:rsid w:val="22237002"/>
    <w:rsid w:val="222D7E81"/>
    <w:rsid w:val="223428CB"/>
    <w:rsid w:val="22456F57"/>
    <w:rsid w:val="22456F79"/>
    <w:rsid w:val="224D0523"/>
    <w:rsid w:val="22546334"/>
    <w:rsid w:val="22553DE4"/>
    <w:rsid w:val="226D4721"/>
    <w:rsid w:val="226F49FB"/>
    <w:rsid w:val="228A39DF"/>
    <w:rsid w:val="22985696"/>
    <w:rsid w:val="229C760C"/>
    <w:rsid w:val="22AA7723"/>
    <w:rsid w:val="22B1460E"/>
    <w:rsid w:val="22C9140E"/>
    <w:rsid w:val="22D64075"/>
    <w:rsid w:val="22FF7A6F"/>
    <w:rsid w:val="2304603A"/>
    <w:rsid w:val="23072480"/>
    <w:rsid w:val="23151041"/>
    <w:rsid w:val="231828DF"/>
    <w:rsid w:val="233020C7"/>
    <w:rsid w:val="23333275"/>
    <w:rsid w:val="233B20B6"/>
    <w:rsid w:val="233F009E"/>
    <w:rsid w:val="234B4A63"/>
    <w:rsid w:val="234C2589"/>
    <w:rsid w:val="2355143D"/>
    <w:rsid w:val="2355768F"/>
    <w:rsid w:val="235728E7"/>
    <w:rsid w:val="23580F2E"/>
    <w:rsid w:val="235A2EF8"/>
    <w:rsid w:val="235A6A54"/>
    <w:rsid w:val="2375388E"/>
    <w:rsid w:val="237F216B"/>
    <w:rsid w:val="238A2F84"/>
    <w:rsid w:val="239006C7"/>
    <w:rsid w:val="23A90897"/>
    <w:rsid w:val="23B51EDC"/>
    <w:rsid w:val="23BC326A"/>
    <w:rsid w:val="23C24DFC"/>
    <w:rsid w:val="23C30A9D"/>
    <w:rsid w:val="23C81A7D"/>
    <w:rsid w:val="23CE2F9E"/>
    <w:rsid w:val="23D22A8E"/>
    <w:rsid w:val="23DF33FD"/>
    <w:rsid w:val="23E052D9"/>
    <w:rsid w:val="23E069ED"/>
    <w:rsid w:val="23EB58D9"/>
    <w:rsid w:val="23EE2AE9"/>
    <w:rsid w:val="23F0560A"/>
    <w:rsid w:val="240115C5"/>
    <w:rsid w:val="24194B61"/>
    <w:rsid w:val="2425706E"/>
    <w:rsid w:val="24286EB3"/>
    <w:rsid w:val="24303C58"/>
    <w:rsid w:val="24343749"/>
    <w:rsid w:val="2443398C"/>
    <w:rsid w:val="2447791A"/>
    <w:rsid w:val="24530BF2"/>
    <w:rsid w:val="24577437"/>
    <w:rsid w:val="246123DC"/>
    <w:rsid w:val="2471674B"/>
    <w:rsid w:val="248D6697"/>
    <w:rsid w:val="24AF7273"/>
    <w:rsid w:val="24B46637"/>
    <w:rsid w:val="24B52BD3"/>
    <w:rsid w:val="24B65F0C"/>
    <w:rsid w:val="24B6624E"/>
    <w:rsid w:val="24B672B1"/>
    <w:rsid w:val="24C34ACD"/>
    <w:rsid w:val="24C85C3F"/>
    <w:rsid w:val="24D40A88"/>
    <w:rsid w:val="24D83448"/>
    <w:rsid w:val="24E2165B"/>
    <w:rsid w:val="24E72569"/>
    <w:rsid w:val="24EA2059"/>
    <w:rsid w:val="24EC7B7F"/>
    <w:rsid w:val="24ED38F7"/>
    <w:rsid w:val="24ED6E0A"/>
    <w:rsid w:val="24EF58C2"/>
    <w:rsid w:val="24F42ED8"/>
    <w:rsid w:val="25074388"/>
    <w:rsid w:val="25090731"/>
    <w:rsid w:val="251A293E"/>
    <w:rsid w:val="251D242F"/>
    <w:rsid w:val="25207829"/>
    <w:rsid w:val="25281D9B"/>
    <w:rsid w:val="252E0198"/>
    <w:rsid w:val="25331C52"/>
    <w:rsid w:val="25387269"/>
    <w:rsid w:val="253D2136"/>
    <w:rsid w:val="255A3FD9"/>
    <w:rsid w:val="258424AE"/>
    <w:rsid w:val="25951FC5"/>
    <w:rsid w:val="25A0330F"/>
    <w:rsid w:val="25B61F3B"/>
    <w:rsid w:val="25BF5294"/>
    <w:rsid w:val="25D16D75"/>
    <w:rsid w:val="25DA3E7C"/>
    <w:rsid w:val="25DD571A"/>
    <w:rsid w:val="25DF5936"/>
    <w:rsid w:val="25E60A73"/>
    <w:rsid w:val="25E62821"/>
    <w:rsid w:val="25E92C01"/>
    <w:rsid w:val="25F52A64"/>
    <w:rsid w:val="25F80DA5"/>
    <w:rsid w:val="25FB38E2"/>
    <w:rsid w:val="260809E9"/>
    <w:rsid w:val="26090E7F"/>
    <w:rsid w:val="260E33E5"/>
    <w:rsid w:val="261455E0"/>
    <w:rsid w:val="261C66B1"/>
    <w:rsid w:val="26303E31"/>
    <w:rsid w:val="26316101"/>
    <w:rsid w:val="26323CB8"/>
    <w:rsid w:val="26396DF4"/>
    <w:rsid w:val="26434D40"/>
    <w:rsid w:val="265775D0"/>
    <w:rsid w:val="26583EBF"/>
    <w:rsid w:val="265C0D35"/>
    <w:rsid w:val="265E4AAD"/>
    <w:rsid w:val="266A5364"/>
    <w:rsid w:val="26760048"/>
    <w:rsid w:val="268554DC"/>
    <w:rsid w:val="26871C47"/>
    <w:rsid w:val="268A3AF4"/>
    <w:rsid w:val="2694227D"/>
    <w:rsid w:val="269A10BB"/>
    <w:rsid w:val="26A650A8"/>
    <w:rsid w:val="26AF5308"/>
    <w:rsid w:val="26AF70B6"/>
    <w:rsid w:val="26B40D32"/>
    <w:rsid w:val="26C32BDC"/>
    <w:rsid w:val="26C412B6"/>
    <w:rsid w:val="26CC4A5D"/>
    <w:rsid w:val="26CE1A6E"/>
    <w:rsid w:val="26DD1E76"/>
    <w:rsid w:val="26E1582E"/>
    <w:rsid w:val="26E37CC2"/>
    <w:rsid w:val="26F32CDF"/>
    <w:rsid w:val="26F75B60"/>
    <w:rsid w:val="27005B64"/>
    <w:rsid w:val="2702148D"/>
    <w:rsid w:val="272F2D1A"/>
    <w:rsid w:val="27452072"/>
    <w:rsid w:val="2751016E"/>
    <w:rsid w:val="27715E45"/>
    <w:rsid w:val="2779313B"/>
    <w:rsid w:val="277D0F63"/>
    <w:rsid w:val="278422F1"/>
    <w:rsid w:val="27856069"/>
    <w:rsid w:val="27914D53"/>
    <w:rsid w:val="27934C2A"/>
    <w:rsid w:val="279369D8"/>
    <w:rsid w:val="27B32BD6"/>
    <w:rsid w:val="27B626C7"/>
    <w:rsid w:val="27BB1438"/>
    <w:rsid w:val="27BF6596"/>
    <w:rsid w:val="27C13545"/>
    <w:rsid w:val="27C135C1"/>
    <w:rsid w:val="27CE5C62"/>
    <w:rsid w:val="27E15995"/>
    <w:rsid w:val="27E2526A"/>
    <w:rsid w:val="27E45486"/>
    <w:rsid w:val="27F07987"/>
    <w:rsid w:val="27F31519"/>
    <w:rsid w:val="27F60D15"/>
    <w:rsid w:val="27FA0805"/>
    <w:rsid w:val="28065902"/>
    <w:rsid w:val="282249BA"/>
    <w:rsid w:val="28292E99"/>
    <w:rsid w:val="282B6C11"/>
    <w:rsid w:val="283006CB"/>
    <w:rsid w:val="28303A9D"/>
    <w:rsid w:val="28325A30"/>
    <w:rsid w:val="28385D8A"/>
    <w:rsid w:val="283B4BD4"/>
    <w:rsid w:val="28424C50"/>
    <w:rsid w:val="28435DDA"/>
    <w:rsid w:val="284B2E0F"/>
    <w:rsid w:val="285171A4"/>
    <w:rsid w:val="28530C17"/>
    <w:rsid w:val="285443B9"/>
    <w:rsid w:val="285717B4"/>
    <w:rsid w:val="285919D0"/>
    <w:rsid w:val="285A74F6"/>
    <w:rsid w:val="285C14C0"/>
    <w:rsid w:val="286D4271"/>
    <w:rsid w:val="289308FC"/>
    <w:rsid w:val="2894468D"/>
    <w:rsid w:val="289F41F8"/>
    <w:rsid w:val="28A72448"/>
    <w:rsid w:val="28C44D99"/>
    <w:rsid w:val="29033248"/>
    <w:rsid w:val="290C07F0"/>
    <w:rsid w:val="2910631C"/>
    <w:rsid w:val="2916341D"/>
    <w:rsid w:val="29373393"/>
    <w:rsid w:val="295E6B72"/>
    <w:rsid w:val="29606D8E"/>
    <w:rsid w:val="297E01B4"/>
    <w:rsid w:val="298567F4"/>
    <w:rsid w:val="299C097C"/>
    <w:rsid w:val="299D2E10"/>
    <w:rsid w:val="29A67BFE"/>
    <w:rsid w:val="29A749BD"/>
    <w:rsid w:val="29B82D89"/>
    <w:rsid w:val="29BF0E82"/>
    <w:rsid w:val="29C42E79"/>
    <w:rsid w:val="29C56BF1"/>
    <w:rsid w:val="29D15596"/>
    <w:rsid w:val="29F01EC0"/>
    <w:rsid w:val="29F07B49"/>
    <w:rsid w:val="29FB0865"/>
    <w:rsid w:val="2A0E67EA"/>
    <w:rsid w:val="2A181417"/>
    <w:rsid w:val="2A186EBC"/>
    <w:rsid w:val="2A2D4EC2"/>
    <w:rsid w:val="2A3F69A3"/>
    <w:rsid w:val="2A552199"/>
    <w:rsid w:val="2A5561C7"/>
    <w:rsid w:val="2A5E151F"/>
    <w:rsid w:val="2A636B36"/>
    <w:rsid w:val="2A6F54DA"/>
    <w:rsid w:val="2A720B27"/>
    <w:rsid w:val="2A7412DF"/>
    <w:rsid w:val="2A8A159A"/>
    <w:rsid w:val="2A9C3DF6"/>
    <w:rsid w:val="2AA50EFC"/>
    <w:rsid w:val="2AA607D0"/>
    <w:rsid w:val="2AAF3B29"/>
    <w:rsid w:val="2AB27175"/>
    <w:rsid w:val="2ACD3FAF"/>
    <w:rsid w:val="2AD01CF1"/>
    <w:rsid w:val="2AE31A25"/>
    <w:rsid w:val="2AE54F0F"/>
    <w:rsid w:val="2AEF4C89"/>
    <w:rsid w:val="2AF459E0"/>
    <w:rsid w:val="2B057BED"/>
    <w:rsid w:val="2B0B43FD"/>
    <w:rsid w:val="2B0D6AA1"/>
    <w:rsid w:val="2B0F2795"/>
    <w:rsid w:val="2B17347C"/>
    <w:rsid w:val="2B255B99"/>
    <w:rsid w:val="2B2838DB"/>
    <w:rsid w:val="2B2D2CA0"/>
    <w:rsid w:val="2B3675C2"/>
    <w:rsid w:val="2B3A2B15"/>
    <w:rsid w:val="2B3C2EE3"/>
    <w:rsid w:val="2B42740E"/>
    <w:rsid w:val="2B4F2C16"/>
    <w:rsid w:val="2B585F6F"/>
    <w:rsid w:val="2B5B5A5F"/>
    <w:rsid w:val="2B69017C"/>
    <w:rsid w:val="2B693CC8"/>
    <w:rsid w:val="2B885986"/>
    <w:rsid w:val="2B8C3E6A"/>
    <w:rsid w:val="2B8E685C"/>
    <w:rsid w:val="2B9E76FA"/>
    <w:rsid w:val="2BA71534"/>
    <w:rsid w:val="2BAA42F0"/>
    <w:rsid w:val="2BB12337"/>
    <w:rsid w:val="2BB135C8"/>
    <w:rsid w:val="2BB351B8"/>
    <w:rsid w:val="2BB533C1"/>
    <w:rsid w:val="2BBB02AC"/>
    <w:rsid w:val="2BD01FBD"/>
    <w:rsid w:val="2BD61589"/>
    <w:rsid w:val="2BDF043E"/>
    <w:rsid w:val="2BE041B6"/>
    <w:rsid w:val="2BE11E94"/>
    <w:rsid w:val="2BE94E44"/>
    <w:rsid w:val="2BF437BD"/>
    <w:rsid w:val="2BF9180D"/>
    <w:rsid w:val="2BFA0DD4"/>
    <w:rsid w:val="2BFD2924"/>
    <w:rsid w:val="2C0F23A5"/>
    <w:rsid w:val="2C351E0C"/>
    <w:rsid w:val="2C3824FD"/>
    <w:rsid w:val="2C4209CD"/>
    <w:rsid w:val="2C4A6F22"/>
    <w:rsid w:val="2C614701"/>
    <w:rsid w:val="2C6646BB"/>
    <w:rsid w:val="2C671C0B"/>
    <w:rsid w:val="2C710C40"/>
    <w:rsid w:val="2C76346B"/>
    <w:rsid w:val="2C772424"/>
    <w:rsid w:val="2C7A1F15"/>
    <w:rsid w:val="2C7D37B3"/>
    <w:rsid w:val="2C9F5E1F"/>
    <w:rsid w:val="2CA376BD"/>
    <w:rsid w:val="2CA46F92"/>
    <w:rsid w:val="2CBF5993"/>
    <w:rsid w:val="2CC73CEE"/>
    <w:rsid w:val="2CC87124"/>
    <w:rsid w:val="2CED0939"/>
    <w:rsid w:val="2D1136FB"/>
    <w:rsid w:val="2D236108"/>
    <w:rsid w:val="2D26209C"/>
    <w:rsid w:val="2D29524F"/>
    <w:rsid w:val="2D391DD0"/>
    <w:rsid w:val="2D4A5D8B"/>
    <w:rsid w:val="2D642631"/>
    <w:rsid w:val="2D6D08D6"/>
    <w:rsid w:val="2D776454"/>
    <w:rsid w:val="2D79041E"/>
    <w:rsid w:val="2D83129D"/>
    <w:rsid w:val="2D9B69BA"/>
    <w:rsid w:val="2DA07C21"/>
    <w:rsid w:val="2DB66F7C"/>
    <w:rsid w:val="2DB96A6D"/>
    <w:rsid w:val="2DC40558"/>
    <w:rsid w:val="2DC41FB1"/>
    <w:rsid w:val="2DC47D44"/>
    <w:rsid w:val="2DD536C3"/>
    <w:rsid w:val="2DE955A4"/>
    <w:rsid w:val="2DEA131C"/>
    <w:rsid w:val="2E0C3040"/>
    <w:rsid w:val="2E156399"/>
    <w:rsid w:val="2E1D524D"/>
    <w:rsid w:val="2E206B20"/>
    <w:rsid w:val="2E254102"/>
    <w:rsid w:val="2E2A34C6"/>
    <w:rsid w:val="2E5D389C"/>
    <w:rsid w:val="2E670597"/>
    <w:rsid w:val="2E6A0DEB"/>
    <w:rsid w:val="2E7C6418"/>
    <w:rsid w:val="2E7C6DB5"/>
    <w:rsid w:val="2E7D3F3E"/>
    <w:rsid w:val="2E7F7CB6"/>
    <w:rsid w:val="2E81758A"/>
    <w:rsid w:val="2E8B0409"/>
    <w:rsid w:val="2E9A689E"/>
    <w:rsid w:val="2E9F3EB4"/>
    <w:rsid w:val="2EA57E2F"/>
    <w:rsid w:val="2EA8720D"/>
    <w:rsid w:val="2EB711FE"/>
    <w:rsid w:val="2EBA0CEE"/>
    <w:rsid w:val="2EBC4A66"/>
    <w:rsid w:val="2ED4747E"/>
    <w:rsid w:val="2EF97A69"/>
    <w:rsid w:val="2EFF6789"/>
    <w:rsid w:val="2F006C64"/>
    <w:rsid w:val="2F0401BB"/>
    <w:rsid w:val="2F081A5A"/>
    <w:rsid w:val="2F0F2DE8"/>
    <w:rsid w:val="2F106B60"/>
    <w:rsid w:val="2F1228D8"/>
    <w:rsid w:val="2F1A178D"/>
    <w:rsid w:val="2F2B1BEC"/>
    <w:rsid w:val="2F3565C7"/>
    <w:rsid w:val="2F3A3297"/>
    <w:rsid w:val="2F4E3303"/>
    <w:rsid w:val="2F7013AD"/>
    <w:rsid w:val="2F750DEF"/>
    <w:rsid w:val="2F812DD0"/>
    <w:rsid w:val="2F9216F8"/>
    <w:rsid w:val="2F9217E7"/>
    <w:rsid w:val="2F972DDE"/>
    <w:rsid w:val="2FA21EAE"/>
    <w:rsid w:val="2FA63021"/>
    <w:rsid w:val="2FA726C8"/>
    <w:rsid w:val="2FA8323D"/>
    <w:rsid w:val="2FAF45CB"/>
    <w:rsid w:val="2FB41BE1"/>
    <w:rsid w:val="2FB971F8"/>
    <w:rsid w:val="2FBA4969"/>
    <w:rsid w:val="2FE63FF6"/>
    <w:rsid w:val="2FEC4ED7"/>
    <w:rsid w:val="2FF700B2"/>
    <w:rsid w:val="3002294D"/>
    <w:rsid w:val="30085A89"/>
    <w:rsid w:val="30182170"/>
    <w:rsid w:val="30202DD3"/>
    <w:rsid w:val="302C5C1C"/>
    <w:rsid w:val="302F6858"/>
    <w:rsid w:val="30354AD0"/>
    <w:rsid w:val="3049057C"/>
    <w:rsid w:val="30497AA4"/>
    <w:rsid w:val="304C47F8"/>
    <w:rsid w:val="3065636B"/>
    <w:rsid w:val="30662EDC"/>
    <w:rsid w:val="306D3C4A"/>
    <w:rsid w:val="307217AF"/>
    <w:rsid w:val="3075078A"/>
    <w:rsid w:val="308C0468"/>
    <w:rsid w:val="309F019C"/>
    <w:rsid w:val="30A13F14"/>
    <w:rsid w:val="30B359F5"/>
    <w:rsid w:val="30C220DC"/>
    <w:rsid w:val="30C23E8A"/>
    <w:rsid w:val="30C31F80"/>
    <w:rsid w:val="30C65728"/>
    <w:rsid w:val="30E16A06"/>
    <w:rsid w:val="30E327D8"/>
    <w:rsid w:val="30E9200B"/>
    <w:rsid w:val="310B6B3A"/>
    <w:rsid w:val="310C7987"/>
    <w:rsid w:val="310D77FB"/>
    <w:rsid w:val="31126BC0"/>
    <w:rsid w:val="311A1F18"/>
    <w:rsid w:val="311E37B6"/>
    <w:rsid w:val="312406A1"/>
    <w:rsid w:val="312A764F"/>
    <w:rsid w:val="31305298"/>
    <w:rsid w:val="31466869"/>
    <w:rsid w:val="315C608D"/>
    <w:rsid w:val="31847007"/>
    <w:rsid w:val="318B0720"/>
    <w:rsid w:val="318D3FEB"/>
    <w:rsid w:val="318F0210"/>
    <w:rsid w:val="31992E3D"/>
    <w:rsid w:val="31A6555A"/>
    <w:rsid w:val="31AA329C"/>
    <w:rsid w:val="31B22151"/>
    <w:rsid w:val="31B4223F"/>
    <w:rsid w:val="31B934DF"/>
    <w:rsid w:val="31C559E0"/>
    <w:rsid w:val="31CF2934"/>
    <w:rsid w:val="31ED246C"/>
    <w:rsid w:val="320072CB"/>
    <w:rsid w:val="32047785"/>
    <w:rsid w:val="3207467F"/>
    <w:rsid w:val="320D5506"/>
    <w:rsid w:val="32144BB9"/>
    <w:rsid w:val="3220530C"/>
    <w:rsid w:val="322070BA"/>
    <w:rsid w:val="32244DFC"/>
    <w:rsid w:val="323739CF"/>
    <w:rsid w:val="323E437C"/>
    <w:rsid w:val="3240775C"/>
    <w:rsid w:val="32411DC5"/>
    <w:rsid w:val="32412601"/>
    <w:rsid w:val="32472899"/>
    <w:rsid w:val="324C7194"/>
    <w:rsid w:val="324D161C"/>
    <w:rsid w:val="325154C6"/>
    <w:rsid w:val="325E42E1"/>
    <w:rsid w:val="326A2A2B"/>
    <w:rsid w:val="3276317E"/>
    <w:rsid w:val="32892EB1"/>
    <w:rsid w:val="32921474"/>
    <w:rsid w:val="32943604"/>
    <w:rsid w:val="32AC094E"/>
    <w:rsid w:val="32AC3044"/>
    <w:rsid w:val="32B37F2E"/>
    <w:rsid w:val="32B4260F"/>
    <w:rsid w:val="32BA750F"/>
    <w:rsid w:val="32C20171"/>
    <w:rsid w:val="32CC2619"/>
    <w:rsid w:val="32D31C12"/>
    <w:rsid w:val="32DC7485"/>
    <w:rsid w:val="32E252DC"/>
    <w:rsid w:val="32F522F5"/>
    <w:rsid w:val="32F56799"/>
    <w:rsid w:val="32F81DE5"/>
    <w:rsid w:val="32FD2435"/>
    <w:rsid w:val="33042538"/>
    <w:rsid w:val="330B1B18"/>
    <w:rsid w:val="33107D3E"/>
    <w:rsid w:val="33274478"/>
    <w:rsid w:val="33291F9F"/>
    <w:rsid w:val="33312335"/>
    <w:rsid w:val="3337355C"/>
    <w:rsid w:val="334868C9"/>
    <w:rsid w:val="334B63B9"/>
    <w:rsid w:val="33533A62"/>
    <w:rsid w:val="335E433E"/>
    <w:rsid w:val="33615BDC"/>
    <w:rsid w:val="33621E23"/>
    <w:rsid w:val="33633703"/>
    <w:rsid w:val="3366208C"/>
    <w:rsid w:val="336F3CF1"/>
    <w:rsid w:val="337066EC"/>
    <w:rsid w:val="33857B1D"/>
    <w:rsid w:val="339F04B3"/>
    <w:rsid w:val="33AA6517"/>
    <w:rsid w:val="33B71CA0"/>
    <w:rsid w:val="33BE4DDD"/>
    <w:rsid w:val="33C148CD"/>
    <w:rsid w:val="33C3132F"/>
    <w:rsid w:val="33C9148A"/>
    <w:rsid w:val="33D04B10"/>
    <w:rsid w:val="33DA7EA9"/>
    <w:rsid w:val="33E466A1"/>
    <w:rsid w:val="33F46A50"/>
    <w:rsid w:val="33F56325"/>
    <w:rsid w:val="33FF27C2"/>
    <w:rsid w:val="34014CC9"/>
    <w:rsid w:val="3404057D"/>
    <w:rsid w:val="340B78F6"/>
    <w:rsid w:val="34230879"/>
    <w:rsid w:val="34341336"/>
    <w:rsid w:val="34480B4A"/>
    <w:rsid w:val="34533564"/>
    <w:rsid w:val="345F1395"/>
    <w:rsid w:val="347070B7"/>
    <w:rsid w:val="347100A1"/>
    <w:rsid w:val="34763909"/>
    <w:rsid w:val="34787A33"/>
    <w:rsid w:val="347E456C"/>
    <w:rsid w:val="347E631A"/>
    <w:rsid w:val="34847DD4"/>
    <w:rsid w:val="34AA5361"/>
    <w:rsid w:val="34BB30CA"/>
    <w:rsid w:val="34BD32E6"/>
    <w:rsid w:val="34C01BB8"/>
    <w:rsid w:val="34C12DD7"/>
    <w:rsid w:val="34C77CC1"/>
    <w:rsid w:val="34CA155F"/>
    <w:rsid w:val="34D128EE"/>
    <w:rsid w:val="34D7015E"/>
    <w:rsid w:val="34D92ABF"/>
    <w:rsid w:val="34F36D08"/>
    <w:rsid w:val="34F605A6"/>
    <w:rsid w:val="3502706A"/>
    <w:rsid w:val="350466DA"/>
    <w:rsid w:val="350E769E"/>
    <w:rsid w:val="351C625F"/>
    <w:rsid w:val="351F7AFD"/>
    <w:rsid w:val="3526605F"/>
    <w:rsid w:val="352C5D76"/>
    <w:rsid w:val="353C420B"/>
    <w:rsid w:val="354E03E2"/>
    <w:rsid w:val="35584DBD"/>
    <w:rsid w:val="355853E5"/>
    <w:rsid w:val="35646712"/>
    <w:rsid w:val="356579BA"/>
    <w:rsid w:val="3579545F"/>
    <w:rsid w:val="357A11D7"/>
    <w:rsid w:val="3584658E"/>
    <w:rsid w:val="358D1A01"/>
    <w:rsid w:val="359361EE"/>
    <w:rsid w:val="35942299"/>
    <w:rsid w:val="359978AF"/>
    <w:rsid w:val="35A61EB8"/>
    <w:rsid w:val="35A804C7"/>
    <w:rsid w:val="35B50461"/>
    <w:rsid w:val="35BE6309"/>
    <w:rsid w:val="35C44C2D"/>
    <w:rsid w:val="35C96973"/>
    <w:rsid w:val="35D07049"/>
    <w:rsid w:val="35D501BC"/>
    <w:rsid w:val="35DC779C"/>
    <w:rsid w:val="35E12C8E"/>
    <w:rsid w:val="35E14DB3"/>
    <w:rsid w:val="3600605B"/>
    <w:rsid w:val="36031549"/>
    <w:rsid w:val="360C78AD"/>
    <w:rsid w:val="360D3DFA"/>
    <w:rsid w:val="362178A5"/>
    <w:rsid w:val="362820EB"/>
    <w:rsid w:val="36317AE8"/>
    <w:rsid w:val="36317E2D"/>
    <w:rsid w:val="36380B2B"/>
    <w:rsid w:val="363C648D"/>
    <w:rsid w:val="364A6DFC"/>
    <w:rsid w:val="364F2905"/>
    <w:rsid w:val="36763E8B"/>
    <w:rsid w:val="369071E6"/>
    <w:rsid w:val="369736C3"/>
    <w:rsid w:val="36993E75"/>
    <w:rsid w:val="369A230A"/>
    <w:rsid w:val="369D33CF"/>
    <w:rsid w:val="36A52284"/>
    <w:rsid w:val="36A55DE0"/>
    <w:rsid w:val="36AF6C5F"/>
    <w:rsid w:val="36CC15BF"/>
    <w:rsid w:val="36CC7811"/>
    <w:rsid w:val="36D14E27"/>
    <w:rsid w:val="36D970CB"/>
    <w:rsid w:val="36E36908"/>
    <w:rsid w:val="36E7289C"/>
    <w:rsid w:val="36E7464B"/>
    <w:rsid w:val="36F079A3"/>
    <w:rsid w:val="36F32FEF"/>
    <w:rsid w:val="37074CED"/>
    <w:rsid w:val="371A67CE"/>
    <w:rsid w:val="37203705"/>
    <w:rsid w:val="372214B8"/>
    <w:rsid w:val="372E04CB"/>
    <w:rsid w:val="372E5DD5"/>
    <w:rsid w:val="3733350D"/>
    <w:rsid w:val="373D070E"/>
    <w:rsid w:val="373D24BC"/>
    <w:rsid w:val="37405933"/>
    <w:rsid w:val="37425D25"/>
    <w:rsid w:val="37453DF4"/>
    <w:rsid w:val="374C2700"/>
    <w:rsid w:val="37544AEE"/>
    <w:rsid w:val="37557806"/>
    <w:rsid w:val="375D2A64"/>
    <w:rsid w:val="37643EED"/>
    <w:rsid w:val="377731A3"/>
    <w:rsid w:val="377D0D37"/>
    <w:rsid w:val="377D1237"/>
    <w:rsid w:val="378974B0"/>
    <w:rsid w:val="379D78BD"/>
    <w:rsid w:val="37A10C9D"/>
    <w:rsid w:val="37A54D91"/>
    <w:rsid w:val="37A80C50"/>
    <w:rsid w:val="37A97B52"/>
    <w:rsid w:val="37BA1E48"/>
    <w:rsid w:val="37C624B2"/>
    <w:rsid w:val="37D526F5"/>
    <w:rsid w:val="37DE3143"/>
    <w:rsid w:val="37E1109A"/>
    <w:rsid w:val="37E77F9C"/>
    <w:rsid w:val="37F053FE"/>
    <w:rsid w:val="37F963E3"/>
    <w:rsid w:val="37FA03AE"/>
    <w:rsid w:val="3801798E"/>
    <w:rsid w:val="380D6333"/>
    <w:rsid w:val="381107CB"/>
    <w:rsid w:val="38234AA0"/>
    <w:rsid w:val="382375D4"/>
    <w:rsid w:val="3825367C"/>
    <w:rsid w:val="3826047B"/>
    <w:rsid w:val="383C2774"/>
    <w:rsid w:val="38471845"/>
    <w:rsid w:val="3848736B"/>
    <w:rsid w:val="38507FCD"/>
    <w:rsid w:val="38526E65"/>
    <w:rsid w:val="385555E4"/>
    <w:rsid w:val="38635F53"/>
    <w:rsid w:val="386B24FE"/>
    <w:rsid w:val="386B4E07"/>
    <w:rsid w:val="38710670"/>
    <w:rsid w:val="387E4B3B"/>
    <w:rsid w:val="38993E43"/>
    <w:rsid w:val="38A76B41"/>
    <w:rsid w:val="38A81BB8"/>
    <w:rsid w:val="38B36EDA"/>
    <w:rsid w:val="38BF587F"/>
    <w:rsid w:val="38C15F45"/>
    <w:rsid w:val="38C764E2"/>
    <w:rsid w:val="38C8225A"/>
    <w:rsid w:val="38C950C6"/>
    <w:rsid w:val="38CA42E7"/>
    <w:rsid w:val="38F15A12"/>
    <w:rsid w:val="38F16DB4"/>
    <w:rsid w:val="38F92413"/>
    <w:rsid w:val="38FA7D63"/>
    <w:rsid w:val="39094298"/>
    <w:rsid w:val="390B0AC4"/>
    <w:rsid w:val="390B7A49"/>
    <w:rsid w:val="390C65EA"/>
    <w:rsid w:val="39131727"/>
    <w:rsid w:val="391D07F7"/>
    <w:rsid w:val="391F631E"/>
    <w:rsid w:val="39227225"/>
    <w:rsid w:val="393D2C48"/>
    <w:rsid w:val="39424344"/>
    <w:rsid w:val="394915ED"/>
    <w:rsid w:val="394B6AE2"/>
    <w:rsid w:val="395F5BEC"/>
    <w:rsid w:val="39643D30"/>
    <w:rsid w:val="39693A3D"/>
    <w:rsid w:val="39697599"/>
    <w:rsid w:val="396E628F"/>
    <w:rsid w:val="39754190"/>
    <w:rsid w:val="397F0B6A"/>
    <w:rsid w:val="398B5761"/>
    <w:rsid w:val="39934616"/>
    <w:rsid w:val="39A04EA6"/>
    <w:rsid w:val="39A138E1"/>
    <w:rsid w:val="39A84A5C"/>
    <w:rsid w:val="39AD3E45"/>
    <w:rsid w:val="39B736A6"/>
    <w:rsid w:val="39C742BF"/>
    <w:rsid w:val="39D12CC6"/>
    <w:rsid w:val="39D709A6"/>
    <w:rsid w:val="39D75ED6"/>
    <w:rsid w:val="39DB43FB"/>
    <w:rsid w:val="39E84DFD"/>
    <w:rsid w:val="39F3557E"/>
    <w:rsid w:val="39F94C7C"/>
    <w:rsid w:val="39FC21BB"/>
    <w:rsid w:val="3A0358FD"/>
    <w:rsid w:val="3A0A12D0"/>
    <w:rsid w:val="3A0B0650"/>
    <w:rsid w:val="3A2A31CC"/>
    <w:rsid w:val="3A307864"/>
    <w:rsid w:val="3A345DF9"/>
    <w:rsid w:val="3A3C4CAD"/>
    <w:rsid w:val="3A43603C"/>
    <w:rsid w:val="3A451DB4"/>
    <w:rsid w:val="3A4D0C68"/>
    <w:rsid w:val="3A560290"/>
    <w:rsid w:val="3A570391"/>
    <w:rsid w:val="3A59585F"/>
    <w:rsid w:val="3A59760D"/>
    <w:rsid w:val="3A881CA1"/>
    <w:rsid w:val="3AA12D62"/>
    <w:rsid w:val="3AA7481D"/>
    <w:rsid w:val="3AAF5EAA"/>
    <w:rsid w:val="3AB14E6A"/>
    <w:rsid w:val="3AB40CE8"/>
    <w:rsid w:val="3AB42A96"/>
    <w:rsid w:val="3AB969C9"/>
    <w:rsid w:val="3ACB540C"/>
    <w:rsid w:val="3AD24D52"/>
    <w:rsid w:val="3AE25855"/>
    <w:rsid w:val="3AFD6EE0"/>
    <w:rsid w:val="3AFE33D1"/>
    <w:rsid w:val="3B0F6DCD"/>
    <w:rsid w:val="3B2C087E"/>
    <w:rsid w:val="3B2E0A9A"/>
    <w:rsid w:val="3B4200A1"/>
    <w:rsid w:val="3B44206B"/>
    <w:rsid w:val="3B514788"/>
    <w:rsid w:val="3B567FF1"/>
    <w:rsid w:val="3B6444BC"/>
    <w:rsid w:val="3B682EF6"/>
    <w:rsid w:val="3B762441"/>
    <w:rsid w:val="3B824942"/>
    <w:rsid w:val="3B844B5E"/>
    <w:rsid w:val="3BA10710"/>
    <w:rsid w:val="3BB219B8"/>
    <w:rsid w:val="3BB6283D"/>
    <w:rsid w:val="3BB70A8F"/>
    <w:rsid w:val="3BC92571"/>
    <w:rsid w:val="3BD31641"/>
    <w:rsid w:val="3BD50F16"/>
    <w:rsid w:val="3BD52D4A"/>
    <w:rsid w:val="3BE715F3"/>
    <w:rsid w:val="3BF5780A"/>
    <w:rsid w:val="3BF845BC"/>
    <w:rsid w:val="3C137C90"/>
    <w:rsid w:val="3C1732DC"/>
    <w:rsid w:val="3C1C6B44"/>
    <w:rsid w:val="3C2B4FD9"/>
    <w:rsid w:val="3C3A346E"/>
    <w:rsid w:val="3C447E49"/>
    <w:rsid w:val="3C5C1637"/>
    <w:rsid w:val="3C5C41B2"/>
    <w:rsid w:val="3C634F70"/>
    <w:rsid w:val="3C6E4EC6"/>
    <w:rsid w:val="3C7249B6"/>
    <w:rsid w:val="3C7921E9"/>
    <w:rsid w:val="3C7C75E3"/>
    <w:rsid w:val="3C7E335B"/>
    <w:rsid w:val="3C833C1B"/>
    <w:rsid w:val="3C8446EA"/>
    <w:rsid w:val="3C8C478D"/>
    <w:rsid w:val="3C8D7A42"/>
    <w:rsid w:val="3C940DD1"/>
    <w:rsid w:val="3C9C3076"/>
    <w:rsid w:val="3CA134EE"/>
    <w:rsid w:val="3CB11983"/>
    <w:rsid w:val="3CB3037C"/>
    <w:rsid w:val="3CC467E4"/>
    <w:rsid w:val="3CCB40C7"/>
    <w:rsid w:val="3CCF005B"/>
    <w:rsid w:val="3CD71BE5"/>
    <w:rsid w:val="3CD72A6B"/>
    <w:rsid w:val="3CE84C78"/>
    <w:rsid w:val="3CF7310E"/>
    <w:rsid w:val="3CFD6B01"/>
    <w:rsid w:val="3D006466"/>
    <w:rsid w:val="3D053A7C"/>
    <w:rsid w:val="3D2A2A77"/>
    <w:rsid w:val="3D31661F"/>
    <w:rsid w:val="3D324146"/>
    <w:rsid w:val="3D3D4FC4"/>
    <w:rsid w:val="3D42082D"/>
    <w:rsid w:val="3D436353"/>
    <w:rsid w:val="3D5451FC"/>
    <w:rsid w:val="3D5F318D"/>
    <w:rsid w:val="3D613268"/>
    <w:rsid w:val="3D6B1808"/>
    <w:rsid w:val="3D6C3AFB"/>
    <w:rsid w:val="3D6D13E7"/>
    <w:rsid w:val="3D7604D6"/>
    <w:rsid w:val="3D7725CE"/>
    <w:rsid w:val="3D7F382F"/>
    <w:rsid w:val="3D8E75CE"/>
    <w:rsid w:val="3D954E00"/>
    <w:rsid w:val="3D98229D"/>
    <w:rsid w:val="3DA53149"/>
    <w:rsid w:val="3DB732D9"/>
    <w:rsid w:val="3DBD2F79"/>
    <w:rsid w:val="3DCC00F6"/>
    <w:rsid w:val="3DD0408A"/>
    <w:rsid w:val="3DDD70B1"/>
    <w:rsid w:val="3DDF7E2A"/>
    <w:rsid w:val="3DEE4511"/>
    <w:rsid w:val="3DEE62BF"/>
    <w:rsid w:val="3DF064DB"/>
    <w:rsid w:val="3DFA6993"/>
    <w:rsid w:val="3DFE0BF8"/>
    <w:rsid w:val="3E0619A9"/>
    <w:rsid w:val="3E155F41"/>
    <w:rsid w:val="3E1D6BA4"/>
    <w:rsid w:val="3E3839DE"/>
    <w:rsid w:val="3E462DFC"/>
    <w:rsid w:val="3E4D49D4"/>
    <w:rsid w:val="3E5C76CC"/>
    <w:rsid w:val="3E80785E"/>
    <w:rsid w:val="3E846C23"/>
    <w:rsid w:val="3EA2457E"/>
    <w:rsid w:val="3EA66B99"/>
    <w:rsid w:val="3EB92D70"/>
    <w:rsid w:val="3EBA1150"/>
    <w:rsid w:val="3EBE2135"/>
    <w:rsid w:val="3EC2713F"/>
    <w:rsid w:val="3EDA17D8"/>
    <w:rsid w:val="3F0F473E"/>
    <w:rsid w:val="3F12422F"/>
    <w:rsid w:val="3F1F5640"/>
    <w:rsid w:val="3F2118E3"/>
    <w:rsid w:val="3F23643C"/>
    <w:rsid w:val="3F2B7D93"/>
    <w:rsid w:val="3F3D5750"/>
    <w:rsid w:val="3F577E93"/>
    <w:rsid w:val="3F593C0C"/>
    <w:rsid w:val="3F5A562A"/>
    <w:rsid w:val="3F6214D5"/>
    <w:rsid w:val="3F64775E"/>
    <w:rsid w:val="3F6F342F"/>
    <w:rsid w:val="3F80563C"/>
    <w:rsid w:val="3F8E1B07"/>
    <w:rsid w:val="3FAA0DC6"/>
    <w:rsid w:val="3FB377C0"/>
    <w:rsid w:val="3FBA0573"/>
    <w:rsid w:val="3FC1012F"/>
    <w:rsid w:val="3FC512A1"/>
    <w:rsid w:val="3FC6412A"/>
    <w:rsid w:val="3FC80684"/>
    <w:rsid w:val="3FD634AE"/>
    <w:rsid w:val="3FD83D14"/>
    <w:rsid w:val="3FDB2873"/>
    <w:rsid w:val="3FDC3952"/>
    <w:rsid w:val="3FDD483D"/>
    <w:rsid w:val="3FDF78A0"/>
    <w:rsid w:val="3FE03829"/>
    <w:rsid w:val="3FE47979"/>
    <w:rsid w:val="3FE931E1"/>
    <w:rsid w:val="3FEE6A4A"/>
    <w:rsid w:val="3FF66F6D"/>
    <w:rsid w:val="3FFB7EC3"/>
    <w:rsid w:val="40041DC9"/>
    <w:rsid w:val="4033445D"/>
    <w:rsid w:val="403518E3"/>
    <w:rsid w:val="403B1563"/>
    <w:rsid w:val="4044416C"/>
    <w:rsid w:val="404B17A6"/>
    <w:rsid w:val="404B3E9C"/>
    <w:rsid w:val="404B5C4A"/>
    <w:rsid w:val="405214DD"/>
    <w:rsid w:val="405B57EB"/>
    <w:rsid w:val="4061225A"/>
    <w:rsid w:val="40674587"/>
    <w:rsid w:val="4071483D"/>
    <w:rsid w:val="408A1289"/>
    <w:rsid w:val="408B24EB"/>
    <w:rsid w:val="408D71EA"/>
    <w:rsid w:val="408E0B0F"/>
    <w:rsid w:val="408E5B37"/>
    <w:rsid w:val="4095382A"/>
    <w:rsid w:val="40A435AC"/>
    <w:rsid w:val="40A47ABF"/>
    <w:rsid w:val="40AD2461"/>
    <w:rsid w:val="40B03CFF"/>
    <w:rsid w:val="40B25CC9"/>
    <w:rsid w:val="40B828E8"/>
    <w:rsid w:val="40C61775"/>
    <w:rsid w:val="40CB172D"/>
    <w:rsid w:val="40D152F3"/>
    <w:rsid w:val="40D479EE"/>
    <w:rsid w:val="40DB5220"/>
    <w:rsid w:val="40DC3729"/>
    <w:rsid w:val="40DE086C"/>
    <w:rsid w:val="40DE261A"/>
    <w:rsid w:val="40E35E83"/>
    <w:rsid w:val="40EB2F89"/>
    <w:rsid w:val="40F40C4B"/>
    <w:rsid w:val="41026FB4"/>
    <w:rsid w:val="410302D3"/>
    <w:rsid w:val="4104731D"/>
    <w:rsid w:val="410B53D9"/>
    <w:rsid w:val="41120516"/>
    <w:rsid w:val="411E6EBB"/>
    <w:rsid w:val="412F3938"/>
    <w:rsid w:val="41344930"/>
    <w:rsid w:val="413B021E"/>
    <w:rsid w:val="413B4ED4"/>
    <w:rsid w:val="413E093E"/>
    <w:rsid w:val="414A4154"/>
    <w:rsid w:val="415154E2"/>
    <w:rsid w:val="41524DB6"/>
    <w:rsid w:val="41594397"/>
    <w:rsid w:val="415E375B"/>
    <w:rsid w:val="416E4A03"/>
    <w:rsid w:val="41790595"/>
    <w:rsid w:val="417B3D79"/>
    <w:rsid w:val="4187281E"/>
    <w:rsid w:val="418C2076"/>
    <w:rsid w:val="41A07850"/>
    <w:rsid w:val="41AF2209"/>
    <w:rsid w:val="41B07D19"/>
    <w:rsid w:val="41B33AA7"/>
    <w:rsid w:val="41B94E35"/>
    <w:rsid w:val="41D028CD"/>
    <w:rsid w:val="41D63C39"/>
    <w:rsid w:val="41E00410"/>
    <w:rsid w:val="41E45943"/>
    <w:rsid w:val="41E466BF"/>
    <w:rsid w:val="41FF2584"/>
    <w:rsid w:val="42021EDE"/>
    <w:rsid w:val="42041F01"/>
    <w:rsid w:val="42083CE0"/>
    <w:rsid w:val="420C2580"/>
    <w:rsid w:val="42147D69"/>
    <w:rsid w:val="421502BE"/>
    <w:rsid w:val="421A2684"/>
    <w:rsid w:val="421D7172"/>
    <w:rsid w:val="4226071D"/>
    <w:rsid w:val="424961B9"/>
    <w:rsid w:val="424F34E0"/>
    <w:rsid w:val="42547DAF"/>
    <w:rsid w:val="425828A0"/>
    <w:rsid w:val="426254CD"/>
    <w:rsid w:val="426923B8"/>
    <w:rsid w:val="42A7625F"/>
    <w:rsid w:val="42AE0712"/>
    <w:rsid w:val="42CE66BF"/>
    <w:rsid w:val="42E3216A"/>
    <w:rsid w:val="42F26851"/>
    <w:rsid w:val="42FC6119"/>
    <w:rsid w:val="43252782"/>
    <w:rsid w:val="432D1637"/>
    <w:rsid w:val="43302ED5"/>
    <w:rsid w:val="435D2E42"/>
    <w:rsid w:val="436239D7"/>
    <w:rsid w:val="43650DD1"/>
    <w:rsid w:val="4368248A"/>
    <w:rsid w:val="436F7EA2"/>
    <w:rsid w:val="4374370A"/>
    <w:rsid w:val="437C436D"/>
    <w:rsid w:val="437C611B"/>
    <w:rsid w:val="43963680"/>
    <w:rsid w:val="43AD0B79"/>
    <w:rsid w:val="43B65AD0"/>
    <w:rsid w:val="43C7484D"/>
    <w:rsid w:val="43CC0E50"/>
    <w:rsid w:val="43CE2E1A"/>
    <w:rsid w:val="43E91A02"/>
    <w:rsid w:val="43FF6362"/>
    <w:rsid w:val="44006CF6"/>
    <w:rsid w:val="44122F0E"/>
    <w:rsid w:val="4416656F"/>
    <w:rsid w:val="44184095"/>
    <w:rsid w:val="441D3BB0"/>
    <w:rsid w:val="44204289"/>
    <w:rsid w:val="442347E8"/>
    <w:rsid w:val="442B5F63"/>
    <w:rsid w:val="443817F6"/>
    <w:rsid w:val="44580936"/>
    <w:rsid w:val="445A5FC8"/>
    <w:rsid w:val="44663053"/>
    <w:rsid w:val="446D59C9"/>
    <w:rsid w:val="446F7A2D"/>
    <w:rsid w:val="447339C1"/>
    <w:rsid w:val="448477B9"/>
    <w:rsid w:val="448C2FDA"/>
    <w:rsid w:val="4495359C"/>
    <w:rsid w:val="449851D6"/>
    <w:rsid w:val="449A0F4E"/>
    <w:rsid w:val="44A27E03"/>
    <w:rsid w:val="44AC5C88"/>
    <w:rsid w:val="44B6261C"/>
    <w:rsid w:val="44B822B9"/>
    <w:rsid w:val="44C4421D"/>
    <w:rsid w:val="44C71617"/>
    <w:rsid w:val="44C77869"/>
    <w:rsid w:val="44CD4E80"/>
    <w:rsid w:val="44DC1567"/>
    <w:rsid w:val="44DC2CB7"/>
    <w:rsid w:val="44DE52DF"/>
    <w:rsid w:val="44E26451"/>
    <w:rsid w:val="44FA7C3F"/>
    <w:rsid w:val="45022447"/>
    <w:rsid w:val="4503536F"/>
    <w:rsid w:val="451C7BB5"/>
    <w:rsid w:val="45264590"/>
    <w:rsid w:val="453205CE"/>
    <w:rsid w:val="45444777"/>
    <w:rsid w:val="454B3FF6"/>
    <w:rsid w:val="454F3AE7"/>
    <w:rsid w:val="456B4699"/>
    <w:rsid w:val="456C0C58"/>
    <w:rsid w:val="457273C9"/>
    <w:rsid w:val="45970135"/>
    <w:rsid w:val="45A57BAB"/>
    <w:rsid w:val="45B63B66"/>
    <w:rsid w:val="45B941B6"/>
    <w:rsid w:val="45C51FFB"/>
    <w:rsid w:val="45C85647"/>
    <w:rsid w:val="45D67D64"/>
    <w:rsid w:val="45DD58C1"/>
    <w:rsid w:val="45DE30BD"/>
    <w:rsid w:val="45E76615"/>
    <w:rsid w:val="45EA380F"/>
    <w:rsid w:val="45F36B68"/>
    <w:rsid w:val="45F855C0"/>
    <w:rsid w:val="45F95AE8"/>
    <w:rsid w:val="462A00B0"/>
    <w:rsid w:val="46327A81"/>
    <w:rsid w:val="46342CDD"/>
    <w:rsid w:val="46345C9D"/>
    <w:rsid w:val="463A3B74"/>
    <w:rsid w:val="463B050F"/>
    <w:rsid w:val="463C3E28"/>
    <w:rsid w:val="463D381C"/>
    <w:rsid w:val="46454217"/>
    <w:rsid w:val="465810C1"/>
    <w:rsid w:val="46671304"/>
    <w:rsid w:val="46713F31"/>
    <w:rsid w:val="4674757D"/>
    <w:rsid w:val="46767799"/>
    <w:rsid w:val="469D0882"/>
    <w:rsid w:val="469F0A9E"/>
    <w:rsid w:val="46A240EA"/>
    <w:rsid w:val="46B0764D"/>
    <w:rsid w:val="46B81B60"/>
    <w:rsid w:val="46CC4263"/>
    <w:rsid w:val="46CC49EF"/>
    <w:rsid w:val="46CF2634"/>
    <w:rsid w:val="46E95045"/>
    <w:rsid w:val="470D0DCC"/>
    <w:rsid w:val="472069F4"/>
    <w:rsid w:val="47254319"/>
    <w:rsid w:val="47347438"/>
    <w:rsid w:val="47356D0C"/>
    <w:rsid w:val="473C6335"/>
    <w:rsid w:val="474212F8"/>
    <w:rsid w:val="47543636"/>
    <w:rsid w:val="476615BC"/>
    <w:rsid w:val="47743CD8"/>
    <w:rsid w:val="47780945"/>
    <w:rsid w:val="477C41B9"/>
    <w:rsid w:val="477C493B"/>
    <w:rsid w:val="47887784"/>
    <w:rsid w:val="47953C4F"/>
    <w:rsid w:val="47976243"/>
    <w:rsid w:val="47A67C0A"/>
    <w:rsid w:val="47B95B8F"/>
    <w:rsid w:val="47CB6148"/>
    <w:rsid w:val="47CF7161"/>
    <w:rsid w:val="47D14C87"/>
    <w:rsid w:val="47D32185"/>
    <w:rsid w:val="47D429C9"/>
    <w:rsid w:val="47EF335F"/>
    <w:rsid w:val="4800556C"/>
    <w:rsid w:val="48082673"/>
    <w:rsid w:val="48164D90"/>
    <w:rsid w:val="481E1E96"/>
    <w:rsid w:val="4820176A"/>
    <w:rsid w:val="482254E2"/>
    <w:rsid w:val="48230496"/>
    <w:rsid w:val="482E4264"/>
    <w:rsid w:val="483376F0"/>
    <w:rsid w:val="4848585B"/>
    <w:rsid w:val="484F47FF"/>
    <w:rsid w:val="485633DE"/>
    <w:rsid w:val="48592ECE"/>
    <w:rsid w:val="48711FC6"/>
    <w:rsid w:val="487E46E3"/>
    <w:rsid w:val="48825F81"/>
    <w:rsid w:val="48895562"/>
    <w:rsid w:val="489839F7"/>
    <w:rsid w:val="489A151D"/>
    <w:rsid w:val="48B84099"/>
    <w:rsid w:val="48C26CC5"/>
    <w:rsid w:val="48C766CA"/>
    <w:rsid w:val="48EB1D78"/>
    <w:rsid w:val="48FA7BF0"/>
    <w:rsid w:val="48FB5D34"/>
    <w:rsid w:val="48FD5F50"/>
    <w:rsid w:val="490231AB"/>
    <w:rsid w:val="49051D27"/>
    <w:rsid w:val="49126349"/>
    <w:rsid w:val="49211312"/>
    <w:rsid w:val="4929082D"/>
    <w:rsid w:val="492F31C0"/>
    <w:rsid w:val="493C6A78"/>
    <w:rsid w:val="493E01D5"/>
    <w:rsid w:val="4941408E"/>
    <w:rsid w:val="494476DB"/>
    <w:rsid w:val="494B2817"/>
    <w:rsid w:val="494E1E5C"/>
    <w:rsid w:val="495E6D91"/>
    <w:rsid w:val="496164DE"/>
    <w:rsid w:val="4961653E"/>
    <w:rsid w:val="4977185E"/>
    <w:rsid w:val="497955D6"/>
    <w:rsid w:val="497C6A47"/>
    <w:rsid w:val="4981092F"/>
    <w:rsid w:val="49844749"/>
    <w:rsid w:val="49963040"/>
    <w:rsid w:val="49A62143"/>
    <w:rsid w:val="49A85EBB"/>
    <w:rsid w:val="49AB59AC"/>
    <w:rsid w:val="49C425C9"/>
    <w:rsid w:val="49D1674F"/>
    <w:rsid w:val="49E14F29"/>
    <w:rsid w:val="49EC3FFA"/>
    <w:rsid w:val="4A080708"/>
    <w:rsid w:val="4A111CB3"/>
    <w:rsid w:val="4A1D0657"/>
    <w:rsid w:val="4A205A52"/>
    <w:rsid w:val="4A2319E6"/>
    <w:rsid w:val="4A3643D9"/>
    <w:rsid w:val="4A484FA8"/>
    <w:rsid w:val="4A5C2802"/>
    <w:rsid w:val="4A5D4EF8"/>
    <w:rsid w:val="4A7364C9"/>
    <w:rsid w:val="4A853655"/>
    <w:rsid w:val="4A9B5A20"/>
    <w:rsid w:val="4AA85A47"/>
    <w:rsid w:val="4AAE5753"/>
    <w:rsid w:val="4AB56AE2"/>
    <w:rsid w:val="4AB8656B"/>
    <w:rsid w:val="4ACA61F8"/>
    <w:rsid w:val="4ADF76BB"/>
    <w:rsid w:val="4AE66C9B"/>
    <w:rsid w:val="4AF869CF"/>
    <w:rsid w:val="4B007631"/>
    <w:rsid w:val="4B101F6A"/>
    <w:rsid w:val="4B215F25"/>
    <w:rsid w:val="4B2772B4"/>
    <w:rsid w:val="4B336D73"/>
    <w:rsid w:val="4B3A0D95"/>
    <w:rsid w:val="4B4449F8"/>
    <w:rsid w:val="4B5B02C7"/>
    <w:rsid w:val="4B797B0F"/>
    <w:rsid w:val="4B7C13AE"/>
    <w:rsid w:val="4B865D88"/>
    <w:rsid w:val="4B8B7404"/>
    <w:rsid w:val="4B92297F"/>
    <w:rsid w:val="4B9837EC"/>
    <w:rsid w:val="4BB328F5"/>
    <w:rsid w:val="4BB723E6"/>
    <w:rsid w:val="4BB976AC"/>
    <w:rsid w:val="4BC31916"/>
    <w:rsid w:val="4BC32B39"/>
    <w:rsid w:val="4BCD1C09"/>
    <w:rsid w:val="4BCE1CA6"/>
    <w:rsid w:val="4BCE772F"/>
    <w:rsid w:val="4BD6509D"/>
    <w:rsid w:val="4BD74836"/>
    <w:rsid w:val="4BDB7C5A"/>
    <w:rsid w:val="4BF935DC"/>
    <w:rsid w:val="4C0575F5"/>
    <w:rsid w:val="4C26756B"/>
    <w:rsid w:val="4C5E3CE7"/>
    <w:rsid w:val="4C5E6D05"/>
    <w:rsid w:val="4C5F1B97"/>
    <w:rsid w:val="4C681932"/>
    <w:rsid w:val="4C6D7207"/>
    <w:rsid w:val="4C731E13"/>
    <w:rsid w:val="4C786019"/>
    <w:rsid w:val="4C7C3456"/>
    <w:rsid w:val="4C804ECE"/>
    <w:rsid w:val="4C8A5D4C"/>
    <w:rsid w:val="4C934C01"/>
    <w:rsid w:val="4CA016C7"/>
    <w:rsid w:val="4CA13325"/>
    <w:rsid w:val="4CA46E0E"/>
    <w:rsid w:val="4CA91A7B"/>
    <w:rsid w:val="4CBD39BC"/>
    <w:rsid w:val="4CC254E6"/>
    <w:rsid w:val="4CCA7EF7"/>
    <w:rsid w:val="4CD001EF"/>
    <w:rsid w:val="4CD02727"/>
    <w:rsid w:val="4CD46FC7"/>
    <w:rsid w:val="4CD55219"/>
    <w:rsid w:val="4CE23ED5"/>
    <w:rsid w:val="4CE90CC5"/>
    <w:rsid w:val="4CEB617B"/>
    <w:rsid w:val="4CF66F3E"/>
    <w:rsid w:val="4CFB6302"/>
    <w:rsid w:val="4D072EF9"/>
    <w:rsid w:val="4D07739D"/>
    <w:rsid w:val="4D111FCA"/>
    <w:rsid w:val="4D166448"/>
    <w:rsid w:val="4D273FCB"/>
    <w:rsid w:val="4D2B0AE8"/>
    <w:rsid w:val="4D3B0DF4"/>
    <w:rsid w:val="4D587BF8"/>
    <w:rsid w:val="4D5C226E"/>
    <w:rsid w:val="4D6C0896"/>
    <w:rsid w:val="4D8F4C0F"/>
    <w:rsid w:val="4D9A42D6"/>
    <w:rsid w:val="4D9C6A09"/>
    <w:rsid w:val="4DA27A46"/>
    <w:rsid w:val="4DAB5F7A"/>
    <w:rsid w:val="4DAD3AA0"/>
    <w:rsid w:val="4DB65805"/>
    <w:rsid w:val="4DD0778F"/>
    <w:rsid w:val="4DD54DA5"/>
    <w:rsid w:val="4DED6593"/>
    <w:rsid w:val="4DF02599"/>
    <w:rsid w:val="4DFD6B62"/>
    <w:rsid w:val="4E08156A"/>
    <w:rsid w:val="4E0D09E3"/>
    <w:rsid w:val="4E1465A5"/>
    <w:rsid w:val="4E151645"/>
    <w:rsid w:val="4E2A3343"/>
    <w:rsid w:val="4E2C4EB5"/>
    <w:rsid w:val="4E544B75"/>
    <w:rsid w:val="4E593C28"/>
    <w:rsid w:val="4E612ADD"/>
    <w:rsid w:val="4E6316DE"/>
    <w:rsid w:val="4E6B74B7"/>
    <w:rsid w:val="4E6D3230"/>
    <w:rsid w:val="4E712D20"/>
    <w:rsid w:val="4E713C78"/>
    <w:rsid w:val="4E7150E0"/>
    <w:rsid w:val="4E7E543D"/>
    <w:rsid w:val="4E822B8F"/>
    <w:rsid w:val="4E8C5DAC"/>
    <w:rsid w:val="4E9040B9"/>
    <w:rsid w:val="4E984929"/>
    <w:rsid w:val="4E9904C8"/>
    <w:rsid w:val="4EA34EA3"/>
    <w:rsid w:val="4EA529C9"/>
    <w:rsid w:val="4EAA1E2E"/>
    <w:rsid w:val="4EAE6214"/>
    <w:rsid w:val="4EC07803"/>
    <w:rsid w:val="4EC76DE4"/>
    <w:rsid w:val="4EC92B5C"/>
    <w:rsid w:val="4ED76D39"/>
    <w:rsid w:val="4ED96B17"/>
    <w:rsid w:val="4EDB6250"/>
    <w:rsid w:val="4EFA0F67"/>
    <w:rsid w:val="4EFF3214"/>
    <w:rsid w:val="4F11005F"/>
    <w:rsid w:val="4F166E38"/>
    <w:rsid w:val="4F2204BE"/>
    <w:rsid w:val="4F267708"/>
    <w:rsid w:val="4F2A7373"/>
    <w:rsid w:val="4F2C6C47"/>
    <w:rsid w:val="4F416B96"/>
    <w:rsid w:val="4F4977F9"/>
    <w:rsid w:val="4F5A605D"/>
    <w:rsid w:val="4F602D94"/>
    <w:rsid w:val="4F6C798B"/>
    <w:rsid w:val="4F7725B8"/>
    <w:rsid w:val="4F804A6A"/>
    <w:rsid w:val="4F8D1DDB"/>
    <w:rsid w:val="4F9273F2"/>
    <w:rsid w:val="4F980780"/>
    <w:rsid w:val="4F9D66D8"/>
    <w:rsid w:val="4FA40ED3"/>
    <w:rsid w:val="4FAF1074"/>
    <w:rsid w:val="4FB4782A"/>
    <w:rsid w:val="4FBC0F82"/>
    <w:rsid w:val="4FD5108C"/>
    <w:rsid w:val="4FD91820"/>
    <w:rsid w:val="4FE446A6"/>
    <w:rsid w:val="4FFE6835"/>
    <w:rsid w:val="500B71A4"/>
    <w:rsid w:val="500F0A42"/>
    <w:rsid w:val="50131BB5"/>
    <w:rsid w:val="501778F7"/>
    <w:rsid w:val="501A2F43"/>
    <w:rsid w:val="501D6856"/>
    <w:rsid w:val="50256439"/>
    <w:rsid w:val="503B1F4A"/>
    <w:rsid w:val="50447FC0"/>
    <w:rsid w:val="50597F0F"/>
    <w:rsid w:val="505B5B4B"/>
    <w:rsid w:val="507E34D2"/>
    <w:rsid w:val="5085416A"/>
    <w:rsid w:val="50AD2009"/>
    <w:rsid w:val="50AE0D15"/>
    <w:rsid w:val="50BC2C93"/>
    <w:rsid w:val="50C110C6"/>
    <w:rsid w:val="50C335DB"/>
    <w:rsid w:val="50CB6F9B"/>
    <w:rsid w:val="50D17AA6"/>
    <w:rsid w:val="50D75E8F"/>
    <w:rsid w:val="50E023DF"/>
    <w:rsid w:val="50ED2406"/>
    <w:rsid w:val="50ED6502"/>
    <w:rsid w:val="50EF617E"/>
    <w:rsid w:val="50EF6A8A"/>
    <w:rsid w:val="50F77ADD"/>
    <w:rsid w:val="50FE2865"/>
    <w:rsid w:val="51085492"/>
    <w:rsid w:val="510C4F82"/>
    <w:rsid w:val="510C6D30"/>
    <w:rsid w:val="511300BE"/>
    <w:rsid w:val="51134562"/>
    <w:rsid w:val="51204589"/>
    <w:rsid w:val="512A5408"/>
    <w:rsid w:val="515A3FCC"/>
    <w:rsid w:val="5175252B"/>
    <w:rsid w:val="51837B5F"/>
    <w:rsid w:val="519136D9"/>
    <w:rsid w:val="51915487"/>
    <w:rsid w:val="51977319"/>
    <w:rsid w:val="51994D66"/>
    <w:rsid w:val="519F1952"/>
    <w:rsid w:val="51A608C8"/>
    <w:rsid w:val="51A67184"/>
    <w:rsid w:val="51C94C21"/>
    <w:rsid w:val="51D05FAF"/>
    <w:rsid w:val="51D52940"/>
    <w:rsid w:val="51D65FB1"/>
    <w:rsid w:val="51D75590"/>
    <w:rsid w:val="51DD247A"/>
    <w:rsid w:val="51DE24D5"/>
    <w:rsid w:val="51F31C9E"/>
    <w:rsid w:val="51FC4905"/>
    <w:rsid w:val="52037142"/>
    <w:rsid w:val="52062547"/>
    <w:rsid w:val="521340EE"/>
    <w:rsid w:val="52297A2E"/>
    <w:rsid w:val="523435B5"/>
    <w:rsid w:val="52344790"/>
    <w:rsid w:val="523E560F"/>
    <w:rsid w:val="523F3135"/>
    <w:rsid w:val="5248023B"/>
    <w:rsid w:val="52487575"/>
    <w:rsid w:val="526037D7"/>
    <w:rsid w:val="52701540"/>
    <w:rsid w:val="52845B07"/>
    <w:rsid w:val="528D5C4E"/>
    <w:rsid w:val="528F6A95"/>
    <w:rsid w:val="529338C4"/>
    <w:rsid w:val="529C40E3"/>
    <w:rsid w:val="52AF3E17"/>
    <w:rsid w:val="52B53E05"/>
    <w:rsid w:val="52C84ED8"/>
    <w:rsid w:val="52C86FA6"/>
    <w:rsid w:val="52E07BC5"/>
    <w:rsid w:val="52E141EC"/>
    <w:rsid w:val="52E2243E"/>
    <w:rsid w:val="52E8557B"/>
    <w:rsid w:val="52EE3DA3"/>
    <w:rsid w:val="531358A6"/>
    <w:rsid w:val="5314011E"/>
    <w:rsid w:val="53281E1B"/>
    <w:rsid w:val="532E44BD"/>
    <w:rsid w:val="53312A7E"/>
    <w:rsid w:val="5339272E"/>
    <w:rsid w:val="533E6ACD"/>
    <w:rsid w:val="53407165"/>
    <w:rsid w:val="53487DC7"/>
    <w:rsid w:val="53545549"/>
    <w:rsid w:val="53582700"/>
    <w:rsid w:val="535D7DC7"/>
    <w:rsid w:val="53654E1D"/>
    <w:rsid w:val="53837051"/>
    <w:rsid w:val="5387115A"/>
    <w:rsid w:val="53DD2C05"/>
    <w:rsid w:val="53E47AF0"/>
    <w:rsid w:val="53E93358"/>
    <w:rsid w:val="53F95579"/>
    <w:rsid w:val="540C5299"/>
    <w:rsid w:val="54177EC5"/>
    <w:rsid w:val="54244E1D"/>
    <w:rsid w:val="54482775"/>
    <w:rsid w:val="544E7B7F"/>
    <w:rsid w:val="54501629"/>
    <w:rsid w:val="5454111A"/>
    <w:rsid w:val="545E3D46"/>
    <w:rsid w:val="5463310B"/>
    <w:rsid w:val="547215A0"/>
    <w:rsid w:val="54745318"/>
    <w:rsid w:val="547561D8"/>
    <w:rsid w:val="549C377F"/>
    <w:rsid w:val="54B0031A"/>
    <w:rsid w:val="54BF40B9"/>
    <w:rsid w:val="54C24F35"/>
    <w:rsid w:val="54D87E8C"/>
    <w:rsid w:val="54DE6C35"/>
    <w:rsid w:val="54E56216"/>
    <w:rsid w:val="54FF095A"/>
    <w:rsid w:val="550541C2"/>
    <w:rsid w:val="55283098"/>
    <w:rsid w:val="55393E6B"/>
    <w:rsid w:val="554576E5"/>
    <w:rsid w:val="55466588"/>
    <w:rsid w:val="554F368F"/>
    <w:rsid w:val="55583D40"/>
    <w:rsid w:val="555B113D"/>
    <w:rsid w:val="55686349"/>
    <w:rsid w:val="556C6C2D"/>
    <w:rsid w:val="55766E6E"/>
    <w:rsid w:val="557717B4"/>
    <w:rsid w:val="55801A9A"/>
    <w:rsid w:val="558275C0"/>
    <w:rsid w:val="55886BA1"/>
    <w:rsid w:val="558A2919"/>
    <w:rsid w:val="558C48E3"/>
    <w:rsid w:val="559B2D78"/>
    <w:rsid w:val="55A219DE"/>
    <w:rsid w:val="55AD6C76"/>
    <w:rsid w:val="55AF412E"/>
    <w:rsid w:val="55CC0ABE"/>
    <w:rsid w:val="55D32512"/>
    <w:rsid w:val="55D67725"/>
    <w:rsid w:val="55DD6EED"/>
    <w:rsid w:val="55F83D27"/>
    <w:rsid w:val="560426CB"/>
    <w:rsid w:val="560E70A6"/>
    <w:rsid w:val="560F5D61"/>
    <w:rsid w:val="561346BC"/>
    <w:rsid w:val="56187F25"/>
    <w:rsid w:val="561B4764"/>
    <w:rsid w:val="561D553B"/>
    <w:rsid w:val="56206DD9"/>
    <w:rsid w:val="562258A3"/>
    <w:rsid w:val="56252770"/>
    <w:rsid w:val="562A0A58"/>
    <w:rsid w:val="562B7C58"/>
    <w:rsid w:val="562C1C22"/>
    <w:rsid w:val="563C1642"/>
    <w:rsid w:val="56424FA2"/>
    <w:rsid w:val="564927D4"/>
    <w:rsid w:val="56551179"/>
    <w:rsid w:val="565847C5"/>
    <w:rsid w:val="565D3B8A"/>
    <w:rsid w:val="56777341"/>
    <w:rsid w:val="567809C3"/>
    <w:rsid w:val="56786C15"/>
    <w:rsid w:val="567A0BDF"/>
    <w:rsid w:val="567C4958"/>
    <w:rsid w:val="567F7FA4"/>
    <w:rsid w:val="568441C5"/>
    <w:rsid w:val="569A4DDE"/>
    <w:rsid w:val="569E48CE"/>
    <w:rsid w:val="56A63783"/>
    <w:rsid w:val="56AD68BF"/>
    <w:rsid w:val="56B57E6A"/>
    <w:rsid w:val="56D46542"/>
    <w:rsid w:val="56D54068"/>
    <w:rsid w:val="56D93B58"/>
    <w:rsid w:val="56DA167E"/>
    <w:rsid w:val="56E878F7"/>
    <w:rsid w:val="56F0318C"/>
    <w:rsid w:val="56F15443"/>
    <w:rsid w:val="56FB1D20"/>
    <w:rsid w:val="56FC33A3"/>
    <w:rsid w:val="570A1F63"/>
    <w:rsid w:val="570C248C"/>
    <w:rsid w:val="571B3530"/>
    <w:rsid w:val="572D6FE2"/>
    <w:rsid w:val="575B456D"/>
    <w:rsid w:val="575F3CF5"/>
    <w:rsid w:val="57686347"/>
    <w:rsid w:val="57697584"/>
    <w:rsid w:val="576E3115"/>
    <w:rsid w:val="5772234A"/>
    <w:rsid w:val="57723665"/>
    <w:rsid w:val="577566B0"/>
    <w:rsid w:val="577C2DA4"/>
    <w:rsid w:val="577F2160"/>
    <w:rsid w:val="57896598"/>
    <w:rsid w:val="579B2BBB"/>
    <w:rsid w:val="57A51C8C"/>
    <w:rsid w:val="57AC301B"/>
    <w:rsid w:val="57AF2B0B"/>
    <w:rsid w:val="57B43C7D"/>
    <w:rsid w:val="57B7680D"/>
    <w:rsid w:val="57B974E6"/>
    <w:rsid w:val="57BD5228"/>
    <w:rsid w:val="57C2283E"/>
    <w:rsid w:val="57C55E8A"/>
    <w:rsid w:val="57D83E10"/>
    <w:rsid w:val="57DD4A8F"/>
    <w:rsid w:val="57F14ED1"/>
    <w:rsid w:val="57FB3BF6"/>
    <w:rsid w:val="57FB7AFE"/>
    <w:rsid w:val="57FF75EE"/>
    <w:rsid w:val="58006EC2"/>
    <w:rsid w:val="58134E48"/>
    <w:rsid w:val="582C4CE8"/>
    <w:rsid w:val="582F1556"/>
    <w:rsid w:val="583A6878"/>
    <w:rsid w:val="584F29B3"/>
    <w:rsid w:val="585B234B"/>
    <w:rsid w:val="58727DC0"/>
    <w:rsid w:val="5878286A"/>
    <w:rsid w:val="5881225B"/>
    <w:rsid w:val="5895118F"/>
    <w:rsid w:val="58A040EF"/>
    <w:rsid w:val="58A3441E"/>
    <w:rsid w:val="58A40196"/>
    <w:rsid w:val="58AE691E"/>
    <w:rsid w:val="58B2640F"/>
    <w:rsid w:val="58C63C68"/>
    <w:rsid w:val="58CF09EC"/>
    <w:rsid w:val="58D740C7"/>
    <w:rsid w:val="58F00CE5"/>
    <w:rsid w:val="58F2265F"/>
    <w:rsid w:val="58F900E2"/>
    <w:rsid w:val="59103C1E"/>
    <w:rsid w:val="59240CAF"/>
    <w:rsid w:val="59266B6D"/>
    <w:rsid w:val="592A2449"/>
    <w:rsid w:val="592C3948"/>
    <w:rsid w:val="592D018B"/>
    <w:rsid w:val="59417793"/>
    <w:rsid w:val="5946528D"/>
    <w:rsid w:val="594C6863"/>
    <w:rsid w:val="595079D6"/>
    <w:rsid w:val="59675731"/>
    <w:rsid w:val="59800C4A"/>
    <w:rsid w:val="599A7ACD"/>
    <w:rsid w:val="599C0E6D"/>
    <w:rsid w:val="599C59D6"/>
    <w:rsid w:val="59A0270B"/>
    <w:rsid w:val="59A044B9"/>
    <w:rsid w:val="59AC0D5F"/>
    <w:rsid w:val="59B461B6"/>
    <w:rsid w:val="59C06909"/>
    <w:rsid w:val="59C4157C"/>
    <w:rsid w:val="59D625D1"/>
    <w:rsid w:val="59E85E60"/>
    <w:rsid w:val="59F1740B"/>
    <w:rsid w:val="59F42A57"/>
    <w:rsid w:val="59F44805"/>
    <w:rsid w:val="59F6057D"/>
    <w:rsid w:val="5A0B523B"/>
    <w:rsid w:val="5A0E58C7"/>
    <w:rsid w:val="5A1F6139"/>
    <w:rsid w:val="5A351602"/>
    <w:rsid w:val="5A3B2434"/>
    <w:rsid w:val="5A4A08C9"/>
    <w:rsid w:val="5A544645"/>
    <w:rsid w:val="5A5B4884"/>
    <w:rsid w:val="5A5D684E"/>
    <w:rsid w:val="5A647BDD"/>
    <w:rsid w:val="5A7A11AE"/>
    <w:rsid w:val="5A7C1DA4"/>
    <w:rsid w:val="5A7D2A4C"/>
    <w:rsid w:val="5A821E11"/>
    <w:rsid w:val="5A8262B5"/>
    <w:rsid w:val="5AA24261"/>
    <w:rsid w:val="5ABA77FD"/>
    <w:rsid w:val="5ABC3575"/>
    <w:rsid w:val="5ADC3C17"/>
    <w:rsid w:val="5ADD34EB"/>
    <w:rsid w:val="5AEF279F"/>
    <w:rsid w:val="5AFC4F27"/>
    <w:rsid w:val="5B1213E7"/>
    <w:rsid w:val="5B146289"/>
    <w:rsid w:val="5B265B08"/>
    <w:rsid w:val="5B333102"/>
    <w:rsid w:val="5B44356A"/>
    <w:rsid w:val="5B45763D"/>
    <w:rsid w:val="5B4F6376"/>
    <w:rsid w:val="5B522392"/>
    <w:rsid w:val="5B557525"/>
    <w:rsid w:val="5B652F32"/>
    <w:rsid w:val="5B6854AA"/>
    <w:rsid w:val="5B6B6D49"/>
    <w:rsid w:val="5B835E40"/>
    <w:rsid w:val="5B94004E"/>
    <w:rsid w:val="5BCA7F13"/>
    <w:rsid w:val="5BCC3C8B"/>
    <w:rsid w:val="5BCC6458"/>
    <w:rsid w:val="5BDB3ECE"/>
    <w:rsid w:val="5BDE39BF"/>
    <w:rsid w:val="5BE70AC5"/>
    <w:rsid w:val="5BE712CF"/>
    <w:rsid w:val="5BEC7D32"/>
    <w:rsid w:val="5BF20FBD"/>
    <w:rsid w:val="5BF3649C"/>
    <w:rsid w:val="5BFA2530"/>
    <w:rsid w:val="5C02145B"/>
    <w:rsid w:val="5C036F81"/>
    <w:rsid w:val="5C130ECC"/>
    <w:rsid w:val="5C182A2D"/>
    <w:rsid w:val="5C186ED1"/>
    <w:rsid w:val="5C237623"/>
    <w:rsid w:val="5C2E0D57"/>
    <w:rsid w:val="5C311D40"/>
    <w:rsid w:val="5C313AEE"/>
    <w:rsid w:val="5C545A2F"/>
    <w:rsid w:val="5C5F065B"/>
    <w:rsid w:val="5C6A0DAE"/>
    <w:rsid w:val="5C784F5A"/>
    <w:rsid w:val="5C797100"/>
    <w:rsid w:val="5C9F314E"/>
    <w:rsid w:val="5CA16EC6"/>
    <w:rsid w:val="5CA3732E"/>
    <w:rsid w:val="5CA70254"/>
    <w:rsid w:val="5CB12E81"/>
    <w:rsid w:val="5CE61362"/>
    <w:rsid w:val="5CE92444"/>
    <w:rsid w:val="5CE95CC1"/>
    <w:rsid w:val="5CEB6393"/>
    <w:rsid w:val="5CEF1542"/>
    <w:rsid w:val="5CF8285E"/>
    <w:rsid w:val="5CFA1F10"/>
    <w:rsid w:val="5D042FB1"/>
    <w:rsid w:val="5D153410"/>
    <w:rsid w:val="5D2604AA"/>
    <w:rsid w:val="5D2B6790"/>
    <w:rsid w:val="5D2D69AC"/>
    <w:rsid w:val="5D445AA3"/>
    <w:rsid w:val="5D465377"/>
    <w:rsid w:val="5D485594"/>
    <w:rsid w:val="5D4B0B44"/>
    <w:rsid w:val="5D564193"/>
    <w:rsid w:val="5D605155"/>
    <w:rsid w:val="5D722610"/>
    <w:rsid w:val="5D7418B5"/>
    <w:rsid w:val="5D79574D"/>
    <w:rsid w:val="5D7B6862"/>
    <w:rsid w:val="5D7E2D63"/>
    <w:rsid w:val="5D7F0889"/>
    <w:rsid w:val="5D995DEF"/>
    <w:rsid w:val="5D9C3509"/>
    <w:rsid w:val="5D9F2CDA"/>
    <w:rsid w:val="5DA30A1C"/>
    <w:rsid w:val="5DB669A1"/>
    <w:rsid w:val="5DB76275"/>
    <w:rsid w:val="5DCF7A63"/>
    <w:rsid w:val="5DD46E27"/>
    <w:rsid w:val="5DE52686"/>
    <w:rsid w:val="5DE66B5A"/>
    <w:rsid w:val="5DEA03F9"/>
    <w:rsid w:val="5DF94AE0"/>
    <w:rsid w:val="5DFA392C"/>
    <w:rsid w:val="5E0C65C1"/>
    <w:rsid w:val="5E1436C8"/>
    <w:rsid w:val="5E1C063E"/>
    <w:rsid w:val="5E284956"/>
    <w:rsid w:val="5E391380"/>
    <w:rsid w:val="5E3E6996"/>
    <w:rsid w:val="5E435D5B"/>
    <w:rsid w:val="5E48511F"/>
    <w:rsid w:val="5E4958B0"/>
    <w:rsid w:val="5E4F64E5"/>
    <w:rsid w:val="5E8819C0"/>
    <w:rsid w:val="5E8F6068"/>
    <w:rsid w:val="5E9860A7"/>
    <w:rsid w:val="5E9B7945"/>
    <w:rsid w:val="5EA66595"/>
    <w:rsid w:val="5EB153BA"/>
    <w:rsid w:val="5EB56C59"/>
    <w:rsid w:val="5EB7222D"/>
    <w:rsid w:val="5EC450EE"/>
    <w:rsid w:val="5ED05841"/>
    <w:rsid w:val="5EEB4428"/>
    <w:rsid w:val="5EF27DCD"/>
    <w:rsid w:val="5EF37781"/>
    <w:rsid w:val="5F0F04E8"/>
    <w:rsid w:val="5F1B22EF"/>
    <w:rsid w:val="5F2636B2"/>
    <w:rsid w:val="5F2B5880"/>
    <w:rsid w:val="5F337B7D"/>
    <w:rsid w:val="5F37766E"/>
    <w:rsid w:val="5F5226F9"/>
    <w:rsid w:val="5F546472"/>
    <w:rsid w:val="5F5D4BFA"/>
    <w:rsid w:val="5F614F95"/>
    <w:rsid w:val="5F7C7776"/>
    <w:rsid w:val="5F7E529D"/>
    <w:rsid w:val="5FA10F8B"/>
    <w:rsid w:val="5FA139F8"/>
    <w:rsid w:val="5FA171DD"/>
    <w:rsid w:val="5FA56CCD"/>
    <w:rsid w:val="5FA6034F"/>
    <w:rsid w:val="5FA8056B"/>
    <w:rsid w:val="5FB23198"/>
    <w:rsid w:val="5FB707AE"/>
    <w:rsid w:val="5FB92779"/>
    <w:rsid w:val="5FD70E51"/>
    <w:rsid w:val="5FD96977"/>
    <w:rsid w:val="5FE04939"/>
    <w:rsid w:val="5FE62E42"/>
    <w:rsid w:val="5FE71966"/>
    <w:rsid w:val="5FE93E00"/>
    <w:rsid w:val="5FEA0B84"/>
    <w:rsid w:val="60002155"/>
    <w:rsid w:val="6007722E"/>
    <w:rsid w:val="600C0E38"/>
    <w:rsid w:val="60161979"/>
    <w:rsid w:val="60235E44"/>
    <w:rsid w:val="60261FB8"/>
    <w:rsid w:val="602A0F80"/>
    <w:rsid w:val="602C13D1"/>
    <w:rsid w:val="60326810"/>
    <w:rsid w:val="603351A5"/>
    <w:rsid w:val="6060478C"/>
    <w:rsid w:val="6071095D"/>
    <w:rsid w:val="60732927"/>
    <w:rsid w:val="607641C6"/>
    <w:rsid w:val="60792FA8"/>
    <w:rsid w:val="60821B13"/>
    <w:rsid w:val="608763D3"/>
    <w:rsid w:val="608A7C71"/>
    <w:rsid w:val="609B3C2C"/>
    <w:rsid w:val="60AC7BE7"/>
    <w:rsid w:val="60AE0F6D"/>
    <w:rsid w:val="60B56E07"/>
    <w:rsid w:val="60CA4511"/>
    <w:rsid w:val="60CD7D73"/>
    <w:rsid w:val="60D235C8"/>
    <w:rsid w:val="60D55390"/>
    <w:rsid w:val="60DF7FBD"/>
    <w:rsid w:val="60E6745F"/>
    <w:rsid w:val="60F50A38"/>
    <w:rsid w:val="60F577E0"/>
    <w:rsid w:val="61057DA3"/>
    <w:rsid w:val="610C68D8"/>
    <w:rsid w:val="610E007A"/>
    <w:rsid w:val="611D6D37"/>
    <w:rsid w:val="61281730"/>
    <w:rsid w:val="612C2AD6"/>
    <w:rsid w:val="61300818"/>
    <w:rsid w:val="61306211"/>
    <w:rsid w:val="61314591"/>
    <w:rsid w:val="61526B1A"/>
    <w:rsid w:val="61587D6F"/>
    <w:rsid w:val="6162355C"/>
    <w:rsid w:val="616E31AE"/>
    <w:rsid w:val="6170330B"/>
    <w:rsid w:val="617701F5"/>
    <w:rsid w:val="6183303E"/>
    <w:rsid w:val="61893075"/>
    <w:rsid w:val="61903065"/>
    <w:rsid w:val="61994610"/>
    <w:rsid w:val="61BB4C0A"/>
    <w:rsid w:val="61BF7DEE"/>
    <w:rsid w:val="61D07906"/>
    <w:rsid w:val="61D92C5E"/>
    <w:rsid w:val="61DE3FB3"/>
    <w:rsid w:val="61E656C2"/>
    <w:rsid w:val="61EB2991"/>
    <w:rsid w:val="61F17255"/>
    <w:rsid w:val="61F335F4"/>
    <w:rsid w:val="62045801"/>
    <w:rsid w:val="620B28BF"/>
    <w:rsid w:val="621662C2"/>
    <w:rsid w:val="622F6D22"/>
    <w:rsid w:val="62436329"/>
    <w:rsid w:val="624843B3"/>
    <w:rsid w:val="62487DE4"/>
    <w:rsid w:val="6256605D"/>
    <w:rsid w:val="625E545A"/>
    <w:rsid w:val="62644C8B"/>
    <w:rsid w:val="62917095"/>
    <w:rsid w:val="629D0130"/>
    <w:rsid w:val="629D5887"/>
    <w:rsid w:val="629E17B2"/>
    <w:rsid w:val="62A41F90"/>
    <w:rsid w:val="62AF39BF"/>
    <w:rsid w:val="62DD22DA"/>
    <w:rsid w:val="62E83F26"/>
    <w:rsid w:val="62F87114"/>
    <w:rsid w:val="6300421A"/>
    <w:rsid w:val="630764F1"/>
    <w:rsid w:val="630930CF"/>
    <w:rsid w:val="63110E20"/>
    <w:rsid w:val="631F6D97"/>
    <w:rsid w:val="63242FCA"/>
    <w:rsid w:val="63253C81"/>
    <w:rsid w:val="63381C06"/>
    <w:rsid w:val="633D546F"/>
    <w:rsid w:val="63402869"/>
    <w:rsid w:val="635A7DCF"/>
    <w:rsid w:val="636562DC"/>
    <w:rsid w:val="637013A0"/>
    <w:rsid w:val="6370279B"/>
    <w:rsid w:val="6370314E"/>
    <w:rsid w:val="63715118"/>
    <w:rsid w:val="638D69A9"/>
    <w:rsid w:val="639037F0"/>
    <w:rsid w:val="639257BA"/>
    <w:rsid w:val="639F3A33"/>
    <w:rsid w:val="63AC604E"/>
    <w:rsid w:val="63AF3334"/>
    <w:rsid w:val="63B53257"/>
    <w:rsid w:val="63BD3EBA"/>
    <w:rsid w:val="63BF5E84"/>
    <w:rsid w:val="63C139AA"/>
    <w:rsid w:val="63C33BC6"/>
    <w:rsid w:val="63CB4828"/>
    <w:rsid w:val="63E54EB2"/>
    <w:rsid w:val="63ED0C43"/>
    <w:rsid w:val="63F4797D"/>
    <w:rsid w:val="63FE4BFE"/>
    <w:rsid w:val="64032214"/>
    <w:rsid w:val="6410048D"/>
    <w:rsid w:val="641A755E"/>
    <w:rsid w:val="641E6C54"/>
    <w:rsid w:val="64220C2D"/>
    <w:rsid w:val="64264155"/>
    <w:rsid w:val="642C08FC"/>
    <w:rsid w:val="646F1658"/>
    <w:rsid w:val="646F78AA"/>
    <w:rsid w:val="64744EC0"/>
    <w:rsid w:val="64850E7B"/>
    <w:rsid w:val="64882719"/>
    <w:rsid w:val="648F5856"/>
    <w:rsid w:val="649F75B2"/>
    <w:rsid w:val="64AC6408"/>
    <w:rsid w:val="64B456E2"/>
    <w:rsid w:val="64B81251"/>
    <w:rsid w:val="64C574CA"/>
    <w:rsid w:val="64D23995"/>
    <w:rsid w:val="64DB461D"/>
    <w:rsid w:val="64DD4813"/>
    <w:rsid w:val="64E83DE8"/>
    <w:rsid w:val="64EA33D4"/>
    <w:rsid w:val="64FD6C64"/>
    <w:rsid w:val="64FE29DC"/>
    <w:rsid w:val="64FE434D"/>
    <w:rsid w:val="65006754"/>
    <w:rsid w:val="65051FBC"/>
    <w:rsid w:val="65136487"/>
    <w:rsid w:val="651657E5"/>
    <w:rsid w:val="65175306"/>
    <w:rsid w:val="651B533C"/>
    <w:rsid w:val="653A1C66"/>
    <w:rsid w:val="65513DA9"/>
    <w:rsid w:val="655D5954"/>
    <w:rsid w:val="65613696"/>
    <w:rsid w:val="659375C8"/>
    <w:rsid w:val="659E3270"/>
    <w:rsid w:val="659F41BF"/>
    <w:rsid w:val="65A74E21"/>
    <w:rsid w:val="65B17A4E"/>
    <w:rsid w:val="65B25270"/>
    <w:rsid w:val="65B6475E"/>
    <w:rsid w:val="65B8702E"/>
    <w:rsid w:val="65CF567B"/>
    <w:rsid w:val="65D33363"/>
    <w:rsid w:val="65D35C16"/>
    <w:rsid w:val="65EE47FE"/>
    <w:rsid w:val="660951F0"/>
    <w:rsid w:val="661B1A8D"/>
    <w:rsid w:val="662E5667"/>
    <w:rsid w:val="665810F5"/>
    <w:rsid w:val="665A00E6"/>
    <w:rsid w:val="667C005C"/>
    <w:rsid w:val="668138C4"/>
    <w:rsid w:val="668A4527"/>
    <w:rsid w:val="6692787F"/>
    <w:rsid w:val="669C425A"/>
    <w:rsid w:val="66A17AC3"/>
    <w:rsid w:val="66A74CDA"/>
    <w:rsid w:val="66AB7C09"/>
    <w:rsid w:val="66B15F58"/>
    <w:rsid w:val="66B477F6"/>
    <w:rsid w:val="66BA2932"/>
    <w:rsid w:val="66CF2882"/>
    <w:rsid w:val="66D24120"/>
    <w:rsid w:val="66D71D78"/>
    <w:rsid w:val="66DA4886"/>
    <w:rsid w:val="66DA4C85"/>
    <w:rsid w:val="66F67E0E"/>
    <w:rsid w:val="66FA10DC"/>
    <w:rsid w:val="66FF0F75"/>
    <w:rsid w:val="67195D41"/>
    <w:rsid w:val="67206C39"/>
    <w:rsid w:val="6725310D"/>
    <w:rsid w:val="674E6C15"/>
    <w:rsid w:val="674F5770"/>
    <w:rsid w:val="674F5C67"/>
    <w:rsid w:val="67530DBD"/>
    <w:rsid w:val="676B5339"/>
    <w:rsid w:val="678F3DBF"/>
    <w:rsid w:val="67A54D96"/>
    <w:rsid w:val="67AA6857"/>
    <w:rsid w:val="67AF7FBD"/>
    <w:rsid w:val="67B04461"/>
    <w:rsid w:val="67B65CC6"/>
    <w:rsid w:val="67C1041C"/>
    <w:rsid w:val="67D363A2"/>
    <w:rsid w:val="67E45EB9"/>
    <w:rsid w:val="67F3434E"/>
    <w:rsid w:val="67F500C6"/>
    <w:rsid w:val="67FC76A6"/>
    <w:rsid w:val="68060525"/>
    <w:rsid w:val="68093B71"/>
    <w:rsid w:val="681A7B2C"/>
    <w:rsid w:val="681F15E7"/>
    <w:rsid w:val="68290C1D"/>
    <w:rsid w:val="68297D70"/>
    <w:rsid w:val="683B3F1E"/>
    <w:rsid w:val="683F7593"/>
    <w:rsid w:val="684647F0"/>
    <w:rsid w:val="68491692"/>
    <w:rsid w:val="687C07E7"/>
    <w:rsid w:val="68955405"/>
    <w:rsid w:val="68997A2B"/>
    <w:rsid w:val="68A11FFC"/>
    <w:rsid w:val="68AA5354"/>
    <w:rsid w:val="68B03FED"/>
    <w:rsid w:val="68C13645"/>
    <w:rsid w:val="68CA1553"/>
    <w:rsid w:val="68D0468F"/>
    <w:rsid w:val="68DB6590"/>
    <w:rsid w:val="68DE353B"/>
    <w:rsid w:val="68E1064A"/>
    <w:rsid w:val="68ED244F"/>
    <w:rsid w:val="68EF05FA"/>
    <w:rsid w:val="69073C72"/>
    <w:rsid w:val="690A040E"/>
    <w:rsid w:val="690A194F"/>
    <w:rsid w:val="690F6F65"/>
    <w:rsid w:val="69391E5C"/>
    <w:rsid w:val="69417F21"/>
    <w:rsid w:val="69514134"/>
    <w:rsid w:val="69523324"/>
    <w:rsid w:val="69564B94"/>
    <w:rsid w:val="6958090C"/>
    <w:rsid w:val="696372B1"/>
    <w:rsid w:val="697D0373"/>
    <w:rsid w:val="6985223C"/>
    <w:rsid w:val="69882AA5"/>
    <w:rsid w:val="698A6F34"/>
    <w:rsid w:val="69C42446"/>
    <w:rsid w:val="69D65033"/>
    <w:rsid w:val="69DA7573"/>
    <w:rsid w:val="69DF734D"/>
    <w:rsid w:val="69E44896"/>
    <w:rsid w:val="69F50851"/>
    <w:rsid w:val="6A0B1E23"/>
    <w:rsid w:val="6A130CD7"/>
    <w:rsid w:val="6A162576"/>
    <w:rsid w:val="6A166419"/>
    <w:rsid w:val="6A1A3E14"/>
    <w:rsid w:val="6A2C3B47"/>
    <w:rsid w:val="6A356E10"/>
    <w:rsid w:val="6A425119"/>
    <w:rsid w:val="6A576E16"/>
    <w:rsid w:val="6A5A4B58"/>
    <w:rsid w:val="6A6B28C1"/>
    <w:rsid w:val="6A6B466F"/>
    <w:rsid w:val="6A8A4024"/>
    <w:rsid w:val="6A8A71EB"/>
    <w:rsid w:val="6A8B6AC0"/>
    <w:rsid w:val="6A8C669E"/>
    <w:rsid w:val="6A8F4802"/>
    <w:rsid w:val="6A971908"/>
    <w:rsid w:val="6A9C2777"/>
    <w:rsid w:val="6AAB7162"/>
    <w:rsid w:val="6AB75B07"/>
    <w:rsid w:val="6ABD56D4"/>
    <w:rsid w:val="6ACD532A"/>
    <w:rsid w:val="6AD55F8D"/>
    <w:rsid w:val="6AE34B4E"/>
    <w:rsid w:val="6AE508C6"/>
    <w:rsid w:val="6B0074AE"/>
    <w:rsid w:val="6B013226"/>
    <w:rsid w:val="6B014FD4"/>
    <w:rsid w:val="6B1116BB"/>
    <w:rsid w:val="6B19056F"/>
    <w:rsid w:val="6B1B2E6E"/>
    <w:rsid w:val="6B3B2294"/>
    <w:rsid w:val="6B3E7FD6"/>
    <w:rsid w:val="6B596BBE"/>
    <w:rsid w:val="6B675157"/>
    <w:rsid w:val="6B7D57EB"/>
    <w:rsid w:val="6B8329FE"/>
    <w:rsid w:val="6B9320D0"/>
    <w:rsid w:val="6B9C75AF"/>
    <w:rsid w:val="6BA131EF"/>
    <w:rsid w:val="6BA633F2"/>
    <w:rsid w:val="6BA83068"/>
    <w:rsid w:val="6BB34520"/>
    <w:rsid w:val="6BC84A9F"/>
    <w:rsid w:val="6BD12DE0"/>
    <w:rsid w:val="6BD44496"/>
    <w:rsid w:val="6BDD159D"/>
    <w:rsid w:val="6C155E31"/>
    <w:rsid w:val="6C24541E"/>
    <w:rsid w:val="6C2E3BA6"/>
    <w:rsid w:val="6C315445"/>
    <w:rsid w:val="6C3D203B"/>
    <w:rsid w:val="6C4B6506"/>
    <w:rsid w:val="6C515AE7"/>
    <w:rsid w:val="6C541F44"/>
    <w:rsid w:val="6C54423D"/>
    <w:rsid w:val="6C5850C7"/>
    <w:rsid w:val="6C5A7375"/>
    <w:rsid w:val="6C635FB0"/>
    <w:rsid w:val="6C6C6BB7"/>
    <w:rsid w:val="6C6E0447"/>
    <w:rsid w:val="6C705F6D"/>
    <w:rsid w:val="6C783074"/>
    <w:rsid w:val="6C81017A"/>
    <w:rsid w:val="6C841833"/>
    <w:rsid w:val="6C895EEE"/>
    <w:rsid w:val="6C8B724B"/>
    <w:rsid w:val="6C9003BD"/>
    <w:rsid w:val="6C9C4FB4"/>
    <w:rsid w:val="6CA34594"/>
    <w:rsid w:val="6CA36342"/>
    <w:rsid w:val="6CA45FB9"/>
    <w:rsid w:val="6CA87DFD"/>
    <w:rsid w:val="6CB25933"/>
    <w:rsid w:val="6CB26586"/>
    <w:rsid w:val="6CC8224D"/>
    <w:rsid w:val="6CCE0FB8"/>
    <w:rsid w:val="6CD429A0"/>
    <w:rsid w:val="6CE1330F"/>
    <w:rsid w:val="6CF22E26"/>
    <w:rsid w:val="6D0019E7"/>
    <w:rsid w:val="6D016025"/>
    <w:rsid w:val="6D1014FE"/>
    <w:rsid w:val="6D157C77"/>
    <w:rsid w:val="6D1945D1"/>
    <w:rsid w:val="6D196605"/>
    <w:rsid w:val="6D21195D"/>
    <w:rsid w:val="6D2453CF"/>
    <w:rsid w:val="6D374518"/>
    <w:rsid w:val="6D4C4C2C"/>
    <w:rsid w:val="6D4D4500"/>
    <w:rsid w:val="6D4F2026"/>
    <w:rsid w:val="6D5263BD"/>
    <w:rsid w:val="6D527D69"/>
    <w:rsid w:val="6D550223"/>
    <w:rsid w:val="6D6655C2"/>
    <w:rsid w:val="6D702546"/>
    <w:rsid w:val="6D724A11"/>
    <w:rsid w:val="6D7B2E1B"/>
    <w:rsid w:val="6D821E63"/>
    <w:rsid w:val="6D8C7D6C"/>
    <w:rsid w:val="6D8F2D6B"/>
    <w:rsid w:val="6D940381"/>
    <w:rsid w:val="6D965D90"/>
    <w:rsid w:val="6DA305C4"/>
    <w:rsid w:val="6DAA1953"/>
    <w:rsid w:val="6DAD4F9F"/>
    <w:rsid w:val="6DCA5B51"/>
    <w:rsid w:val="6DDE33AA"/>
    <w:rsid w:val="6DF6115C"/>
    <w:rsid w:val="6E0252EB"/>
    <w:rsid w:val="6E054DDB"/>
    <w:rsid w:val="6E162B44"/>
    <w:rsid w:val="6E245261"/>
    <w:rsid w:val="6E276AFF"/>
    <w:rsid w:val="6E434C69"/>
    <w:rsid w:val="6E443B55"/>
    <w:rsid w:val="6E464880"/>
    <w:rsid w:val="6E470F4F"/>
    <w:rsid w:val="6E565636"/>
    <w:rsid w:val="6E5C0E9F"/>
    <w:rsid w:val="6E5D4C17"/>
    <w:rsid w:val="6E672BEE"/>
    <w:rsid w:val="6E6B2E90"/>
    <w:rsid w:val="6E7A1325"/>
    <w:rsid w:val="6E8126B3"/>
    <w:rsid w:val="6E91041D"/>
    <w:rsid w:val="6E9248C1"/>
    <w:rsid w:val="6EA463A2"/>
    <w:rsid w:val="6EA97E5C"/>
    <w:rsid w:val="6EAB14DE"/>
    <w:rsid w:val="6EB5235D"/>
    <w:rsid w:val="6EB8009F"/>
    <w:rsid w:val="6EDD3662"/>
    <w:rsid w:val="6EF54E4F"/>
    <w:rsid w:val="6EF90AB4"/>
    <w:rsid w:val="6EF9365E"/>
    <w:rsid w:val="6EFC1D3A"/>
    <w:rsid w:val="6F062BB9"/>
    <w:rsid w:val="6F23376B"/>
    <w:rsid w:val="6F2A4AF9"/>
    <w:rsid w:val="6F2F65B3"/>
    <w:rsid w:val="6F3B6D06"/>
    <w:rsid w:val="6F3C428D"/>
    <w:rsid w:val="6F3F3B69"/>
    <w:rsid w:val="6F3F60CB"/>
    <w:rsid w:val="6F484F7F"/>
    <w:rsid w:val="6F4907BE"/>
    <w:rsid w:val="6F6F4C02"/>
    <w:rsid w:val="6F7044D6"/>
    <w:rsid w:val="6F727A81"/>
    <w:rsid w:val="6F773AB6"/>
    <w:rsid w:val="6F7E12CD"/>
    <w:rsid w:val="6F9B0DE9"/>
    <w:rsid w:val="6FA7439C"/>
    <w:rsid w:val="6FB16FC8"/>
    <w:rsid w:val="6FBB1BF5"/>
    <w:rsid w:val="6FDB4045"/>
    <w:rsid w:val="6FDC7A78"/>
    <w:rsid w:val="6FDE635F"/>
    <w:rsid w:val="6FE0134E"/>
    <w:rsid w:val="6FE54EC4"/>
    <w:rsid w:val="6FF11340"/>
    <w:rsid w:val="7000585A"/>
    <w:rsid w:val="7010286D"/>
    <w:rsid w:val="701D01BA"/>
    <w:rsid w:val="70226AD7"/>
    <w:rsid w:val="702E23C7"/>
    <w:rsid w:val="703379DD"/>
    <w:rsid w:val="703B0F88"/>
    <w:rsid w:val="70545BA6"/>
    <w:rsid w:val="70553DF8"/>
    <w:rsid w:val="705B5C2D"/>
    <w:rsid w:val="706510B7"/>
    <w:rsid w:val="70756248"/>
    <w:rsid w:val="70763D6E"/>
    <w:rsid w:val="708E730A"/>
    <w:rsid w:val="70A1528F"/>
    <w:rsid w:val="70AB7EBB"/>
    <w:rsid w:val="70AC775D"/>
    <w:rsid w:val="70B84386"/>
    <w:rsid w:val="70CB1296"/>
    <w:rsid w:val="70D433C4"/>
    <w:rsid w:val="70E95D66"/>
    <w:rsid w:val="7104137A"/>
    <w:rsid w:val="71063344"/>
    <w:rsid w:val="71125845"/>
    <w:rsid w:val="71136FA4"/>
    <w:rsid w:val="71233EF6"/>
    <w:rsid w:val="71241A1C"/>
    <w:rsid w:val="712437CA"/>
    <w:rsid w:val="71297032"/>
    <w:rsid w:val="712D6BF5"/>
    <w:rsid w:val="713C0B14"/>
    <w:rsid w:val="7141437C"/>
    <w:rsid w:val="714300F4"/>
    <w:rsid w:val="714510B8"/>
    <w:rsid w:val="71483575"/>
    <w:rsid w:val="714F25CA"/>
    <w:rsid w:val="71597917"/>
    <w:rsid w:val="715E7E72"/>
    <w:rsid w:val="716342F2"/>
    <w:rsid w:val="71685DAD"/>
    <w:rsid w:val="716F713B"/>
    <w:rsid w:val="71723492"/>
    <w:rsid w:val="717B5AEA"/>
    <w:rsid w:val="717B788E"/>
    <w:rsid w:val="718D75C1"/>
    <w:rsid w:val="719A3A8C"/>
    <w:rsid w:val="71A212BE"/>
    <w:rsid w:val="71A26757"/>
    <w:rsid w:val="71A4221A"/>
    <w:rsid w:val="71A61591"/>
    <w:rsid w:val="71AD7C63"/>
    <w:rsid w:val="71BC7EA6"/>
    <w:rsid w:val="71C07997"/>
    <w:rsid w:val="71F1492E"/>
    <w:rsid w:val="71F15DA2"/>
    <w:rsid w:val="71FE401B"/>
    <w:rsid w:val="7204375E"/>
    <w:rsid w:val="72122B17"/>
    <w:rsid w:val="721469FD"/>
    <w:rsid w:val="721970A7"/>
    <w:rsid w:val="72275320"/>
    <w:rsid w:val="722E4900"/>
    <w:rsid w:val="723F4C6C"/>
    <w:rsid w:val="724866CC"/>
    <w:rsid w:val="724E6D50"/>
    <w:rsid w:val="726C5429"/>
    <w:rsid w:val="726C568C"/>
    <w:rsid w:val="727918F3"/>
    <w:rsid w:val="727E1346"/>
    <w:rsid w:val="727E16B2"/>
    <w:rsid w:val="727E6F0A"/>
    <w:rsid w:val="728242AF"/>
    <w:rsid w:val="728409C4"/>
    <w:rsid w:val="72842772"/>
    <w:rsid w:val="72987FCC"/>
    <w:rsid w:val="729F57FE"/>
    <w:rsid w:val="72A9042B"/>
    <w:rsid w:val="72C139C6"/>
    <w:rsid w:val="72D06C0F"/>
    <w:rsid w:val="72D275A9"/>
    <w:rsid w:val="72D57472"/>
    <w:rsid w:val="72E17BC5"/>
    <w:rsid w:val="72FE7F64"/>
    <w:rsid w:val="72FF6608"/>
    <w:rsid w:val="730B2E93"/>
    <w:rsid w:val="731323A8"/>
    <w:rsid w:val="73170DCA"/>
    <w:rsid w:val="73243F55"/>
    <w:rsid w:val="73364A1E"/>
    <w:rsid w:val="733E2F1B"/>
    <w:rsid w:val="73467A28"/>
    <w:rsid w:val="734F0FD2"/>
    <w:rsid w:val="7362466A"/>
    <w:rsid w:val="736C0ED5"/>
    <w:rsid w:val="737F73DD"/>
    <w:rsid w:val="73813156"/>
    <w:rsid w:val="73836ECE"/>
    <w:rsid w:val="73934B26"/>
    <w:rsid w:val="73974E43"/>
    <w:rsid w:val="73992050"/>
    <w:rsid w:val="73A471B2"/>
    <w:rsid w:val="73B0453E"/>
    <w:rsid w:val="73B250BD"/>
    <w:rsid w:val="73B70FDE"/>
    <w:rsid w:val="73C63D5B"/>
    <w:rsid w:val="73C90572"/>
    <w:rsid w:val="73D72D76"/>
    <w:rsid w:val="73FE47A6"/>
    <w:rsid w:val="73FF1C70"/>
    <w:rsid w:val="74031DBD"/>
    <w:rsid w:val="740C6EC3"/>
    <w:rsid w:val="74127CD9"/>
    <w:rsid w:val="7416389E"/>
    <w:rsid w:val="742908E5"/>
    <w:rsid w:val="743957DE"/>
    <w:rsid w:val="74542B37"/>
    <w:rsid w:val="745F3497"/>
    <w:rsid w:val="74631D9C"/>
    <w:rsid w:val="74671F35"/>
    <w:rsid w:val="746B48A4"/>
    <w:rsid w:val="747A71D1"/>
    <w:rsid w:val="748D4E45"/>
    <w:rsid w:val="749E2067"/>
    <w:rsid w:val="74A922E9"/>
    <w:rsid w:val="74AE4F7E"/>
    <w:rsid w:val="74AF784E"/>
    <w:rsid w:val="74B3733F"/>
    <w:rsid w:val="74B66E2F"/>
    <w:rsid w:val="74BB61F3"/>
    <w:rsid w:val="74C257D4"/>
    <w:rsid w:val="74D177C5"/>
    <w:rsid w:val="74D8656F"/>
    <w:rsid w:val="74E038B2"/>
    <w:rsid w:val="74EB6AD9"/>
    <w:rsid w:val="74EF63F7"/>
    <w:rsid w:val="74F02341"/>
    <w:rsid w:val="74FA31C0"/>
    <w:rsid w:val="74FC6F38"/>
    <w:rsid w:val="750202C6"/>
    <w:rsid w:val="750758DC"/>
    <w:rsid w:val="7535244A"/>
    <w:rsid w:val="753A2F9F"/>
    <w:rsid w:val="75413037"/>
    <w:rsid w:val="75436915"/>
    <w:rsid w:val="755124FE"/>
    <w:rsid w:val="75574453"/>
    <w:rsid w:val="75596138"/>
    <w:rsid w:val="75596580"/>
    <w:rsid w:val="755A0D87"/>
    <w:rsid w:val="75603D9B"/>
    <w:rsid w:val="75644ADD"/>
    <w:rsid w:val="75656147"/>
    <w:rsid w:val="756845CD"/>
    <w:rsid w:val="7568637B"/>
    <w:rsid w:val="756B19C7"/>
    <w:rsid w:val="7570132D"/>
    <w:rsid w:val="758774DB"/>
    <w:rsid w:val="759157D0"/>
    <w:rsid w:val="75932CCC"/>
    <w:rsid w:val="75957371"/>
    <w:rsid w:val="75B01AD0"/>
    <w:rsid w:val="75B95D13"/>
    <w:rsid w:val="75C044E8"/>
    <w:rsid w:val="75C247F8"/>
    <w:rsid w:val="75C335B1"/>
    <w:rsid w:val="75CA46ED"/>
    <w:rsid w:val="75D12160"/>
    <w:rsid w:val="75D25547"/>
    <w:rsid w:val="75DA1174"/>
    <w:rsid w:val="75E65EC4"/>
    <w:rsid w:val="76053BCA"/>
    <w:rsid w:val="7608190C"/>
    <w:rsid w:val="760A7432"/>
    <w:rsid w:val="760F4A49"/>
    <w:rsid w:val="761A519B"/>
    <w:rsid w:val="762A1882"/>
    <w:rsid w:val="762F0EE8"/>
    <w:rsid w:val="763B3A90"/>
    <w:rsid w:val="763C141F"/>
    <w:rsid w:val="76432944"/>
    <w:rsid w:val="764861AD"/>
    <w:rsid w:val="764F753B"/>
    <w:rsid w:val="765468FF"/>
    <w:rsid w:val="76607052"/>
    <w:rsid w:val="766703E1"/>
    <w:rsid w:val="766C1E9B"/>
    <w:rsid w:val="766D176F"/>
    <w:rsid w:val="767108C9"/>
    <w:rsid w:val="767755A1"/>
    <w:rsid w:val="76785033"/>
    <w:rsid w:val="768052EC"/>
    <w:rsid w:val="76832D41"/>
    <w:rsid w:val="769767EC"/>
    <w:rsid w:val="769B62DC"/>
    <w:rsid w:val="769D02A6"/>
    <w:rsid w:val="76AA4771"/>
    <w:rsid w:val="76B16AD4"/>
    <w:rsid w:val="76BD26F7"/>
    <w:rsid w:val="76C53359"/>
    <w:rsid w:val="76C7751E"/>
    <w:rsid w:val="76C92E49"/>
    <w:rsid w:val="76D65566"/>
    <w:rsid w:val="76DF266D"/>
    <w:rsid w:val="76EF03D6"/>
    <w:rsid w:val="76F04A18"/>
    <w:rsid w:val="76F1414E"/>
    <w:rsid w:val="76F36118"/>
    <w:rsid w:val="770245AD"/>
    <w:rsid w:val="770724E0"/>
    <w:rsid w:val="77130569"/>
    <w:rsid w:val="771F0F01"/>
    <w:rsid w:val="77244524"/>
    <w:rsid w:val="772946DD"/>
    <w:rsid w:val="77305615"/>
    <w:rsid w:val="773109EF"/>
    <w:rsid w:val="77334767"/>
    <w:rsid w:val="77352893"/>
    <w:rsid w:val="7745544C"/>
    <w:rsid w:val="77472401"/>
    <w:rsid w:val="775A7F45"/>
    <w:rsid w:val="775F51E5"/>
    <w:rsid w:val="7762504C"/>
    <w:rsid w:val="777803CC"/>
    <w:rsid w:val="777E6238"/>
    <w:rsid w:val="778F06A6"/>
    <w:rsid w:val="779F3BAA"/>
    <w:rsid w:val="77AD276B"/>
    <w:rsid w:val="77B92EBE"/>
    <w:rsid w:val="77CB499F"/>
    <w:rsid w:val="77EF68E0"/>
    <w:rsid w:val="77F43EF6"/>
    <w:rsid w:val="781A1483"/>
    <w:rsid w:val="78263FA6"/>
    <w:rsid w:val="782D11B6"/>
    <w:rsid w:val="783C3009"/>
    <w:rsid w:val="783E33C3"/>
    <w:rsid w:val="7840538D"/>
    <w:rsid w:val="784A5EBD"/>
    <w:rsid w:val="784F3822"/>
    <w:rsid w:val="78520C1D"/>
    <w:rsid w:val="78643617"/>
    <w:rsid w:val="78737B5D"/>
    <w:rsid w:val="78801C2E"/>
    <w:rsid w:val="78850FF2"/>
    <w:rsid w:val="78947487"/>
    <w:rsid w:val="78A21BA4"/>
    <w:rsid w:val="78A27DF6"/>
    <w:rsid w:val="78A543DE"/>
    <w:rsid w:val="78A771BA"/>
    <w:rsid w:val="78AF42C1"/>
    <w:rsid w:val="78B539E0"/>
    <w:rsid w:val="78CA5CC7"/>
    <w:rsid w:val="78DA7590"/>
    <w:rsid w:val="78DB6E64"/>
    <w:rsid w:val="78DD2BDC"/>
    <w:rsid w:val="78E71CAD"/>
    <w:rsid w:val="78EC1071"/>
    <w:rsid w:val="78F87A16"/>
    <w:rsid w:val="7908577F"/>
    <w:rsid w:val="790C4866"/>
    <w:rsid w:val="791954AD"/>
    <w:rsid w:val="792A3948"/>
    <w:rsid w:val="793622EC"/>
    <w:rsid w:val="794B3FEA"/>
    <w:rsid w:val="79516EBF"/>
    <w:rsid w:val="796A1945"/>
    <w:rsid w:val="79733540"/>
    <w:rsid w:val="79766B8D"/>
    <w:rsid w:val="79773031"/>
    <w:rsid w:val="797A67EB"/>
    <w:rsid w:val="798A7E89"/>
    <w:rsid w:val="79910EBB"/>
    <w:rsid w:val="799A0ACD"/>
    <w:rsid w:val="799D62D2"/>
    <w:rsid w:val="79A91ABF"/>
    <w:rsid w:val="79B04E87"/>
    <w:rsid w:val="79B06543"/>
    <w:rsid w:val="79BC4EE7"/>
    <w:rsid w:val="79CC49FF"/>
    <w:rsid w:val="79CE69C9"/>
    <w:rsid w:val="79E00959"/>
    <w:rsid w:val="79E569B9"/>
    <w:rsid w:val="7A187C44"/>
    <w:rsid w:val="7A2111EE"/>
    <w:rsid w:val="7A3854A2"/>
    <w:rsid w:val="7A456C8B"/>
    <w:rsid w:val="7A6D791E"/>
    <w:rsid w:val="7A7430CC"/>
    <w:rsid w:val="7A7E53F0"/>
    <w:rsid w:val="7A85177D"/>
    <w:rsid w:val="7A886347"/>
    <w:rsid w:val="7AB01DF8"/>
    <w:rsid w:val="7AB23BF5"/>
    <w:rsid w:val="7ACA53E2"/>
    <w:rsid w:val="7ACF47A6"/>
    <w:rsid w:val="7AD24297"/>
    <w:rsid w:val="7AD46261"/>
    <w:rsid w:val="7AD95625"/>
    <w:rsid w:val="7ADE0E8D"/>
    <w:rsid w:val="7AE2097E"/>
    <w:rsid w:val="7AF20495"/>
    <w:rsid w:val="7B0B4FE9"/>
    <w:rsid w:val="7B102F1F"/>
    <w:rsid w:val="7B211F2B"/>
    <w:rsid w:val="7B222378"/>
    <w:rsid w:val="7B226FCC"/>
    <w:rsid w:val="7B3F5280"/>
    <w:rsid w:val="7B407452"/>
    <w:rsid w:val="7B503B39"/>
    <w:rsid w:val="7B5D1DB2"/>
    <w:rsid w:val="7B5F3D7C"/>
    <w:rsid w:val="7B6770D5"/>
    <w:rsid w:val="7B690757"/>
    <w:rsid w:val="7B6C6499"/>
    <w:rsid w:val="7B771A51"/>
    <w:rsid w:val="7B786BEC"/>
    <w:rsid w:val="7B803CF3"/>
    <w:rsid w:val="7B87022D"/>
    <w:rsid w:val="7B883073"/>
    <w:rsid w:val="7B937ECA"/>
    <w:rsid w:val="7BAA2775"/>
    <w:rsid w:val="7BC22E5A"/>
    <w:rsid w:val="7BC938EC"/>
    <w:rsid w:val="7BCA0A21"/>
    <w:rsid w:val="7BCF019C"/>
    <w:rsid w:val="7BD561AA"/>
    <w:rsid w:val="7BD61B65"/>
    <w:rsid w:val="7BE44282"/>
    <w:rsid w:val="7BE47080"/>
    <w:rsid w:val="7BE6624C"/>
    <w:rsid w:val="7BF02C26"/>
    <w:rsid w:val="7C091F3A"/>
    <w:rsid w:val="7C0D2EFF"/>
    <w:rsid w:val="7C121C96"/>
    <w:rsid w:val="7C186281"/>
    <w:rsid w:val="7C1903CF"/>
    <w:rsid w:val="7C1F175E"/>
    <w:rsid w:val="7C217284"/>
    <w:rsid w:val="7C2E374F"/>
    <w:rsid w:val="7C374CF9"/>
    <w:rsid w:val="7C5160EE"/>
    <w:rsid w:val="7C612B4F"/>
    <w:rsid w:val="7C72188D"/>
    <w:rsid w:val="7C923759"/>
    <w:rsid w:val="7C95557C"/>
    <w:rsid w:val="7C9A0DE4"/>
    <w:rsid w:val="7CB03FDC"/>
    <w:rsid w:val="7CB1685A"/>
    <w:rsid w:val="7CB579CC"/>
    <w:rsid w:val="7CC66E39"/>
    <w:rsid w:val="7CE314B1"/>
    <w:rsid w:val="7CE64029"/>
    <w:rsid w:val="7CE7227B"/>
    <w:rsid w:val="7D0270B5"/>
    <w:rsid w:val="7D1163B7"/>
    <w:rsid w:val="7D1868D9"/>
    <w:rsid w:val="7D1D5C9D"/>
    <w:rsid w:val="7D347921"/>
    <w:rsid w:val="7D42599C"/>
    <w:rsid w:val="7D500F61"/>
    <w:rsid w:val="7D5C0158"/>
    <w:rsid w:val="7D5D42EC"/>
    <w:rsid w:val="7D603DDC"/>
    <w:rsid w:val="7D654100"/>
    <w:rsid w:val="7D6D0D79"/>
    <w:rsid w:val="7D741635"/>
    <w:rsid w:val="7D7635FF"/>
    <w:rsid w:val="7D94323D"/>
    <w:rsid w:val="7D951CD7"/>
    <w:rsid w:val="7DAC0DCF"/>
    <w:rsid w:val="7DAE4B47"/>
    <w:rsid w:val="7DE325DD"/>
    <w:rsid w:val="7DE40569"/>
    <w:rsid w:val="7DF54524"/>
    <w:rsid w:val="7E062BD5"/>
    <w:rsid w:val="7E0806FB"/>
    <w:rsid w:val="7E087B80"/>
    <w:rsid w:val="7E087D35"/>
    <w:rsid w:val="7E1939E8"/>
    <w:rsid w:val="7E1D1CCD"/>
    <w:rsid w:val="7E252CD0"/>
    <w:rsid w:val="7E373D17"/>
    <w:rsid w:val="7E42491A"/>
    <w:rsid w:val="7E4454AB"/>
    <w:rsid w:val="7E492AC2"/>
    <w:rsid w:val="7E566C54"/>
    <w:rsid w:val="7E576F8D"/>
    <w:rsid w:val="7E5D7F31"/>
    <w:rsid w:val="7E631DD5"/>
    <w:rsid w:val="7E655B4E"/>
    <w:rsid w:val="7E657052"/>
    <w:rsid w:val="7E6727AA"/>
    <w:rsid w:val="7E68081E"/>
    <w:rsid w:val="7E6E42D6"/>
    <w:rsid w:val="7E725B75"/>
    <w:rsid w:val="7E88183C"/>
    <w:rsid w:val="7E900275"/>
    <w:rsid w:val="7E9E4BBC"/>
    <w:rsid w:val="7EAE2C7C"/>
    <w:rsid w:val="7EC108AA"/>
    <w:rsid w:val="7EC40C92"/>
    <w:rsid w:val="7EC55884"/>
    <w:rsid w:val="7ECA59B1"/>
    <w:rsid w:val="7ECF7F4F"/>
    <w:rsid w:val="7ED06D3F"/>
    <w:rsid w:val="7ED35C8E"/>
    <w:rsid w:val="7EDB2CB3"/>
    <w:rsid w:val="7EE06F82"/>
    <w:rsid w:val="7EFD1537"/>
    <w:rsid w:val="7F0C2723"/>
    <w:rsid w:val="7F207CC7"/>
    <w:rsid w:val="7F381E72"/>
    <w:rsid w:val="7F416BE5"/>
    <w:rsid w:val="7F435763"/>
    <w:rsid w:val="7F43729D"/>
    <w:rsid w:val="7F5E259D"/>
    <w:rsid w:val="7F636E90"/>
    <w:rsid w:val="7F792F33"/>
    <w:rsid w:val="7F7B6CAB"/>
    <w:rsid w:val="7F8C2C66"/>
    <w:rsid w:val="7F925FC6"/>
    <w:rsid w:val="7F9935D5"/>
    <w:rsid w:val="7F9D4E73"/>
    <w:rsid w:val="7F9E0BEB"/>
    <w:rsid w:val="7FA91A6A"/>
    <w:rsid w:val="7FB421BD"/>
    <w:rsid w:val="7FB977D3"/>
    <w:rsid w:val="7FBB79EF"/>
    <w:rsid w:val="7FC272D8"/>
    <w:rsid w:val="7FCA49DF"/>
    <w:rsid w:val="7FDA1B99"/>
    <w:rsid w:val="7FDA1D9D"/>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rFonts w:ascii="Calibri" w:hAnsi="Calibri" w:eastAsia="仿宋_GB2312"/>
      <w:b/>
      <w:bCs/>
      <w:sz w:val="32"/>
      <w:szCs w:val="32"/>
    </w:rPr>
  </w:style>
  <w:style w:type="paragraph" w:styleId="6">
    <w:name w:val="heading 4"/>
    <w:basedOn w:val="1"/>
    <w:next w:val="7"/>
    <w:unhideWhenUsed/>
    <w:qFormat/>
    <w:uiPriority w:val="0"/>
    <w:pPr>
      <w:keepNext/>
      <w:keepLines/>
      <w:numPr>
        <w:ilvl w:val="3"/>
        <w:numId w:val="1"/>
      </w:numPr>
      <w:tabs>
        <w:tab w:val="left" w:pos="420"/>
      </w:tabs>
      <w:spacing w:before="280" w:after="290" w:line="372" w:lineRule="auto"/>
      <w:ind w:left="0" w:firstLine="0"/>
      <w:outlineLvl w:val="3"/>
    </w:pPr>
    <w:rPr>
      <w:rFonts w:ascii="Arial" w:hAnsi="Arial" w:eastAsia="仿宋"/>
      <w:b/>
      <w:sz w:val="24"/>
      <w:szCs w:val="24"/>
    </w:rPr>
  </w:style>
  <w:style w:type="paragraph" w:styleId="8">
    <w:name w:val="heading 5"/>
    <w:basedOn w:val="1"/>
    <w:next w:val="7"/>
    <w:unhideWhenUsed/>
    <w:qFormat/>
    <w:uiPriority w:val="0"/>
    <w:pPr>
      <w:keepNext/>
      <w:keepLines/>
      <w:numPr>
        <w:ilvl w:val="4"/>
        <w:numId w:val="2"/>
      </w:numPr>
      <w:tabs>
        <w:tab w:val="left" w:pos="420"/>
      </w:tabs>
      <w:spacing w:before="280" w:after="290" w:line="372" w:lineRule="auto"/>
      <w:ind w:firstLine="0"/>
      <w:outlineLvl w:val="4"/>
    </w:pPr>
    <w:rPr>
      <w:rFonts w:hAnsi="宋体" w:eastAsia="仿宋"/>
      <w:b/>
    </w:rPr>
  </w:style>
  <w:style w:type="paragraph" w:styleId="9">
    <w:name w:val="heading 6"/>
    <w:basedOn w:val="1"/>
    <w:next w:val="1"/>
    <w:semiHidden/>
    <w:unhideWhenUsed/>
    <w:qFormat/>
    <w:uiPriority w:val="9"/>
    <w:pPr>
      <w:keepNext/>
      <w:keepLines/>
      <w:spacing w:before="240" w:after="64" w:line="317" w:lineRule="auto"/>
      <w:outlineLvl w:val="5"/>
    </w:pPr>
    <w:rPr>
      <w:rFonts w:ascii="Arial" w:hAnsi="Arial" w:eastAsia="黑体"/>
      <w:b/>
      <w:sz w:val="24"/>
    </w:rPr>
  </w:style>
  <w:style w:type="character" w:default="1" w:styleId="31">
    <w:name w:val="Default Paragraph Font"/>
    <w:autoRedefine/>
    <w:semiHidden/>
    <w:qFormat/>
    <w:uiPriority w:val="0"/>
  </w:style>
  <w:style w:type="table" w:default="1" w:styleId="2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 w:val="28"/>
    </w:rPr>
  </w:style>
  <w:style w:type="paragraph" w:styleId="7">
    <w:name w:val="Normal Indent"/>
    <w:basedOn w:val="1"/>
    <w:next w:val="1"/>
    <w:autoRedefine/>
    <w:qFormat/>
    <w:uiPriority w:val="0"/>
    <w:pPr>
      <w:spacing w:line="440" w:lineRule="exact"/>
      <w:ind w:firstLine="420" w:firstLineChars="200"/>
    </w:pPr>
    <w:rPr>
      <w:sz w:val="24"/>
    </w:rPr>
  </w:style>
  <w:style w:type="paragraph" w:styleId="10">
    <w:name w:val="table of authorities"/>
    <w:basedOn w:val="1"/>
    <w:next w:val="1"/>
    <w:qFormat/>
    <w:uiPriority w:val="99"/>
    <w:pPr>
      <w:ind w:left="420" w:leftChars="200"/>
    </w:pPr>
    <w:rPr>
      <w:rFonts w:ascii="Times New Roman" w:hAnsi="Times New Roman" w:eastAsia="宋体" w:cs="Times New Roman"/>
      <w:sz w:val="24"/>
      <w:szCs w:val="22"/>
    </w:rPr>
  </w:style>
  <w:style w:type="paragraph" w:styleId="11">
    <w:name w:val="List Number"/>
    <w:basedOn w:val="1"/>
    <w:autoRedefine/>
    <w:qFormat/>
    <w:uiPriority w:val="0"/>
    <w:pPr>
      <w:numPr>
        <w:ilvl w:val="0"/>
        <w:numId w:val="3"/>
      </w:numPr>
    </w:pPr>
  </w:style>
  <w:style w:type="paragraph" w:styleId="12">
    <w:name w:val="caption"/>
    <w:basedOn w:val="1"/>
    <w:next w:val="1"/>
    <w:unhideWhenUsed/>
    <w:qFormat/>
    <w:uiPriority w:val="0"/>
    <w:pPr>
      <w:tabs>
        <w:tab w:val="left" w:pos="420"/>
      </w:tabs>
      <w:spacing w:line="360" w:lineRule="auto"/>
      <w:jc w:val="center"/>
    </w:pPr>
    <w:rPr>
      <w:rFonts w:ascii="Arial" w:hAnsi="Arial" w:eastAsia="黑体"/>
      <w:sz w:val="20"/>
      <w:szCs w:val="24"/>
    </w:rPr>
  </w:style>
  <w:style w:type="paragraph" w:styleId="13">
    <w:name w:val="Body Text 3"/>
    <w:basedOn w:val="1"/>
    <w:autoRedefine/>
    <w:qFormat/>
    <w:uiPriority w:val="0"/>
    <w:pPr>
      <w:snapToGrid w:val="0"/>
      <w:spacing w:before="50" w:after="50"/>
    </w:pPr>
    <w:rPr>
      <w:rFonts w:hAnsi="宋体" w:eastAsia="仿宋_GB2312"/>
      <w:b/>
      <w:bCs/>
      <w:sz w:val="24"/>
      <w:szCs w:val="20"/>
    </w:rPr>
  </w:style>
  <w:style w:type="paragraph" w:styleId="14">
    <w:name w:val="Body Text Indent"/>
    <w:basedOn w:val="1"/>
    <w:autoRedefine/>
    <w:qFormat/>
    <w:uiPriority w:val="0"/>
    <w:pPr>
      <w:spacing w:line="200" w:lineRule="exact"/>
      <w:ind w:firstLine="301"/>
    </w:pPr>
    <w:rPr>
      <w:rFonts w:ascii="宋体" w:hAnsi="Courier New"/>
      <w:spacing w:val="-4"/>
      <w:sz w:val="18"/>
      <w:szCs w:val="20"/>
    </w:rPr>
  </w:style>
  <w:style w:type="paragraph" w:styleId="15">
    <w:name w:val="Block Text"/>
    <w:basedOn w:val="1"/>
    <w:qFormat/>
    <w:uiPriority w:val="99"/>
    <w:pPr>
      <w:ind w:left="1200" w:right="-72" w:hanging="30"/>
    </w:pPr>
    <w:rPr>
      <w:rFonts w:ascii="Arial" w:hAnsi="Arial" w:eastAsia="幼圆" w:cs="Arial"/>
      <w:sz w:val="22"/>
      <w:szCs w:val="20"/>
    </w:rPr>
  </w:style>
  <w:style w:type="paragraph" w:styleId="16">
    <w:name w:val="Plain Text"/>
    <w:basedOn w:val="1"/>
    <w:autoRedefine/>
    <w:qFormat/>
    <w:uiPriority w:val="0"/>
    <w:pPr>
      <w:spacing w:before="156" w:beforeLines="50" w:after="156" w:afterLines="50" w:line="400" w:lineRule="exact"/>
    </w:pPr>
    <w:rPr>
      <w:rFonts w:ascii="宋体" w:hAnsi="Courier New"/>
      <w:sz w:val="24"/>
    </w:rPr>
  </w:style>
  <w:style w:type="paragraph" w:styleId="17">
    <w:name w:val="Date"/>
    <w:basedOn w:val="1"/>
    <w:next w:val="1"/>
    <w:qFormat/>
    <w:uiPriority w:val="99"/>
    <w:pPr>
      <w:ind w:left="2500" w:leftChars="2500"/>
    </w:pPr>
    <w:rPr>
      <w:rFonts w:ascii="Calibri" w:hAnsi="Calibri" w:eastAsia="楷体_GB2312"/>
      <w:sz w:val="32"/>
      <w:szCs w:val="22"/>
    </w:rPr>
  </w:style>
  <w:style w:type="paragraph" w:styleId="18">
    <w:name w:val="Body Text Indent 2"/>
    <w:basedOn w:val="1"/>
    <w:autoRedefine/>
    <w:qFormat/>
    <w:uiPriority w:val="0"/>
    <w:pPr>
      <w:spacing w:after="120" w:line="480" w:lineRule="auto"/>
      <w:ind w:left="420" w:leftChars="200"/>
    </w:pPr>
  </w:style>
  <w:style w:type="paragraph" w:styleId="19">
    <w:name w:val="footer"/>
    <w:basedOn w:val="1"/>
    <w:autoRedefine/>
    <w:qFormat/>
    <w:uiPriority w:val="0"/>
    <w:pPr>
      <w:tabs>
        <w:tab w:val="center" w:pos="4153"/>
        <w:tab w:val="right" w:pos="8306"/>
      </w:tabs>
      <w:snapToGrid w:val="0"/>
      <w:jc w:val="left"/>
    </w:pPr>
    <w:rPr>
      <w:rFonts w:eastAsia="黑体"/>
      <w:snapToGrid w:val="0"/>
      <w:kern w:val="0"/>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1">
    <w:name w:val="toc 1"/>
    <w:basedOn w:val="1"/>
    <w:next w:val="1"/>
    <w:qFormat/>
    <w:uiPriority w:val="39"/>
    <w:pPr>
      <w:tabs>
        <w:tab w:val="right" w:leader="dot" w:pos="8364"/>
      </w:tabs>
      <w:spacing w:before="120" w:after="120" w:line="360" w:lineRule="auto"/>
      <w:jc w:val="left"/>
    </w:pPr>
    <w:rPr>
      <w:b/>
      <w:caps/>
      <w:sz w:val="20"/>
    </w:rPr>
  </w:style>
  <w:style w:type="paragraph" w:styleId="22">
    <w:name w:val="toc 6"/>
    <w:basedOn w:val="1"/>
    <w:next w:val="1"/>
    <w:semiHidden/>
    <w:qFormat/>
    <w:uiPriority w:val="0"/>
    <w:pPr>
      <w:ind w:left="2100" w:leftChars="1000"/>
    </w:pPr>
  </w:style>
  <w:style w:type="paragraph" w:styleId="23">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4">
    <w:name w:val="toc 2"/>
    <w:basedOn w:val="1"/>
    <w:next w:val="1"/>
    <w:qFormat/>
    <w:uiPriority w:val="39"/>
    <w:pPr>
      <w:tabs>
        <w:tab w:val="right" w:leader="dot" w:pos="9403"/>
      </w:tabs>
      <w:snapToGrid w:val="0"/>
      <w:spacing w:line="360" w:lineRule="auto"/>
      <w:ind w:firstLine="200" w:firstLineChars="200"/>
    </w:pPr>
    <w:rPr>
      <w:smallCaps/>
    </w:rPr>
  </w:style>
  <w:style w:type="paragraph" w:styleId="2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6">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Body Text First Indent"/>
    <w:basedOn w:val="2"/>
    <w:next w:val="1"/>
    <w:qFormat/>
    <w:uiPriority w:val="0"/>
    <w:pPr>
      <w:ind w:firstLine="420" w:firstLineChars="100"/>
    </w:pPr>
  </w:style>
  <w:style w:type="paragraph" w:styleId="28">
    <w:name w:val="Body Text First Indent 2"/>
    <w:basedOn w:val="14"/>
    <w:next w:val="27"/>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30">
    <w:name w:val="Table Grid"/>
    <w:basedOn w:val="29"/>
    <w:autoRedefine/>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2">
    <w:name w:val="page number"/>
    <w:autoRedefine/>
    <w:qFormat/>
    <w:uiPriority w:val="0"/>
  </w:style>
  <w:style w:type="character" w:styleId="33">
    <w:name w:val="Emphasis"/>
    <w:basedOn w:val="31"/>
    <w:autoRedefine/>
    <w:qFormat/>
    <w:uiPriority w:val="0"/>
    <w:rPr>
      <w:i/>
    </w:rPr>
  </w:style>
  <w:style w:type="character" w:styleId="34">
    <w:name w:val="Hyperlink"/>
    <w:basedOn w:val="31"/>
    <w:autoRedefine/>
    <w:qFormat/>
    <w:uiPriority w:val="0"/>
    <w:rPr>
      <w:color w:val="0000FF"/>
      <w:u w:val="single"/>
    </w:rPr>
  </w:style>
  <w:style w:type="paragraph" w:customStyle="1" w:styleId="35">
    <w:name w:val="正文首行缩进2字符"/>
    <w:basedOn w:val="1"/>
    <w:qFormat/>
    <w:uiPriority w:val="0"/>
    <w:pPr>
      <w:ind w:firstLine="200" w:firstLineChars="200"/>
    </w:pPr>
    <w:rPr>
      <w:szCs w:val="20"/>
    </w:rPr>
  </w:style>
  <w:style w:type="paragraph" w:customStyle="1" w:styleId="36">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7">
    <w:name w:val="Body Text First Indent1"/>
    <w:basedOn w:val="2"/>
    <w:qFormat/>
    <w:uiPriority w:val="0"/>
    <w:pPr>
      <w:spacing w:line="500" w:lineRule="exact"/>
      <w:ind w:firstLine="420"/>
    </w:pPr>
    <w:rPr>
      <w:rFonts w:ascii="Times New Roman" w:hAnsi="Times New Roman" w:eastAsia="宋体" w:cs="Times New Roman"/>
      <w:sz w:val="28"/>
    </w:rPr>
  </w:style>
  <w:style w:type="character" w:customStyle="1" w:styleId="38">
    <w:name w:val="标题 2 Char1"/>
    <w:autoRedefine/>
    <w:qFormat/>
    <w:uiPriority w:val="0"/>
    <w:rPr>
      <w:rFonts w:ascii="Arial" w:hAnsi="Arial" w:eastAsia="宋体" w:cs="Times New Roman"/>
      <w:b/>
      <w:bCs/>
      <w:sz w:val="28"/>
      <w:szCs w:val="32"/>
    </w:rPr>
  </w:style>
  <w:style w:type="paragraph" w:customStyle="1" w:styleId="39">
    <w:name w:val="[Normal]"/>
    <w:autoRedefine/>
    <w:qFormat/>
    <w:uiPriority w:val="0"/>
    <w:rPr>
      <w:rFonts w:ascii="宋体" w:hAnsi="宋体" w:eastAsia="宋体" w:cs="Times New Roman"/>
      <w:sz w:val="24"/>
      <w:szCs w:val="22"/>
      <w:lang w:val="zh-CN" w:eastAsia="zh-CN" w:bidi="ar-SA"/>
    </w:rPr>
  </w:style>
  <w:style w:type="paragraph" w:customStyle="1" w:styleId="40">
    <w:name w:val="BodyText1I"/>
    <w:basedOn w:val="41"/>
    <w:autoRedefine/>
    <w:qFormat/>
    <w:uiPriority w:val="0"/>
    <w:pPr>
      <w:ind w:firstLine="420" w:firstLineChars="100"/>
    </w:pPr>
  </w:style>
  <w:style w:type="paragraph" w:customStyle="1" w:styleId="41">
    <w:name w:val="BodyText"/>
    <w:basedOn w:val="1"/>
    <w:next w:val="42"/>
    <w:autoRedefine/>
    <w:qFormat/>
    <w:uiPriority w:val="0"/>
    <w:pPr>
      <w:textAlignment w:val="baseline"/>
    </w:pPr>
    <w:rPr>
      <w:rFonts w:ascii="宋体" w:hAnsi="宋体"/>
      <w:szCs w:val="21"/>
      <w:lang w:val="zh-CN" w:bidi="zh-CN"/>
    </w:rPr>
  </w:style>
  <w:style w:type="paragraph" w:customStyle="1" w:styleId="42">
    <w:name w:val="TOC2"/>
    <w:basedOn w:val="1"/>
    <w:next w:val="1"/>
    <w:autoRedefine/>
    <w:qFormat/>
    <w:uiPriority w:val="0"/>
    <w:pPr>
      <w:ind w:left="420" w:leftChars="200"/>
      <w:textAlignment w:val="baseline"/>
    </w:pPr>
  </w:style>
  <w:style w:type="paragraph" w:customStyle="1" w:styleId="4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4">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46">
    <w:name w:val="表格文字"/>
    <w:basedOn w:val="14"/>
    <w:next w:val="2"/>
    <w:qFormat/>
    <w:uiPriority w:val="99"/>
    <w:pPr>
      <w:adjustRightInd w:val="0"/>
      <w:spacing w:line="420" w:lineRule="atLeast"/>
      <w:jc w:val="left"/>
      <w:textAlignment w:val="baseline"/>
    </w:pPr>
    <w:rPr>
      <w:kern w:val="0"/>
    </w:rPr>
  </w:style>
  <w:style w:type="paragraph" w:customStyle="1" w:styleId="47">
    <w:name w:val="国普正文"/>
    <w:basedOn w:val="1"/>
    <w:qFormat/>
    <w:uiPriority w:val="0"/>
    <w:pPr>
      <w:spacing w:line="360" w:lineRule="auto"/>
      <w:ind w:firstLine="600" w:firstLineChars="200"/>
    </w:pPr>
    <w:rPr>
      <w:rFonts w:eastAsia="仿宋_GB2312"/>
      <w:sz w:val="28"/>
      <w:szCs w:val="30"/>
    </w:rPr>
  </w:style>
  <w:style w:type="paragraph" w:customStyle="1" w:styleId="48">
    <w:name w:val="正文2"/>
    <w:basedOn w:val="1"/>
    <w:qFormat/>
    <w:uiPriority w:val="0"/>
    <w:pPr>
      <w:spacing w:before="156" w:line="360" w:lineRule="auto"/>
      <w:ind w:firstLine="510" w:firstLineChars="200"/>
    </w:pPr>
    <w:rPr>
      <w:rFonts w:asciiTheme="minorHAnsi" w:hAnsiTheme="minorHAnsi" w:cstheme="minorBidi"/>
      <w:sz w:val="24"/>
      <w:szCs w:val="22"/>
    </w:rPr>
  </w:style>
  <w:style w:type="paragraph" w:customStyle="1" w:styleId="49">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0">
    <w:name w:val="Table Paragraph"/>
    <w:basedOn w:val="1"/>
    <w:qFormat/>
    <w:uiPriority w:val="0"/>
    <w:pPr>
      <w:autoSpaceDE w:val="0"/>
      <w:autoSpaceDN w:val="0"/>
      <w:jc w:val="left"/>
    </w:pPr>
    <w:rPr>
      <w:rFonts w:ascii="仿宋" w:hAnsi="仿宋" w:eastAsia="仿宋" w:cs="仿宋"/>
      <w:kern w:val="0"/>
      <w:sz w:val="22"/>
      <w:lang w:eastAsia="en-US"/>
    </w:rPr>
  </w:style>
  <w:style w:type="paragraph" w:styleId="51">
    <w:name w:val="List Paragraph"/>
    <w:basedOn w:val="1"/>
    <w:qFormat/>
    <w:uiPriority w:val="34"/>
    <w:pPr>
      <w:ind w:firstLine="420" w:firstLineChars="200"/>
    </w:pPr>
  </w:style>
  <w:style w:type="paragraph" w:customStyle="1" w:styleId="52">
    <w:name w:val="居中表格内容"/>
    <w:basedOn w:val="53"/>
    <w:next w:val="1"/>
    <w:qFormat/>
    <w:uiPriority w:val="0"/>
    <w:pPr>
      <w:jc w:val="center"/>
    </w:pPr>
    <w:rPr>
      <w:b w:val="0"/>
      <w:szCs w:val="20"/>
    </w:rPr>
  </w:style>
  <w:style w:type="paragraph" w:customStyle="1" w:styleId="53">
    <w:name w:val="表格正文"/>
    <w:basedOn w:val="1"/>
    <w:qFormat/>
    <w:uiPriority w:val="0"/>
    <w:pPr>
      <w:widowControl/>
    </w:pPr>
    <w:rPr>
      <w:rFonts w:eastAsia="仿宋_GB2312" w:cs="Times New Roman"/>
      <w:b/>
      <w:sz w:val="24"/>
    </w:rPr>
  </w:style>
  <w:style w:type="paragraph" w:customStyle="1" w:styleId="54">
    <w:name w:val="6级半括号"/>
    <w:basedOn w:val="35"/>
    <w:qFormat/>
    <w:uiPriority w:val="0"/>
    <w:pPr>
      <w:widowControl/>
      <w:ind w:firstLine="0" w:firstLineChars="0"/>
    </w:pPr>
    <w:rPr>
      <w:rFonts w:ascii="Arial" w:hAnsi="Arial" w:eastAsia="等线" w:cs="Times New Roman"/>
      <w:szCs w:val="24"/>
    </w:rPr>
  </w:style>
  <w:style w:type="paragraph" w:customStyle="1" w:styleId="55">
    <w:name w:val="列表段落1"/>
    <w:basedOn w:val="1"/>
    <w:qFormat/>
    <w:uiPriority w:val="0"/>
    <w:pPr>
      <w:spacing w:line="240" w:lineRule="auto"/>
      <w:ind w:firstLine="420"/>
    </w:pPr>
    <w:rPr>
      <w:rFonts w:eastAsia="宋体" w:cs="Times New Roman"/>
      <w:sz w:val="21"/>
      <w:szCs w:val="24"/>
    </w:rPr>
  </w:style>
  <w:style w:type="character" w:customStyle="1" w:styleId="56">
    <w:name w:val="cf01"/>
    <w:qFormat/>
    <w:uiPriority w:val="0"/>
    <w:rPr>
      <w:rFonts w:hint="eastAsia" w:ascii="Microsoft YaHei UI" w:hAnsi="Microsoft YaHei UI" w:eastAsia="Microsoft YaHei UI"/>
      <w:sz w:val="18"/>
      <w:szCs w:val="18"/>
    </w:rPr>
  </w:style>
  <w:style w:type="paragraph" w:customStyle="1" w:styleId="57">
    <w:name w:val="p18"/>
    <w:qFormat/>
    <w:uiPriority w:val="0"/>
    <w:pPr>
      <w:spacing w:line="748" w:lineRule="atLeast"/>
      <w:ind w:left="-527" w:firstLine="527"/>
    </w:pPr>
    <w:rPr>
      <w:rFonts w:ascii="宋体" w:hAnsi="宋体" w:eastAsia="宋体" w:cs="宋体"/>
      <w:kern w:val="0"/>
      <w:sz w:val="24"/>
      <w:szCs w:val="20"/>
      <w:u w:color="000000"/>
      <w:lang w:val="en-US" w:eastAsia="zh-CN" w:bidi="ar-SA"/>
    </w:rPr>
  </w:style>
  <w:style w:type="paragraph" w:customStyle="1" w:styleId="58">
    <w:name w:val="无间隔2"/>
    <w:basedOn w:val="7"/>
    <w:next w:val="7"/>
    <w:qFormat/>
    <w:uiPriority w:val="1"/>
    <w:pPr>
      <w:spacing w:line="360" w:lineRule="auto"/>
      <w:ind w:firstLine="200"/>
    </w:pPr>
  </w:style>
  <w:style w:type="paragraph" w:customStyle="1" w:styleId="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0">
    <w:name w:val="Plain Text"/>
    <w:basedOn w:val="1"/>
    <w:qFormat/>
    <w:uiPriority w:val="0"/>
    <w:rPr>
      <w:rFonts w:ascii="宋体" w:hAnsi="Courier New"/>
    </w:rPr>
  </w:style>
  <w:style w:type="paragraph" w:customStyle="1" w:styleId="6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2">
    <w:name w:val="NormalCharacter"/>
    <w:link w:val="63"/>
    <w:semiHidden/>
    <w:qFormat/>
    <w:uiPriority w:val="0"/>
    <w:rPr>
      <w:rFonts w:ascii="Times New Roman" w:hAnsi="Times New Roman" w:cs="Times New Roman"/>
      <w:kern w:val="2"/>
      <w:sz w:val="21"/>
    </w:rPr>
  </w:style>
  <w:style w:type="paragraph" w:customStyle="1" w:styleId="63">
    <w:name w:val="UserStyle_3"/>
    <w:basedOn w:val="1"/>
    <w:link w:val="62"/>
    <w:qFormat/>
    <w:uiPriority w:val="0"/>
    <w:pPr>
      <w:widowControl/>
      <w:spacing w:after="160" w:line="240" w:lineRule="exact"/>
      <w:jc w:val="left"/>
    </w:pPr>
    <w:rPr>
      <w:rFonts w:ascii="Times New Roman" w:hAnsi="Times New Roman"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19466</Words>
  <Characters>20606</Characters>
  <Lines>0</Lines>
  <Paragraphs>0</Paragraphs>
  <TotalTime>20</TotalTime>
  <ScaleCrop>false</ScaleCrop>
  <LinksUpToDate>false</LinksUpToDate>
  <CharactersWithSpaces>20725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2024-01-08T01:29:00Z</dcterms:created>
  <dc:creator>Administrator</dc:creator>
  <cp:lastModifiedBy>winpro</cp:lastModifiedBy>
  <cp:lastPrinted>2025-02-25T07:05:00Z</cp:lastPrinted>
  <dcterms:modified xsi:type="dcterms:W3CDTF">2025-07-04T10:51:18Z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1E1F59F43D7E4BC6A9FBE4ECA4E25A0C_13</vt:lpwstr>
  </property>
  <property fmtid="{D5CDD505-2E9C-101B-9397-08002B2CF9AE}" pid="4" name="KSOTemplateDocerSaveRecord">
    <vt:lpwstr>eyJoZGlkIjoiNjM2MTJmZjNkMzE1MGIxNmIwYjVhNTkxM2E4NmZkYzQiLCJ1c2VySWQiOiIxNTM2MDYyNDg3In0=</vt:lpwstr>
  </property>
</Properties>
</file>