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仿宋_GB2312"/>
          <w:b/>
          <w:color w:val="auto"/>
          <w:sz w:val="24"/>
          <w:highlight w:val="none"/>
        </w:rPr>
      </w:pPr>
    </w:p>
    <w:p>
      <w:pPr>
        <w:adjustRightInd/>
        <w:spacing w:line="360" w:lineRule="auto"/>
        <w:jc w:val="center"/>
        <w:rPr>
          <w:rFonts w:ascii="宋体" w:hAnsi="宋体" w:cs="仿宋_GB2312"/>
          <w:b/>
          <w:color w:val="auto"/>
          <w:sz w:val="44"/>
          <w:szCs w:val="44"/>
          <w:highlight w:val="none"/>
        </w:rPr>
      </w:pPr>
    </w:p>
    <w:p>
      <w:pPr>
        <w:adjustRightInd/>
        <w:spacing w:line="360" w:lineRule="auto"/>
        <w:jc w:val="center"/>
        <w:rPr>
          <w:rFonts w:ascii="宋体" w:hAnsi="宋体" w:cs="仿宋_GB2312"/>
          <w:b/>
          <w:color w:val="auto"/>
          <w:sz w:val="44"/>
          <w:szCs w:val="44"/>
          <w:highlight w:val="none"/>
        </w:rPr>
      </w:pPr>
    </w:p>
    <w:p>
      <w:pPr>
        <w:spacing w:line="360" w:lineRule="auto"/>
        <w:jc w:val="center"/>
        <w:rPr>
          <w:rFonts w:ascii="宋体" w:hAnsi="宋体"/>
          <w:b/>
          <w:color w:val="auto"/>
          <w:spacing w:val="-6"/>
          <w:sz w:val="52"/>
          <w:szCs w:val="72"/>
          <w:highlight w:val="none"/>
        </w:rPr>
      </w:pPr>
      <w:r>
        <w:rPr>
          <w:rFonts w:hint="eastAsia" w:ascii="宋体" w:hAnsi="宋体"/>
          <w:b/>
          <w:color w:val="auto"/>
          <w:spacing w:val="-6"/>
          <w:sz w:val="52"/>
          <w:szCs w:val="72"/>
          <w:highlight w:val="none"/>
        </w:rPr>
        <w:t>浙江海洋大学</w:t>
      </w:r>
    </w:p>
    <w:p>
      <w:pPr>
        <w:spacing w:line="360" w:lineRule="auto"/>
        <w:jc w:val="center"/>
        <w:rPr>
          <w:rFonts w:ascii="宋体" w:hAnsi="宋体"/>
          <w:b/>
          <w:color w:val="auto"/>
          <w:sz w:val="72"/>
          <w:szCs w:val="72"/>
          <w:highlight w:val="none"/>
        </w:rPr>
      </w:pPr>
    </w:p>
    <w:p>
      <w:pPr>
        <w:pStyle w:val="17"/>
        <w:rPr>
          <w:rFonts w:ascii="宋体" w:hAnsi="宋体" w:eastAsia="宋体" w:cs="宋体"/>
          <w:color w:val="auto"/>
          <w:highlight w:val="none"/>
        </w:rPr>
      </w:pPr>
    </w:p>
    <w:p>
      <w:pPr>
        <w:spacing w:line="360" w:lineRule="auto"/>
        <w:jc w:val="center"/>
        <w:rPr>
          <w:rFonts w:ascii="宋体" w:hAnsi="宋体"/>
          <w:b/>
          <w:color w:val="auto"/>
          <w:spacing w:val="-6"/>
          <w:sz w:val="72"/>
          <w:szCs w:val="72"/>
          <w:highlight w:val="none"/>
        </w:rPr>
      </w:pPr>
      <w:r>
        <w:rPr>
          <w:rFonts w:hint="eastAsia" w:ascii="宋体" w:hAnsi="宋体"/>
          <w:b/>
          <w:color w:val="auto"/>
          <w:spacing w:val="-6"/>
          <w:sz w:val="72"/>
          <w:szCs w:val="72"/>
          <w:highlight w:val="none"/>
        </w:rPr>
        <w:t>竞争性磋商文件</w:t>
      </w: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(电子交易)</w:t>
      </w:r>
    </w:p>
    <w:p>
      <w:pPr>
        <w:pStyle w:val="17"/>
        <w:rPr>
          <w:rFonts w:ascii="宋体" w:hAnsi="宋体" w:eastAsia="宋体" w:cs="宋体"/>
          <w:color w:val="auto"/>
          <w:sz w:val="44"/>
          <w:szCs w:val="44"/>
          <w:highlight w:val="none"/>
        </w:rPr>
      </w:pPr>
    </w:p>
    <w:p>
      <w:pPr>
        <w:pStyle w:val="104"/>
        <w:rPr>
          <w:rFonts w:ascii="宋体" w:hAnsi="宋体" w:cs="宋体"/>
          <w:color w:val="auto"/>
          <w:highlight w:val="none"/>
        </w:rPr>
      </w:pPr>
    </w:p>
    <w:p>
      <w:pPr>
        <w:spacing w:line="360" w:lineRule="auto"/>
        <w:jc w:val="center"/>
        <w:rPr>
          <w:rFonts w:ascii="宋体" w:hAnsi="宋体"/>
          <w:color w:val="auto"/>
          <w:sz w:val="44"/>
          <w:szCs w:val="44"/>
          <w:highlight w:val="none"/>
        </w:rPr>
      </w:pP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项目名称：浙江海洋大学</w:t>
      </w:r>
      <w:r>
        <w:rPr>
          <w:rFonts w:hint="eastAsia" w:ascii="宋体" w:hAnsi="宋体"/>
          <w:b/>
          <w:bCs/>
          <w:color w:val="auto"/>
          <w:sz w:val="32"/>
          <w:szCs w:val="32"/>
          <w:highlight w:val="none"/>
          <w:lang w:eastAsia="zh-CN"/>
        </w:rPr>
        <w:t>新建学生宿舍工程变配电扩容改造项目</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项目编号：</w:t>
      </w:r>
      <w:r>
        <w:rPr>
          <w:rFonts w:hint="eastAsia" w:ascii="宋体" w:hAnsi="宋体"/>
          <w:b/>
          <w:bCs/>
          <w:color w:val="auto"/>
          <w:sz w:val="32"/>
          <w:szCs w:val="32"/>
          <w:highlight w:val="none"/>
          <w:lang w:eastAsia="zh-CN"/>
        </w:rPr>
        <w:t>ZJWS-20250022GC</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 购 人：浙江海洋大学</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采购代理机构：浙江五石中正工程咨询有限公司</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时    间：二〇二</w:t>
      </w:r>
      <w:r>
        <w:rPr>
          <w:rFonts w:hint="eastAsia" w:ascii="宋体" w:hAnsi="宋体"/>
          <w:b/>
          <w:bCs/>
          <w:color w:val="auto"/>
          <w:sz w:val="32"/>
          <w:szCs w:val="32"/>
          <w:highlight w:val="none"/>
          <w:lang w:val="en-US" w:eastAsia="zh-CN"/>
        </w:rPr>
        <w:t>五</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七</w:t>
      </w:r>
      <w:r>
        <w:rPr>
          <w:rFonts w:hint="eastAsia" w:ascii="宋体" w:hAnsi="宋体"/>
          <w:b/>
          <w:bCs/>
          <w:color w:val="auto"/>
          <w:sz w:val="32"/>
          <w:szCs w:val="32"/>
          <w:highlight w:val="none"/>
        </w:rPr>
        <w:t>月</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br w:type="page"/>
      </w:r>
      <w:bookmarkStart w:id="0" w:name="_Hlt67893495"/>
      <w:bookmarkEnd w:id="0"/>
    </w:p>
    <w:p>
      <w:pPr>
        <w:tabs>
          <w:tab w:val="left" w:pos="2268"/>
        </w:tabs>
        <w:spacing w:line="360" w:lineRule="auto"/>
        <w:jc w:val="center"/>
        <w:rPr>
          <w:rFonts w:ascii="宋体" w:hAnsi="宋体" w:cs="仿宋_GB2312"/>
          <w:color w:val="auto"/>
          <w:sz w:val="24"/>
          <w:highlight w:val="none"/>
        </w:rPr>
      </w:pPr>
    </w:p>
    <w:p>
      <w:pPr>
        <w:spacing w:line="360" w:lineRule="auto"/>
        <w:jc w:val="center"/>
        <w:rPr>
          <w:rFonts w:ascii="宋体" w:hAnsi="宋体" w:cs="仿宋_GB2312"/>
          <w:b/>
          <w:color w:val="auto"/>
          <w:sz w:val="48"/>
          <w:szCs w:val="48"/>
          <w:highlight w:val="none"/>
        </w:rPr>
      </w:pPr>
      <w:r>
        <w:rPr>
          <w:rFonts w:hint="eastAsia" w:ascii="宋体" w:hAnsi="宋体" w:cs="仿宋_GB2312"/>
          <w:b/>
          <w:color w:val="auto"/>
          <w:sz w:val="48"/>
          <w:szCs w:val="48"/>
          <w:highlight w:val="none"/>
        </w:rPr>
        <w:t>目  录</w:t>
      </w:r>
    </w:p>
    <w:p>
      <w:pPr>
        <w:spacing w:line="360" w:lineRule="auto"/>
        <w:rPr>
          <w:rFonts w:ascii="宋体" w:hAnsi="宋体" w:cs="仿宋_GB2312"/>
          <w:color w:val="auto"/>
          <w:sz w:val="32"/>
          <w:szCs w:val="32"/>
          <w:highlight w:val="none"/>
        </w:rPr>
      </w:pPr>
    </w:p>
    <w:p>
      <w:pPr>
        <w:spacing w:line="360" w:lineRule="auto"/>
        <w:rPr>
          <w:rFonts w:ascii="宋体" w:hAnsi="宋体" w:cs="仿宋_GB2312"/>
          <w:color w:val="auto"/>
          <w:sz w:val="32"/>
          <w:szCs w:val="32"/>
          <w:highlight w:val="none"/>
        </w:rPr>
      </w:pPr>
    </w:p>
    <w:p>
      <w:pPr>
        <w:pStyle w:val="46"/>
        <w:tabs>
          <w:tab w:val="right" w:leader="dot" w:pos="9070"/>
        </w:tabs>
        <w:spacing w:line="480" w:lineRule="auto"/>
        <w:rPr>
          <w:rFonts w:ascii="宋体" w:hAnsi="宋体" w:cs="宋体"/>
          <w:color w:val="auto"/>
          <w:sz w:val="28"/>
          <w:szCs w:val="28"/>
          <w:highlight w:val="none"/>
        </w:rPr>
      </w:pP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TOC \o "1-1" \h \u </w:instrText>
      </w:r>
      <w:r>
        <w:rPr>
          <w:rFonts w:hint="eastAsia" w:ascii="宋体" w:hAnsi="宋体" w:cs="宋体"/>
          <w:color w:val="auto"/>
          <w:sz w:val="28"/>
          <w:szCs w:val="28"/>
          <w:highlight w:val="none"/>
        </w:rPr>
        <w:fldChar w:fldCharType="separate"/>
      </w:r>
      <w:r>
        <w:rPr>
          <w:color w:val="auto"/>
          <w:highlight w:val="none"/>
        </w:rPr>
        <w:fldChar w:fldCharType="begin"/>
      </w:r>
      <w:r>
        <w:rPr>
          <w:color w:val="auto"/>
          <w:highlight w:val="none"/>
        </w:rPr>
        <w:instrText xml:space="preserve"> HYPERLINK \l "_Toc9773" </w:instrText>
      </w:r>
      <w:r>
        <w:rPr>
          <w:color w:val="auto"/>
          <w:highlight w:val="none"/>
        </w:rPr>
        <w:fldChar w:fldCharType="separate"/>
      </w:r>
      <w:r>
        <w:rPr>
          <w:rFonts w:hint="eastAsia" w:ascii="宋体" w:hAnsi="宋体" w:cs="宋体"/>
          <w:color w:val="auto"/>
          <w:sz w:val="28"/>
          <w:szCs w:val="28"/>
          <w:highlight w:val="none"/>
        </w:rPr>
        <w:t>第一部分  邀请供应商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_Toc9773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"_Toc32115" </w:instrText>
      </w:r>
      <w:r>
        <w:rPr>
          <w:color w:val="auto"/>
          <w:highlight w:val="none"/>
        </w:rPr>
        <w:fldChar w:fldCharType="separate"/>
      </w:r>
      <w:r>
        <w:rPr>
          <w:rFonts w:hint="eastAsia" w:ascii="宋体" w:hAnsi="宋体" w:cs="宋体"/>
          <w:color w:val="auto"/>
          <w:sz w:val="28"/>
          <w:szCs w:val="28"/>
          <w:highlight w:val="none"/>
        </w:rPr>
        <w:t>第二部分  竞争性磋商流程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_Toc32115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"_Toc11575" </w:instrText>
      </w:r>
      <w:r>
        <w:rPr>
          <w:color w:val="auto"/>
          <w:highlight w:val="none"/>
        </w:rPr>
        <w:fldChar w:fldCharType="separate"/>
      </w:r>
      <w:r>
        <w:rPr>
          <w:rFonts w:hint="eastAsia" w:ascii="宋体" w:hAnsi="宋体" w:cs="宋体"/>
          <w:color w:val="auto"/>
          <w:sz w:val="28"/>
          <w:szCs w:val="28"/>
          <w:highlight w:val="none"/>
        </w:rPr>
        <w:t>第三部分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_Toc11575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12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"_Toc10873" </w:instrText>
      </w:r>
      <w:r>
        <w:rPr>
          <w:color w:val="auto"/>
          <w:highlight w:val="none"/>
        </w:rPr>
        <w:fldChar w:fldCharType="separate"/>
      </w:r>
      <w:r>
        <w:rPr>
          <w:rFonts w:hint="eastAsia" w:ascii="宋体" w:hAnsi="宋体" w:cs="宋体"/>
          <w:color w:val="auto"/>
          <w:sz w:val="28"/>
          <w:szCs w:val="28"/>
          <w:highlight w:val="none"/>
        </w:rPr>
        <w:t>第四部分  采购需求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_Toc10873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"_Toc693" </w:instrText>
      </w:r>
      <w:r>
        <w:rPr>
          <w:color w:val="auto"/>
          <w:highlight w:val="none"/>
        </w:rPr>
        <w:fldChar w:fldCharType="separate"/>
      </w:r>
      <w:r>
        <w:rPr>
          <w:rFonts w:hint="eastAsia" w:ascii="宋体" w:hAnsi="宋体" w:cs="宋体"/>
          <w:color w:val="auto"/>
          <w:sz w:val="28"/>
          <w:szCs w:val="28"/>
          <w:highlight w:val="none"/>
        </w:rPr>
        <w:t>第五部分  评审方法及评审标准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_Toc693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"_Toc766" </w:instrText>
      </w:r>
      <w:r>
        <w:rPr>
          <w:color w:val="auto"/>
          <w:highlight w:val="none"/>
        </w:rPr>
        <w:fldChar w:fldCharType="separate"/>
      </w:r>
      <w:r>
        <w:rPr>
          <w:rFonts w:hint="eastAsia" w:ascii="宋体" w:hAnsi="宋体" w:cs="宋体"/>
          <w:color w:val="auto"/>
          <w:sz w:val="28"/>
          <w:szCs w:val="28"/>
          <w:highlight w:val="none"/>
        </w:rPr>
        <w:t>第六部分  拟签订的合同文本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_Toc766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6"/>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第七部分  应提交的有关格式范例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_Toc18446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47</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spacing w:line="480" w:lineRule="auto"/>
        <w:ind w:firstLine="1120" w:firstLineChars="400"/>
        <w:rPr>
          <w:rFonts w:ascii="宋体" w:hAnsi="宋体" w:cs="仿宋_GB2312"/>
          <w:color w:val="auto"/>
          <w:sz w:val="32"/>
          <w:szCs w:val="32"/>
          <w:highlight w:val="none"/>
        </w:rPr>
      </w:pPr>
      <w:r>
        <w:rPr>
          <w:rFonts w:hint="eastAsia" w:ascii="宋体" w:hAnsi="宋体" w:cs="宋体"/>
          <w:color w:val="auto"/>
          <w:sz w:val="28"/>
          <w:szCs w:val="28"/>
          <w:highlight w:val="none"/>
        </w:rPr>
        <w:fldChar w:fldCharType="end"/>
      </w:r>
    </w:p>
    <w:p>
      <w:pPr>
        <w:spacing w:line="360" w:lineRule="auto"/>
        <w:ind w:firstLine="549" w:firstLineChars="229"/>
        <w:rPr>
          <w:rFonts w:ascii="宋体" w:hAnsi="宋体" w:cs="仿宋_GB2312"/>
          <w:color w:val="auto"/>
          <w:sz w:val="24"/>
          <w:highlight w:val="none"/>
        </w:rPr>
      </w:pPr>
      <w:bookmarkStart w:id="1" w:name="_Hlt91233176"/>
      <w:bookmarkEnd w:id="1"/>
      <w:bookmarkStart w:id="2" w:name="_Toc91899869"/>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adjustRightInd/>
        <w:spacing w:line="360" w:lineRule="auto"/>
        <w:jc w:val="center"/>
        <w:outlineLvl w:val="0"/>
        <w:rPr>
          <w:rStyle w:val="552"/>
          <w:color w:val="auto"/>
          <w:highlight w:val="none"/>
        </w:rPr>
      </w:pPr>
      <w:bookmarkStart w:id="3" w:name="第一部分"/>
      <w:r>
        <w:rPr>
          <w:rFonts w:hint="eastAsia" w:ascii="宋体" w:hAnsi="宋体" w:cs="仿宋_GB2312"/>
          <w:b/>
          <w:color w:val="auto"/>
          <w:sz w:val="36"/>
          <w:szCs w:val="36"/>
          <w:highlight w:val="none"/>
        </w:rPr>
        <w:br w:type="page"/>
      </w:r>
      <w:bookmarkEnd w:id="2"/>
      <w:bookmarkEnd w:id="3"/>
      <w:bookmarkStart w:id="4" w:name="_Hlt74707423"/>
      <w:bookmarkEnd w:id="4"/>
      <w:bookmarkStart w:id="5" w:name="_Hlt74728647"/>
      <w:bookmarkEnd w:id="5"/>
      <w:bookmarkStart w:id="6" w:name="_Hlt74729822"/>
      <w:bookmarkEnd w:id="6"/>
      <w:bookmarkStart w:id="7" w:name="_Hlt74649545"/>
      <w:bookmarkEnd w:id="7"/>
      <w:bookmarkStart w:id="8" w:name="_Toc9773"/>
      <w:bookmarkStart w:id="9" w:name="第二部分"/>
      <w:bookmarkStart w:id="10" w:name="_Toc91899870"/>
      <w:bookmarkStart w:id="11" w:name="_Toc91899871"/>
      <w:r>
        <w:rPr>
          <w:rStyle w:val="552"/>
          <w:rFonts w:hint="eastAsia"/>
          <w:color w:val="auto"/>
          <w:highlight w:val="none"/>
        </w:rPr>
        <w:t>第一部分  邀请供应商</w:t>
      </w:r>
      <w:bookmarkEnd w:id="8"/>
    </w:p>
    <w:p>
      <w:pPr>
        <w:adjustRightInd/>
        <w:spacing w:line="360" w:lineRule="auto"/>
        <w:jc w:val="center"/>
        <w:outlineLvl w:val="0"/>
        <w:rPr>
          <w:rFonts w:ascii="宋体" w:hAnsi="宋体" w:cs="仿宋_GB2312"/>
          <w:b/>
          <w:color w:val="auto"/>
          <w:sz w:val="36"/>
          <w:szCs w:val="20"/>
          <w:highlight w:val="none"/>
        </w:rPr>
      </w:pPr>
      <w:bookmarkStart w:id="12" w:name="_Toc4336"/>
      <w:r>
        <w:rPr>
          <w:rFonts w:hint="eastAsia" w:ascii="宋体" w:hAnsi="宋体" w:cs="仿宋_GB2312"/>
          <w:b/>
          <w:color w:val="auto"/>
          <w:sz w:val="36"/>
          <w:szCs w:val="20"/>
          <w:highlight w:val="none"/>
        </w:rPr>
        <w:t>竞争性磋商邀请公告</w:t>
      </w:r>
      <w:bookmarkEnd w:id="12"/>
    </w:p>
    <w:p>
      <w:pPr>
        <w:spacing w:line="360" w:lineRule="auto"/>
        <w:rPr>
          <w:rFonts w:ascii="宋体" w:hAnsi="宋体"/>
          <w:color w:val="auto"/>
          <w:sz w:val="24"/>
          <w:highlight w:val="none"/>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u w:val="single"/>
        </w:rPr>
      </w:pPr>
      <w:r>
        <w:rPr>
          <w:rStyle w:val="69"/>
          <w:rFonts w:hint="eastAsia" w:ascii="宋体" w:hAnsi="宋体" w:eastAsia="宋体" w:cs="宋体"/>
          <w:color w:val="auto"/>
          <w:sz w:val="24"/>
          <w:szCs w:val="24"/>
          <w:highlight w:val="none"/>
          <w:u w:val="single"/>
        </w:rPr>
        <w:t>浙江海洋大学</w:t>
      </w:r>
      <w:r>
        <w:rPr>
          <w:rStyle w:val="69"/>
          <w:rFonts w:hint="eastAsia" w:ascii="宋体" w:hAnsi="宋体" w:eastAsia="宋体" w:cs="宋体"/>
          <w:color w:val="auto"/>
          <w:sz w:val="24"/>
          <w:szCs w:val="24"/>
          <w:highlight w:val="none"/>
          <w:u w:val="single"/>
          <w:lang w:eastAsia="zh-CN"/>
        </w:rPr>
        <w:t>新建学生宿舍工程变配电扩容改造</w:t>
      </w:r>
      <w:r>
        <w:rPr>
          <w:rStyle w:val="69"/>
          <w:rFonts w:hint="eastAsia" w:ascii="宋体" w:hAnsi="宋体" w:eastAsia="宋体" w:cs="宋体"/>
          <w:color w:val="auto"/>
          <w:sz w:val="24"/>
          <w:szCs w:val="24"/>
          <w:highlight w:val="none"/>
          <w:lang w:eastAsia="zh-CN"/>
        </w:rPr>
        <w:t>招标项目</w:t>
      </w:r>
      <w:r>
        <w:rPr>
          <w:rFonts w:hint="eastAsia" w:ascii="宋体" w:hAnsi="宋体" w:cs="宋体"/>
          <w:color w:val="auto"/>
          <w:sz w:val="24"/>
          <w:highlight w:val="none"/>
        </w:rPr>
        <w:t>的潜在供应商应在</w:t>
      </w:r>
      <w:r>
        <w:rPr>
          <w:rFonts w:hint="eastAsia" w:ascii="宋体" w:hAnsi="宋体" w:cs="宋体"/>
          <w:color w:val="auto"/>
          <w:sz w:val="24"/>
          <w:highlight w:val="none"/>
          <w:u w:val="single"/>
        </w:rPr>
        <w:t>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9"/>
          <w:rFonts w:hint="eastAsia" w:ascii="宋体" w:hAnsi="宋体" w:eastAsia="宋体" w:cs="宋体"/>
          <w:color w:val="auto"/>
          <w:sz w:val="24"/>
          <w:szCs w:val="24"/>
          <w:highlight w:val="none"/>
          <w:u w:val="single"/>
        </w:rPr>
        <w:t>https://www.zcygov.cn/</w:t>
      </w:r>
      <w:r>
        <w:rPr>
          <w:rStyle w:val="69"/>
          <w:rFonts w:hint="eastAsia" w:ascii="宋体" w:hAnsi="宋体" w:eastAsia="宋体" w:cs="宋体"/>
          <w:color w:val="auto"/>
          <w:sz w:val="24"/>
          <w:szCs w:val="24"/>
          <w:highlight w:val="none"/>
          <w:u w:val="single"/>
        </w:rPr>
        <w:fldChar w:fldCharType="end"/>
      </w:r>
      <w:r>
        <w:rPr>
          <w:rFonts w:hint="eastAsia" w:ascii="宋体" w:hAnsi="宋体" w:cs="宋体"/>
          <w:color w:val="auto"/>
          <w:sz w:val="24"/>
          <w:highlight w:val="none"/>
          <w:u w:val="single"/>
        </w:rPr>
        <w:t>）</w:t>
      </w:r>
      <w:r>
        <w:rPr>
          <w:rFonts w:hint="eastAsia" w:ascii="宋体" w:hAnsi="宋体" w:cs="宋体"/>
          <w:color w:val="auto"/>
          <w:sz w:val="24"/>
          <w:highlight w:val="none"/>
        </w:rPr>
        <w:t>获取采购文件，并于</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30</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（北京时间）前提交响应文件</w:t>
      </w:r>
      <w:r>
        <w:rPr>
          <w:rFonts w:hint="eastAsia" w:ascii="宋体" w:hAnsi="宋体" w:cs="宋体"/>
          <w:color w:val="auto"/>
          <w:sz w:val="24"/>
          <w:highlight w:val="none"/>
        </w:rPr>
        <w:t>。</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13" w:name="_Toc35393798"/>
      <w:bookmarkStart w:id="14" w:name="_Toc28359089"/>
      <w:bookmarkStart w:id="15" w:name="_Toc35393629"/>
      <w:bookmarkStart w:id="16" w:name="_Toc28359012"/>
      <w:r>
        <w:rPr>
          <w:rFonts w:hint="eastAsia" w:ascii="宋体" w:hAnsi="宋体" w:eastAsia="宋体" w:cs="宋体"/>
          <w:color w:val="auto"/>
          <w:sz w:val="24"/>
          <w:szCs w:val="24"/>
          <w:highlight w:val="none"/>
        </w:rPr>
        <w:t>一、项目基本情况</w:t>
      </w:r>
      <w:bookmarkEnd w:id="13"/>
      <w:bookmarkEnd w:id="14"/>
      <w:bookmarkEnd w:id="15"/>
      <w:bookmarkEnd w:id="16"/>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项目编号：</w:t>
      </w:r>
      <w:r>
        <w:rPr>
          <w:rFonts w:hint="eastAsia" w:ascii="宋体" w:hAnsi="宋体" w:cs="宋体"/>
          <w:color w:val="auto"/>
          <w:sz w:val="24"/>
          <w:highlight w:val="none"/>
          <w:lang w:eastAsia="zh-CN"/>
        </w:rPr>
        <w:t>ZJWS-20250022GC</w:t>
      </w:r>
    </w:p>
    <w:p>
      <w:pPr>
        <w:spacing w:line="360" w:lineRule="auto"/>
        <w:ind w:firstLine="482" w:firstLineChars="200"/>
        <w:rPr>
          <w:rFonts w:ascii="宋体" w:hAnsi="宋体" w:cs="宋体"/>
          <w:color w:val="auto"/>
          <w:sz w:val="24"/>
          <w:highlight w:val="none"/>
          <w:u w:val="single"/>
        </w:rPr>
      </w:pPr>
      <w:r>
        <w:rPr>
          <w:rFonts w:hint="eastAsia" w:ascii="宋体" w:hAnsi="宋体" w:cs="宋体"/>
          <w:b/>
          <w:color w:val="auto"/>
          <w:sz w:val="24"/>
          <w:highlight w:val="none"/>
        </w:rPr>
        <w:t>项目名称：</w:t>
      </w:r>
      <w:r>
        <w:rPr>
          <w:rFonts w:hint="eastAsia" w:ascii="宋体" w:hAnsi="宋体" w:cs="宋体"/>
          <w:color w:val="auto"/>
          <w:sz w:val="24"/>
          <w:highlight w:val="none"/>
        </w:rPr>
        <w:t>浙江海洋大学</w:t>
      </w:r>
      <w:r>
        <w:rPr>
          <w:rFonts w:hint="eastAsia" w:ascii="宋体" w:hAnsi="宋体" w:cs="宋体"/>
          <w:color w:val="auto"/>
          <w:sz w:val="24"/>
          <w:highlight w:val="none"/>
          <w:lang w:eastAsia="zh-CN"/>
        </w:rPr>
        <w:t>新建学生宿舍工程变配电扩容改造项目</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采购方式：</w:t>
      </w:r>
      <w:r>
        <w:rPr>
          <w:rFonts w:hint="eastAsia" w:ascii="宋体" w:hAnsi="宋体" w:cs="宋体"/>
          <w:color w:val="auto"/>
          <w:sz w:val="24"/>
          <w:highlight w:val="none"/>
        </w:rPr>
        <w:t>竞争性磋商</w:t>
      </w:r>
    </w:p>
    <w:p>
      <w:pPr>
        <w:spacing w:line="360" w:lineRule="auto"/>
        <w:ind w:firstLine="482" w:firstLineChars="200"/>
        <w:rPr>
          <w:rFonts w:hint="default" w:ascii="宋体" w:hAnsi="宋体" w:cs="宋体"/>
          <w:b/>
          <w:color w:val="auto"/>
          <w:sz w:val="24"/>
          <w:highlight w:val="none"/>
          <w:lang w:val="en-US"/>
        </w:rPr>
      </w:pPr>
      <w:r>
        <w:rPr>
          <w:rFonts w:hint="eastAsia" w:ascii="宋体" w:hAnsi="宋体" w:cs="宋体"/>
          <w:b/>
          <w:color w:val="auto"/>
          <w:sz w:val="24"/>
          <w:highlight w:val="none"/>
        </w:rPr>
        <w:t>预算金额（元）：</w:t>
      </w:r>
      <w:bookmarkStart w:id="17" w:name="OLE_LINK2"/>
      <w:r>
        <w:rPr>
          <w:rFonts w:hint="eastAsia" w:ascii="宋体" w:hAnsi="宋体" w:eastAsia="宋体" w:cs="宋体"/>
          <w:bCs/>
          <w:color w:val="auto"/>
          <w:kern w:val="2"/>
          <w:sz w:val="24"/>
          <w:szCs w:val="24"/>
          <w:u w:val="none"/>
        </w:rPr>
        <w:t>1988449</w:t>
      </w:r>
      <w:bookmarkEnd w:id="17"/>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最高限价（元）：</w:t>
      </w:r>
      <w:r>
        <w:rPr>
          <w:rFonts w:hint="eastAsia" w:ascii="宋体" w:hAnsi="宋体" w:cs="宋体"/>
          <w:b/>
          <w:color w:val="auto"/>
          <w:sz w:val="24"/>
          <w:highlight w:val="none"/>
          <w:lang w:val="en-US" w:eastAsia="zh-CN"/>
        </w:rPr>
        <w:t>/</w:t>
      </w:r>
    </w:p>
    <w:p>
      <w:pPr>
        <w:spacing w:line="360" w:lineRule="auto"/>
        <w:ind w:firstLine="480" w:firstLineChars="200"/>
        <w:rPr>
          <w:rFonts w:ascii="宋体" w:hAnsi="宋体" w:cs="宋体"/>
          <w:color w:val="auto"/>
          <w:sz w:val="24"/>
          <w:highlight w:val="none"/>
        </w:rPr>
      </w:pPr>
      <w:bookmarkStart w:id="18" w:name="_Toc28359013"/>
      <w:bookmarkStart w:id="19" w:name="_Toc35393630"/>
      <w:bookmarkStart w:id="20" w:name="_Toc35393799"/>
      <w:bookmarkStart w:id="21" w:name="_Toc28359090"/>
      <w:r>
        <w:rPr>
          <w:rFonts w:hint="eastAsia" w:ascii="宋体" w:hAnsi="宋体" w:cs="宋体"/>
          <w:color w:val="auto"/>
          <w:sz w:val="24"/>
          <w:highlight w:val="none"/>
        </w:rPr>
        <w:t>采购需求：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数量：1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预算金额（元）：</w:t>
      </w:r>
      <w:r>
        <w:rPr>
          <w:rFonts w:hint="eastAsia" w:ascii="宋体" w:hAnsi="宋体" w:eastAsia="宋体" w:cs="宋体"/>
          <w:bCs/>
          <w:color w:val="auto"/>
          <w:kern w:val="2"/>
          <w:sz w:val="24"/>
          <w:szCs w:val="24"/>
          <w:u w:val="none"/>
        </w:rPr>
        <w:t>1988449</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单位：项 </w:t>
      </w:r>
    </w:p>
    <w:p>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简要规格描述：</w:t>
      </w:r>
      <w:r>
        <w:rPr>
          <w:rFonts w:hint="eastAsia" w:ascii="宋体" w:hAnsi="宋体" w:eastAsia="宋体" w:cs="宋体"/>
          <w:bCs/>
          <w:color w:val="auto"/>
          <w:kern w:val="2"/>
          <w:sz w:val="24"/>
          <w:szCs w:val="24"/>
          <w:lang w:val="en-US" w:eastAsia="zh-CN" w:bidi="ar-SA"/>
        </w:rPr>
        <w:t>新建学生宿舍工程变配电房位于新城校区田径场</w:t>
      </w:r>
      <w:bookmarkStart w:id="22" w:name="OLE_LINK7"/>
      <w:r>
        <w:rPr>
          <w:rFonts w:hint="eastAsia" w:ascii="宋体" w:hAnsi="宋体" w:eastAsia="宋体" w:cs="宋体"/>
          <w:bCs/>
          <w:color w:val="auto"/>
          <w:kern w:val="2"/>
          <w:sz w:val="24"/>
          <w:szCs w:val="24"/>
          <w:lang w:val="en-US" w:eastAsia="zh-CN" w:bidi="ar-SA"/>
        </w:rPr>
        <w:t>看台一层原101-1室</w:t>
      </w:r>
      <w:bookmarkEnd w:id="22"/>
      <w:r>
        <w:rPr>
          <w:rFonts w:hint="eastAsia" w:ascii="宋体" w:hAnsi="宋体" w:eastAsia="宋体" w:cs="宋体"/>
          <w:bCs/>
          <w:color w:val="auto"/>
          <w:kern w:val="2"/>
          <w:sz w:val="24"/>
          <w:szCs w:val="24"/>
          <w:lang w:val="en-US" w:eastAsia="zh-CN" w:bidi="ar-SA"/>
        </w:rPr>
        <w:t>，拟对该房间及田径场看台5#</w:t>
      </w:r>
      <w:r>
        <w:rPr>
          <w:rFonts w:hint="eastAsia" w:ascii="宋体" w:hAnsi="宋体" w:eastAsia="宋体" w:cs="宋体"/>
          <w:bCs/>
          <w:color w:val="auto"/>
          <w:sz w:val="24"/>
          <w:szCs w:val="24"/>
          <w:lang w:val="en-US" w:eastAsia="zh-CN"/>
        </w:rPr>
        <w:t>配电房</w:t>
      </w:r>
      <w:r>
        <w:rPr>
          <w:rFonts w:hint="eastAsia" w:ascii="宋体" w:hAnsi="宋体" w:eastAsia="宋体" w:cs="宋体"/>
          <w:bCs/>
          <w:color w:val="auto"/>
          <w:kern w:val="2"/>
          <w:sz w:val="24"/>
          <w:szCs w:val="24"/>
          <w:lang w:val="en-US" w:eastAsia="zh-CN" w:bidi="ar-SA"/>
        </w:rPr>
        <w:t>实施配电房改造，包括室内土建电缆沟改造、进出户门改造、室外电缆改造铺设、电力设施设备安装等，建成后满足新建学生宿舍工程电力需求</w:t>
      </w:r>
      <w:r>
        <w:rPr>
          <w:rFonts w:hint="eastAsia" w:ascii="宋体" w:hAnsi="宋体" w:eastAsia="宋体" w:cs="宋体"/>
          <w:b w:val="0"/>
          <w:bCs/>
          <w:color w:val="auto"/>
          <w:kern w:val="2"/>
          <w:sz w:val="24"/>
          <w:szCs w:val="24"/>
          <w:lang w:val="en-US" w:eastAsia="zh-CN"/>
        </w:rPr>
        <w:t>，其中</w:t>
      </w:r>
      <w:bookmarkStart w:id="23" w:name="OLE_LINK4"/>
      <w:r>
        <w:rPr>
          <w:rFonts w:hint="eastAsia" w:ascii="宋体" w:hAnsi="宋体" w:eastAsia="宋体" w:cs="宋体"/>
          <w:b w:val="0"/>
          <w:bCs/>
          <w:color w:val="auto"/>
          <w:kern w:val="2"/>
          <w:sz w:val="24"/>
          <w:szCs w:val="24"/>
          <w:lang w:val="en-US" w:eastAsia="zh-CN"/>
        </w:rPr>
        <w:t>田径场看台5#配电房</w:t>
      </w:r>
      <w:bookmarkEnd w:id="23"/>
      <w:r>
        <w:rPr>
          <w:rFonts w:hint="eastAsia" w:ascii="宋体" w:hAnsi="宋体" w:eastAsia="宋体" w:cs="宋体"/>
          <w:b w:val="0"/>
          <w:bCs/>
          <w:color w:val="auto"/>
          <w:kern w:val="2"/>
          <w:sz w:val="24"/>
          <w:szCs w:val="24"/>
          <w:lang w:val="en-US" w:eastAsia="zh-CN"/>
        </w:rPr>
        <w:t>内增容新设 15 台低压柜,  2台全铜变压器SCB14-1600KVA，看台一层原101-1室增加1台低压柜改造8台低压柜，</w:t>
      </w:r>
      <w:bookmarkStart w:id="24" w:name="OLE_LINK1"/>
      <w:r>
        <w:rPr>
          <w:rFonts w:hint="eastAsia" w:ascii="宋体" w:hAnsi="宋体" w:eastAsia="宋体" w:cs="宋体"/>
          <w:b w:val="0"/>
          <w:bCs/>
          <w:color w:val="auto"/>
          <w:kern w:val="2"/>
          <w:sz w:val="24"/>
          <w:szCs w:val="24"/>
          <w:lang w:val="en-US" w:eastAsia="zh-CN"/>
        </w:rPr>
        <w:t>建成后主要用于保障新建2幢学生宿舍电力需求</w:t>
      </w:r>
      <w:bookmarkEnd w:id="24"/>
      <w:r>
        <w:rPr>
          <w:rFonts w:hint="eastAsia" w:ascii="宋体" w:hAnsi="宋体" w:eastAsia="宋体" w:cs="宋体"/>
          <w:color w:val="auto"/>
          <w:sz w:val="24"/>
          <w:highlight w:val="none"/>
          <w:lang w:val="en-US" w:eastAsia="zh-CN"/>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备注：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合同履约期限：标项1，工期</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本项目（否）接受联合体响应。</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二、申请人的资格要求：</w:t>
      </w:r>
      <w:bookmarkEnd w:id="18"/>
      <w:bookmarkEnd w:id="19"/>
      <w:bookmarkEnd w:id="20"/>
      <w:bookmarkEnd w:id="21"/>
    </w:p>
    <w:p>
      <w:pPr>
        <w:spacing w:line="360" w:lineRule="auto"/>
        <w:ind w:firstLine="48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pPr>
        <w:spacing w:line="360" w:lineRule="auto"/>
        <w:ind w:firstLine="480" w:firstLineChars="200"/>
        <w:rPr>
          <w:rFonts w:hint="eastAsia" w:ascii="宋体" w:hAnsi="宋体" w:eastAsia="宋体" w:cs="宋体"/>
          <w:snapToGrid w:val="0"/>
          <w:color w:val="auto"/>
          <w:kern w:val="28"/>
          <w:sz w:val="24"/>
          <w:highlight w:val="none"/>
        </w:rPr>
      </w:pPr>
      <w:r>
        <w:rPr>
          <w:rFonts w:hint="eastAsia" w:ascii="宋体" w:hAnsi="宋体" w:cs="宋体"/>
          <w:snapToGrid w:val="0"/>
          <w:color w:val="auto"/>
          <w:kern w:val="28"/>
          <w:sz w:val="24"/>
          <w:highlight w:val="none"/>
        </w:rPr>
        <w:t>2.落实政府采购政策需满</w:t>
      </w:r>
      <w:r>
        <w:rPr>
          <w:rFonts w:hint="eastAsia" w:ascii="宋体" w:hAnsi="宋体" w:eastAsia="宋体" w:cs="宋体"/>
          <w:snapToGrid w:val="0"/>
          <w:color w:val="auto"/>
          <w:kern w:val="28"/>
          <w:sz w:val="24"/>
          <w:highlight w:val="none"/>
        </w:rPr>
        <w:t>足的资格要求：</w:t>
      </w:r>
      <w:r>
        <w:rPr>
          <w:rFonts w:hint="eastAsia" w:ascii="宋体" w:hAnsi="宋体" w:cs="宋体"/>
          <w:snapToGrid w:val="0"/>
          <w:color w:val="auto"/>
          <w:kern w:val="28"/>
          <w:sz w:val="24"/>
          <w:highlight w:val="none"/>
          <w:lang w:val="en-US" w:eastAsia="zh-CN"/>
        </w:rPr>
        <w:t>无</w:t>
      </w:r>
      <w:r>
        <w:rPr>
          <w:rFonts w:hint="eastAsia" w:ascii="宋体" w:hAnsi="宋体" w:eastAsia="宋体" w:cs="宋体"/>
          <w:snapToGrid w:val="0"/>
          <w:color w:val="auto"/>
          <w:kern w:val="28"/>
          <w:sz w:val="24"/>
          <w:highlight w:val="none"/>
          <w:lang w:eastAsia="zh-CN"/>
        </w:rPr>
        <w:t>。</w:t>
      </w:r>
    </w:p>
    <w:p>
      <w:pPr>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3.本项目的特定资格要求：</w:t>
      </w:r>
      <w:r>
        <w:rPr>
          <w:rFonts w:hint="eastAsia" w:ascii="宋体" w:hAnsi="宋体" w:cs="宋体"/>
          <w:color w:val="auto"/>
          <w:sz w:val="24"/>
          <w:highlight w:val="none"/>
          <w:lang w:val="en-US" w:eastAsia="zh-CN"/>
        </w:rPr>
        <w:t>具有国家电力监管委员会或其分支机构颁发的承装（修、试）电力设施许可证</w:t>
      </w:r>
      <w:r>
        <w:rPr>
          <w:rFonts w:hint="eastAsia" w:ascii="宋体" w:hAnsi="宋体" w:eastAsia="宋体" w:cs="宋体"/>
          <w:color w:val="auto"/>
          <w:sz w:val="24"/>
          <w:highlight w:val="none"/>
          <w:lang w:eastAsia="zh-CN"/>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5" w:name="_Toc28359091"/>
      <w:bookmarkStart w:id="26" w:name="_Toc35393631"/>
      <w:bookmarkStart w:id="27" w:name="_Toc28359014"/>
      <w:bookmarkStart w:id="28" w:name="_Toc35393800"/>
      <w:r>
        <w:rPr>
          <w:rFonts w:hint="eastAsia" w:ascii="宋体" w:hAnsi="宋体" w:eastAsia="宋体" w:cs="宋体"/>
          <w:color w:val="auto"/>
          <w:sz w:val="24"/>
          <w:szCs w:val="24"/>
          <w:highlight w:val="none"/>
        </w:rPr>
        <w:t>三、获取（下载）采购文件</w:t>
      </w:r>
      <w:bookmarkEnd w:id="25"/>
      <w:bookmarkEnd w:id="26"/>
      <w:bookmarkEnd w:id="27"/>
      <w:bookmarkEnd w:id="28"/>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至</w:t>
      </w:r>
      <w:r>
        <w:rPr>
          <w:rFonts w:hint="eastAsia" w:ascii="宋体" w:hAnsi="宋体" w:cs="宋体"/>
          <w:color w:val="auto"/>
          <w:sz w:val="24"/>
          <w:highlight w:val="none"/>
          <w:lang w:eastAsia="zh-CN"/>
        </w:rPr>
        <w:t>2025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日，每天上午00:00至12:00 ，下午12:00至23:59（北京时间，线上获取法定节假日均可，线下获取文件法定节假日除外）；</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地点（网址）：政采云平台（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9"/>
          <w:rFonts w:hint="eastAsia" w:ascii="宋体" w:hAnsi="宋体" w:eastAsia="宋体" w:cs="宋体"/>
          <w:b/>
          <w:color w:val="auto"/>
          <w:sz w:val="24"/>
          <w:szCs w:val="24"/>
          <w:highlight w:val="none"/>
        </w:rPr>
        <w:t>https://www.zcygov.cn/</w:t>
      </w:r>
      <w:r>
        <w:rPr>
          <w:rStyle w:val="69"/>
          <w:rFonts w:hint="eastAsia" w:ascii="宋体" w:hAnsi="宋体" w:eastAsia="宋体" w:cs="宋体"/>
          <w:b/>
          <w:color w:val="auto"/>
          <w:sz w:val="24"/>
          <w:szCs w:val="24"/>
          <w:highlight w:val="none"/>
        </w:rPr>
        <w:fldChar w:fldCharType="end"/>
      </w:r>
      <w:r>
        <w:rPr>
          <w:rFonts w:hint="eastAsia" w:ascii="宋体" w:hAnsi="宋体" w:cs="宋体"/>
          <w:b/>
          <w:color w:val="auto"/>
          <w:sz w:val="24"/>
          <w:highlight w:val="none"/>
        </w:rPr>
        <w:t>）</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方式：</w:t>
      </w:r>
      <w:r>
        <w:rPr>
          <w:rFonts w:hint="eastAsia" w:ascii="宋体" w:hAnsi="宋体" w:cs="宋体"/>
          <w:color w:val="auto"/>
          <w:sz w:val="24"/>
          <w:highlight w:val="none"/>
        </w:rPr>
        <w:t>供应商登录政采云平台https://www.zcygov.cn/在线申请获取采购文件（进入“项目采购”应用，在获取采购文件菜单中选择项目，申请获取采购文件）。</w:t>
      </w:r>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售价：</w:t>
      </w:r>
      <w:r>
        <w:rPr>
          <w:rFonts w:hint="eastAsia" w:ascii="宋体" w:hAnsi="宋体" w:cs="宋体"/>
          <w:color w:val="auto"/>
          <w:sz w:val="24"/>
          <w:highlight w:val="none"/>
        </w:rPr>
        <w:t>免费。</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9" w:name="_Toc35393632"/>
      <w:bookmarkStart w:id="30" w:name="_Toc28359092"/>
      <w:bookmarkStart w:id="31" w:name="_Toc28359015"/>
      <w:bookmarkStart w:id="32" w:name="_Toc35393801"/>
      <w:r>
        <w:rPr>
          <w:rFonts w:hint="eastAsia" w:ascii="宋体" w:hAnsi="宋体" w:eastAsia="宋体" w:cs="宋体"/>
          <w:color w:val="auto"/>
          <w:sz w:val="24"/>
          <w:szCs w:val="24"/>
          <w:highlight w:val="none"/>
        </w:rPr>
        <w:t>四、响应文件提交</w:t>
      </w:r>
      <w:bookmarkEnd w:id="29"/>
      <w:bookmarkEnd w:id="30"/>
      <w:bookmarkEnd w:id="31"/>
      <w:bookmarkEnd w:id="32"/>
      <w:r>
        <w:rPr>
          <w:rFonts w:hint="eastAsia" w:ascii="宋体" w:hAnsi="宋体" w:eastAsia="宋体" w:cs="宋体"/>
          <w:color w:val="auto"/>
          <w:sz w:val="24"/>
          <w:szCs w:val="24"/>
          <w:highlight w:val="none"/>
        </w:rPr>
        <w:t>（上传）</w:t>
      </w:r>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截止时间：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30</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9"/>
          <w:rFonts w:hint="eastAsia" w:ascii="宋体" w:hAnsi="宋体" w:eastAsia="宋体" w:cs="宋体"/>
          <w:color w:val="auto"/>
          <w:kern w:val="2"/>
          <w:sz w:val="24"/>
          <w:szCs w:val="24"/>
          <w:highlight w:val="none"/>
        </w:rPr>
        <w:t>https://www.zcygov.cn/</w:t>
      </w:r>
      <w:r>
        <w:rPr>
          <w:rStyle w:val="69"/>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3" w:name="_Toc35393802"/>
      <w:bookmarkStart w:id="34" w:name="_Toc35393633"/>
      <w:bookmarkStart w:id="35" w:name="_Toc28359016"/>
      <w:bookmarkStart w:id="36" w:name="_Toc28359093"/>
      <w:r>
        <w:rPr>
          <w:rFonts w:hint="eastAsia" w:ascii="宋体" w:hAnsi="宋体" w:eastAsia="宋体" w:cs="宋体"/>
          <w:color w:val="auto"/>
          <w:sz w:val="24"/>
          <w:szCs w:val="24"/>
          <w:highlight w:val="none"/>
        </w:rPr>
        <w:t>五、响应文件开启</w:t>
      </w:r>
      <w:bookmarkEnd w:id="33"/>
      <w:bookmarkEnd w:id="34"/>
      <w:bookmarkEnd w:id="35"/>
      <w:bookmarkEnd w:id="36"/>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30</w:t>
      </w:r>
      <w:bookmarkStart w:id="90" w:name="_GoBack"/>
      <w:bookmarkEnd w:id="90"/>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9"/>
          <w:rFonts w:hint="eastAsia" w:ascii="宋体" w:hAnsi="宋体" w:eastAsia="宋体" w:cs="宋体"/>
          <w:color w:val="auto"/>
          <w:kern w:val="2"/>
          <w:sz w:val="24"/>
          <w:szCs w:val="24"/>
          <w:highlight w:val="none"/>
        </w:rPr>
        <w:t>https://www.zcygov.cn/</w:t>
      </w:r>
      <w:r>
        <w:rPr>
          <w:rStyle w:val="69"/>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7" w:name="_Toc28359017"/>
      <w:bookmarkStart w:id="38" w:name="_Toc35393634"/>
      <w:bookmarkStart w:id="39" w:name="_Toc35393803"/>
      <w:bookmarkStart w:id="40" w:name="_Toc28359094"/>
      <w:r>
        <w:rPr>
          <w:rFonts w:hint="eastAsia" w:ascii="宋体" w:hAnsi="宋体" w:eastAsia="宋体" w:cs="宋体"/>
          <w:color w:val="auto"/>
          <w:sz w:val="24"/>
          <w:szCs w:val="24"/>
          <w:highlight w:val="none"/>
        </w:rPr>
        <w:t>六、公告期限</w:t>
      </w:r>
      <w:bookmarkEnd w:id="37"/>
      <w:bookmarkEnd w:id="38"/>
      <w:bookmarkEnd w:id="39"/>
      <w:bookmarkEnd w:id="40"/>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自本公告发布之日起3个工作日。</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41" w:name="_Toc35393635"/>
      <w:bookmarkStart w:id="42" w:name="_Toc35393804"/>
      <w:r>
        <w:rPr>
          <w:rFonts w:hint="eastAsia" w:ascii="宋体" w:hAnsi="宋体" w:eastAsia="宋体" w:cs="宋体"/>
          <w:color w:val="auto"/>
          <w:sz w:val="24"/>
          <w:szCs w:val="24"/>
          <w:highlight w:val="none"/>
        </w:rPr>
        <w:t>七、其他补充事宜</w:t>
      </w:r>
      <w:bookmarkEnd w:id="41"/>
      <w:bookmarkEnd w:id="42"/>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4. 其他事项：（1）需要落实的政府采购政策：</w:t>
      </w:r>
      <w:r>
        <w:rPr>
          <w:rFonts w:hint="eastAsia" w:ascii="宋体" w:hAnsi="宋体" w:cs="宋体"/>
          <w:color w:val="auto"/>
          <w:kern w:val="0"/>
          <w:sz w:val="24"/>
          <w:highlight w:val="none"/>
        </w:rPr>
        <w:t>包括节约资源、保护环境、</w:t>
      </w:r>
      <w:r>
        <w:rPr>
          <w:rFonts w:hint="eastAsia" w:ascii="宋体" w:hAnsi="宋体" w:cs="宋体"/>
          <w:color w:val="auto"/>
          <w:sz w:val="24"/>
          <w:highlight w:val="none"/>
        </w:rPr>
        <w:t>支持创新、</w:t>
      </w:r>
      <w:r>
        <w:rPr>
          <w:rFonts w:hint="eastAsia" w:ascii="宋体" w:hAnsi="宋体" w:cs="宋体"/>
          <w:color w:val="auto"/>
          <w:kern w:val="0"/>
          <w:sz w:val="24"/>
          <w:highlight w:val="none"/>
        </w:rPr>
        <w:t>促进中小企业发展等，详见磋商文件第三部分。</w:t>
      </w:r>
      <w:r>
        <w:rPr>
          <w:rFonts w:hint="eastAsia" w:ascii="宋体" w:hAnsi="宋体" w:cs="宋体"/>
          <w:b/>
          <w:color w:val="auto"/>
          <w:kern w:val="0"/>
          <w:sz w:val="24"/>
          <w:highlight w:val="none"/>
        </w:rPr>
        <w:t>（2）</w:t>
      </w:r>
      <w:r>
        <w:rPr>
          <w:rFonts w:hint="eastAsia" w:ascii="宋体" w:hAnsi="宋体" w:cs="宋体"/>
          <w:b/>
          <w:color w:val="auto"/>
          <w:sz w:val="24"/>
          <w:highlight w:val="none"/>
        </w:rPr>
        <w:t>电子交易的说明: 1）电子交易：</w:t>
      </w:r>
      <w:r>
        <w:rPr>
          <w:rFonts w:hint="eastAsia" w:ascii="宋体" w:hAnsi="宋体" w:cs="宋体"/>
          <w:color w:val="auto"/>
          <w:sz w:val="24"/>
          <w:highlight w:val="none"/>
        </w:rPr>
        <w:t>本项目以数据电文形式，依托“政府采购云平台（www.zcygov.cn）”进行采购活动，不接受纸质响应文件。</w:t>
      </w:r>
      <w:r>
        <w:rPr>
          <w:rFonts w:hint="eastAsia" w:ascii="宋体" w:hAnsi="宋体" w:cs="宋体"/>
          <w:b/>
          <w:color w:val="auto"/>
          <w:sz w:val="24"/>
          <w:highlight w:val="none"/>
        </w:rPr>
        <w:t>2）响应准备：</w:t>
      </w:r>
      <w:r>
        <w:rPr>
          <w:rFonts w:hint="eastAsia" w:ascii="宋体" w:hAnsi="宋体" w:cs="宋体"/>
          <w:color w:val="auto"/>
          <w:sz w:val="24"/>
          <w:highlight w:val="none"/>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宋体" w:hAnsi="宋体" w:cs="宋体"/>
          <w:b/>
          <w:color w:val="auto"/>
          <w:sz w:val="24"/>
          <w:highlight w:val="none"/>
        </w:rPr>
        <w:t>3）磋商文件的获取：</w:t>
      </w:r>
      <w:r>
        <w:rPr>
          <w:rFonts w:hint="eastAsia" w:ascii="宋体" w:hAnsi="宋体" w:cs="宋体"/>
          <w:color w:val="auto"/>
          <w:sz w:val="24"/>
          <w:highlight w:val="none"/>
        </w:rPr>
        <w:t>使用账号登录或者使用CA登录政采云平台；进入“项目采购”应用，在获取采购文件菜单中选择项目，获取磋商文件。</w:t>
      </w:r>
      <w:r>
        <w:rPr>
          <w:rFonts w:hint="eastAsia" w:ascii="宋体" w:hAnsi="宋体" w:cs="宋体"/>
          <w:b/>
          <w:color w:val="auto"/>
          <w:sz w:val="24"/>
          <w:highlight w:val="none"/>
        </w:rPr>
        <w:t>4）响应文件的制作：</w:t>
      </w:r>
      <w:r>
        <w:rPr>
          <w:rFonts w:hint="eastAsia" w:ascii="宋体" w:hAnsi="宋体" w:cs="宋体"/>
          <w:color w:val="auto"/>
          <w:sz w:val="24"/>
          <w:highlight w:val="none"/>
        </w:rPr>
        <w:t>在“政采云电子交易客户端”中完成“填写基本信息”、“导入</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”、“标书关联”、“标书检查”、“电子签名”、“生成电子标书”等操作。</w:t>
      </w:r>
      <w:r>
        <w:rPr>
          <w:rFonts w:hint="eastAsia" w:ascii="宋体" w:hAnsi="宋体" w:cs="宋体"/>
          <w:b/>
          <w:color w:val="auto"/>
          <w:sz w:val="24"/>
          <w:highlight w:val="none"/>
        </w:rPr>
        <w:t>5）</w:t>
      </w:r>
      <w:r>
        <w:rPr>
          <w:rFonts w:hint="eastAsia" w:ascii="宋体" w:hAnsi="宋体" w:cs="宋体"/>
          <w:color w:val="auto"/>
          <w:sz w:val="24"/>
          <w:highlight w:val="none"/>
        </w:rPr>
        <w:t>采购人、采购代理机构将依托政采云完成本项目的电子交易活动，平台不接受未按本公告约定方式获取磋商文件的供应商进行响应活动；</w:t>
      </w:r>
      <w:r>
        <w:rPr>
          <w:rFonts w:hint="eastAsia" w:ascii="宋体" w:hAnsi="宋体" w:cs="宋体"/>
          <w:b/>
          <w:color w:val="auto"/>
          <w:sz w:val="24"/>
          <w:highlight w:val="none"/>
        </w:rPr>
        <w:t>6）</w:t>
      </w:r>
      <w:r>
        <w:rPr>
          <w:rFonts w:hint="eastAsia" w:ascii="宋体" w:hAnsi="宋体" w:cs="宋体"/>
          <w:color w:val="auto"/>
          <w:sz w:val="24"/>
          <w:highlight w:val="none"/>
        </w:rPr>
        <w:t>对未按上述方式获取磋商文件的供应商对该文件提出的质疑，采购人或采购代理机构将不予处理</w:t>
      </w:r>
      <w:r>
        <w:rPr>
          <w:rFonts w:hint="eastAsia" w:ascii="宋体" w:hAnsi="宋体" w:cs="宋体"/>
          <w:b/>
          <w:color w:val="auto"/>
          <w:sz w:val="24"/>
          <w:highlight w:val="none"/>
        </w:rPr>
        <w:t>；7）</w:t>
      </w:r>
      <w:r>
        <w:rPr>
          <w:rFonts w:hint="eastAsia" w:ascii="宋体" w:hAnsi="宋体" w:cs="宋体"/>
          <w:color w:val="auto"/>
          <w:sz w:val="24"/>
          <w:highlight w:val="none"/>
        </w:rPr>
        <w:t>不提供磋商文件纸质版；</w:t>
      </w:r>
      <w:r>
        <w:rPr>
          <w:rFonts w:hint="eastAsia" w:ascii="宋体" w:hAnsi="宋体" w:cs="宋体"/>
          <w:b/>
          <w:color w:val="auto"/>
          <w:sz w:val="24"/>
          <w:highlight w:val="none"/>
        </w:rPr>
        <w:t>8）响应文件的传输提交：</w:t>
      </w:r>
      <w:r>
        <w:rPr>
          <w:rFonts w:hint="eastAsia" w:ascii="宋体" w:hAnsi="宋体" w:cs="宋体"/>
          <w:color w:val="auto"/>
          <w:sz w:val="24"/>
          <w:highlight w:val="none"/>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宋体" w:hAnsi="宋体" w:cs="宋体"/>
          <w:b/>
          <w:color w:val="auto"/>
          <w:sz w:val="24"/>
          <w:highlight w:val="none"/>
        </w:rPr>
        <w:t>9）响应文件的解密：</w:t>
      </w:r>
      <w:r>
        <w:rPr>
          <w:rFonts w:hint="eastAsia" w:ascii="宋体" w:hAnsi="宋体" w:cs="宋体"/>
          <w:color w:val="auto"/>
          <w:sz w:val="24"/>
          <w:highlight w:val="none"/>
        </w:rPr>
        <w:t>供应商按照平台提示和磋商文件的规定在半小时内完成在线解密。通过“政府采购云平台”上传递交的响应文件无法按时解密，供应商递交了备份响应文件的，以备份响应文件为依据。通过“政府采购云平台”上传提交的响应文件已按时解密的，备份响应文件自动失效。供应商仅提交备份响应文件，没有在电子交易平台传输提交响应文件的，响应无效；10</w:t>
      </w:r>
      <w:r>
        <w:rPr>
          <w:rFonts w:hint="eastAsia" w:ascii="宋体" w:hAnsi="宋体" w:cs="宋体"/>
          <w:b/>
          <w:color w:val="auto"/>
          <w:sz w:val="24"/>
          <w:highlight w:val="none"/>
        </w:rPr>
        <w:t>）具体操作指南</w:t>
      </w:r>
      <w:r>
        <w:rPr>
          <w:rFonts w:hint="eastAsia" w:ascii="宋体" w:hAnsi="宋体" w:cs="宋体"/>
          <w:color w:val="auto"/>
          <w:sz w:val="24"/>
          <w:highlight w:val="none"/>
        </w:rPr>
        <w:t>：详见政采云平台“服务中心-帮助文档-项目采购-操作流程-电子招投标-政府采购项目电子交易管理操作指南-供应商”。（3）磋商文件公告期限与磋商公告的公告期限一致。</w:t>
      </w:r>
    </w:p>
    <w:p>
      <w:pPr>
        <w:pStyle w:val="4"/>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43" w:name="_Toc28359018"/>
      <w:bookmarkStart w:id="44" w:name="_Toc28359095"/>
      <w:bookmarkStart w:id="45" w:name="_Toc35393805"/>
      <w:bookmarkStart w:id="46" w:name="_Toc35393636"/>
      <w:r>
        <w:rPr>
          <w:rFonts w:hint="eastAsia" w:ascii="宋体" w:hAnsi="宋体" w:eastAsia="宋体" w:cs="宋体"/>
          <w:color w:val="auto"/>
          <w:sz w:val="24"/>
          <w:szCs w:val="24"/>
          <w:highlight w:val="none"/>
        </w:rPr>
        <w:t>八、凡对本次采购提出询问</w:t>
      </w:r>
      <w:r>
        <w:rPr>
          <w:rFonts w:hint="eastAsia" w:ascii="宋体" w:hAnsi="宋体" w:eastAsia="宋体" w:cs="宋体"/>
          <w:bCs w:val="0"/>
          <w:color w:val="auto"/>
          <w:sz w:val="24"/>
          <w:szCs w:val="24"/>
          <w:highlight w:val="none"/>
        </w:rPr>
        <w:t>、质疑、投诉</w:t>
      </w:r>
      <w:r>
        <w:rPr>
          <w:rFonts w:hint="eastAsia" w:ascii="宋体" w:hAnsi="宋体" w:eastAsia="宋体" w:cs="宋体"/>
          <w:color w:val="auto"/>
          <w:sz w:val="24"/>
          <w:szCs w:val="24"/>
          <w:highlight w:val="none"/>
        </w:rPr>
        <w:t>，请按以下方式联系</w:t>
      </w:r>
      <w:bookmarkEnd w:id="43"/>
      <w:bookmarkEnd w:id="44"/>
      <w:bookmarkEnd w:id="45"/>
      <w:bookmarkEnd w:id="46"/>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1.采购人信息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称：浙江海洋大学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址：浙江省舟山市定海区临城街道海大南路1号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真：0580-8180348</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项目联系人（询问）：肖强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项目联系方式（询问）：0580-8180348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质疑联系人：陆老师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质疑联系方式：0580-8180989</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称：浙江五石中正工程咨询有限公司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址：宁波市翠柏路89号宁波工程学院公共培训平台大楼A座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真：0574-87520151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项目联系人（询问）：毕工</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项目联系方式（询问）：0574-83896188、87645885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质疑联系人：</w:t>
      </w:r>
      <w:r>
        <w:rPr>
          <w:rFonts w:hint="eastAsia" w:ascii="宋体" w:hAnsi="宋体" w:eastAsia="宋体" w:cs="宋体"/>
          <w:color w:val="auto"/>
          <w:sz w:val="24"/>
          <w:highlight w:val="none"/>
          <w:lang w:eastAsia="zh-CN"/>
        </w:rPr>
        <w:t>章</w:t>
      </w:r>
      <w:r>
        <w:rPr>
          <w:rFonts w:hint="eastAsia" w:ascii="宋体" w:hAnsi="宋体" w:eastAsia="宋体" w:cs="宋体"/>
          <w:color w:val="auto"/>
          <w:sz w:val="24"/>
          <w:highlight w:val="none"/>
        </w:rPr>
        <w:t>工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质疑联系方式：0574-87208097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3.同级政府采购监督管理部门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名    称：浙江省政府采购行政裁决服务中心（杭州市上城区清泰街549号城建综合大楼11楼）</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址：杭州市上城区清泰街549号城建综合大楼11楼</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 系 人：匡老师</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监督投诉电话：0571-87807798</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若对项目采购电子交易系统操作有疑问，可登录政采云（https://www.zcygov.cn/），点击右侧咨询小采，获取采小蜜智能服务管家帮助，或拨打政采云服务热线95763获取热线服务帮助。        </w:t>
      </w:r>
    </w:p>
    <w:p>
      <w:pPr>
        <w:spacing w:line="360" w:lineRule="auto"/>
        <w:ind w:firstLine="480" w:firstLineChars="200"/>
        <w:rPr>
          <w:rFonts w:ascii="宋体" w:hAnsi="宋体" w:cs="仿宋_GB2312"/>
          <w:b/>
          <w:color w:val="auto"/>
          <w:sz w:val="36"/>
          <w:szCs w:val="20"/>
          <w:highlight w:val="none"/>
        </w:rPr>
      </w:pPr>
      <w:r>
        <w:rPr>
          <w:rFonts w:hint="eastAsia" w:ascii="宋体" w:hAnsi="宋体" w:cs="宋体"/>
          <w:color w:val="auto"/>
          <w:sz w:val="24"/>
          <w:highlight w:val="none"/>
        </w:rPr>
        <w:t>CA问题联系电话（人工）：汇信CA 400-888-4636；天谷CA 400-087-8198。</w:t>
      </w:r>
      <w:r>
        <w:rPr>
          <w:rFonts w:hint="eastAsia" w:ascii="宋体" w:hAnsi="宋体" w:cs="仿宋_GB2312"/>
          <w:b/>
          <w:color w:val="auto"/>
          <w:sz w:val="36"/>
          <w:szCs w:val="20"/>
          <w:highlight w:val="none"/>
        </w:rPr>
        <w:br w:type="page"/>
      </w:r>
    </w:p>
    <w:p>
      <w:pPr>
        <w:adjustRightInd/>
        <w:spacing w:line="360" w:lineRule="auto"/>
        <w:jc w:val="center"/>
        <w:outlineLvl w:val="0"/>
        <w:rPr>
          <w:rStyle w:val="552"/>
          <w:color w:val="auto"/>
          <w:highlight w:val="none"/>
        </w:rPr>
      </w:pPr>
      <w:bookmarkStart w:id="47" w:name="_Toc32115"/>
      <w:r>
        <w:rPr>
          <w:rStyle w:val="552"/>
          <w:rFonts w:hint="eastAsia"/>
          <w:color w:val="auto"/>
          <w:highlight w:val="none"/>
        </w:rPr>
        <w:t>第二部分 竞争性磋商流程</w:t>
      </w:r>
      <w:bookmarkEnd w:id="47"/>
    </w:p>
    <w:p>
      <w:pPr>
        <w:pStyle w:val="397"/>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1.征集供应商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1.1邀请供应商。</w:t>
      </w:r>
    </w:p>
    <w:p>
      <w:pPr>
        <w:pStyle w:val="397"/>
        <w:numPr>
          <w:ilvl w:val="0"/>
          <w:numId w:val="7"/>
        </w:numPr>
        <w:spacing w:before="0"/>
        <w:ind w:firstLineChars="0"/>
        <w:rPr>
          <w:rFonts w:ascii="宋体" w:hAnsi="宋体" w:cs="宋体"/>
          <w:color w:val="auto"/>
          <w:szCs w:val="24"/>
          <w:highlight w:val="none"/>
        </w:rPr>
      </w:pPr>
      <w:r>
        <w:rPr>
          <w:rFonts w:hint="eastAsia" w:ascii="宋体" w:hAnsi="宋体" w:cs="宋体"/>
          <w:b/>
          <w:color w:val="auto"/>
          <w:szCs w:val="24"/>
          <w:highlight w:val="none"/>
        </w:rPr>
        <w:t>采用公告方式邀请供应商的，</w:t>
      </w:r>
      <w:r>
        <w:rPr>
          <w:rFonts w:hint="eastAsia" w:ascii="宋体" w:hAnsi="宋体" w:cs="宋体"/>
          <w:color w:val="auto"/>
          <w:szCs w:val="24"/>
          <w:highlight w:val="none"/>
        </w:rPr>
        <w:t>由采购人、采购代理机构在省级以上人民政府财政部门指定的政府采购信息发布媒体上发布磋商公告，邀请符合相应资格条件的供应商参与竞争性磋商采购活动。</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1.2供应商获取磋商文件。</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1.3</w:t>
      </w:r>
      <w:r>
        <w:rPr>
          <w:rFonts w:hint="eastAsia" w:ascii="宋体" w:hAnsi="宋体" w:cs="宋体"/>
          <w:color w:val="auto"/>
          <w:szCs w:val="24"/>
          <w:highlight w:val="none"/>
          <w:lang w:val="en-US" w:eastAsia="zh-CN"/>
        </w:rPr>
        <w:t>采购人自行</w:t>
      </w:r>
      <w:r>
        <w:rPr>
          <w:rFonts w:hint="eastAsia" w:ascii="宋体" w:hAnsi="宋体" w:cs="宋体"/>
          <w:color w:val="auto"/>
          <w:szCs w:val="24"/>
          <w:highlight w:val="none"/>
        </w:rPr>
        <w:t>或召开答疑会（如果有）。</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1.4发布更正（延期）公告，澄清或修改磋商文件（如果有）。</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1.5供应商按磋商文件要求编制响应文件。</w:t>
      </w:r>
    </w:p>
    <w:p>
      <w:pPr>
        <w:pStyle w:val="397"/>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2.响应文件开启与信用信息查询</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2.1供应商依据“提交响应文件的截止时间与地点”通过政采云平台在线提交响应文件。供应商在提交响应文件的截止时间前，可以补充、修改或撤回响应文件。</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2.2</w:t>
      </w:r>
      <w:r>
        <w:rPr>
          <w:rFonts w:hint="eastAsia" w:ascii="宋体" w:hAnsi="宋体" w:cs="宋体"/>
          <w:color w:val="auto"/>
          <w:kern w:val="0"/>
          <w:szCs w:val="24"/>
          <w:highlight w:val="none"/>
        </w:rPr>
        <w:t>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9"/>
          <w:rFonts w:hint="eastAsia" w:ascii="宋体" w:hAnsi="宋体" w:eastAsia="宋体" w:cs="宋体"/>
          <w:snapToGrid/>
          <w:color w:val="auto"/>
          <w:sz w:val="24"/>
          <w:szCs w:val="24"/>
          <w:highlight w:val="none"/>
        </w:rPr>
        <w:t>www.creditchina.gov.cn</w:t>
      </w:r>
      <w:r>
        <w:rPr>
          <w:rStyle w:val="69"/>
          <w:rFonts w:hint="eastAsia" w:ascii="宋体" w:hAnsi="宋体" w:eastAsia="宋体" w:cs="宋体"/>
          <w:snapToGrid/>
          <w:color w:val="auto"/>
          <w:sz w:val="24"/>
          <w:szCs w:val="24"/>
          <w:highlight w:val="none"/>
        </w:rPr>
        <w:fldChar w:fldCharType="end"/>
      </w:r>
      <w:r>
        <w:rPr>
          <w:rFonts w:hint="eastAsia" w:ascii="宋体" w:hAnsi="宋体" w:cs="宋体"/>
          <w:color w:val="auto"/>
          <w:kern w:val="0"/>
          <w:szCs w:val="24"/>
          <w:highlight w:val="none"/>
        </w:rPr>
        <w:t>)和中国政府采购网(www.ccgp.gov.cn)渠道查询供应商响应截止时间当日的信用记录。</w:t>
      </w:r>
    </w:p>
    <w:p>
      <w:pPr>
        <w:pStyle w:val="397"/>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3.磋商与评审</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3.1磋商小组签到。</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3.2采购代理机构宣布有关纪律以及磋商、评审工作程序。</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3.3磋商小组审查确认磋商文件。磋商文件内容违反国家有关强制性规定的，磋商小组应当停止评审并向采购代理机构说明情况。</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3.4</w:t>
      </w:r>
      <w:r>
        <w:rPr>
          <w:rFonts w:hint="eastAsia" w:ascii="宋体" w:hAnsi="宋体" w:cs="宋体"/>
          <w:color w:val="auto"/>
          <w:szCs w:val="24"/>
          <w:highlight w:val="none"/>
          <w:lang w:eastAsia="zh-CN"/>
        </w:rPr>
        <w:t>采购人或代理机构</w:t>
      </w:r>
      <w:r>
        <w:rPr>
          <w:rFonts w:hint="eastAsia" w:ascii="宋体" w:hAnsi="宋体" w:cs="宋体"/>
          <w:color w:val="auto"/>
          <w:szCs w:val="24"/>
          <w:highlight w:val="none"/>
        </w:rPr>
        <w:t>对供应商的资格进行审查。</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3.5磋商小组审查响应文件。</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3.6对于未实质性响应磋商文件的响应文件由磋商小组认定响应无效，并告知该供应商。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3.7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更正不得超出响应文件的范围或者改变响应文件的实质性内容。</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3.8磋商小组与符合要求的供应商进行磋商。磋商小组所有成员按照响应文件解密次序集中与单一供应商分别进行磋商，并给予所有参加磋商的供应商平等的磋商机会。磋商过程中，磋商小组可以根据磋商情况调整轮次。</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3.9经磋商确定磋商文件的变动情况。对磋商文件作出的实质性变动是磋商文件的有效组成部分，磋商小组应当及时以书面形式同时通知所有参加磋商的供应商。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3.10 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3.11磋商小组按照下列方式确定提交最后报价的供应商，有特殊规定的从其规定：</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磋商文件能够详细列明采购标的的技术、服务要求的，磋商结束后，磋商小组应当要求所有实质性响应的供应商在规定时间内在电子交易平台提交最后报价，提交最后报价的供应商不得少于3家。</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3.12确定进入最后报价的供应商在规定时间内提交最后报价。</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3.13采购代理机构唱价。</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3.14由磋商小组根据磋商文件确定的评审办法及评审标准对提交最后报价的供应商的响应文件和最后报价进行综合评分。磋商小组各成员应当独立对每个有效响应的文件进行评价、打分，然后汇总每个供应商每项评分因素的得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3.15磋商小组应当根据综合评分情况，按照评审得分由高到低顺序推荐3名以上成交候选供应商，并编写评审报告。</w:t>
      </w:r>
    </w:p>
    <w:p>
      <w:pPr>
        <w:pStyle w:val="397"/>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4. 成交</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4.1政府采购项目实行全流程电子化，评审报告送交、采购结果确定和结果公告均在线完成。采购代理机构应当依法及时将评审报告在线送交采购人确认。采购人应当在收到评审报告后2个工作日内，从评审报告提出的成交候选供应商中，按照排序由高到低的原则确定成交供应商，采购人也可以书面授权磋商小组直接确定成交供应商。</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4.2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pPr>
        <w:pStyle w:val="397"/>
        <w:spacing w:before="0"/>
        <w:ind w:firstLine="0" w:firstLineChars="0"/>
        <w:rPr>
          <w:rFonts w:ascii="宋体" w:hAnsi="宋体" w:cs="宋体"/>
          <w:color w:val="auto"/>
          <w:kern w:val="0"/>
          <w:szCs w:val="24"/>
          <w:highlight w:val="none"/>
        </w:rPr>
      </w:pPr>
      <w:r>
        <w:rPr>
          <w:rFonts w:hint="eastAsia" w:ascii="宋体" w:hAnsi="宋体" w:cs="宋体"/>
          <w:b/>
          <w:color w:val="auto"/>
          <w:szCs w:val="24"/>
          <w:highlight w:val="none"/>
        </w:rPr>
        <w:t>5.合同及履约验收</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5.1采购人与成交供应商应当在成交通知书发出之日起30日内签订政府采购合同。</w:t>
      </w:r>
    </w:p>
    <w:p>
      <w:pPr>
        <w:tabs>
          <w:tab w:val="left" w:pos="0"/>
        </w:tabs>
        <w:spacing w:line="360" w:lineRule="auto"/>
        <w:ind w:firstLine="482"/>
        <w:rPr>
          <w:rFonts w:ascii="宋体" w:hAnsi="宋体" w:cs="宋体"/>
          <w:color w:val="auto"/>
          <w:sz w:val="24"/>
          <w:highlight w:val="none"/>
        </w:rPr>
      </w:pPr>
      <w:r>
        <w:rPr>
          <w:rFonts w:hint="eastAsia" w:ascii="宋体" w:hAnsi="宋体" w:cs="宋体"/>
          <w:color w:val="auto"/>
          <w:sz w:val="24"/>
          <w:highlight w:val="none"/>
        </w:rPr>
        <w:t>5.2</w:t>
      </w:r>
      <w:r>
        <w:rPr>
          <w:rFonts w:hint="eastAsia" w:ascii="宋体" w:hAnsi="宋体" w:cs="宋体"/>
          <w:color w:val="auto"/>
          <w:szCs w:val="24"/>
          <w:highlight w:val="none"/>
        </w:rPr>
        <w:t>合同履约。</w:t>
      </w:r>
    </w:p>
    <w:p>
      <w:pPr>
        <w:pStyle w:val="397"/>
        <w:spacing w:before="0"/>
        <w:ind w:firstLine="480"/>
        <w:rPr>
          <w:rFonts w:ascii="宋体" w:hAnsi="宋体" w:cs="宋体"/>
          <w:color w:val="auto"/>
          <w:szCs w:val="24"/>
          <w:highlight w:val="none"/>
        </w:rPr>
      </w:pPr>
      <w:r>
        <w:rPr>
          <w:rFonts w:hint="eastAsia" w:ascii="宋体" w:hAnsi="宋体" w:cs="宋体"/>
          <w:color w:val="auto"/>
          <w:szCs w:val="24"/>
          <w:highlight w:val="none"/>
        </w:rPr>
        <w:t>5.3采购人组织验收。</w:t>
      </w:r>
    </w:p>
    <w:p>
      <w:pPr>
        <w:widowControl/>
        <w:adjustRightInd/>
        <w:spacing w:line="360" w:lineRule="auto"/>
        <w:jc w:val="left"/>
        <w:rPr>
          <w:rFonts w:ascii="宋体" w:hAnsi="宋体" w:cs="宋体"/>
          <w:b/>
          <w:color w:val="auto"/>
          <w:sz w:val="24"/>
          <w:highlight w:val="none"/>
        </w:rPr>
      </w:pPr>
      <w:r>
        <w:rPr>
          <w:rFonts w:hint="eastAsia" w:ascii="宋体" w:hAnsi="宋体" w:cs="宋体"/>
          <w:b/>
          <w:color w:val="auto"/>
          <w:sz w:val="24"/>
          <w:highlight w:val="none"/>
        </w:rPr>
        <w:br w:type="page"/>
      </w:r>
    </w:p>
    <w:p>
      <w:pPr>
        <w:pStyle w:val="397"/>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6.竞争性磋商流程图</w:t>
      </w:r>
    </w:p>
    <w:p>
      <w:pPr>
        <w:pStyle w:val="397"/>
        <w:spacing w:before="0"/>
        <w:ind w:firstLine="0" w:firstLineChars="0"/>
        <w:rPr>
          <w:rFonts w:ascii="宋体" w:hAnsi="宋体"/>
          <w:b/>
          <w:color w:val="auto"/>
          <w:highlight w:val="none"/>
        </w:rPr>
      </w:pPr>
    </w:p>
    <w:p>
      <w:pPr>
        <w:widowControl/>
        <w:adjustRightInd/>
        <w:jc w:val="left"/>
        <w:rPr>
          <w:rFonts w:ascii="宋体" w:hAnsi="宋体"/>
          <w:color w:val="auto"/>
          <w:sz w:val="24"/>
          <w:highlight w:val="none"/>
        </w:rPr>
      </w:pPr>
      <w:r>
        <w:rPr>
          <w:rFonts w:hint="eastAsia" w:ascii="宋体" w:hAnsi="宋体"/>
          <w:color w:val="auto"/>
          <w:sz w:val="24"/>
          <w:highlight w:val="none"/>
        </w:rPr>
        <w:t xml:space="preserve">  </w:t>
      </w:r>
    </w:p>
    <w:p>
      <w:pPr>
        <w:widowControl/>
        <w:adjustRightInd/>
        <w:jc w:val="left"/>
        <w:rPr>
          <w:rFonts w:ascii="宋体" w:hAnsi="宋体" w:cs="仿宋_GB2312"/>
          <w:b/>
          <w:color w:val="auto"/>
          <w:sz w:val="36"/>
          <w:szCs w:val="20"/>
          <w:highlight w:val="none"/>
        </w:rPr>
      </w:pPr>
      <w:r>
        <w:rPr>
          <w:rFonts w:ascii="宋体" w:hAnsi="宋体" w:cs="仿宋_GB2312"/>
          <w:b/>
          <w:color w:val="auto"/>
          <w:sz w:val="36"/>
          <w:szCs w:val="20"/>
          <w:highlight w:val="none"/>
        </w:rPr>
        <mc:AlternateContent>
          <mc:Choice Requires="wps">
            <w:drawing>
              <wp:anchor distT="0" distB="0" distL="0" distR="0" simplePos="0" relativeHeight="251659264" behindDoc="0" locked="0" layoutInCell="1" allowOverlap="1">
                <wp:simplePos x="0" y="0"/>
                <wp:positionH relativeFrom="column">
                  <wp:posOffset>1665605</wp:posOffset>
                </wp:positionH>
                <wp:positionV relativeFrom="paragraph">
                  <wp:posOffset>5859145</wp:posOffset>
                </wp:positionV>
                <wp:extent cx="492125" cy="261620"/>
                <wp:effectExtent l="0" t="0" r="22225" b="24130"/>
                <wp:wrapNone/>
                <wp:docPr id="1027" name="文本框 2"/>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131.15pt;margin-top:461.35pt;height:20.6pt;width:38.75pt;z-index:251659264;mso-width-relative:page;mso-height-relative:page;" fillcolor="#DBEEF3" filled="t" stroked="t" coordsize="21600,21600" o:gfxdata="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Y&#10;mSzXAAAACwEAAA8AAAAAAAAAAQAgAAAAIgAAAGRycy9kb3ducmV2LnhtbFBLAQIUABQAAAAIAIdO&#10;4kAP04w7JAIAAEcEAAAOAAAAAAAAAAEAIAAAACY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0288" behindDoc="0" locked="0" layoutInCell="1" allowOverlap="1">
                <wp:simplePos x="0" y="0"/>
                <wp:positionH relativeFrom="column">
                  <wp:posOffset>1898650</wp:posOffset>
                </wp:positionH>
                <wp:positionV relativeFrom="paragraph">
                  <wp:posOffset>5595620</wp:posOffset>
                </wp:positionV>
                <wp:extent cx="0" cy="262255"/>
                <wp:effectExtent l="95250" t="0" r="57150" b="61594"/>
                <wp:wrapNone/>
                <wp:docPr id="1028" name="直接箭头连接符 3"/>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3" o:spid="_x0000_s1026" o:spt="32" type="#_x0000_t32" style="position:absolute;left:0pt;margin-left:149.5pt;margin-top:440.6pt;height:20.65pt;width:0pt;z-index:251660288;mso-width-relative:page;mso-height-relative:page;" filled="f" stroked="t" coordsize="21600,21600" o:gfxdata="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Fopu1gAAAAsBAAAPAAAAAAAAAAEAIAAAACIAAABkcnMvZG93bnJldi54bWxQSwECFAAUAAAA&#10;CACHTuJAPAAPO/ABAACr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1312" behindDoc="0" locked="0" layoutInCell="1" allowOverlap="1">
                <wp:simplePos x="0" y="0"/>
                <wp:positionH relativeFrom="column">
                  <wp:posOffset>1663700</wp:posOffset>
                </wp:positionH>
                <wp:positionV relativeFrom="paragraph">
                  <wp:posOffset>5332095</wp:posOffset>
                </wp:positionV>
                <wp:extent cx="492125" cy="261620"/>
                <wp:effectExtent l="0" t="0" r="22225" b="24130"/>
                <wp:wrapNone/>
                <wp:docPr id="1029" name="文本框 9"/>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9" o:spid="_x0000_s1026" o:spt="1" style="position:absolute;left:0pt;margin-left:131pt;margin-top:419.85pt;height:20.6pt;width:38.75pt;z-index:251661312;mso-width-relative:page;mso-height-relative:page;" fillcolor="#DBEEF3" filled="t" stroked="t" coordsize="21600,21600" o:gfxdata="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FT&#10;BNbYAAAACwEAAA8AAAAAAAAAAQAgAAAAIgAAAGRycy9kb3ducmV2LnhtbFBLAQIUABQAAAAIAIdO&#10;4kCImn3nIwIAAEcEAAAOAAAAAAAAAAEAIAAAACc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2336" behindDoc="0" locked="0" layoutInCell="1" allowOverlap="1">
                <wp:simplePos x="0" y="0"/>
                <wp:positionH relativeFrom="column">
                  <wp:posOffset>1380490</wp:posOffset>
                </wp:positionH>
                <wp:positionV relativeFrom="paragraph">
                  <wp:posOffset>4802505</wp:posOffset>
                </wp:positionV>
                <wp:extent cx="1072515" cy="262255"/>
                <wp:effectExtent l="0" t="0" r="13334" b="23495"/>
                <wp:wrapNone/>
                <wp:docPr id="1030" name="文本框 10"/>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0" o:spid="_x0000_s1026" o:spt="1" style="position:absolute;left:0pt;margin-left:108.7pt;margin-top:378.15pt;height:20.65pt;width:84.45pt;z-index:251662336;mso-width-relative:page;mso-height-relative:page;" fillcolor="#DBEEF3" filled="t" stroked="t" coordsize="21600,21600" o:gfxdata="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04Oi&#10;1wAAAAsBAAAPAAAAAAAAAAEAIAAAACIAAABkcnMvZG93bnJldi54bWxQSwECFAAUAAAACACHTuJA&#10;AZvLmyICAABJBAAADgAAAAAAAAABACAAAAAm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3360" behindDoc="0" locked="0" layoutInCell="1" allowOverlap="1">
                <wp:simplePos x="0" y="0"/>
                <wp:positionH relativeFrom="column">
                  <wp:posOffset>1159510</wp:posOffset>
                </wp:positionH>
                <wp:positionV relativeFrom="paragraph">
                  <wp:posOffset>4292600</wp:posOffset>
                </wp:positionV>
                <wp:extent cx="1581785" cy="261620"/>
                <wp:effectExtent l="0" t="0" r="18415" b="24130"/>
                <wp:wrapNone/>
                <wp:docPr id="1031" name="文本框 11"/>
                <wp:cNvGraphicFramePr/>
                <a:graphic xmlns:a="http://schemas.openxmlformats.org/drawingml/2006/main">
                  <a:graphicData uri="http://schemas.microsoft.com/office/word/2010/wordprocessingShape">
                    <wps:wsp>
                      <wps:cNvSpPr/>
                      <wps:spPr>
                        <a:xfrm>
                          <a:off x="0" y="0"/>
                          <a:ext cx="158178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1" o:spid="_x0000_s1026" o:spt="1" style="position:absolute;left:0pt;margin-left:91.3pt;margin-top:338pt;height:20.6pt;width:124.55pt;z-index:251663360;mso-width-relative:page;mso-height-relative:page;" fillcolor="#DBEEF3" filled="t" stroked="t" coordsize="21600,21600" o:gfxdata="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3VYP1wAAAAsBAAAPAAAAAAAAAAEAIAAAACIAAABkcnMvZG93bnJldi54bWxQSwECFAAUAAAACACH&#10;TuJAyKWsWyUCAABJBAAADgAAAAAAAAABACAAAAAmAQAAZHJzL2Uyb0RvYy54bWxQSwUGAAAAAAYA&#10;BgBZAQAAvQUAAAAA&#10;">
                <v:fill on="t" focussize="0,0"/>
                <v:stroke weight="0.5pt" color="#000000" joinstyle="round"/>
                <v:imagedata o:title=""/>
                <o:lock v:ext="edit" aspectratio="f"/>
                <v:textbo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4384" behindDoc="0" locked="0" layoutInCell="1" allowOverlap="1">
                <wp:simplePos x="0" y="0"/>
                <wp:positionH relativeFrom="column">
                  <wp:posOffset>1383665</wp:posOffset>
                </wp:positionH>
                <wp:positionV relativeFrom="paragraph">
                  <wp:posOffset>3750310</wp:posOffset>
                </wp:positionV>
                <wp:extent cx="1072515" cy="262255"/>
                <wp:effectExtent l="0" t="0" r="13334" b="23495"/>
                <wp:wrapNone/>
                <wp:docPr id="1032" name="文本框 12"/>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2" o:spid="_x0000_s1026" o:spt="1" style="position:absolute;left:0pt;margin-left:108.95pt;margin-top:295.3pt;height:20.65pt;width:84.45pt;z-index:251664384;mso-width-relative:page;mso-height-relative:page;" fillcolor="#DBEEF3" filled="t" stroked="t" coordsize="21600,21600" o:gfxdata="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d&#10;ZGWn2AAAAAsBAAAPAAAAAAAAAAEAIAAAACIAAABkcnMvZG93bnJldi54bWxQSwECFAAUAAAACACH&#10;TuJAPxhbtiQCAABJBAAADgAAAAAAAAABACAAAAAnAQAAZHJzL2Uyb0RvYy54bWxQSwUGAAAAAAYA&#10;BgBZAQAAvQUAAAAA&#10;">
                <v:fill on="t" focussize="0,0"/>
                <v:stroke weight="0.5pt" color="#000000" joinstyle="round"/>
                <v:imagedata o:title=""/>
                <o:lock v:ext="edit" aspectratio="f"/>
                <v:textbo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5408" behindDoc="0" locked="0" layoutInCell="1" allowOverlap="1">
                <wp:simplePos x="0" y="0"/>
                <wp:positionH relativeFrom="column">
                  <wp:posOffset>1398905</wp:posOffset>
                </wp:positionH>
                <wp:positionV relativeFrom="paragraph">
                  <wp:posOffset>3225800</wp:posOffset>
                </wp:positionV>
                <wp:extent cx="1073150" cy="262255"/>
                <wp:effectExtent l="0" t="0" r="12700" b="23495"/>
                <wp:wrapNone/>
                <wp:docPr id="1033" name="文本框 13"/>
                <wp:cNvGraphicFramePr/>
                <a:graphic xmlns:a="http://schemas.openxmlformats.org/drawingml/2006/main">
                  <a:graphicData uri="http://schemas.microsoft.com/office/word/2010/wordprocessingShape">
                    <wps:wsp>
                      <wps:cNvSpPr/>
                      <wps:spPr>
                        <a:xfrm>
                          <a:off x="0" y="0"/>
                          <a:ext cx="1073150"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3" o:spid="_x0000_s1026" o:spt="1" style="position:absolute;left:0pt;margin-left:110.15pt;margin-top:254pt;height:20.65pt;width:84.5pt;z-index:251665408;mso-width-relative:page;mso-height-relative:page;" fillcolor="#DBEEF3" filled="t" stroked="t" coordsize="21600,21600" o:gfxdata="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d&#10;/yTXAAAACwEAAA8AAAAAAAAAAQAgAAAAIgAAAGRycy9kb3ducmV2LnhtbFBLAQIUABQAAAAIAIdO&#10;4kDMbdGpJAIAAEkEAAAOAAAAAAAAAAEAIAAAACYBAABkcnMvZTJvRG9jLnhtbFBLBQYAAAAABgAG&#10;AFkBAAC8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6432" behindDoc="0" locked="0" layoutInCell="1" allowOverlap="1">
                <wp:simplePos x="0" y="0"/>
                <wp:positionH relativeFrom="column">
                  <wp:posOffset>1247140</wp:posOffset>
                </wp:positionH>
                <wp:positionV relativeFrom="paragraph">
                  <wp:posOffset>2703830</wp:posOffset>
                </wp:positionV>
                <wp:extent cx="1453515" cy="261620"/>
                <wp:effectExtent l="0" t="0" r="13334" b="24130"/>
                <wp:wrapNone/>
                <wp:docPr id="1034" name="文本框 14"/>
                <wp:cNvGraphicFramePr/>
                <a:graphic xmlns:a="http://schemas.openxmlformats.org/drawingml/2006/main">
                  <a:graphicData uri="http://schemas.microsoft.com/office/word/2010/wordprocessingShape">
                    <wps:wsp>
                      <wps:cNvSpPr/>
                      <wps:spPr>
                        <a:xfrm>
                          <a:off x="0" y="0"/>
                          <a:ext cx="145351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4" o:spid="_x0000_s1026" o:spt="1" style="position:absolute;left:0pt;margin-left:98.2pt;margin-top:212.9pt;height:20.6pt;width:114.45pt;z-index:251666432;mso-width-relative:page;mso-height-relative:page;" fillcolor="#DBEEF3" filled="t" stroked="t" coordsize="21600,21600" o:gfxdata="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dl5&#10;QdUAAAALAQAADwAAAAAAAAABACAAAAAiAAAAZHJzL2Rvd25yZXYueG1sUEsBAhQAFAAAAAgAh07i&#10;QKdDwgElAgAASQQAAA4AAAAAAAAAAQAgAAAAJA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7456" behindDoc="0" locked="0" layoutInCell="1" allowOverlap="1">
                <wp:simplePos x="0" y="0"/>
                <wp:positionH relativeFrom="column">
                  <wp:posOffset>1383030</wp:posOffset>
                </wp:positionH>
                <wp:positionV relativeFrom="paragraph">
                  <wp:posOffset>2178685</wp:posOffset>
                </wp:positionV>
                <wp:extent cx="1089025" cy="262255"/>
                <wp:effectExtent l="0" t="0" r="15875" b="23495"/>
                <wp:wrapNone/>
                <wp:docPr id="1035" name="文本框 15"/>
                <wp:cNvGraphicFramePr/>
                <a:graphic xmlns:a="http://schemas.openxmlformats.org/drawingml/2006/main">
                  <a:graphicData uri="http://schemas.microsoft.com/office/word/2010/wordprocessingShape">
                    <wps:wsp>
                      <wps:cNvSpPr/>
                      <wps:spPr>
                        <a:xfrm>
                          <a:off x="0" y="0"/>
                          <a:ext cx="1089024"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磋商</w:t>
                            </w:r>
                          </w:p>
                        </w:txbxContent>
                      </wps:txbx>
                      <wps:bodyPr vert="horz" wrap="square" lIns="91440" tIns="45720" rIns="91440" bIns="45720" anchor="t">
                        <a:noAutofit/>
                      </wps:bodyPr>
                    </wps:wsp>
                  </a:graphicData>
                </a:graphic>
              </wp:anchor>
            </w:drawing>
          </mc:Choice>
          <mc:Fallback>
            <w:pict>
              <v:rect id="文本框 15" o:spid="_x0000_s1026" o:spt="1" style="position:absolute;left:0pt;margin-left:108.9pt;margin-top:171.55pt;height:20.65pt;width:85.75pt;z-index:251667456;mso-width-relative:page;mso-height-relative:page;" fillcolor="#DBEEF3" filled="t" stroked="t" coordsize="21600,21600" o:gfxdata="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nAcY1wAAAAsBAAAPAAAAAAAAAAEAIAAAACIAAABkcnMvZG93bnJldi54bWxQSwECFAAUAAAACACH&#10;TuJAeQSAxSUCAABJBAAADgAAAAAAAAABACAAAAAmAQAAZHJzL2Uyb0RvYy54bWxQSwUGAAAAAAYA&#10;BgBZAQAAvQ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磋商</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8480" behindDoc="0" locked="0" layoutInCell="1" allowOverlap="1">
                <wp:simplePos x="0" y="0"/>
                <wp:positionH relativeFrom="column">
                  <wp:posOffset>1395095</wp:posOffset>
                </wp:positionH>
                <wp:positionV relativeFrom="paragraph">
                  <wp:posOffset>1667510</wp:posOffset>
                </wp:positionV>
                <wp:extent cx="1088390" cy="262255"/>
                <wp:effectExtent l="0" t="0" r="16510" b="23495"/>
                <wp:wrapNone/>
                <wp:docPr id="1036" name="文本框 16"/>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6" o:spid="_x0000_s1026" o:spt="1" style="position:absolute;left:0pt;margin-left:109.85pt;margin-top:131.3pt;height:20.65pt;width:85.7pt;z-index:251668480;mso-width-relative:page;mso-height-relative:page;" fillcolor="#DBEEF3" filled="t" stroked="t" coordsize="21600,21600" o:gfxdata="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EE9M&#10;1gAAAAsBAAAPAAAAAAAAAAEAIAAAACIAAABkcnMvZG93bnJldi54bWxQSwECFAAUAAAACACHTuJA&#10;1jeaIiMCAABJBAAADgAAAAAAAAABACAAAAAl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olor w:val="auto"/>
          <w:sz w:val="24"/>
          <w:highlight w:val="none"/>
        </w:rPr>
        <mc:AlternateContent>
          <mc:Choice Requires="wps">
            <w:drawing>
              <wp:anchor distT="0" distB="0" distL="0" distR="0" simplePos="0" relativeHeight="251669504" behindDoc="0" locked="0" layoutInCell="1" allowOverlap="1">
                <wp:simplePos x="0" y="0"/>
                <wp:positionH relativeFrom="column">
                  <wp:posOffset>1906270</wp:posOffset>
                </wp:positionH>
                <wp:positionV relativeFrom="paragraph">
                  <wp:posOffset>5068570</wp:posOffset>
                </wp:positionV>
                <wp:extent cx="0" cy="261620"/>
                <wp:effectExtent l="95250" t="0" r="57150" b="62230"/>
                <wp:wrapNone/>
                <wp:docPr id="1037" name="直接箭头连接符 17"/>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7" o:spid="_x0000_s1026" o:spt="32" type="#_x0000_t32" style="position:absolute;left:0pt;margin-left:150.1pt;margin-top:399.1pt;height:20.6pt;width:0pt;z-index:251669504;mso-width-relative:page;mso-height-relative:page;" filled="f" stroked="t" coordsize="21600,21600" o:gfxdata="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69Q3NcAAAALAQAADwAAAAAAAAABACAAAAAiAAAAZHJzL2Rvd25yZXYueG1sUEsBAhQA&#10;FAAAAAgAh07iQMBmXxb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olor w:val="auto"/>
          <w:sz w:val="24"/>
          <w:highlight w:val="none"/>
        </w:rPr>
        <mc:AlternateContent>
          <mc:Choice Requires="wps">
            <w:drawing>
              <wp:anchor distT="0" distB="0" distL="0" distR="0" simplePos="0" relativeHeight="251670528" behindDoc="0" locked="0" layoutInCell="1" allowOverlap="1">
                <wp:simplePos x="0" y="0"/>
                <wp:positionH relativeFrom="column">
                  <wp:posOffset>1904365</wp:posOffset>
                </wp:positionH>
                <wp:positionV relativeFrom="paragraph">
                  <wp:posOffset>4542155</wp:posOffset>
                </wp:positionV>
                <wp:extent cx="0" cy="261620"/>
                <wp:effectExtent l="95250" t="0" r="57150" b="62230"/>
                <wp:wrapNone/>
                <wp:docPr id="1038" name="直接箭头连接符 19"/>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9" o:spid="_x0000_s1026" o:spt="32" type="#_x0000_t32" style="position:absolute;left:0pt;margin-left:149.95pt;margin-top:357.65pt;height:20.6pt;width:0pt;z-index:251670528;mso-width-relative:page;mso-height-relative:page;" filled="f" stroked="t" coordsize="21600,21600" o:gfxdata="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0TtdcAAAALAQAADwAAAAAAAAABACAAAAAiAAAAZHJzL2Rvd25yZXYueG1sUEsBAhQA&#10;FAAAAAgAh07iQPza9UD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0528" behindDoc="0" locked="0" layoutInCell="1" allowOverlap="1">
                <wp:simplePos x="0" y="0"/>
                <wp:positionH relativeFrom="column">
                  <wp:posOffset>1405255</wp:posOffset>
                </wp:positionH>
                <wp:positionV relativeFrom="paragraph">
                  <wp:posOffset>84455</wp:posOffset>
                </wp:positionV>
                <wp:extent cx="1089025" cy="262255"/>
                <wp:effectExtent l="0" t="0" r="15875" b="23495"/>
                <wp:wrapNone/>
                <wp:docPr id="1039" name="文本框 21"/>
                <wp:cNvGraphicFramePr/>
                <a:graphic xmlns:a="http://schemas.openxmlformats.org/drawingml/2006/main">
                  <a:graphicData uri="http://schemas.microsoft.com/office/word/2010/wordprocessingShape">
                    <wps:wsp>
                      <wps:cNvSpPr/>
                      <wps:spPr>
                        <a:xfrm>
                          <a:off x="0" y="0"/>
                          <a:ext cx="1089025"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编制磋商文件</w:t>
                            </w:r>
                          </w:p>
                        </w:txbxContent>
                      </wps:txbx>
                      <wps:bodyPr vert="horz" wrap="square" lIns="91440" tIns="45720" rIns="91440" bIns="45720" anchor="t">
                        <a:noAutofit/>
                      </wps:bodyPr>
                    </wps:wsp>
                  </a:graphicData>
                </a:graphic>
              </wp:anchor>
            </w:drawing>
          </mc:Choice>
          <mc:Fallback>
            <w:pict>
              <v:rect id="文本框 21" o:spid="_x0000_s1026" o:spt="1" style="position:absolute;left:0pt;margin-left:110.65pt;margin-top:6.65pt;height:20.65pt;width:85.75pt;z-index:251670528;mso-width-relative:page;mso-height-relative:page;" fillcolor="#DBEEF3" filled="t" stroked="t" coordsize="21600,21600" o:gfxdata="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Yg&#10;KNYAAAAJAQAADwAAAAAAAAABACAAAAAiAAAAZHJzL2Rvd25yZXYueG1sUEsBAhQAFAAAAAgAh07i&#10;QD9gjVgkAgAASQQAAA4AAAAAAAAAAQAgAAAAJQ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编制磋商文件</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1552" behindDoc="0" locked="0" layoutInCell="1" allowOverlap="1">
                <wp:simplePos x="0" y="0"/>
                <wp:positionH relativeFrom="column">
                  <wp:posOffset>1405255</wp:posOffset>
                </wp:positionH>
                <wp:positionV relativeFrom="paragraph">
                  <wp:posOffset>1134110</wp:posOffset>
                </wp:positionV>
                <wp:extent cx="1088390" cy="262255"/>
                <wp:effectExtent l="0" t="0" r="16510" b="23495"/>
                <wp:wrapNone/>
                <wp:docPr id="1040" name="文本框 40"/>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0" o:spid="_x0000_s1026" o:spt="1" style="position:absolute;left:0pt;margin-left:110.65pt;margin-top:89.3pt;height:20.65pt;width:85.7pt;z-index:251671552;mso-width-relative:page;mso-height-relative:page;" fillcolor="#DBEEF3" filled="t" stroked="t" coordsize="21600,21600" o:gfxdata="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KEh7/X&#10;AAAACwEAAA8AAAAAAAAAAQAgAAAAIgAAAGRycy9kb3ducmV2LnhtbFBLAQIUABQAAAAIAIdO4kB4&#10;NFBMIQIAAEkEAAAOAAAAAAAAAAEAIAAAACY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2576" behindDoc="0" locked="0" layoutInCell="1" allowOverlap="1">
                <wp:simplePos x="0" y="0"/>
                <wp:positionH relativeFrom="column">
                  <wp:posOffset>1421130</wp:posOffset>
                </wp:positionH>
                <wp:positionV relativeFrom="paragraph">
                  <wp:posOffset>609600</wp:posOffset>
                </wp:positionV>
                <wp:extent cx="1073150" cy="262255"/>
                <wp:effectExtent l="0" t="0" r="12700" b="23495"/>
                <wp:wrapNone/>
                <wp:docPr id="1041" name="文本框 41"/>
                <wp:cNvGraphicFramePr/>
                <a:graphic xmlns:a="http://schemas.openxmlformats.org/drawingml/2006/main">
                  <a:graphicData uri="http://schemas.microsoft.com/office/word/2010/wordprocessingShape">
                    <wps:wsp>
                      <wps:cNvSpPr/>
                      <wps:spPr>
                        <a:xfrm>
                          <a:off x="0" y="0"/>
                          <a:ext cx="107315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1" o:spid="_x0000_s1026" o:spt="1" style="position:absolute;left:0pt;margin-left:111.9pt;margin-top:48pt;height:20.65pt;width:84.5pt;z-index:251672576;mso-width-relative:page;mso-height-relative:page;" fillcolor="#DBEEF3" filled="t" stroked="t" coordsize="21600,21600" o:gfxdata="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wMNT7W&#10;AAAACgEAAA8AAAAAAAAAAQAgAAAAIgAAAGRycy9kb3ducmV2LnhtbFBLAQIUABQAAAAIAIdO4kBs&#10;VJiPIgIAAEkEAAAOAAAAAAAAAAEAIAAAACU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3600" behindDoc="0" locked="0" layoutInCell="1" allowOverlap="1">
                <wp:simplePos x="0" y="0"/>
                <wp:positionH relativeFrom="column">
                  <wp:posOffset>1929765</wp:posOffset>
                </wp:positionH>
                <wp:positionV relativeFrom="paragraph">
                  <wp:posOffset>346710</wp:posOffset>
                </wp:positionV>
                <wp:extent cx="0" cy="262255"/>
                <wp:effectExtent l="95250" t="0" r="57150" b="62230"/>
                <wp:wrapNone/>
                <wp:docPr id="1042" name="直接箭头连接符 42"/>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2" o:spid="_x0000_s1026" o:spt="32" type="#_x0000_t32" style="position:absolute;left:0pt;margin-left:151.95pt;margin-top:27.3pt;height:20.65pt;width:0pt;z-index:251673600;mso-width-relative:page;mso-height-relative:page;" filled="f" stroked="t" coordsize="21600,21600" o:gfxdata="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JONUAAAAJAQAADwAAAAAAAAABACAAAAAiAAAAZHJzL2Rvd25yZXYueG1sUEsBAhQAFAAAAAgA&#10;h07iQMcVtG3vAQAArAMAAA4AAAAAAAAAAQAgAAAAJAEAAGRycy9lMm9Eb2MueG1sUEsFBgAAAAAG&#10;AAYAWQEAAIU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4624" behindDoc="0" locked="0" layoutInCell="1" allowOverlap="1">
                <wp:simplePos x="0" y="0"/>
                <wp:positionH relativeFrom="column">
                  <wp:posOffset>1929765</wp:posOffset>
                </wp:positionH>
                <wp:positionV relativeFrom="paragraph">
                  <wp:posOffset>871855</wp:posOffset>
                </wp:positionV>
                <wp:extent cx="0" cy="262255"/>
                <wp:effectExtent l="95250" t="0" r="57150" b="62230"/>
                <wp:wrapNone/>
                <wp:docPr id="1043" name="直接箭头连接符 43"/>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3" o:spid="_x0000_s1026" o:spt="32" type="#_x0000_t32" style="position:absolute;left:0pt;margin-left:151.95pt;margin-top:68.65pt;height:20.65pt;width:0pt;z-index:251674624;mso-width-relative:page;mso-height-relative:page;" filled="f" stroked="t" coordsize="21600,21600" o:gfxdata="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AG5Y1gAAAAsBAAAPAAAAAAAAAAEAIAAAACIAAABkcnMvZG93bnJldi54bWxQSwECFAAUAAAA&#10;CACHTuJAGRB/nvABAACs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5648" behindDoc="0" locked="0" layoutInCell="1" allowOverlap="1">
                <wp:simplePos x="0" y="0"/>
                <wp:positionH relativeFrom="column">
                  <wp:posOffset>1906270</wp:posOffset>
                </wp:positionH>
                <wp:positionV relativeFrom="paragraph">
                  <wp:posOffset>2437765</wp:posOffset>
                </wp:positionV>
                <wp:extent cx="0" cy="262255"/>
                <wp:effectExtent l="95250" t="0" r="57150" b="62230"/>
                <wp:wrapNone/>
                <wp:docPr id="1044" name="直接箭头连接符 44"/>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4" o:spid="_x0000_s1026" o:spt="32" type="#_x0000_t32" style="position:absolute;left:0pt;margin-left:150.1pt;margin-top:191.95pt;height:20.65pt;width:0pt;z-index:251675648;mso-width-relative:page;mso-height-relative:page;" filled="f" stroked="t" coordsize="21600,21600" o:gfxdata="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PxArWAAAACwEAAA8AAAAAAAAAAQAgAAAAIgAAAGRycy9kb3ducmV2LnhtbFBLAQIUABQAAAAI&#10;AIdO4kDAA50o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6672" behindDoc="0" locked="0" layoutInCell="1" allowOverlap="1">
                <wp:simplePos x="0" y="0"/>
                <wp:positionH relativeFrom="column">
                  <wp:posOffset>1906270</wp:posOffset>
                </wp:positionH>
                <wp:positionV relativeFrom="paragraph">
                  <wp:posOffset>1921510</wp:posOffset>
                </wp:positionV>
                <wp:extent cx="0" cy="262255"/>
                <wp:effectExtent l="95250" t="0" r="57150" b="62230"/>
                <wp:wrapNone/>
                <wp:docPr id="1045" name="直接箭头连接符 45"/>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5" o:spid="_x0000_s1026" o:spt="32" type="#_x0000_t32" style="position:absolute;left:0pt;margin-left:150.1pt;margin-top:151.3pt;height:20.65pt;width:0pt;z-index:251676672;mso-width-relative:page;mso-height-relative:page;" filled="f" stroked="t" coordsize="21600,21600" o:gfxdata="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9wzy9UAAAALAQAADwAAAAAAAAABACAAAAAiAAAAZHJzL2Rvd25yZXYueG1sUEsBAhQAFAAA&#10;AAgAh07iQB4GVtvyAQAArAMAAA4AAAAAAAAAAQAgAAAAJAEAAGRycy9lMm9Eb2MueG1sUEsFBgAA&#10;AAAGAAYAWQEAAIg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7696" behindDoc="0" locked="0" layoutInCell="1" allowOverlap="1">
                <wp:simplePos x="0" y="0"/>
                <wp:positionH relativeFrom="column">
                  <wp:posOffset>1906270</wp:posOffset>
                </wp:positionH>
                <wp:positionV relativeFrom="paragraph">
                  <wp:posOffset>1396365</wp:posOffset>
                </wp:positionV>
                <wp:extent cx="0" cy="262255"/>
                <wp:effectExtent l="95250" t="0" r="57150" b="62230"/>
                <wp:wrapNone/>
                <wp:docPr id="1046" name="直接箭头连接符 46"/>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6" o:spid="_x0000_s1026" o:spt="32" type="#_x0000_t32" style="position:absolute;left:0pt;margin-left:150.1pt;margin-top:109.95pt;height:20.65pt;width:0pt;z-index:251677696;mso-width-relative:page;mso-height-relative:page;" filled="f" stroked="t" coordsize="21600,21600" o:gfxdata="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TzNqvWAAAACwEAAA8AAAAAAAAAAQAgAAAAIgAAAGRycy9kb3ducmV2LnhtbFBLAQIUABQAAAAI&#10;AIdO4kA9DnoU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8720" behindDoc="0" locked="0" layoutInCell="1" allowOverlap="1">
                <wp:simplePos x="0" y="0"/>
                <wp:positionH relativeFrom="column">
                  <wp:posOffset>1906270</wp:posOffset>
                </wp:positionH>
                <wp:positionV relativeFrom="paragraph">
                  <wp:posOffset>3487420</wp:posOffset>
                </wp:positionV>
                <wp:extent cx="0" cy="262255"/>
                <wp:effectExtent l="95250" t="0" r="57150" b="62230"/>
                <wp:wrapNone/>
                <wp:docPr id="1047" name="直接箭头连接符 47"/>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7" o:spid="_x0000_s1026" o:spt="32" type="#_x0000_t32" style="position:absolute;left:0pt;margin-left:150.1pt;margin-top:274.6pt;height:20.65pt;width:0pt;z-index:251678720;mso-width-relative:page;mso-height-relative:page;" filled="f" stroked="t" coordsize="21600,21600" o:gfxdata="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sIV+1wAAAAsBAAAPAAAAAAAAAAEAIAAAACIAAABkcnMvZG93bnJldi54bWxQSwECFAAUAAAA&#10;CACHTuJA7pQc+O8BAACsAwAADgAAAAAAAAABACAAAAAm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9744" behindDoc="0" locked="0" layoutInCell="1" allowOverlap="1">
                <wp:simplePos x="0" y="0"/>
                <wp:positionH relativeFrom="column">
                  <wp:posOffset>1906270</wp:posOffset>
                </wp:positionH>
                <wp:positionV relativeFrom="paragraph">
                  <wp:posOffset>2962910</wp:posOffset>
                </wp:positionV>
                <wp:extent cx="0" cy="262255"/>
                <wp:effectExtent l="95250" t="0" r="57150" b="62230"/>
                <wp:wrapNone/>
                <wp:docPr id="1048" name="直接箭头连接符 48"/>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8" o:spid="_x0000_s1026" o:spt="32" type="#_x0000_t32" style="position:absolute;left:0pt;margin-left:150.1pt;margin-top:233.3pt;height:20.65pt;width:0pt;z-index:251679744;mso-width-relative:page;mso-height-relative:page;" filled="f" stroked="t" coordsize="21600,21600" o:gfxdata="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5YHDjWAAAACwEAAA8AAAAAAAAAAQAgAAAAIgAAAGRycy9kb3ducmV2LnhtbFBLAQIUABQAAAAI&#10;AIdO4kDOL8+i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80768" behindDoc="0" locked="0" layoutInCell="1" allowOverlap="1">
                <wp:simplePos x="0" y="0"/>
                <wp:positionH relativeFrom="column">
                  <wp:posOffset>1906270</wp:posOffset>
                </wp:positionH>
                <wp:positionV relativeFrom="paragraph">
                  <wp:posOffset>4012565</wp:posOffset>
                </wp:positionV>
                <wp:extent cx="0" cy="262255"/>
                <wp:effectExtent l="95250" t="0" r="57150" b="62230"/>
                <wp:wrapNone/>
                <wp:docPr id="1049" name="直接箭头连接符 49"/>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9" o:spid="_x0000_s1026" o:spt="32" type="#_x0000_t32" style="position:absolute;left:0pt;margin-left:150.1pt;margin-top:315.95pt;height:20.65pt;width:0pt;z-index:251680768;mso-width-relative:page;mso-height-relative:page;" filled="f" stroked="t" coordsize="21600,21600" o:gfxdata="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TtxWNUAAAALAQAADwAAAAAAAAABACAAAAAiAAAAZHJzL2Rvd25yZXYueG1sUEsBAhQAFAAAAAgA&#10;h07iQB21qU7vAQAArAMAAA4AAAAAAAAAAQAgAAAAJAEAAGRycy9lMm9Eb2MueG1sUEsFBgAAAAAG&#10;AAYAWQEAAIUFAAAAAA==&#10;">
                <v:fill on="f" focussize="0,0"/>
                <v:stroke color="#4A7DBA" joinstyle="round" endarrow="open"/>
                <v:imagedata o:title=""/>
                <o:lock v:ext="edit" aspectratio="f"/>
              </v:shape>
            </w:pict>
          </mc:Fallback>
        </mc:AlternateContent>
      </w:r>
      <w:r>
        <w:rPr>
          <w:rFonts w:hint="eastAsia" w:ascii="宋体" w:hAnsi="宋体" w:cs="仿宋_GB2312"/>
          <w:b/>
          <w:color w:val="auto"/>
          <w:sz w:val="36"/>
          <w:szCs w:val="20"/>
          <w:highlight w:val="none"/>
        </w:rPr>
        <w:br w:type="page"/>
      </w:r>
    </w:p>
    <w:p>
      <w:pPr>
        <w:adjustRightInd/>
        <w:spacing w:line="360" w:lineRule="auto"/>
        <w:jc w:val="center"/>
        <w:outlineLvl w:val="0"/>
        <w:rPr>
          <w:rStyle w:val="552"/>
          <w:color w:val="auto"/>
          <w:highlight w:val="none"/>
        </w:rPr>
      </w:pPr>
      <w:bookmarkStart w:id="48" w:name="_Toc11575"/>
      <w:r>
        <w:rPr>
          <w:rStyle w:val="552"/>
          <w:rFonts w:hint="eastAsia"/>
          <w:color w:val="auto"/>
          <w:highlight w:val="none"/>
        </w:rPr>
        <w:t>第三部分</w:t>
      </w:r>
      <w:bookmarkEnd w:id="9"/>
      <w:r>
        <w:rPr>
          <w:rStyle w:val="552"/>
          <w:rFonts w:hint="eastAsia"/>
          <w:color w:val="auto"/>
          <w:highlight w:val="none"/>
        </w:rPr>
        <w:t xml:space="preserve">  供应商须知</w:t>
      </w:r>
      <w:bookmarkEnd w:id="10"/>
      <w:bookmarkEnd w:id="48"/>
    </w:p>
    <w:p>
      <w:pPr>
        <w:adjustRightInd/>
        <w:spacing w:line="360" w:lineRule="auto"/>
        <w:jc w:val="center"/>
        <w:outlineLvl w:val="0"/>
        <w:rPr>
          <w:rFonts w:ascii="宋体" w:hAnsi="宋体" w:cs="仿宋_GB2312"/>
          <w:b/>
          <w:color w:val="auto"/>
          <w:sz w:val="36"/>
          <w:szCs w:val="20"/>
          <w:highlight w:val="none"/>
        </w:rPr>
      </w:pPr>
      <w:bookmarkStart w:id="49" w:name="_Toc2801"/>
      <w:r>
        <w:rPr>
          <w:rFonts w:hint="eastAsia" w:ascii="宋体" w:hAnsi="宋体" w:cs="仿宋_GB2312"/>
          <w:b/>
          <w:color w:val="auto"/>
          <w:sz w:val="36"/>
          <w:szCs w:val="20"/>
          <w:highlight w:val="none"/>
        </w:rPr>
        <w:t>一、前附表</w:t>
      </w:r>
      <w:bookmarkEnd w:id="49"/>
    </w:p>
    <w:tbl>
      <w:tblPr>
        <w:tblStyle w:val="73"/>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23"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lang w:val="en-US" w:eastAsia="zh-CN"/>
              </w:rPr>
              <w:t>工程</w:t>
            </w:r>
            <w:r>
              <w:rPr>
                <w:rFonts w:hint="eastAsia" w:ascii="宋体" w:hAnsi="宋体" w:cs="宋体"/>
                <w:color w:val="auto"/>
                <w:sz w:val="24"/>
                <w:highlight w:val="none"/>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4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lang w:eastAsia="zh-CN"/>
              </w:rPr>
              <w:t>新建学生宿舍工程变配电扩容改造项目</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lang w:eastAsia="zh-CN"/>
              </w:rPr>
              <w:t>建筑业</w:t>
            </w:r>
            <w:r>
              <w:rPr>
                <w:rFonts w:hint="eastAsia" w:ascii="宋体" w:hAnsi="宋体" w:cs="宋体"/>
                <w:color w:val="auto"/>
                <w:kern w:val="0"/>
                <w:sz w:val="24"/>
                <w:highlight w:val="none"/>
              </w:rPr>
              <w:t>行业；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067"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kern w:val="0"/>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本项目不允许采购进口产品。</w:t>
            </w:r>
          </w:p>
          <w:p>
            <w:pPr>
              <w:spacing w:line="360" w:lineRule="auto"/>
              <w:rPr>
                <w:rFonts w:ascii="宋体" w:hAnsi="宋体" w:cs="宋体"/>
                <w:color w:val="auto"/>
                <w:highlight w:val="none"/>
              </w:rPr>
            </w:pPr>
            <w:r>
              <w:rPr>
                <w:rFonts w:hint="eastAsia" w:ascii="MS Mincho" w:hAnsi="MS Mincho" w:eastAsia="MS Mincho" w:cs="MS Mincho"/>
                <w:color w:val="auto"/>
                <w:kern w:val="0"/>
                <w:sz w:val="24"/>
                <w:highlight w:val="none"/>
              </w:rPr>
              <w:t>☐</w:t>
            </w:r>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工作分包。</w:t>
            </w:r>
            <w:r>
              <w:rPr>
                <w:rFonts w:ascii="Wingdings" w:hAnsi="Wingdings" w:eastAsia="MS Mincho" w:cs="MS Mincho"/>
                <w:color w:val="auto"/>
                <w:kern w:val="0"/>
                <w:sz w:val="24"/>
                <w:highlight w:val="none"/>
              </w:rPr>
              <w:t></w:t>
            </w:r>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52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color w:val="auto"/>
                <w:sz w:val="24"/>
                <w:szCs w:val="20"/>
                <w:highlight w:val="none"/>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w:t>
            </w:r>
            <w:r>
              <w:rPr>
                <w:rFonts w:hint="eastAsia" w:ascii="宋体" w:hAnsi="宋体" w:cs="宋体"/>
                <w:color w:val="auto"/>
                <w:sz w:val="24"/>
                <w:szCs w:val="20"/>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11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cs="宋体"/>
                <w:color w:val="auto"/>
                <w:kern w:val="0"/>
                <w:sz w:val="24"/>
                <w:highlight w:val="none"/>
                <w:u w:val="single"/>
              </w:rPr>
              <w:t></w:t>
            </w:r>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pPr>
              <w:spacing w:line="360" w:lineRule="auto"/>
              <w:rPr>
                <w:rFonts w:ascii="宋体" w:hAnsi="宋体" w:cs="宋体"/>
                <w:b/>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sz w:val="24"/>
                <w:highlight w:val="none"/>
              </w:rPr>
              <w:t>B要求提供</w:t>
            </w:r>
            <w:r>
              <w:rPr>
                <w:rFonts w:hint="eastAsia" w:ascii="宋体" w:hAnsi="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78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b/>
                <w:color w:val="auto"/>
                <w:kern w:val="0"/>
                <w:sz w:val="24"/>
                <w:highlight w:val="none"/>
                <w:lang w:val="zh-CN"/>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1843" w:type="dxa"/>
            <w:vMerge w:val="restart"/>
            <w:tcBorders>
              <w:top w:val="single" w:color="000000" w:sz="8" w:space="0"/>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供应商应当提供的资格、商务技术文件</w:t>
            </w:r>
          </w:p>
        </w:tc>
        <w:tc>
          <w:tcPr>
            <w:tcW w:w="6095" w:type="dxa"/>
            <w:tcBorders>
              <w:top w:val="single" w:color="000000" w:sz="8" w:space="0"/>
              <w:left w:val="single" w:color="000000" w:sz="2" w:space="0"/>
              <w:bottom w:val="single" w:color="auto" w:sz="4"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（1）资格证明文件：见采购文件第三部分资格响应文件组成。</w:t>
            </w:r>
          </w:p>
          <w:p>
            <w:pPr>
              <w:spacing w:line="360" w:lineRule="auto"/>
              <w:rPr>
                <w:rFonts w:ascii="宋体" w:hAnsi="宋体" w:cs="宋体"/>
                <w:snapToGrid w:val="0"/>
                <w:color w:val="auto"/>
                <w:kern w:val="0"/>
                <w:szCs w:val="21"/>
                <w:highlight w:val="none"/>
              </w:rPr>
            </w:pPr>
            <w:r>
              <w:rPr>
                <w:rFonts w:hint="eastAsia" w:ascii="宋体" w:hAnsi="宋体" w:cs="宋体"/>
                <w:color w:val="auto"/>
                <w:kern w:val="0"/>
                <w:sz w:val="24"/>
                <w:highlight w:val="none"/>
                <w:lang w:val="zh-CN"/>
              </w:rPr>
              <w:t>供应商未提供有效的资格证明文件的，视为供应商不具备磋商文件中规定的资格要求，响应无效。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（2）商务技术文件：根据磋商文件第五部分评审标准提供。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b/>
                <w:color w:val="auto"/>
                <w:kern w:val="0"/>
                <w:sz w:val="24"/>
                <w:highlight w:val="none"/>
                <w:lang w:val="zh-CN"/>
              </w:rPr>
              <w:t>注：成交人自成交公示后3日内提供3份与“电子加密响应文件”一致的纸质响应文件。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最后报价要求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left"/>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有关本项目实施所需的所有费用（含税费）均计入最后报价。《最后报价</w:t>
            </w:r>
            <w:r>
              <w:rPr>
                <w:rFonts w:hint="eastAsia" w:ascii="宋体" w:hAnsi="宋体" w:cs="宋体"/>
                <w:color w:val="auto"/>
                <w:sz w:val="24"/>
                <w:highlight w:val="none"/>
              </w:rPr>
              <w:t>一览表（报价表）</w:t>
            </w:r>
            <w:r>
              <w:rPr>
                <w:rFonts w:hint="eastAsia" w:ascii="宋体" w:hAnsi="宋体" w:cs="宋体"/>
                <w:color w:val="auto"/>
                <w:kern w:val="0"/>
                <w:sz w:val="24"/>
                <w:highlight w:val="none"/>
                <w:lang w:val="zh-CN"/>
              </w:rPr>
              <w:t>》</w:t>
            </w:r>
            <w:r>
              <w:rPr>
                <w:rFonts w:hint="eastAsia" w:ascii="宋体" w:hAnsi="宋体" w:cs="宋体"/>
                <w:color w:val="auto"/>
                <w:sz w:val="24"/>
                <w:highlight w:val="none"/>
              </w:rPr>
              <w:t>是最后报价的唯一载体</w:t>
            </w:r>
            <w:r>
              <w:rPr>
                <w:rFonts w:hint="eastAsia" w:ascii="宋体" w:hAnsi="宋体" w:cs="宋体"/>
                <w:color w:val="auto"/>
                <w:kern w:val="0"/>
                <w:sz w:val="24"/>
                <w:highlight w:val="none"/>
                <w:lang w:val="zh-CN"/>
              </w:rPr>
              <w:t>。磋商文件中价格全部采用人民币报价。磋商文件未列明，而供应商认为必需的费用也需列入报价。</w:t>
            </w:r>
          </w:p>
          <w:p>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最后报价出现下列情形的，响应无效：</w:t>
            </w:r>
          </w:p>
          <w:p>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响应文件出现不是唯一的、有选择性的最后报价的；</w:t>
            </w:r>
          </w:p>
          <w:p>
            <w:pPr>
              <w:snapToGrid w:val="0"/>
              <w:spacing w:line="360" w:lineRule="auto"/>
              <w:ind w:firstLine="241" w:firstLineChars="100"/>
              <w:jc w:val="left"/>
              <w:rPr>
                <w:rFonts w:ascii="宋体" w:hAnsi="宋体" w:cs="宋体"/>
                <w:color w:val="auto"/>
                <w:kern w:val="0"/>
                <w:sz w:val="24"/>
                <w:highlight w:val="none"/>
                <w:lang w:val="zh-CN"/>
              </w:rPr>
            </w:pPr>
            <w:r>
              <w:rPr>
                <w:rFonts w:hint="eastAsia" w:ascii="宋体" w:hAnsi="宋体" w:cs="宋体"/>
                <w:b/>
                <w:color w:val="auto"/>
                <w:kern w:val="0"/>
                <w:sz w:val="24"/>
                <w:highlight w:val="none"/>
                <w:lang w:val="zh-CN"/>
              </w:rPr>
              <w:t>最后报价超过磋商文件中规定的预算金额或者最高限价的;</w:t>
            </w:r>
          </w:p>
          <w:p>
            <w:pPr>
              <w:spacing w:line="360" w:lineRule="auto"/>
              <w:ind w:firstLine="241" w:firstLineChars="100"/>
              <w:rPr>
                <w:rFonts w:ascii="宋体" w:hAnsi="宋体" w:cs="宋体"/>
                <w:b/>
                <w:color w:val="auto"/>
                <w:sz w:val="24"/>
                <w:highlight w:val="none"/>
              </w:rPr>
            </w:pPr>
            <w:r>
              <w:rPr>
                <w:rFonts w:hint="eastAsia" w:ascii="宋体" w:hAnsi="宋体" w:cs="宋体"/>
                <w:b/>
                <w:color w:val="auto"/>
                <w:kern w:val="0"/>
                <w:sz w:val="24"/>
                <w:highlight w:val="none"/>
              </w:rPr>
              <w:t>最后报价明显低于其他通过符合性审查供应商的报价，有可能影响产品质量或者不能诚信履约的，未能按要求提供书面说明或者提交相关证明材料证明其报价合理性的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pPr>
              <w:spacing w:line="360" w:lineRule="auto"/>
              <w:ind w:firstLine="241" w:firstLineChars="100"/>
              <w:rPr>
                <w:rFonts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 xml:space="preserve">备份响应文件送达地点和签收人员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pPr>
              <w:pStyle w:val="36"/>
              <w:spacing w:line="360" w:lineRule="auto"/>
              <w:rPr>
                <w:rFonts w:hAnsi="宋体" w:cs="宋体"/>
                <w:color w:val="auto"/>
                <w:kern w:val="28"/>
                <w:sz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rPr>
              <w:t xml:space="preserve"> </w:t>
            </w:r>
            <w:r>
              <w:rPr>
                <w:rFonts w:hint="eastAsia" w:hAnsi="宋体" w:cs="宋体"/>
                <w:color w:val="auto"/>
                <w:kern w:val="0"/>
                <w:sz w:val="24"/>
                <w:highlight w:val="none"/>
                <w:u w:val="single"/>
              </w:rPr>
              <w:t>宁波市翠柏路89号宁波工程学院公共培训平台大楼A座1108室</w:t>
            </w: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0574-83896188</w:t>
            </w:r>
            <w:r>
              <w:rPr>
                <w:rFonts w:hint="eastAsia" w:hAnsi="宋体" w:cs="宋体"/>
                <w:color w:val="auto"/>
                <w:sz w:val="24"/>
                <w:szCs w:val="24"/>
                <w:highlight w:val="none"/>
              </w:rPr>
              <w:t>。</w:t>
            </w:r>
            <w:r>
              <w:rPr>
                <w:rFonts w:hint="eastAsia" w:hAnsi="宋体" w:cs="宋体"/>
                <w:b/>
                <w:color w:val="auto"/>
                <w:sz w:val="24"/>
                <w:szCs w:val="24"/>
                <w:highlight w:val="none"/>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采购机构代理费用</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1、本采购代理公司参照国家发改委发改办价格[2003]857号通知、原国家计委计价格[2002]1980号文件规定的代理服务收费标准，按照成交通知书确定的成交总金额的0.</w:t>
            </w:r>
            <w:r>
              <w:rPr>
                <w:rFonts w:hint="eastAsia" w:ascii="宋体" w:hAnsi="宋体" w:cs="宋体"/>
                <w:snapToGrid w:val="0"/>
                <w:color w:val="auto"/>
                <w:kern w:val="28"/>
                <w:sz w:val="24"/>
                <w:highlight w:val="none"/>
                <w:lang w:val="en-US" w:eastAsia="zh-CN"/>
              </w:rPr>
              <w:t>4</w:t>
            </w:r>
            <w:r>
              <w:rPr>
                <w:rFonts w:hint="eastAsia" w:ascii="宋体" w:hAnsi="宋体" w:cs="宋体"/>
                <w:snapToGrid w:val="0"/>
                <w:color w:val="auto"/>
                <w:kern w:val="28"/>
                <w:sz w:val="24"/>
                <w:highlight w:val="none"/>
              </w:rPr>
              <w:t>5%，向成交供应商收取成交服务费。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2、成交供应商应在本公司发出成交通知书5个工作日内向本代理公司支付服务费。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3、服务费只收现金、银行票汇款、电汇款。</w:t>
            </w:r>
          </w:p>
          <w:p>
            <w:pPr>
              <w:spacing w:line="360" w:lineRule="auto"/>
              <w:rPr>
                <w:rFonts w:ascii="宋体" w:hAnsi="宋体" w:cs="宋体"/>
                <w:color w:val="auto"/>
                <w:sz w:val="24"/>
              </w:rPr>
            </w:pPr>
            <w:r>
              <w:rPr>
                <w:rFonts w:hint="eastAsia" w:ascii="宋体" w:hAnsi="宋体" w:cs="宋体"/>
                <w:color w:val="auto"/>
                <w:sz w:val="24"/>
              </w:rPr>
              <w:t>户名：浙江五石中正工程咨询有限公司萧山分公司</w:t>
            </w:r>
          </w:p>
          <w:p>
            <w:pPr>
              <w:spacing w:line="360" w:lineRule="auto"/>
              <w:rPr>
                <w:rFonts w:ascii="宋体" w:hAnsi="宋体" w:cs="宋体"/>
                <w:color w:val="auto"/>
                <w:sz w:val="24"/>
              </w:rPr>
            </w:pPr>
            <w:r>
              <w:rPr>
                <w:rFonts w:hint="eastAsia" w:ascii="宋体" w:hAnsi="宋体" w:cs="宋体"/>
                <w:color w:val="auto"/>
                <w:sz w:val="24"/>
              </w:rPr>
              <w:t>账号：33020160201000004399</w:t>
            </w:r>
          </w:p>
          <w:p>
            <w:pPr>
              <w:spacing w:line="360" w:lineRule="auto"/>
              <w:rPr>
                <w:rFonts w:ascii="宋体" w:hAnsi="宋体" w:cs="宋体"/>
                <w:color w:val="auto"/>
                <w:sz w:val="24"/>
              </w:rPr>
            </w:pPr>
            <w:r>
              <w:rPr>
                <w:rFonts w:hint="eastAsia" w:ascii="宋体" w:hAnsi="宋体" w:cs="宋体"/>
                <w:color w:val="auto"/>
                <w:sz w:val="24"/>
              </w:rPr>
              <w:t>开户行：浙江泰隆商业银行股份有限公司杭州祥符小微企业专营支行</w:t>
            </w:r>
          </w:p>
          <w:p>
            <w:pPr>
              <w:spacing w:line="360" w:lineRule="auto"/>
              <w:rPr>
                <w:rFonts w:ascii="宋体" w:hAnsi="宋体" w:cs="宋体"/>
                <w:color w:val="auto"/>
                <w:sz w:val="24"/>
              </w:rPr>
            </w:pPr>
            <w:r>
              <w:rPr>
                <w:rFonts w:hint="eastAsia" w:ascii="宋体" w:hAnsi="宋体" w:cs="宋体"/>
                <w:color w:val="auto"/>
                <w:sz w:val="24"/>
              </w:rPr>
              <w:t>精确查找祥符支行行号：313331080163</w:t>
            </w:r>
          </w:p>
          <w:p>
            <w:pPr>
              <w:spacing w:line="360" w:lineRule="auto"/>
              <w:rPr>
                <w:rFonts w:ascii="宋体" w:hAnsi="宋体" w:cs="宋体"/>
                <w:snapToGrid w:val="0"/>
                <w:color w:val="auto"/>
                <w:kern w:val="28"/>
                <w:sz w:val="24"/>
                <w:highlight w:val="none"/>
              </w:rPr>
            </w:pPr>
            <w:r>
              <w:rPr>
                <w:rFonts w:hint="eastAsia" w:ascii="宋体" w:hAnsi="宋体" w:cs="宋体"/>
                <w:color w:val="auto"/>
                <w:sz w:val="24"/>
              </w:rPr>
              <w:t>开票及相关问题联系人：0574-87645885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restart"/>
            <w:tcBorders>
              <w:top w:val="single" w:color="auto" w:sz="4" w:space="0"/>
              <w:left w:val="single" w:color="000000" w:sz="8"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1843" w:type="dxa"/>
            <w:vMerge w:val="restart"/>
            <w:tcBorders>
              <w:top w:val="single" w:color="000000" w:sz="8" w:space="0"/>
              <w:left w:val="single" w:color="000000" w:sz="2"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联合体响应的，联合体各方分别提供与联合体协议中规定的分工内容相应的业绩证明材料，业绩数量以提供材料较少的一方为准。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continue"/>
            <w:tcBorders>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MS Gothic" w:hAnsi="MS Gothic" w:eastAsia="MS Mincho" w:cs="MS Mincho"/>
                <w:color w:val="auto"/>
                <w:kern w:val="0"/>
                <w:sz w:val="24"/>
                <w:highlight w:val="none"/>
              </w:rPr>
              <w:t>☐</w:t>
            </w:r>
            <w:r>
              <w:rPr>
                <w:rFonts w:hint="eastAsia" w:ascii="宋体" w:hAnsi="宋体" w:cs="宋体"/>
                <w:snapToGrid w:val="0"/>
                <w:color w:val="auto"/>
                <w:kern w:val="28"/>
                <w:sz w:val="24"/>
                <w:highlight w:val="none"/>
              </w:rPr>
              <w:t>联合体响应的，联合体各方均需按磋商文件第五部分评审标准要求提供资信证明文件，否则视为不符合相关要求。</w:t>
            </w:r>
          </w:p>
          <w:p>
            <w:pPr>
              <w:spacing w:line="360" w:lineRule="auto"/>
              <w:rPr>
                <w:rFonts w:ascii="宋体" w:hAnsi="宋体" w:cs="宋体"/>
                <w:snapToGrid w:val="0"/>
                <w:color w:val="auto"/>
                <w:kern w:val="28"/>
                <w:sz w:val="24"/>
                <w:highlight w:val="none"/>
              </w:rPr>
            </w:pPr>
            <w:r>
              <w:rPr>
                <w:rFonts w:hint="eastAsia" w:ascii="MS Gothic" w:hAnsi="MS Gothic" w:cs="Arial"/>
                <w:color w:val="auto"/>
                <w:kern w:val="0"/>
                <w:sz w:val="24"/>
                <w:highlight w:val="none"/>
              </w:rPr>
              <w:t>☐</w:t>
            </w:r>
            <w:r>
              <w:rPr>
                <w:rFonts w:hint="eastAsia" w:ascii="宋体" w:hAnsi="宋体" w:cs="宋体"/>
                <w:snapToGrid w:val="0"/>
                <w:color w:val="auto"/>
                <w:kern w:val="28"/>
                <w:sz w:val="24"/>
                <w:highlight w:val="none"/>
              </w:rPr>
              <w:t>联合体响应的，联合体中有一方或者联合体成员根据分工按磋商文件第五部分评审标准要求提供资信证明文件的，视为符合了相关要求。</w:t>
            </w:r>
          </w:p>
        </w:tc>
      </w:tr>
    </w:tbl>
    <w:p>
      <w:pPr>
        <w:snapToGrid w:val="0"/>
        <w:jc w:val="center"/>
        <w:rPr>
          <w:rFonts w:ascii="宋体" w:hAnsi="宋体" w:cs="仿宋_GB2312"/>
          <w:b/>
          <w:color w:val="auto"/>
          <w:sz w:val="32"/>
          <w:szCs w:val="20"/>
          <w:highlight w:val="none"/>
        </w:rPr>
      </w:pPr>
    </w:p>
    <w:p>
      <w:pPr>
        <w:adjustRightInd/>
        <w:spacing w:line="360" w:lineRule="auto"/>
        <w:ind w:firstLine="3845" w:firstLineChars="1197"/>
        <w:outlineLvl w:val="0"/>
        <w:rPr>
          <w:rFonts w:ascii="宋体" w:hAnsi="宋体" w:cs="仿宋_GB2312"/>
          <w:b/>
          <w:color w:val="auto"/>
          <w:sz w:val="32"/>
          <w:szCs w:val="20"/>
          <w:highlight w:val="none"/>
        </w:rPr>
      </w:pPr>
      <w:r>
        <w:rPr>
          <w:rFonts w:hint="eastAsia" w:ascii="宋体" w:hAnsi="宋体" w:cs="仿宋_GB2312"/>
          <w:b/>
          <w:color w:val="auto"/>
          <w:sz w:val="32"/>
          <w:szCs w:val="20"/>
          <w:highlight w:val="none"/>
        </w:rPr>
        <w:br w:type="page"/>
      </w:r>
    </w:p>
    <w:p>
      <w:pPr>
        <w:adjustRightInd/>
        <w:spacing w:line="360" w:lineRule="auto"/>
        <w:ind w:firstLine="3845" w:firstLineChars="1197"/>
        <w:outlineLvl w:val="0"/>
        <w:rPr>
          <w:rFonts w:ascii="宋体" w:hAnsi="宋体" w:cs="仿宋_GB2312"/>
          <w:b/>
          <w:color w:val="auto"/>
          <w:sz w:val="32"/>
          <w:szCs w:val="20"/>
          <w:highlight w:val="none"/>
        </w:rPr>
      </w:pPr>
      <w:bookmarkStart w:id="50" w:name="_Toc997"/>
      <w:r>
        <w:rPr>
          <w:rFonts w:hint="eastAsia" w:ascii="宋体" w:hAnsi="宋体" w:cs="仿宋_GB2312"/>
          <w:b/>
          <w:color w:val="auto"/>
          <w:sz w:val="32"/>
          <w:szCs w:val="20"/>
          <w:highlight w:val="none"/>
        </w:rPr>
        <w:t>二、总则</w:t>
      </w:r>
      <w:bookmarkEnd w:id="50"/>
    </w:p>
    <w:p>
      <w:pPr>
        <w:snapToGrid w:val="0"/>
        <w:spacing w:line="360" w:lineRule="auto"/>
        <w:jc w:val="left"/>
        <w:outlineLvl w:val="1"/>
        <w:rPr>
          <w:rFonts w:ascii="宋体" w:hAnsi="宋体"/>
          <w:b/>
          <w:color w:val="auto"/>
          <w:sz w:val="24"/>
          <w:highlight w:val="none"/>
        </w:rPr>
      </w:pPr>
      <w:r>
        <w:rPr>
          <w:rFonts w:hint="eastAsia" w:ascii="宋体" w:hAnsi="宋体"/>
          <w:b/>
          <w:color w:val="auto"/>
          <w:sz w:val="24"/>
          <w:highlight w:val="none"/>
        </w:rPr>
        <w:t>1. 适用范围</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本磋商文件适用于该项目的邀请、响应、开启响应文件、信用信息查询、资格性审查、评审、成交、合同、验收等行为（法律、法规另有规定的，从其规定）。</w:t>
      </w:r>
    </w:p>
    <w:p>
      <w:pPr>
        <w:adjustRightInd/>
        <w:spacing w:line="360" w:lineRule="auto"/>
        <w:outlineLvl w:val="0"/>
        <w:rPr>
          <w:rFonts w:ascii="宋体" w:hAnsi="宋体" w:cs="仿宋_GB2312"/>
          <w:b/>
          <w:color w:val="auto"/>
          <w:sz w:val="24"/>
          <w:highlight w:val="none"/>
        </w:rPr>
      </w:pPr>
      <w:bookmarkStart w:id="51" w:name="_Toc5905"/>
      <w:r>
        <w:rPr>
          <w:rFonts w:hint="eastAsia" w:ascii="宋体" w:hAnsi="宋体" w:cs="仿宋_GB2312"/>
          <w:b/>
          <w:color w:val="auto"/>
          <w:sz w:val="24"/>
          <w:highlight w:val="none"/>
        </w:rPr>
        <w:t>2.定义</w:t>
      </w:r>
      <w:bookmarkEnd w:id="51"/>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 “采购人”系指磋商邀请公告中载明的本项目的采购人。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 “采购代理机构”系指磋商邀请公告中载明的本项目的采购代理机构。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 “供应商”系指响应磋商、参加本次竞争的法人、其他组织或自然人。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 “负责人”系指法人企业的法定负责人，或其他组织为法律、行政法规规定代表单位行使职权的主要负责人，或自然人本人。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 “成交人”系指经评审确定的成交供应商。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2.6“响应文件”系指供应商提交的商务技术文件。供应商提交最后报价后，最后报价是供应商响应文件的有效组成部分。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2.7“电子交易平台”系指本项目政府采购活动所依托的政府采购云平台（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9"/>
          <w:rFonts w:hint="eastAsia" w:ascii="宋体" w:hAnsi="宋体" w:eastAsia="宋体" w:cs="Times New Roman"/>
          <w:snapToGrid/>
          <w:color w:val="auto"/>
          <w:kern w:val="2"/>
          <w:sz w:val="24"/>
          <w:szCs w:val="24"/>
          <w:highlight w:val="none"/>
        </w:rPr>
        <w:t>https://www.zcygov.cn/</w:t>
      </w:r>
      <w:r>
        <w:rPr>
          <w:rStyle w:val="69"/>
          <w:rFonts w:hint="eastAsia" w:ascii="宋体" w:hAnsi="宋体" w:eastAsia="宋体" w:cs="Times New Roman"/>
          <w:snapToGrid/>
          <w:color w:val="auto"/>
          <w:kern w:val="2"/>
          <w:sz w:val="24"/>
          <w:szCs w:val="24"/>
          <w:highlight w:val="none"/>
        </w:rPr>
        <w:fldChar w:fldCharType="end"/>
      </w: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2.8“电子签名”系指数据电文中以电子形式所含、所附用于识别签名人身份并表明签名人认可其中内容的数据；“公章”系指单位法定名称章。</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2.9 </w:t>
      </w:r>
      <w:r>
        <w:rPr>
          <w:rFonts w:hint="eastAsia" w:ascii="宋体" w:hAnsi="宋体"/>
          <w:color w:val="auto"/>
          <w:sz w:val="24"/>
          <w:highlight w:val="none"/>
          <w:u w:val="single"/>
        </w:rPr>
        <w:t>“书面形式”包括数据电文形式与纸质形式。数据电文形式与纸质形式的采购活动具有同等法律效力。</w:t>
      </w:r>
    </w:p>
    <w:p>
      <w:pPr>
        <w:snapToGrid w:val="0"/>
        <w:spacing w:line="360" w:lineRule="auto"/>
        <w:ind w:firstLine="480" w:firstLineChars="200"/>
        <w:jc w:val="left"/>
        <w:rPr>
          <w:rFonts w:ascii="宋体" w:hAnsi="宋体"/>
          <w:b/>
          <w:color w:val="auto"/>
          <w:sz w:val="24"/>
          <w:highlight w:val="none"/>
        </w:rPr>
      </w:pPr>
      <w:r>
        <w:rPr>
          <w:rFonts w:hint="eastAsia" w:ascii="宋体" w:hAnsi="宋体"/>
          <w:color w:val="auto"/>
          <w:sz w:val="24"/>
          <w:highlight w:val="none"/>
        </w:rPr>
        <w:t>2.10 “</w:t>
      </w:r>
      <w:r>
        <w:rPr>
          <w:rFonts w:hint="eastAsia" w:ascii="宋体" w:hAnsi="宋体" w:cs="宋体"/>
          <w:color w:val="auto"/>
          <w:sz w:val="24"/>
          <w:highlight w:val="none"/>
        </w:rPr>
        <w:t>★</w:t>
      </w:r>
      <w:r>
        <w:rPr>
          <w:rFonts w:hint="eastAsia" w:ascii="宋体" w:hAnsi="宋体"/>
          <w:color w:val="auto"/>
          <w:sz w:val="24"/>
          <w:highlight w:val="none"/>
        </w:rPr>
        <w:t xml:space="preserve">” 系指实质性要求条款， “▲”系指重要条款， </w:t>
      </w:r>
      <w:r>
        <w:rPr>
          <w:rFonts w:hint="eastAsia" w:ascii="宋体" w:hAnsi="宋体" w:cs="宋体"/>
          <w:color w:val="auto"/>
          <w:sz w:val="24"/>
          <w:highlight w:val="none"/>
        </w:rPr>
        <w:t>“</w:t>
      </w:r>
      <w:r>
        <w:rPr>
          <w:rFonts w:ascii="Wingdings" w:hAnsi="Wingdings" w:cs="宋体"/>
          <w:color w:val="auto"/>
          <w:kern w:val="0"/>
          <w:sz w:val="24"/>
          <w:highlight w:val="none"/>
        </w:rPr>
        <w:t></w:t>
      </w:r>
      <w:r>
        <w:rPr>
          <w:rFonts w:hint="eastAsia" w:ascii="宋体" w:hAnsi="宋体" w:cs="宋体"/>
          <w:color w:val="auto"/>
          <w:sz w:val="24"/>
          <w:highlight w:val="none"/>
        </w:rPr>
        <w:t>” 系指适用本项目的要求，“</w:t>
      </w:r>
      <w:r>
        <w:rPr>
          <w:rFonts w:hint="eastAsia" w:ascii="MS Mincho" w:hAnsi="MS Mincho" w:eastAsia="MS Mincho" w:cs="MS Mincho"/>
          <w:color w:val="auto"/>
          <w:kern w:val="0"/>
          <w:sz w:val="24"/>
          <w:highlight w:val="none"/>
        </w:rPr>
        <w:t>☐</w:t>
      </w:r>
      <w:r>
        <w:rPr>
          <w:rFonts w:hint="eastAsia" w:ascii="宋体" w:hAnsi="宋体" w:cs="宋体"/>
          <w:color w:val="auto"/>
          <w:sz w:val="24"/>
          <w:highlight w:val="none"/>
        </w:rPr>
        <w:t>” 系指不适用本项目的要求。</w:t>
      </w:r>
    </w:p>
    <w:p>
      <w:pPr>
        <w:adjustRightInd/>
        <w:spacing w:line="360" w:lineRule="auto"/>
        <w:outlineLvl w:val="0"/>
        <w:rPr>
          <w:rFonts w:ascii="宋体" w:hAnsi="宋体" w:cs="仿宋_GB2312"/>
          <w:b/>
          <w:color w:val="auto"/>
          <w:sz w:val="24"/>
          <w:highlight w:val="none"/>
        </w:rPr>
      </w:pPr>
      <w:bookmarkStart w:id="52" w:name="_Toc1570"/>
      <w:r>
        <w:rPr>
          <w:rFonts w:hint="eastAsia" w:ascii="宋体" w:hAnsi="宋体" w:cs="仿宋_GB2312"/>
          <w:b/>
          <w:color w:val="auto"/>
          <w:sz w:val="24"/>
          <w:highlight w:val="none"/>
        </w:rPr>
        <w:t>3. 响应有效期</w:t>
      </w:r>
      <w:bookmarkEnd w:id="52"/>
    </w:p>
    <w:p>
      <w:pPr>
        <w:spacing w:line="360" w:lineRule="auto"/>
        <w:ind w:firstLine="480" w:firstLineChars="200"/>
        <w:rPr>
          <w:rFonts w:ascii="宋体" w:hAnsi="宋体" w:cs="仿宋_GB2312"/>
          <w:b/>
          <w:color w:val="auto"/>
          <w:sz w:val="24"/>
          <w:szCs w:val="21"/>
          <w:highlight w:val="none"/>
        </w:rPr>
      </w:pPr>
      <w:r>
        <w:rPr>
          <w:rFonts w:hint="eastAsia" w:ascii="宋体" w:hAnsi="宋体" w:cs="仿宋_GB2312"/>
          <w:color w:val="auto"/>
          <w:sz w:val="24"/>
          <w:szCs w:val="20"/>
          <w:highlight w:val="none"/>
        </w:rPr>
        <w:t>★3.1</w:t>
      </w:r>
      <w:r>
        <w:rPr>
          <w:rFonts w:hint="eastAsia" w:ascii="宋体" w:hAnsi="宋体" w:cs="仿宋_GB2312"/>
          <w:b/>
          <w:color w:val="auto"/>
          <w:sz w:val="24"/>
          <w:szCs w:val="20"/>
          <w:highlight w:val="none"/>
        </w:rPr>
        <w:t>响应有效期为从提交响应文件的截止之日起90天。供应商的响应文件中承</w:t>
      </w:r>
      <w:r>
        <w:rPr>
          <w:rFonts w:hint="eastAsia" w:ascii="宋体" w:hAnsi="宋体" w:cs="仿宋_GB2312"/>
          <w:b/>
          <w:color w:val="auto"/>
          <w:sz w:val="24"/>
          <w:szCs w:val="21"/>
          <w:highlight w:val="none"/>
        </w:rPr>
        <w:t>诺的响应有效期少于磋商文件中载明的磋商有效期的，响应无效。</w:t>
      </w:r>
    </w:p>
    <w:p>
      <w:pPr>
        <w:pStyle w:val="397"/>
        <w:spacing w:before="0"/>
        <w:ind w:firstLine="480"/>
        <w:rPr>
          <w:rFonts w:ascii="宋体" w:hAnsi="宋体" w:cs="仿宋_GB2312"/>
          <w:color w:val="auto"/>
          <w:highlight w:val="none"/>
        </w:rPr>
      </w:pPr>
      <w:r>
        <w:rPr>
          <w:rFonts w:hint="eastAsia" w:ascii="宋体" w:hAnsi="宋体" w:cs="仿宋_GB2312"/>
          <w:color w:val="auto"/>
          <w:highlight w:val="none"/>
        </w:rPr>
        <w:t>3.2响应文件合格提交后，自响应截止日期起，在响应有效期内有效。</w:t>
      </w:r>
    </w:p>
    <w:p>
      <w:pPr>
        <w:pStyle w:val="397"/>
        <w:spacing w:before="0"/>
        <w:ind w:firstLine="480"/>
        <w:rPr>
          <w:rFonts w:ascii="宋体" w:hAnsi="宋体" w:cs="仿宋_GB2312"/>
          <w:color w:val="auto"/>
          <w:highlight w:val="none"/>
        </w:rPr>
      </w:pPr>
      <w:r>
        <w:rPr>
          <w:rFonts w:hint="eastAsia" w:ascii="宋体" w:hAnsi="宋体" w:cs="仿宋_GB2312"/>
          <w:color w:val="auto"/>
          <w:highlight w:val="none"/>
        </w:rPr>
        <w:t>3.3在原定响应有效期满之前，如果出现特殊情况，采购代理机构可以以书面形式通知供应商延长响应有效期。供应商同意延长的，不得要求或被允许修改其响应文件;供应商拒绝延长的，其响应无效。</w:t>
      </w:r>
      <w:r>
        <w:rPr>
          <w:rFonts w:hint="eastAsia" w:ascii="宋体" w:hAnsi="宋体"/>
          <w:color w:val="auto"/>
          <w:szCs w:val="24"/>
          <w:highlight w:val="none"/>
        </w:rPr>
        <w:t>拒绝延长磋商有效期的供应商不得再参与该项目后续采购活动。</w:t>
      </w:r>
    </w:p>
    <w:p>
      <w:pPr>
        <w:tabs>
          <w:tab w:val="left" w:pos="3780"/>
        </w:tabs>
        <w:spacing w:line="360" w:lineRule="auto"/>
        <w:rPr>
          <w:rFonts w:ascii="宋体" w:hAnsi="宋体"/>
          <w:b/>
          <w:color w:val="auto"/>
          <w:sz w:val="24"/>
          <w:highlight w:val="none"/>
        </w:rPr>
      </w:pPr>
      <w:r>
        <w:rPr>
          <w:rFonts w:hint="eastAsia" w:ascii="宋体" w:hAnsi="宋体"/>
          <w:b/>
          <w:color w:val="auto"/>
          <w:sz w:val="24"/>
          <w:highlight w:val="none"/>
        </w:rPr>
        <w:t>4．响应费用</w:t>
      </w:r>
    </w:p>
    <w:p>
      <w:pPr>
        <w:pStyle w:val="36"/>
        <w:spacing w:line="360" w:lineRule="auto"/>
        <w:ind w:firstLine="360" w:firstLineChars="150"/>
        <w:rPr>
          <w:rFonts w:hAnsi="宋体"/>
          <w:color w:val="auto"/>
          <w:sz w:val="24"/>
          <w:highlight w:val="none"/>
          <w:lang w:val="zh-CN"/>
        </w:rPr>
      </w:pPr>
      <w:r>
        <w:rPr>
          <w:rFonts w:hint="eastAsia" w:hAnsi="宋体"/>
          <w:color w:val="auto"/>
          <w:sz w:val="24"/>
          <w:highlight w:val="none"/>
        </w:rPr>
        <w:t>供应商需自行承担涉及响应的一切费用</w:t>
      </w:r>
      <w:r>
        <w:rPr>
          <w:rFonts w:hint="eastAsia" w:hAnsi="宋体"/>
          <w:color w:val="auto"/>
          <w:sz w:val="24"/>
          <w:highlight w:val="none"/>
          <w:lang w:val="zh-CN"/>
        </w:rPr>
        <w:t>。</w:t>
      </w:r>
    </w:p>
    <w:p>
      <w:pPr>
        <w:spacing w:line="360" w:lineRule="auto"/>
        <w:jc w:val="center"/>
        <w:rPr>
          <w:rFonts w:ascii="宋体" w:hAnsi="宋体" w:cs="仿宋_GB2312"/>
          <w:b/>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3" w:name="_Toc5921"/>
      <w:r>
        <w:rPr>
          <w:rFonts w:hint="eastAsia" w:ascii="宋体" w:hAnsi="宋体" w:cs="仿宋_GB2312"/>
          <w:b/>
          <w:color w:val="auto"/>
          <w:sz w:val="32"/>
          <w:szCs w:val="20"/>
          <w:highlight w:val="none"/>
        </w:rPr>
        <w:t>三、需要落实的政府采购政策</w:t>
      </w:r>
      <w:bookmarkEnd w:id="53"/>
    </w:p>
    <w:p>
      <w:pPr>
        <w:pStyle w:val="397"/>
        <w:spacing w:before="0"/>
        <w:ind w:firstLine="0" w:firstLineChars="0"/>
        <w:rPr>
          <w:rFonts w:ascii="宋体" w:hAnsi="宋体"/>
          <w:b/>
          <w:color w:val="auto"/>
          <w:szCs w:val="24"/>
          <w:highlight w:val="none"/>
        </w:rPr>
      </w:pPr>
      <w:r>
        <w:rPr>
          <w:rFonts w:hint="eastAsia" w:ascii="宋体" w:hAnsi="宋体"/>
          <w:b/>
          <w:color w:val="auto"/>
          <w:szCs w:val="24"/>
          <w:highlight w:val="none"/>
        </w:rPr>
        <w:t>1.是否允许采购进口产品要求</w:t>
      </w:r>
    </w:p>
    <w:p>
      <w:pPr>
        <w:pStyle w:val="36"/>
        <w:spacing w:line="360" w:lineRule="auto"/>
        <w:ind w:firstLine="360" w:firstLineChars="150"/>
        <w:rPr>
          <w:rFonts w:hAnsi="宋体"/>
          <w:color w:val="auto"/>
          <w:sz w:val="24"/>
          <w:highlight w:val="none"/>
        </w:rPr>
      </w:pPr>
      <w:r>
        <w:rPr>
          <w:rFonts w:hint="eastAsia" w:hAnsi="宋体"/>
          <w:color w:val="auto"/>
          <w:sz w:val="24"/>
          <w:highlight w:val="none"/>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hAnsi="宋体" w:cs="宋体"/>
          <w:color w:val="auto"/>
          <w:sz w:val="24"/>
          <w:highlight w:val="none"/>
        </w:rPr>
        <w:t>；</w:t>
      </w:r>
      <w:r>
        <w:rPr>
          <w:rFonts w:hint="eastAsia" w:hAnsi="宋体" w:cs="宋体"/>
          <w:color w:val="auto"/>
          <w:kern w:val="0"/>
          <w:sz w:val="24"/>
          <w:highlight w:val="none"/>
        </w:rPr>
        <w:t>优先采购向我国企业转让技术、与我国企业签订消化吸收再创新方案的供应商的进口产品</w:t>
      </w:r>
      <w:r>
        <w:rPr>
          <w:rFonts w:hint="eastAsia" w:hAnsi="宋体"/>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2.支持绿色发展</w:t>
      </w:r>
    </w:p>
    <w:p>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2.2纳入政府采购管理的修缮、装修类项目采购建材的，鼓励采购单位将绿色建材性能、指标等作为实质性条件纳入采购文件和合同，具体性能指标要求参考相关绿色建材政府采购需求标准。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 xml:space="preserve">2.4 </w:t>
      </w:r>
      <w:r>
        <w:rPr>
          <w:rFonts w:hint="eastAsia" w:ascii="宋体" w:hAnsi="宋体" w:cs="宋体"/>
          <w:color w:val="auto"/>
          <w:sz w:val="24"/>
          <w:highlight w:val="none"/>
        </w:rPr>
        <w:t>鼓励供应商在参加政府采购过程中开展绿色设计、选择绿色材料、打造绿色制造工艺、开展绿色运输、做好废弃产品回收处理，实现产品全周期的绿色环保。鼓励采购单位对其提高预付款比例、免收履约保证金。</w:t>
      </w:r>
    </w:p>
    <w:p>
      <w:pPr>
        <w:pStyle w:val="36"/>
        <w:spacing w:line="360" w:lineRule="auto"/>
        <w:rPr>
          <w:rFonts w:hAnsi="宋体"/>
          <w:b/>
          <w:color w:val="auto"/>
          <w:sz w:val="24"/>
          <w:szCs w:val="24"/>
          <w:highlight w:val="none"/>
        </w:rPr>
      </w:pPr>
      <w:r>
        <w:rPr>
          <w:rFonts w:hint="eastAsia" w:hAnsi="宋体"/>
          <w:b/>
          <w:color w:val="auto"/>
          <w:sz w:val="24"/>
          <w:szCs w:val="24"/>
          <w:highlight w:val="none"/>
        </w:rPr>
        <w:t>3.支持中小企业发展。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pPr>
        <w:widowControl/>
        <w:spacing w:line="360" w:lineRule="auto"/>
        <w:ind w:firstLine="480" w:firstLineChars="200"/>
        <w:jc w:val="left"/>
        <w:rPr>
          <w:rFonts w:ascii="宋体" w:hAnsi="宋体" w:cs="宋体"/>
          <w:color w:val="auto"/>
          <w:kern w:val="0"/>
          <w:sz w:val="24"/>
          <w:highlight w:val="none"/>
        </w:rPr>
      </w:pPr>
      <w:r>
        <w:rPr>
          <w:rFonts w:ascii="宋体" w:hAnsi="宋体" w:cs="宋体"/>
          <w:bCs/>
          <w:color w:val="auto"/>
          <w:sz w:val="24"/>
          <w:highlight w:val="none"/>
        </w:rPr>
        <w:t>3.2</w:t>
      </w:r>
      <w:r>
        <w:rPr>
          <w:rFonts w:hint="eastAsia" w:ascii="宋体" w:hAnsi="宋体" w:cs="宋体"/>
          <w:color w:val="auto"/>
          <w:kern w:val="0"/>
          <w:sz w:val="24"/>
          <w:highlight w:val="none"/>
        </w:rPr>
        <w:t>在政府采购活动中，服务类项目采购，服务由中小企业承接，即提供服务的人员为中小企业依照《中华人民共和国劳动合同法》订立劳动合同的从业人员，享受中小企业扶持政策。</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3.3对于未预留份额专门面向中小企业的政府采购服务项目，以及预留份额政府采购</w:t>
      </w:r>
      <w:r>
        <w:rPr>
          <w:rFonts w:hint="eastAsia" w:ascii="宋体" w:hAnsi="宋体" w:cs="宋体"/>
          <w:color w:val="auto"/>
          <w:sz w:val="24"/>
          <w:highlight w:val="none"/>
          <w:lang w:eastAsia="zh-CN"/>
        </w:rPr>
        <w:t>工程</w:t>
      </w:r>
      <w:r>
        <w:rPr>
          <w:rFonts w:hint="eastAsia" w:ascii="宋体" w:hAnsi="宋体" w:cs="宋体"/>
          <w:color w:val="auto"/>
          <w:sz w:val="24"/>
          <w:highlight w:val="none"/>
        </w:rPr>
        <w:t>项目中的非预留部分标项，对小型和微型企业的最后报价给予</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最后报价给予</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%的扣除，用扣除后的价格参加评审。组成联合体或者接受分包的小微企业与联合体内其他企业、分包企业之间存在直接控股、管理关系的，不享受价格扣除优惠政策。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3.4符合《关于促进残疾人就业政府采购政策的通知》（财库〔2017〕141号）规定的条件并提供《残疾人福利性单位声明函》（附件</w:t>
      </w:r>
      <w:r>
        <w:rPr>
          <w:rFonts w:ascii="宋体" w:hAnsi="宋体" w:cs="宋体"/>
          <w:color w:val="auto"/>
          <w:sz w:val="24"/>
          <w:highlight w:val="none"/>
        </w:rPr>
        <w:t>3</w:t>
      </w:r>
      <w:r>
        <w:rPr>
          <w:rFonts w:hint="eastAsia" w:ascii="宋体" w:hAnsi="宋体" w:cs="宋体"/>
          <w:color w:val="auto"/>
          <w:sz w:val="24"/>
          <w:highlight w:val="none"/>
        </w:rPr>
        <w:t>）的残疾人福利性单位视同小型、微型企业；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符合《关于政府采购支持监狱企业发展有关问题的通知》（财库[2014]68号）规定的监狱企业并提供由省级以上监狱管理局、戒毒管理局（含新疆生产建设兵团）出具的属于监狱企业证明文件的，视同为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3.6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3.7中小企业享受扶持政策获得政府采购合同的，小微企业不得将合同分包给大中型企业，中型企业不得将合同分包给大型企业。</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4.</w:t>
      </w:r>
      <w:r>
        <w:rPr>
          <w:rFonts w:hint="eastAsia" w:ascii="宋体" w:hAnsi="宋体" w:cs="宋体"/>
          <w:b/>
          <w:bCs/>
          <w:color w:val="auto"/>
          <w:sz w:val="24"/>
          <w:highlight w:val="none"/>
        </w:rPr>
        <w:t>支持创新发展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 采购人优先采购被认定为首台套产品和“制造精品”的自主创新产品。</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5.平等对待内外资企业和符合条件的破产重整企业</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p>
    <w:p>
      <w:pPr>
        <w:spacing w:line="360" w:lineRule="auto"/>
        <w:ind w:firstLine="480" w:firstLineChars="200"/>
        <w:rPr>
          <w:rFonts w:ascii="宋体" w:hAnsi="宋体"/>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4" w:name="_Toc450"/>
      <w:r>
        <w:rPr>
          <w:rFonts w:hint="eastAsia" w:ascii="宋体" w:hAnsi="宋体" w:cs="仿宋_GB2312"/>
          <w:b/>
          <w:color w:val="auto"/>
          <w:sz w:val="32"/>
          <w:szCs w:val="20"/>
          <w:highlight w:val="none"/>
        </w:rPr>
        <w:t>四、询问、质疑与投诉</w:t>
      </w:r>
      <w:bookmarkEnd w:id="54"/>
    </w:p>
    <w:p>
      <w:pPr>
        <w:pStyle w:val="36"/>
        <w:spacing w:line="360" w:lineRule="auto"/>
        <w:rPr>
          <w:rFonts w:hAnsi="宋体"/>
          <w:b/>
          <w:color w:val="auto"/>
          <w:sz w:val="24"/>
          <w:highlight w:val="none"/>
        </w:rPr>
      </w:pPr>
      <w:r>
        <w:rPr>
          <w:rFonts w:hint="eastAsia" w:hAnsi="宋体"/>
          <w:b/>
          <w:color w:val="auto"/>
          <w:sz w:val="24"/>
          <w:highlight w:val="none"/>
        </w:rPr>
        <w:t>1.在线询问、质疑、投诉</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rPr>
          <w:rFonts w:ascii="宋体" w:hAnsi="宋体"/>
          <w:b/>
          <w:color w:val="auto"/>
          <w:sz w:val="24"/>
          <w:highlight w:val="none"/>
        </w:rPr>
      </w:pPr>
      <w:r>
        <w:rPr>
          <w:rFonts w:hint="eastAsia" w:ascii="宋体" w:hAnsi="宋体"/>
          <w:b/>
          <w:color w:val="auto"/>
          <w:sz w:val="24"/>
          <w:highlight w:val="none"/>
        </w:rPr>
        <w:t>2. 供应商询问</w:t>
      </w:r>
    </w:p>
    <w:p>
      <w:pPr>
        <w:autoSpaceDE w:val="0"/>
        <w:autoSpaceDN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spacing w:line="360" w:lineRule="auto"/>
        <w:rPr>
          <w:rFonts w:ascii="宋体" w:hAnsi="宋体"/>
          <w:b/>
          <w:color w:val="auto"/>
          <w:sz w:val="24"/>
          <w:highlight w:val="none"/>
        </w:rPr>
      </w:pPr>
      <w:r>
        <w:rPr>
          <w:rFonts w:hint="eastAsia" w:ascii="宋体" w:hAnsi="宋体"/>
          <w:b/>
          <w:color w:val="auto"/>
          <w:sz w:val="24"/>
          <w:highlight w:val="none"/>
        </w:rPr>
        <w:t>3. 供应商质疑</w:t>
      </w:r>
    </w:p>
    <w:p>
      <w:pPr>
        <w:pStyle w:val="36"/>
        <w:spacing w:line="360" w:lineRule="auto"/>
        <w:ind w:firstLine="482" w:firstLineChars="200"/>
        <w:rPr>
          <w:rFonts w:hAnsi="宋体"/>
          <w:b/>
          <w:color w:val="auto"/>
          <w:sz w:val="24"/>
          <w:highlight w:val="none"/>
        </w:rPr>
      </w:pPr>
      <w:r>
        <w:rPr>
          <w:rFonts w:hint="eastAsia" w:hAnsi="宋体" w:cs="微软雅黑"/>
          <w:b/>
          <w:color w:val="auto"/>
          <w:kern w:val="0"/>
          <w:sz w:val="24"/>
          <w:highlight w:val="none"/>
          <w:lang w:val="zh-CN"/>
        </w:rPr>
        <w:t>3</w:t>
      </w:r>
      <w:r>
        <w:rPr>
          <w:rFonts w:hint="eastAsia" w:hAnsi="宋体"/>
          <w:b/>
          <w:color w:val="auto"/>
          <w:sz w:val="24"/>
          <w:highlight w:val="none"/>
        </w:rPr>
        <w:t>.1质疑提出时效</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3.1.1提出质疑的供应商应当是参与所质疑项目采购活动的供应商。潜在供应商已依法获取其可质疑的采购文件的，可以对该文件提出质疑。</w:t>
      </w:r>
    </w:p>
    <w:p>
      <w:pPr>
        <w:pStyle w:val="36"/>
        <w:spacing w:line="360" w:lineRule="auto"/>
        <w:ind w:firstLine="480" w:firstLineChars="200"/>
        <w:rPr>
          <w:rFonts w:hAnsi="宋体"/>
          <w:color w:val="auto"/>
          <w:sz w:val="24"/>
          <w:highlight w:val="none"/>
        </w:rPr>
      </w:pPr>
      <w:r>
        <w:rPr>
          <w:rFonts w:hint="eastAsia" w:hAnsi="宋体" w:cs="微软雅黑"/>
          <w:color w:val="auto"/>
          <w:kern w:val="0"/>
          <w:sz w:val="24"/>
          <w:highlight w:val="none"/>
          <w:lang w:val="zh-CN"/>
        </w:rPr>
        <w:t>3</w:t>
      </w:r>
      <w:r>
        <w:rPr>
          <w:rFonts w:hint="eastAsia" w:hAnsi="宋体"/>
          <w:color w:val="auto"/>
          <w:sz w:val="24"/>
          <w:highlight w:val="none"/>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22"/>
        <w:spacing w:line="360" w:lineRule="auto"/>
        <w:ind w:firstLine="434" w:firstLineChars="181"/>
        <w:rPr>
          <w:rFonts w:hAnsi="宋体"/>
          <w:snapToGrid/>
          <w:color w:val="auto"/>
          <w:kern w:val="2"/>
          <w:sz w:val="24"/>
          <w:highlight w:val="none"/>
        </w:rPr>
      </w:pPr>
      <w:r>
        <w:rPr>
          <w:rFonts w:hint="eastAsia" w:hAnsi="宋体"/>
          <w:snapToGrid/>
          <w:color w:val="auto"/>
          <w:kern w:val="2"/>
          <w:sz w:val="24"/>
          <w:highlight w:val="none"/>
        </w:rPr>
        <w:t>3.1.2.1对采购文件提出质疑的，质疑期限为供应商获得采购文件之日或者采购文件公告期限届满之日起计算，采购文件在获取截止之日后获得的，应当自采购文件公告期限届满之日起计算。</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3.1.2.2对采购过程提出质疑的，质疑期限为各采购程序环节结束之日起计算。</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3.1.2.3对采购结果提出质疑的，质疑期限自采购结果公告期限届满之日起计算。</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3.1.2.4对同一采购程序环节的质疑，供应商须一次性提出。</w:t>
      </w:r>
    </w:p>
    <w:p>
      <w:pPr>
        <w:pStyle w:val="36"/>
        <w:spacing w:line="360" w:lineRule="auto"/>
        <w:ind w:firstLine="482" w:firstLineChars="200"/>
        <w:rPr>
          <w:rFonts w:hAnsi="宋体"/>
          <w:color w:val="auto"/>
          <w:sz w:val="24"/>
          <w:highlight w:val="none"/>
        </w:rPr>
      </w:pPr>
      <w:r>
        <w:rPr>
          <w:rFonts w:hint="eastAsia" w:hAnsi="宋体"/>
          <w:b/>
          <w:color w:val="auto"/>
          <w:sz w:val="24"/>
          <w:highlight w:val="none"/>
        </w:rPr>
        <w:t>3.2质疑答复</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3.2.1采购人或者采购代理机构应当在收到供应商的书面质疑后七个工作日内作出答复，并以书面形式通知质疑供应商和其他与质疑处理结果有利害关系的政府采购当事人，但答复的内容不得涉及商业秘密。</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 2.2询问或者质疑事项可能影响采购结果的，采购人应当暂停签订合同，已经签订合同的，应当中止履行合同。</w:t>
      </w:r>
    </w:p>
    <w:p>
      <w:pPr>
        <w:pStyle w:val="36"/>
        <w:spacing w:line="360" w:lineRule="auto"/>
        <w:ind w:firstLine="482" w:firstLineChars="200"/>
        <w:rPr>
          <w:rFonts w:hAnsi="宋体"/>
          <w:color w:val="auto"/>
          <w:sz w:val="24"/>
          <w:highlight w:val="none"/>
        </w:rPr>
      </w:pPr>
      <w:r>
        <w:rPr>
          <w:rFonts w:hint="eastAsia" w:hAnsi="宋体" w:cs="微软雅黑"/>
          <w:b/>
          <w:color w:val="auto"/>
          <w:kern w:val="0"/>
          <w:sz w:val="24"/>
          <w:highlight w:val="none"/>
          <w:lang w:val="zh-CN"/>
        </w:rPr>
        <w:t>3.3质疑函</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3.3.1供应商提出质疑应当提交质疑函和必要的证明材料。质疑函应当包括下列内容：</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供应商的姓名或者名称、地址、邮编、联系人及联系电话；</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质疑项目的名称、编号；</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具体、明确的质疑事项和与质疑事项相关的请求；</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事实依据；</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必要的法律依据；</w:t>
      </w:r>
    </w:p>
    <w:p>
      <w:pPr>
        <w:pStyle w:val="36"/>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提出质疑的日期。</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供应商提交的质疑函需一式三份。供应商为自然人的，应当由本人签字；供应商为法人或者其他组织的，应当由法定代表人、主要负责人，或者其授权代表签字或者盖章，并加盖公章。</w:t>
      </w:r>
    </w:p>
    <w:p>
      <w:pPr>
        <w:pStyle w:val="36"/>
        <w:spacing w:line="360" w:lineRule="auto"/>
        <w:ind w:firstLine="482" w:firstLineChars="200"/>
        <w:rPr>
          <w:rFonts w:hAnsi="宋体"/>
          <w:b/>
          <w:color w:val="auto"/>
          <w:sz w:val="24"/>
          <w:highlight w:val="none"/>
        </w:rPr>
      </w:pPr>
      <w:r>
        <w:rPr>
          <w:rFonts w:hint="eastAsia" w:hAnsi="宋体"/>
          <w:b/>
          <w:color w:val="auto"/>
          <w:sz w:val="24"/>
          <w:highlight w:val="none"/>
        </w:rPr>
        <w:t>质疑函范本及制作说明详见附件</w:t>
      </w:r>
      <w:r>
        <w:rPr>
          <w:rFonts w:hAnsi="宋体"/>
          <w:b/>
          <w:color w:val="auto"/>
          <w:sz w:val="24"/>
          <w:highlight w:val="none"/>
        </w:rPr>
        <w:t>1</w:t>
      </w:r>
      <w:r>
        <w:rPr>
          <w:rFonts w:hint="eastAsia" w:hAnsi="宋体"/>
          <w:b/>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4</w:t>
      </w:r>
      <w:r>
        <w:rPr>
          <w:rFonts w:ascii="宋体" w:hAnsi="宋体"/>
          <w:b/>
          <w:color w:val="auto"/>
          <w:sz w:val="24"/>
          <w:highlight w:val="none"/>
        </w:rPr>
        <w:t>.供应商投诉</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.1质疑供应商对采购人、</w:t>
      </w:r>
      <w:r>
        <w:rPr>
          <w:rFonts w:hint="eastAsia" w:hAnsi="宋体"/>
          <w:color w:val="auto"/>
          <w:sz w:val="24"/>
          <w:highlight w:val="none"/>
        </w:rPr>
        <w:t>采购代理机构</w:t>
      </w:r>
      <w:r>
        <w:rPr>
          <w:rFonts w:hAnsi="宋体"/>
          <w:color w:val="auto"/>
          <w:sz w:val="24"/>
          <w:highlight w:val="none"/>
        </w:rPr>
        <w:t>的答复不满意或者采购人、</w:t>
      </w:r>
      <w:r>
        <w:rPr>
          <w:rFonts w:hint="eastAsia" w:hAnsi="宋体"/>
          <w:color w:val="auto"/>
          <w:sz w:val="24"/>
          <w:highlight w:val="none"/>
        </w:rPr>
        <w:t>采购代理机构</w:t>
      </w:r>
      <w:r>
        <w:rPr>
          <w:rFonts w:hAnsi="宋体"/>
          <w:color w:val="auto"/>
          <w:sz w:val="24"/>
          <w:highlight w:val="none"/>
        </w:rPr>
        <w:t>未在规定的时间内</w:t>
      </w:r>
      <w:r>
        <w:rPr>
          <w:rFonts w:hint="eastAsia" w:hAnsi="宋体"/>
          <w:color w:val="auto"/>
          <w:sz w:val="24"/>
          <w:highlight w:val="none"/>
        </w:rPr>
        <w:t>作出答复的，可以在答复期满后十五个工作日内向同级政府采购监督管理部门提出投诉。</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.2供应</w:t>
      </w:r>
      <w:r>
        <w:rPr>
          <w:rFonts w:hint="eastAsia" w:hAnsi="宋体"/>
          <w:color w:val="auto"/>
          <w:sz w:val="24"/>
          <w:highlight w:val="none"/>
        </w:rPr>
        <w:t>商投诉的事项不得超出已质疑事项的范围，基于质疑答复内容提出的投诉事项除外。</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.3供应</w:t>
      </w:r>
      <w:r>
        <w:rPr>
          <w:rFonts w:hint="eastAsia" w:hAnsi="宋体"/>
          <w:color w:val="auto"/>
          <w:sz w:val="24"/>
          <w:highlight w:val="none"/>
        </w:rPr>
        <w:t>商投诉应当有明确的请求和必要的证明材料。</w:t>
      </w:r>
    </w:p>
    <w:p>
      <w:pPr>
        <w:pStyle w:val="36"/>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.4以联合体形</w:t>
      </w:r>
      <w:r>
        <w:rPr>
          <w:rFonts w:hint="eastAsia" w:hAnsi="宋体"/>
          <w:color w:val="auto"/>
          <w:sz w:val="24"/>
          <w:highlight w:val="none"/>
        </w:rPr>
        <w:t>式参加政府采购活动的，其投诉应当由组成联合体的所有供应商共同提出。</w:t>
      </w:r>
    </w:p>
    <w:p>
      <w:pPr>
        <w:pStyle w:val="36"/>
        <w:spacing w:line="360" w:lineRule="auto"/>
        <w:ind w:firstLine="482" w:firstLineChars="200"/>
        <w:rPr>
          <w:rFonts w:hAnsi="宋体"/>
          <w:b/>
          <w:color w:val="auto"/>
          <w:sz w:val="24"/>
          <w:highlight w:val="none"/>
        </w:rPr>
      </w:pPr>
      <w:r>
        <w:rPr>
          <w:rFonts w:hint="eastAsia" w:hAnsi="宋体"/>
          <w:b/>
          <w:color w:val="auto"/>
          <w:sz w:val="24"/>
          <w:highlight w:val="none"/>
        </w:rPr>
        <w:t>投诉书范本及制作说明详见附件</w:t>
      </w:r>
      <w:r>
        <w:rPr>
          <w:rFonts w:hAnsi="宋体"/>
          <w:b/>
          <w:color w:val="auto"/>
          <w:sz w:val="24"/>
          <w:highlight w:val="none"/>
        </w:rPr>
        <w:t>2</w:t>
      </w:r>
      <w:r>
        <w:rPr>
          <w:rFonts w:hint="eastAsia" w:hAnsi="宋体"/>
          <w:b/>
          <w:color w:val="auto"/>
          <w:sz w:val="24"/>
          <w:highlight w:val="none"/>
        </w:rPr>
        <w:t>。</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5" w:name="_Toc113"/>
      <w:r>
        <w:rPr>
          <w:rFonts w:hint="eastAsia" w:ascii="宋体" w:hAnsi="宋体" w:cs="仿宋_GB2312"/>
          <w:b/>
          <w:color w:val="auto"/>
          <w:sz w:val="32"/>
          <w:szCs w:val="20"/>
          <w:highlight w:val="none"/>
        </w:rPr>
        <w:t>五、磋商文件构成、修改、解释</w:t>
      </w:r>
      <w:bookmarkEnd w:id="55"/>
    </w:p>
    <w:p>
      <w:pPr>
        <w:autoSpaceDE w:val="0"/>
        <w:autoSpaceDN w:val="0"/>
        <w:spacing w:line="360" w:lineRule="auto"/>
        <w:rPr>
          <w:rFonts w:ascii="宋体" w:hAnsi="宋体"/>
          <w:b/>
          <w:color w:val="auto"/>
          <w:sz w:val="24"/>
          <w:highlight w:val="none"/>
        </w:rPr>
      </w:pPr>
      <w:r>
        <w:rPr>
          <w:rFonts w:hint="eastAsia" w:ascii="宋体" w:hAnsi="宋体"/>
          <w:b/>
          <w:color w:val="auto"/>
          <w:sz w:val="24"/>
          <w:highlight w:val="none"/>
        </w:rPr>
        <w:t>1．磋商文件的构成</w:t>
      </w:r>
    </w:p>
    <w:p>
      <w:pPr>
        <w:pStyle w:val="36"/>
        <w:spacing w:line="360" w:lineRule="auto"/>
        <w:ind w:firstLine="480" w:firstLineChars="200"/>
        <w:rPr>
          <w:rFonts w:hAnsi="宋体"/>
          <w:color w:val="auto"/>
          <w:sz w:val="24"/>
          <w:szCs w:val="24"/>
          <w:highlight w:val="none"/>
        </w:rPr>
      </w:pPr>
      <w:r>
        <w:rPr>
          <w:rFonts w:hint="eastAsia" w:hAnsi="宋体"/>
          <w:color w:val="auto"/>
          <w:sz w:val="24"/>
          <w:szCs w:val="24"/>
          <w:highlight w:val="none"/>
        </w:rPr>
        <w:t>1.1 磋商文件包括下列文件及附件</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第一部分  供应商邀请</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第二部分  竞争性磋商流程</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第三部分  供应商须知</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第四部分  采购需求</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第五部分  评审方法及评审标准</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第六部分  拟签订的合同文本</w:t>
      </w:r>
    </w:p>
    <w:p>
      <w:pPr>
        <w:pStyle w:val="36"/>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第七部分  应提交的有关格式范例</w:t>
      </w:r>
    </w:p>
    <w:p>
      <w:pPr>
        <w:pStyle w:val="36"/>
        <w:spacing w:line="360" w:lineRule="auto"/>
        <w:ind w:firstLine="480" w:firstLineChars="200"/>
        <w:rPr>
          <w:rFonts w:hAnsi="宋体"/>
          <w:color w:val="auto"/>
          <w:sz w:val="24"/>
          <w:szCs w:val="24"/>
          <w:highlight w:val="none"/>
        </w:rPr>
      </w:pPr>
      <w:r>
        <w:rPr>
          <w:rFonts w:hint="eastAsia" w:hAnsi="宋体"/>
          <w:color w:val="auto"/>
          <w:sz w:val="24"/>
          <w:szCs w:val="24"/>
          <w:highlight w:val="none"/>
        </w:rPr>
        <w:t xml:space="preserve">1.2 </w:t>
      </w:r>
      <w:r>
        <w:rPr>
          <w:rFonts w:hint="eastAsia" w:hAnsi="宋体"/>
          <w:color w:val="auto"/>
          <w:sz w:val="24"/>
          <w:highlight w:val="none"/>
        </w:rPr>
        <w:t>与本项目有关的</w:t>
      </w:r>
      <w:r>
        <w:rPr>
          <w:rFonts w:hint="eastAsia" w:hAnsi="宋体"/>
          <w:bCs/>
          <w:color w:val="auto"/>
          <w:sz w:val="24"/>
          <w:highlight w:val="none"/>
        </w:rPr>
        <w:t>澄清或者修改的内容为磋商文件的组成部分</w:t>
      </w:r>
      <w:r>
        <w:rPr>
          <w:rFonts w:hint="eastAsia" w:hAnsi="宋体" w:cs="仿宋_GB2312"/>
          <w:color w:val="auto"/>
          <w:sz w:val="24"/>
          <w:highlight w:val="none"/>
        </w:rPr>
        <w:t>。</w:t>
      </w:r>
    </w:p>
    <w:p>
      <w:pPr>
        <w:pStyle w:val="36"/>
        <w:spacing w:line="360" w:lineRule="auto"/>
        <w:rPr>
          <w:rFonts w:hAnsi="宋体" w:cs="仿宋_GB2312"/>
          <w:b/>
          <w:color w:val="auto"/>
          <w:sz w:val="24"/>
          <w:szCs w:val="24"/>
          <w:highlight w:val="none"/>
        </w:rPr>
      </w:pPr>
      <w:r>
        <w:rPr>
          <w:rFonts w:hint="eastAsia" w:hAnsi="宋体"/>
          <w:b/>
          <w:color w:val="auto"/>
          <w:sz w:val="24"/>
          <w:szCs w:val="24"/>
          <w:highlight w:val="none"/>
        </w:rPr>
        <w:t>2. 磋商文件的</w:t>
      </w:r>
      <w:r>
        <w:rPr>
          <w:rFonts w:hint="eastAsia" w:hAnsi="宋体" w:cs="仿宋_GB2312"/>
          <w:b/>
          <w:color w:val="auto"/>
          <w:sz w:val="24"/>
          <w:szCs w:val="24"/>
          <w:highlight w:val="none"/>
        </w:rPr>
        <w:t>澄清、修改</w:t>
      </w:r>
    </w:p>
    <w:p>
      <w:pPr>
        <w:pStyle w:val="397"/>
        <w:snapToGrid w:val="0"/>
        <w:spacing w:before="0"/>
        <w:ind w:firstLine="480"/>
        <w:rPr>
          <w:rFonts w:ascii="宋体" w:hAnsi="宋体" w:cs="仿宋_GB2312"/>
          <w:color w:val="auto"/>
          <w:highlight w:val="none"/>
        </w:rPr>
      </w:pPr>
      <w:r>
        <w:rPr>
          <w:rFonts w:hint="eastAsia" w:ascii="宋体" w:hAnsi="宋体" w:cs="仿宋_GB2312"/>
          <w:color w:val="auto"/>
          <w:highlight w:val="none"/>
        </w:rPr>
        <w:t>2.1已获取磋商文件的潜在供应商，若有问题需要澄清，应于提交首次响应文件截止时间前，以书面形式向采购代理机构提出。</w:t>
      </w:r>
    </w:p>
    <w:p>
      <w:pPr>
        <w:pStyle w:val="397"/>
        <w:snapToGrid w:val="0"/>
        <w:spacing w:before="0"/>
        <w:ind w:firstLine="480"/>
        <w:rPr>
          <w:rFonts w:ascii="宋体" w:hAnsi="宋体"/>
          <w:color w:val="auto"/>
          <w:highlight w:val="none"/>
        </w:rPr>
      </w:pPr>
      <w:r>
        <w:rPr>
          <w:rFonts w:hint="eastAsia" w:ascii="宋体" w:hAnsi="宋体"/>
          <w:color w:val="auto"/>
          <w:highlight w:val="none"/>
        </w:rPr>
        <w:t>2.2</w:t>
      </w:r>
      <w:r>
        <w:rPr>
          <w:rFonts w:hint="eastAsia" w:ascii="宋体" w:hAnsi="宋体" w:cs="宋体"/>
          <w:color w:val="auto"/>
          <w:highlight w:val="none"/>
        </w:rPr>
        <w:t>采购代理机构对磋商文件进行澄清或修改的，将同时通过电子交易平台通知已获取磋商文件的供应商。依法应当公告的，将按规定公告，同时视情况延长</w:t>
      </w:r>
      <w:r>
        <w:rPr>
          <w:rFonts w:hint="eastAsia" w:ascii="宋体" w:hAnsi="宋体"/>
          <w:color w:val="auto"/>
          <w:highlight w:val="none"/>
        </w:rPr>
        <w:t>提交首次</w:t>
      </w:r>
      <w:r>
        <w:rPr>
          <w:rFonts w:hint="eastAsia" w:ascii="宋体" w:hAnsi="宋体" w:cs="宋体"/>
          <w:color w:val="auto"/>
          <w:highlight w:val="none"/>
        </w:rPr>
        <w:t>响应文件截止时间和响应文件开启时间。该澄清或者修改的内容为磋商文件的组成部分。</w:t>
      </w:r>
    </w:p>
    <w:p>
      <w:pPr>
        <w:pStyle w:val="397"/>
        <w:snapToGrid w:val="0"/>
        <w:spacing w:before="0"/>
        <w:ind w:firstLine="480"/>
        <w:rPr>
          <w:rFonts w:ascii="宋体" w:hAnsi="宋体"/>
          <w:color w:val="auto"/>
          <w:highlight w:val="none"/>
        </w:rPr>
      </w:pPr>
      <w:r>
        <w:rPr>
          <w:rFonts w:hint="eastAsia" w:ascii="宋体" w:hAnsi="宋体"/>
          <w:color w:val="auto"/>
          <w:highlight w:val="none"/>
        </w:rPr>
        <w:t>2.3澄清或者修改的内容可能影响响应文件编制的，采购人、采购代理机构应当在提交首次响应文件截止时间至少5日前，</w:t>
      </w:r>
      <w:r>
        <w:rPr>
          <w:rFonts w:hint="eastAsia" w:ascii="宋体" w:hAnsi="宋体" w:cs="宋体"/>
          <w:color w:val="auto"/>
          <w:highlight w:val="none"/>
        </w:rPr>
        <w:t>通过电子交易平台</w:t>
      </w:r>
      <w:r>
        <w:rPr>
          <w:rFonts w:hint="eastAsia" w:ascii="宋体" w:hAnsi="宋体"/>
          <w:color w:val="auto"/>
          <w:highlight w:val="none"/>
        </w:rPr>
        <w:t>通知所有获取磋商文件的供应商；不足5日的，采购人、采购代理机构应当顺延提交首次响应文件截止时间。</w:t>
      </w:r>
    </w:p>
    <w:p>
      <w:pPr>
        <w:pStyle w:val="397"/>
        <w:snapToGrid w:val="0"/>
        <w:spacing w:before="0"/>
        <w:ind w:firstLine="482"/>
        <w:rPr>
          <w:rFonts w:ascii="宋体" w:hAnsi="宋体"/>
          <w:color w:val="auto"/>
          <w:highlight w:val="none"/>
        </w:rPr>
      </w:pPr>
      <w:r>
        <w:rPr>
          <w:rFonts w:hint="eastAsia" w:ascii="宋体" w:hAnsi="宋体"/>
          <w:b/>
          <w:color w:val="auto"/>
          <w:highlight w:val="none"/>
        </w:rPr>
        <w:t>★</w:t>
      </w:r>
      <w:r>
        <w:rPr>
          <w:rFonts w:hint="eastAsia" w:ascii="宋体" w:hAnsi="宋体" w:cs="仿宋_GB2312"/>
          <w:b/>
          <w:color w:val="auto"/>
          <w:szCs w:val="21"/>
          <w:highlight w:val="none"/>
        </w:rPr>
        <w:t>响应文件未按磋商文件的澄清、修改的内容编制，又不符合实质性要求的，响应无效。</w:t>
      </w:r>
    </w:p>
    <w:p>
      <w:pPr>
        <w:pStyle w:val="16"/>
        <w:rPr>
          <w:rFonts w:hAnsi="宋体" w:cs="仿宋_GB2312"/>
          <w:color w:val="auto"/>
          <w:sz w:val="18"/>
          <w:szCs w:val="18"/>
          <w:highlight w:val="none"/>
          <w:lang w:val="en-US"/>
        </w:rPr>
      </w:pPr>
      <w:r>
        <w:rPr>
          <w:rFonts w:hint="eastAsia" w:hAnsi="宋体" w:cs="仿宋_GB2312"/>
          <w:color w:val="auto"/>
          <w:szCs w:val="24"/>
          <w:highlight w:val="none"/>
          <w:lang w:val="en-US"/>
        </w:rPr>
        <w:t xml:space="preserve">    </w:t>
      </w:r>
    </w:p>
    <w:p>
      <w:pPr>
        <w:adjustRightInd/>
        <w:spacing w:line="360" w:lineRule="auto"/>
        <w:jc w:val="center"/>
        <w:outlineLvl w:val="0"/>
        <w:rPr>
          <w:rFonts w:ascii="宋体" w:hAnsi="宋体" w:cs="仿宋_GB2312"/>
          <w:b/>
          <w:color w:val="auto"/>
          <w:sz w:val="32"/>
          <w:szCs w:val="20"/>
          <w:highlight w:val="none"/>
        </w:rPr>
      </w:pPr>
      <w:bookmarkStart w:id="56" w:name="_Toc16989"/>
      <w:r>
        <w:rPr>
          <w:rFonts w:hint="eastAsia" w:ascii="宋体" w:hAnsi="宋体" w:cs="仿宋_GB2312"/>
          <w:b/>
          <w:color w:val="auto"/>
          <w:sz w:val="32"/>
          <w:szCs w:val="20"/>
          <w:highlight w:val="none"/>
        </w:rPr>
        <w:t>六、响应文件的编制</w:t>
      </w:r>
      <w:bookmarkEnd w:id="56"/>
    </w:p>
    <w:p>
      <w:pPr>
        <w:pStyle w:val="36"/>
        <w:spacing w:line="360" w:lineRule="auto"/>
        <w:rPr>
          <w:rFonts w:hAnsi="宋体" w:cs="仿宋_GB2312"/>
          <w:b/>
          <w:color w:val="auto"/>
          <w:sz w:val="24"/>
          <w:szCs w:val="24"/>
          <w:highlight w:val="none"/>
        </w:rPr>
      </w:pPr>
      <w:r>
        <w:rPr>
          <w:rFonts w:hint="eastAsia" w:hAnsi="宋体"/>
          <w:b/>
          <w:color w:val="auto"/>
          <w:sz w:val="24"/>
          <w:highlight w:val="none"/>
        </w:rPr>
        <w:t>1. 响应文件的语言</w:t>
      </w:r>
    </w:p>
    <w:p>
      <w:pPr>
        <w:pStyle w:val="36"/>
        <w:spacing w:line="360" w:lineRule="auto"/>
        <w:ind w:firstLine="480" w:firstLineChars="200"/>
        <w:rPr>
          <w:rFonts w:hAnsi="宋体" w:cs="仿宋_GB2312"/>
          <w:b/>
          <w:color w:val="auto"/>
          <w:sz w:val="24"/>
          <w:szCs w:val="24"/>
          <w:highlight w:val="none"/>
        </w:rPr>
      </w:pPr>
      <w:r>
        <w:rPr>
          <w:rFonts w:hint="eastAsia" w:hAnsi="宋体"/>
          <w:color w:val="auto"/>
          <w:sz w:val="24"/>
          <w:highlight w:val="none"/>
        </w:rPr>
        <w:t>响应文件及供应商与采购有关的来往通知、函件和文件均应使用中文。</w:t>
      </w:r>
    </w:p>
    <w:p>
      <w:pPr>
        <w:pStyle w:val="36"/>
        <w:spacing w:line="360" w:lineRule="auto"/>
        <w:rPr>
          <w:rFonts w:hAnsi="宋体" w:cs="仿宋_GB2312"/>
          <w:b/>
          <w:color w:val="auto"/>
          <w:sz w:val="24"/>
          <w:szCs w:val="24"/>
          <w:highlight w:val="none"/>
        </w:rPr>
      </w:pPr>
      <w:r>
        <w:rPr>
          <w:rFonts w:hint="eastAsia" w:hAnsi="宋体"/>
          <w:b/>
          <w:color w:val="auto"/>
          <w:sz w:val="24"/>
          <w:highlight w:val="none"/>
        </w:rPr>
        <w:t>2. 响应文件的组成</w:t>
      </w:r>
    </w:p>
    <w:p>
      <w:pPr>
        <w:spacing w:line="360" w:lineRule="auto"/>
        <w:ind w:firstLine="480" w:firstLineChars="200"/>
        <w:rPr>
          <w:rFonts w:ascii="宋体" w:hAnsi="宋体" w:cs="宋体"/>
          <w:b/>
          <w:bCs/>
          <w:color w:val="auto"/>
          <w:sz w:val="24"/>
          <w:highlight w:val="none"/>
        </w:rPr>
      </w:pPr>
      <w:r>
        <w:rPr>
          <w:rFonts w:hint="eastAsia" w:ascii="宋体" w:hAnsi="宋体" w:cs="宋体"/>
          <w:color w:val="auto"/>
          <w:sz w:val="24"/>
          <w:highlight w:val="none"/>
        </w:rPr>
        <w:t>响应文件（包含电子响应文件）由</w:t>
      </w:r>
      <w:r>
        <w:rPr>
          <w:rFonts w:hint="eastAsia" w:ascii="宋体" w:hAnsi="宋体" w:cs="宋体"/>
          <w:b/>
          <w:bCs/>
          <w:color w:val="auto"/>
          <w:spacing w:val="-6"/>
          <w:sz w:val="24"/>
          <w:highlight w:val="none"/>
        </w:rPr>
        <w:t>资格响应文件、</w:t>
      </w:r>
      <w:r>
        <w:rPr>
          <w:rFonts w:hint="eastAsia" w:ascii="宋体" w:hAnsi="宋体" w:cs="宋体"/>
          <w:b/>
          <w:color w:val="auto"/>
          <w:spacing w:val="-6"/>
          <w:sz w:val="24"/>
          <w:highlight w:val="none"/>
        </w:rPr>
        <w:t>报价</w:t>
      </w:r>
      <w:r>
        <w:rPr>
          <w:rFonts w:hint="eastAsia" w:ascii="宋体" w:hAnsi="宋体" w:cs="宋体"/>
          <w:b/>
          <w:bCs/>
          <w:color w:val="auto"/>
          <w:spacing w:val="-6"/>
          <w:sz w:val="24"/>
          <w:highlight w:val="none"/>
        </w:rPr>
        <w:t>响应文件</w:t>
      </w:r>
      <w:r>
        <w:rPr>
          <w:rFonts w:hint="eastAsia" w:ascii="宋体" w:hAnsi="宋体" w:cs="宋体"/>
          <w:b/>
          <w:color w:val="auto"/>
          <w:spacing w:val="-6"/>
          <w:sz w:val="24"/>
          <w:highlight w:val="none"/>
        </w:rPr>
        <w:t>、商务技术响应文件</w:t>
      </w:r>
      <w:r>
        <w:rPr>
          <w:rFonts w:hint="eastAsia" w:ascii="宋体" w:hAnsi="宋体" w:cs="宋体"/>
          <w:color w:val="auto"/>
          <w:spacing w:val="-6"/>
          <w:sz w:val="24"/>
          <w:highlight w:val="none"/>
        </w:rPr>
        <w:t>三部分组成</w:t>
      </w:r>
      <w:r>
        <w:rPr>
          <w:rFonts w:hint="eastAsia" w:ascii="宋体" w:hAnsi="宋体" w:cs="宋体"/>
          <w:color w:val="auto"/>
          <w:sz w:val="24"/>
          <w:highlight w:val="none"/>
        </w:rPr>
        <w:t>。其中电子磋商响应文件中所须加盖公章部分均采用</w:t>
      </w:r>
      <w:r>
        <w:rPr>
          <w:rFonts w:hint="eastAsia" w:ascii="宋体" w:hAnsi="宋体" w:cs="宋体"/>
          <w:b/>
          <w:bCs/>
          <w:color w:val="auto"/>
          <w:sz w:val="24"/>
          <w:highlight w:val="none"/>
        </w:rPr>
        <w:t>CA签章</w:t>
      </w:r>
      <w:r>
        <w:rPr>
          <w:rFonts w:hint="eastAsia" w:ascii="宋体" w:hAnsi="宋体" w:cs="宋体"/>
          <w:color w:val="auto"/>
          <w:sz w:val="24"/>
          <w:highlight w:val="none"/>
        </w:rPr>
        <w:t>。</w:t>
      </w:r>
      <w:r>
        <w:rPr>
          <w:rFonts w:hint="eastAsia" w:ascii="宋体" w:hAnsi="宋体" w:cs="宋体"/>
          <w:b/>
          <w:bCs/>
          <w:color w:val="auto"/>
          <w:sz w:val="24"/>
          <w:highlight w:val="none"/>
        </w:rPr>
        <w:t>不同标项分开制作。</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2.1资格响应文件</w:t>
      </w:r>
    </w:p>
    <w:p>
      <w:pPr>
        <w:numPr>
          <w:ilvl w:val="0"/>
          <w:numId w:val="8"/>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8"/>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符合参加政府采购活动应当具备的一般条件的承诺函（格式附后）；</w:t>
      </w:r>
    </w:p>
    <w:p>
      <w:pPr>
        <w:numPr>
          <w:ilvl w:val="0"/>
          <w:numId w:val="8"/>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提供国家电力监管委员会或其分支机构颁发的承装（修、试）电力设施许可证；</w:t>
      </w:r>
    </w:p>
    <w:p>
      <w:pPr>
        <w:numPr>
          <w:ilvl w:val="0"/>
          <w:numId w:val="0"/>
        </w:numPr>
        <w:tabs>
          <w:tab w:val="left" w:pos="312"/>
          <w:tab w:val="clear" w:pos="432"/>
          <w:tab w:val="clear" w:pos="480"/>
          <w:tab w:val="clear" w:pos="840"/>
          <w:tab w:val="clear" w:pos="1440"/>
        </w:tabs>
        <w:spacing w:line="360" w:lineRule="auto"/>
        <w:rPr>
          <w:rFonts w:ascii="宋体" w:hAnsi="宋体" w:cs="宋体"/>
          <w:b/>
          <w:bCs/>
          <w:color w:val="auto"/>
          <w:spacing w:val="-6"/>
          <w:sz w:val="24"/>
          <w:highlight w:val="none"/>
        </w:rPr>
      </w:pPr>
      <w:r>
        <w:rPr>
          <w:rFonts w:hint="eastAsia" w:ascii="宋体" w:hAnsi="宋体" w:cs="宋体"/>
          <w:b/>
          <w:bCs/>
          <w:color w:val="auto"/>
          <w:spacing w:val="-6"/>
          <w:sz w:val="24"/>
          <w:highlight w:val="none"/>
        </w:rPr>
        <w:t>2.2商务技术响应文件：</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 xml:space="preserve">响应函（格式附后）； </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法定代表人身份证明（格式附后）及法定代表人身份证正反面复印件（加盖供应商公章）；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法定代表人授权委托书（格式附后）、其授权代表身份证正反面复印件及近六个月任一月缴纳社保证明（均加盖供应商公章）；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供应商股权信息表；</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采购需求</w:t>
      </w:r>
      <w:r>
        <w:rPr>
          <w:rFonts w:hint="eastAsia" w:ascii="宋体" w:hAnsi="宋体" w:cs="宋体"/>
          <w:color w:val="auto"/>
          <w:sz w:val="24"/>
          <w:highlight w:val="none"/>
        </w:rPr>
        <w:t>偏离表；</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完成的类似项目一览表（附合同复印件）；</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en-US" w:eastAsia="zh-CN"/>
        </w:rPr>
        <w:t>体系认证证书</w:t>
      </w:r>
      <w:r>
        <w:rPr>
          <w:rFonts w:hint="eastAsia" w:ascii="宋体" w:hAnsi="宋体" w:eastAsia="宋体" w:cs="宋体"/>
          <w:color w:val="auto"/>
          <w:sz w:val="24"/>
          <w:highlight w:val="none"/>
          <w:lang w:val="zh-CN"/>
        </w:rPr>
        <w:t>；</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施工总体方案（格式自拟）；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道路施工和校内开挖的关键部位的施工方案（格式自拟）；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施工机械设备和检测设备情况（格式自拟）；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各专业工种的配置和劳动力的投入情况（格式自拟）；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主材设备供货计划、工期承诺、进度计划和控制措施（格式自拟）；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安全、文明施工的保证措施（格式自拟）；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工程质量的技术组织措施（格式自拟）；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选用材料质量保证措施（格式自拟）；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应急预案（格式自拟）；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针对成品保护和现有环境的各项措施（格式自拟）；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拟派人员（格式自拟）；</w:t>
      </w:r>
    </w:p>
    <w:p>
      <w:pPr>
        <w:numPr>
          <w:ilvl w:val="0"/>
          <w:numId w:val="9"/>
        </w:numPr>
        <w:tabs>
          <w:tab w:val="left" w:pos="425"/>
        </w:tabs>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其它服务承诺（格式自拟）；</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政府采购供应商廉洁自律承诺书；</w:t>
      </w:r>
    </w:p>
    <w:p>
      <w:pPr>
        <w:numPr>
          <w:ilvl w:val="0"/>
          <w:numId w:val="9"/>
        </w:numPr>
        <w:tabs>
          <w:tab w:val="left" w:pos="425"/>
        </w:tabs>
        <w:spacing w:line="360" w:lineRule="auto"/>
        <w:rPr>
          <w:rFonts w:ascii="宋体" w:hAnsi="宋体" w:cs="宋体"/>
          <w:color w:val="auto"/>
          <w:sz w:val="24"/>
          <w:highlight w:val="none"/>
          <w:lang w:val="zh-CN"/>
        </w:rPr>
      </w:pPr>
      <w:r>
        <w:rPr>
          <w:rFonts w:hint="eastAsia" w:ascii="宋体" w:hAnsi="宋体" w:cs="宋体"/>
          <w:color w:val="auto"/>
          <w:sz w:val="24"/>
          <w:highlight w:val="none"/>
        </w:rPr>
        <w:t>其他采购需求或评分标准所需资料；</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2.3报价响应文件</w:t>
      </w:r>
    </w:p>
    <w:p>
      <w:pPr>
        <w:numPr>
          <w:ilvl w:val="0"/>
          <w:numId w:val="10"/>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报价一览表（格式附后）；</w:t>
      </w:r>
    </w:p>
    <w:p>
      <w:pPr>
        <w:numPr>
          <w:ilvl w:val="0"/>
          <w:numId w:val="10"/>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分项报价明细（格式附后）；</w:t>
      </w:r>
    </w:p>
    <w:p>
      <w:pPr>
        <w:numPr>
          <w:ilvl w:val="0"/>
          <w:numId w:val="10"/>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中小企业声明函（格式附后）；</w:t>
      </w:r>
    </w:p>
    <w:p>
      <w:pPr>
        <w:numPr>
          <w:ilvl w:val="0"/>
          <w:numId w:val="10"/>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残疾人福利性单位声明函（如适用，格式附后）；</w:t>
      </w:r>
    </w:p>
    <w:p>
      <w:pPr>
        <w:numPr>
          <w:ilvl w:val="0"/>
          <w:numId w:val="10"/>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供应商针对报价需要说明的其他文件和说明（格式附后）；</w:t>
      </w:r>
    </w:p>
    <w:p>
      <w:pPr>
        <w:pStyle w:val="36"/>
        <w:spacing w:line="360" w:lineRule="auto"/>
        <w:ind w:firstLine="482" w:firstLineChars="200"/>
        <w:rPr>
          <w:rFonts w:hAnsi="宋体" w:cs="仿宋_GB2312"/>
          <w:b/>
          <w:color w:val="auto"/>
          <w:sz w:val="24"/>
          <w:szCs w:val="24"/>
          <w:highlight w:val="none"/>
        </w:rPr>
      </w:pPr>
      <w:r>
        <w:rPr>
          <w:rFonts w:hint="eastAsia" w:hAnsi="宋体"/>
          <w:b/>
          <w:color w:val="auto"/>
          <w:sz w:val="24"/>
          <w:szCs w:val="24"/>
          <w:highlight w:val="none"/>
        </w:rPr>
        <w:t>3. 响应文件的编制和签署</w:t>
      </w:r>
    </w:p>
    <w:p>
      <w:pPr>
        <w:spacing w:line="360" w:lineRule="auto"/>
        <w:ind w:firstLine="480" w:firstLineChars="200"/>
        <w:rPr>
          <w:rFonts w:ascii="宋体" w:hAnsi="宋体" w:cs="仿宋_GB2312"/>
          <w:b/>
          <w:color w:val="auto"/>
          <w:sz w:val="24"/>
          <w:highlight w:val="none"/>
        </w:rPr>
      </w:pPr>
      <w:r>
        <w:rPr>
          <w:rFonts w:hint="eastAsia" w:ascii="宋体" w:hAnsi="宋体" w:cs="仿宋_GB2312"/>
          <w:color w:val="auto"/>
          <w:kern w:val="0"/>
          <w:sz w:val="24"/>
          <w:highlight w:val="none"/>
          <w:lang w:val="zh-CN"/>
        </w:rPr>
        <w:t>3.1各供应商在编制响应文件时请按照磋商文件第七部分规定的格式进行，混乱的编排导致响应文件被误读或磋商小组查找不到有效文件是供应商的风险。</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3.2供应商进行电子交易应安装客户端软件—“政采云电子交易客户端”，并按照磋商文件和电子交易平台的要求编制并加密响应文件。供应商未按规定加密的响应文件，电子交易平台将拒收并提示。</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3.3使用“政采云电子交易客户端”需要提前申领CA数字证书，申领流程请自行前往“浙江政府采购网-下载专区-电子交易客户端-CA驱动和申领流程”进行查阅。</w:t>
      </w:r>
    </w:p>
    <w:p>
      <w:pPr>
        <w:pStyle w:val="397"/>
        <w:snapToGrid w:val="0"/>
        <w:spacing w:before="0"/>
        <w:ind w:firstLine="480"/>
        <w:rPr>
          <w:rFonts w:ascii="宋体" w:hAnsi="宋体" w:cs="仿宋_GB2312"/>
          <w:b/>
          <w:color w:val="auto"/>
          <w:highlight w:val="none"/>
        </w:rPr>
      </w:pPr>
      <w:r>
        <w:rPr>
          <w:rFonts w:hint="eastAsia" w:ascii="宋体" w:hAnsi="宋体" w:cs="仿宋_GB2312"/>
          <w:color w:val="auto"/>
          <w:szCs w:val="24"/>
          <w:highlight w:val="none"/>
        </w:rPr>
        <w:t>3.4响应文件按照磋商文件第七部分格式要</w:t>
      </w:r>
      <w:r>
        <w:rPr>
          <w:rFonts w:hint="eastAsia" w:ascii="宋体" w:hAnsi="宋体" w:cs="仿宋_GB2312"/>
          <w:color w:val="auto"/>
          <w:highlight w:val="none"/>
        </w:rPr>
        <w:t>求进行签署、盖章。</w:t>
      </w:r>
      <w:r>
        <w:rPr>
          <w:rFonts w:hint="eastAsia" w:ascii="宋体" w:hAnsi="宋体"/>
          <w:b/>
          <w:color w:val="auto"/>
          <w:highlight w:val="none"/>
        </w:rPr>
        <w:t>★</w:t>
      </w:r>
      <w:r>
        <w:rPr>
          <w:rFonts w:hint="eastAsia" w:ascii="宋体" w:hAnsi="宋体" w:cs="仿宋_GB2312"/>
          <w:b/>
          <w:color w:val="auto"/>
          <w:highlight w:val="none"/>
        </w:rPr>
        <w:t>供应商的响应文件未按照磋商文件要求签署、盖章的，其响应无效</w:t>
      </w:r>
      <w:r>
        <w:rPr>
          <w:rFonts w:hint="eastAsia" w:ascii="宋体" w:hAnsi="宋体" w:cs="仿宋_GB2312"/>
          <w:color w:val="auto"/>
          <w:szCs w:val="24"/>
          <w:highlight w:val="none"/>
        </w:rPr>
        <w:t>。</w:t>
      </w:r>
    </w:p>
    <w:p>
      <w:pPr>
        <w:pStyle w:val="397"/>
        <w:snapToGrid w:val="0"/>
        <w:spacing w:before="0"/>
        <w:ind w:firstLine="480"/>
        <w:rPr>
          <w:rFonts w:ascii="宋体" w:hAnsi="宋体" w:cs="宋体"/>
          <w:color w:val="auto"/>
          <w:highlight w:val="none"/>
        </w:rPr>
      </w:pPr>
      <w:r>
        <w:rPr>
          <w:rFonts w:hint="eastAsia" w:ascii="宋体" w:hAnsi="宋体" w:cs="仿宋_GB2312"/>
          <w:color w:val="auto"/>
          <w:szCs w:val="24"/>
          <w:highlight w:val="none"/>
        </w:rPr>
        <w:t>3.5为确保网上操作合法、有效和安全，供应商应当在响应截止时间前完成在“政府采购云平台”的身份认证，确保在电子交易过程中能够对相关数据电文进行加密和使用电子签名。</w:t>
      </w:r>
    </w:p>
    <w:p>
      <w:pPr>
        <w:pStyle w:val="397"/>
        <w:snapToGrid w:val="0"/>
        <w:spacing w:before="0"/>
        <w:ind w:firstLine="480"/>
        <w:rPr>
          <w:rFonts w:ascii="宋体" w:hAnsi="宋体" w:cs="宋体"/>
          <w:color w:val="auto"/>
          <w:szCs w:val="24"/>
          <w:highlight w:val="none"/>
        </w:rPr>
      </w:pPr>
      <w:r>
        <w:rPr>
          <w:rFonts w:hint="eastAsia" w:ascii="宋体" w:hAnsi="宋体" w:cs="宋体"/>
          <w:color w:val="auto"/>
          <w:highlight w:val="none"/>
        </w:rPr>
        <w:t>3.6磋商文件对响应文件签署、盖章的要求适用于电子签名。</w:t>
      </w:r>
    </w:p>
    <w:p>
      <w:pPr>
        <w:pStyle w:val="16"/>
        <w:rPr>
          <w:rFonts w:hAnsi="宋体" w:cs="仿宋_GB2312"/>
          <w:color w:val="auto"/>
          <w:szCs w:val="24"/>
          <w:highlight w:val="none"/>
          <w:lang w:val="en-US"/>
        </w:rPr>
      </w:pPr>
    </w:p>
    <w:p>
      <w:pPr>
        <w:adjustRightInd/>
        <w:spacing w:line="360" w:lineRule="auto"/>
        <w:jc w:val="center"/>
        <w:outlineLvl w:val="0"/>
        <w:rPr>
          <w:rFonts w:ascii="宋体" w:hAnsi="宋体" w:cs="仿宋_GB2312"/>
          <w:b/>
          <w:color w:val="auto"/>
          <w:sz w:val="32"/>
          <w:szCs w:val="20"/>
          <w:highlight w:val="none"/>
        </w:rPr>
      </w:pPr>
      <w:bookmarkStart w:id="57" w:name="_Toc5538"/>
      <w:r>
        <w:rPr>
          <w:rFonts w:hint="eastAsia" w:ascii="宋体" w:hAnsi="宋体" w:cs="仿宋_GB2312"/>
          <w:b/>
          <w:color w:val="auto"/>
          <w:sz w:val="32"/>
          <w:szCs w:val="20"/>
          <w:highlight w:val="none"/>
        </w:rPr>
        <w:t>七、</w:t>
      </w:r>
      <w:r>
        <w:rPr>
          <w:rFonts w:hint="eastAsia" w:ascii="宋体" w:hAnsi="宋体"/>
          <w:b/>
          <w:color w:val="auto"/>
          <w:sz w:val="32"/>
          <w:szCs w:val="32"/>
          <w:highlight w:val="none"/>
        </w:rPr>
        <w:t>响应</w:t>
      </w:r>
      <w:r>
        <w:rPr>
          <w:rFonts w:hint="eastAsia" w:ascii="宋体" w:hAnsi="宋体" w:cs="仿宋_GB2312"/>
          <w:b/>
          <w:color w:val="auto"/>
          <w:sz w:val="32"/>
          <w:szCs w:val="20"/>
          <w:highlight w:val="none"/>
        </w:rPr>
        <w:t>文件的提交和备份</w:t>
      </w:r>
      <w:bookmarkEnd w:id="57"/>
    </w:p>
    <w:p>
      <w:pPr>
        <w:pStyle w:val="397"/>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1.响应文件的提交、补充、修改、撤回</w:t>
      </w:r>
    </w:p>
    <w:p>
      <w:pPr>
        <w:pStyle w:val="397"/>
        <w:ind w:firstLine="480"/>
        <w:rPr>
          <w:rFonts w:ascii="宋体" w:hAnsi="宋体" w:cs="仿宋_GB2312"/>
          <w:color w:val="auto"/>
          <w:szCs w:val="24"/>
          <w:highlight w:val="none"/>
        </w:rPr>
      </w:pPr>
      <w:r>
        <w:rPr>
          <w:rFonts w:hint="eastAsia" w:ascii="宋体" w:hAnsi="宋体" w:cs="仿宋_GB2312"/>
          <w:color w:val="auto"/>
          <w:szCs w:val="24"/>
          <w:highlight w:val="none"/>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1.2 在响应截止时间以后，不能补充、修改响应文件。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 在提交“最后报价”后，供应商不能退出磋商。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1.4 电子交易平台收到响应文件，将妥善保存并即时向供应商发出确认回执通知。在响应截止时间前，除供应商补充、修改或者撤回响应文件外，任何单位和个人不得解密或提取响应文件。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1.5 采购代理机构可以视情况延长提交响应文件的截止时间。在上述情况下，采购代理机构与供应商以前在响应截止期方面的全部权利、责任和义务，将适用于延长至新的响应截止期。</w:t>
      </w:r>
    </w:p>
    <w:p>
      <w:pPr>
        <w:pStyle w:val="36"/>
        <w:spacing w:line="360" w:lineRule="auto"/>
        <w:rPr>
          <w:rFonts w:hAnsi="宋体" w:cs="仿宋_GB2312"/>
          <w:b/>
          <w:color w:val="auto"/>
          <w:sz w:val="24"/>
          <w:szCs w:val="24"/>
          <w:highlight w:val="none"/>
        </w:rPr>
      </w:pPr>
      <w:r>
        <w:rPr>
          <w:rFonts w:hint="eastAsia" w:hAnsi="宋体" w:cs="仿宋_GB2312"/>
          <w:b/>
          <w:color w:val="auto"/>
          <w:sz w:val="24"/>
          <w:szCs w:val="24"/>
          <w:highlight w:val="none"/>
        </w:rPr>
        <w:t>2.备份响应文件</w:t>
      </w:r>
    </w:p>
    <w:p>
      <w:pPr>
        <w:pStyle w:val="36"/>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2.1 供应商在电子交易平台传输提交响应文件后，还可以在响应截止时间前直接提交或者以邮政快递方式递交备份响应文件1份，</w:t>
      </w:r>
      <w:r>
        <w:rPr>
          <w:rFonts w:hint="eastAsia" w:hAnsi="宋体" w:cs="仿宋_GB2312"/>
          <w:b/>
          <w:color w:val="auto"/>
          <w:sz w:val="24"/>
          <w:szCs w:val="24"/>
          <w:highlight w:val="none"/>
        </w:rPr>
        <w:t>但采购人、采购代理机构不强制或变相强制供应商提交备份响应文件。</w:t>
      </w:r>
    </w:p>
    <w:p>
      <w:pPr>
        <w:pStyle w:val="36"/>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2.2 备份响应文件须在“政采云投标客户端”制作生成，并储存在不可修改的</w:t>
      </w:r>
      <w:r>
        <w:rPr>
          <w:rFonts w:hint="eastAsia" w:hAnsi="宋体"/>
          <w:b/>
          <w:color w:val="auto"/>
          <w:sz w:val="24"/>
          <w:highlight w:val="none"/>
          <w:u w:val="single"/>
        </w:rPr>
        <w:t>电子光盘等存储介质</w:t>
      </w:r>
      <w:r>
        <w:rPr>
          <w:rFonts w:hint="eastAsia" w:hAnsi="宋体" w:cs="仿宋_GB2312"/>
          <w:color w:val="auto"/>
          <w:sz w:val="24"/>
          <w:szCs w:val="24"/>
          <w:highlight w:val="none"/>
        </w:rPr>
        <w:t>中。备份响应文件应当密封包装并在包装上加盖公章并注明响应项目名称，供应商名称(联合体响应的，包装物封面需注明联合体响应，并注明联合体成员各方的名称和联合体协议中约定的牵头人的名称)。</w:t>
      </w:r>
      <w:r>
        <w:rPr>
          <w:rFonts w:hint="eastAsia" w:hAnsi="宋体"/>
          <w:b/>
          <w:color w:val="auto"/>
          <w:sz w:val="24"/>
          <w:highlight w:val="none"/>
        </w:rPr>
        <w:t>★不符合上述制作、</w:t>
      </w:r>
      <w:r>
        <w:rPr>
          <w:rFonts w:hint="eastAsia" w:hAnsi="宋体" w:cs="仿宋_GB2312"/>
          <w:b/>
          <w:color w:val="auto"/>
          <w:sz w:val="24"/>
          <w:szCs w:val="24"/>
          <w:highlight w:val="none"/>
        </w:rPr>
        <w:t>存储、密封规定的备份响应文件将被视为无效或者被拒绝接收。</w:t>
      </w:r>
    </w:p>
    <w:p>
      <w:pPr>
        <w:pStyle w:val="36"/>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2.3 直接提交备份响应文件的，供应商应于响应截止时间前在磋商公告中载明的开启响应文件的地点将备份响应文件提交给采购代理机构，采购代理机构将拒绝接受逾期送达的备份响应文件。</w:t>
      </w:r>
    </w:p>
    <w:p>
      <w:pPr>
        <w:pStyle w:val="36"/>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2.4 以邮政快递方式递交备份响应文件的，供应商应先将备份响应文件按要求密封和标记，再进行邮政快递包装后邮寄。备份响应文件须在提交响应文件截止时间之前送达</w:t>
      </w:r>
      <w:r>
        <w:rPr>
          <w:rFonts w:hint="eastAsia" w:hAnsi="宋体" w:cs="宋体"/>
          <w:color w:val="auto"/>
          <w:sz w:val="24"/>
          <w:szCs w:val="24"/>
          <w:highlight w:val="none"/>
        </w:rPr>
        <w:t>磋商文件第三部分供应商须知前附表规定的备份响应文件送达地点</w:t>
      </w:r>
      <w:r>
        <w:rPr>
          <w:rFonts w:hint="eastAsia" w:hAnsi="宋体" w:cs="仿宋_GB2312"/>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pPr>
        <w:pStyle w:val="36"/>
        <w:spacing w:line="360" w:lineRule="auto"/>
        <w:ind w:firstLine="361" w:firstLineChars="150"/>
        <w:rPr>
          <w:rFonts w:hAnsi="宋体" w:cs="仿宋_GB2312"/>
          <w:color w:val="auto"/>
          <w:sz w:val="24"/>
          <w:szCs w:val="24"/>
          <w:highlight w:val="none"/>
        </w:rPr>
      </w:pPr>
      <w:r>
        <w:rPr>
          <w:rFonts w:hint="eastAsia" w:hAnsi="宋体" w:cs="仿宋_GB2312"/>
          <w:b/>
          <w:color w:val="auto"/>
          <w:sz w:val="24"/>
          <w:szCs w:val="24"/>
          <w:highlight w:val="none"/>
        </w:rPr>
        <w:t xml:space="preserve">2.5 </w:t>
      </w:r>
      <w:r>
        <w:rPr>
          <w:rFonts w:hint="eastAsia" w:hAnsi="宋体"/>
          <w:b/>
          <w:color w:val="auto"/>
          <w:sz w:val="24"/>
          <w:highlight w:val="none"/>
        </w:rPr>
        <w:t>★</w:t>
      </w:r>
      <w:r>
        <w:rPr>
          <w:rFonts w:hint="eastAsia" w:hAnsi="宋体" w:cs="仿宋_GB2312"/>
          <w:b/>
          <w:color w:val="auto"/>
          <w:sz w:val="24"/>
          <w:szCs w:val="24"/>
          <w:highlight w:val="none"/>
        </w:rPr>
        <w:t>供应商仅提交备份响应文件，未在电子交易平台传输提交响应文件的，响应无效。</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8" w:name="_Toc6122"/>
      <w:r>
        <w:rPr>
          <w:rFonts w:hint="eastAsia" w:ascii="宋体" w:hAnsi="宋体" w:cs="仿宋_GB2312"/>
          <w:b/>
          <w:color w:val="auto"/>
          <w:sz w:val="32"/>
          <w:szCs w:val="20"/>
          <w:highlight w:val="none"/>
        </w:rPr>
        <w:t>八、</w:t>
      </w:r>
      <w:r>
        <w:rPr>
          <w:rFonts w:hint="eastAsia" w:ascii="宋体" w:hAnsi="宋体"/>
          <w:b/>
          <w:color w:val="auto"/>
          <w:sz w:val="32"/>
          <w:szCs w:val="32"/>
          <w:highlight w:val="none"/>
        </w:rPr>
        <w:t>开启响应文件与信用信息查询</w:t>
      </w:r>
      <w:bookmarkEnd w:id="58"/>
    </w:p>
    <w:p>
      <w:pPr>
        <w:pStyle w:val="36"/>
        <w:spacing w:line="360" w:lineRule="auto"/>
        <w:rPr>
          <w:rFonts w:hAnsi="宋体" w:cs="仿宋_GB2312"/>
          <w:b/>
          <w:color w:val="auto"/>
          <w:sz w:val="24"/>
          <w:szCs w:val="24"/>
          <w:highlight w:val="none"/>
        </w:rPr>
      </w:pPr>
      <w:r>
        <w:rPr>
          <w:rFonts w:hint="eastAsia" w:hAnsi="宋体" w:cs="仿宋_GB2312"/>
          <w:b/>
          <w:color w:val="auto"/>
          <w:sz w:val="24"/>
          <w:szCs w:val="24"/>
          <w:highlight w:val="none"/>
        </w:rPr>
        <w:t>1. 开启响应文件</w:t>
      </w:r>
    </w:p>
    <w:p>
      <w:pPr>
        <w:pStyle w:val="36"/>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1.1 采购代理机构按照磋商文件规定的时间通过电子交易平台组织响应文件开启，所有供应商均应当准时在线参加。</w:t>
      </w:r>
      <w:r>
        <w:rPr>
          <w:rFonts w:hint="eastAsia" w:hAnsi="宋体" w:cs="仿宋_GB2312"/>
          <w:b/>
          <w:color w:val="auto"/>
          <w:sz w:val="24"/>
          <w:szCs w:val="24"/>
          <w:highlight w:val="none"/>
        </w:rPr>
        <w:t>供应商数量不符合规定的，不得开启响应文件。</w:t>
      </w:r>
    </w:p>
    <w:p>
      <w:pPr>
        <w:pStyle w:val="36"/>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1.2开启响应文件时，电子交易平台按开启响应文件时间自动提取所有响应文件。采购代理机构依托电子交易平台发起开始解密指令，供应商按照平台提示和磋商文件的规定在半小时内完成在线解密。</w:t>
      </w:r>
    </w:p>
    <w:p>
      <w:pPr>
        <w:pStyle w:val="36"/>
        <w:spacing w:line="360" w:lineRule="auto"/>
        <w:ind w:firstLine="360" w:firstLineChars="150"/>
        <w:rPr>
          <w:rFonts w:hAnsi="宋体" w:cs="仿宋_GB2312"/>
          <w:b/>
          <w:color w:val="auto"/>
          <w:sz w:val="24"/>
          <w:szCs w:val="24"/>
          <w:highlight w:val="none"/>
        </w:rPr>
      </w:pPr>
      <w:r>
        <w:rPr>
          <w:rFonts w:hint="eastAsia" w:hAnsi="宋体" w:cs="仿宋_GB2312"/>
          <w:bCs/>
          <w:color w:val="auto"/>
          <w:sz w:val="24"/>
          <w:szCs w:val="24"/>
          <w:highlight w:val="none"/>
        </w:rPr>
        <w:t>1.3响应文件未在规定时间内成功解密的供应商，如提交了备份响应文件的，以备份响应文件作为依据，否则视为响应文件撤回。响应文件解密成功的供应商，其备份响应文件自动失效。</w:t>
      </w:r>
    </w:p>
    <w:p>
      <w:pPr>
        <w:pStyle w:val="36"/>
        <w:spacing w:line="360" w:lineRule="auto"/>
        <w:ind w:firstLine="361" w:firstLineChars="150"/>
        <w:rPr>
          <w:rFonts w:hAnsi="宋体" w:cs="仿宋_GB2312"/>
          <w:b/>
          <w:color w:val="auto"/>
          <w:sz w:val="24"/>
          <w:szCs w:val="24"/>
          <w:highlight w:val="none"/>
        </w:rPr>
      </w:pPr>
      <w:r>
        <w:rPr>
          <w:rFonts w:hint="eastAsia" w:hAnsi="宋体" w:cs="仿宋_GB2312"/>
          <w:b/>
          <w:color w:val="auto"/>
          <w:sz w:val="24"/>
          <w:szCs w:val="24"/>
          <w:highlight w:val="none"/>
        </w:rPr>
        <w:t>1.4响应文件解密结束，各供应商签署《政府采购活动现场确认声明书》（格式见附件），签署完成后，扫描发送至邮箱：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hAnsi="宋体" w:cs="仿宋_GB2312"/>
          <w:b/>
          <w:color w:val="auto"/>
          <w:sz w:val="24"/>
          <w:szCs w:val="24"/>
          <w:highlight w:val="none"/>
        </w:rPr>
        <w:t>253656196@qq.com；</w:t>
      </w:r>
      <w:r>
        <w:rPr>
          <w:rFonts w:hint="eastAsia" w:hAnsi="宋体" w:cs="仿宋_GB2312"/>
          <w:b/>
          <w:color w:val="auto"/>
          <w:sz w:val="24"/>
          <w:szCs w:val="24"/>
          <w:highlight w:val="none"/>
        </w:rPr>
        <w:fldChar w:fldCharType="end"/>
      </w:r>
    </w:p>
    <w:p>
      <w:pPr>
        <w:pStyle w:val="397"/>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2.信用信息查询</w:t>
      </w:r>
    </w:p>
    <w:p>
      <w:pPr>
        <w:pStyle w:val="397"/>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2.1信用信息查询渠道及截止时间：采购代理机构将通过“信用中国”网站(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9"/>
          <w:rFonts w:hint="eastAsia" w:ascii="宋体" w:hAnsi="宋体" w:eastAsia="宋体"/>
          <w:snapToGrid/>
          <w:color w:val="auto"/>
          <w:sz w:val="24"/>
          <w:szCs w:val="24"/>
          <w:highlight w:val="none"/>
        </w:rPr>
        <w:t>www.creditchina.gov.cn</w:t>
      </w:r>
      <w:r>
        <w:rPr>
          <w:rStyle w:val="69"/>
          <w:rFonts w:hint="eastAsia" w:ascii="宋体" w:hAnsi="宋体" w:eastAsia="宋体"/>
          <w:snapToGrid/>
          <w:color w:val="auto"/>
          <w:sz w:val="24"/>
          <w:szCs w:val="24"/>
          <w:highlight w:val="none"/>
        </w:rPr>
        <w:fldChar w:fldCharType="end"/>
      </w:r>
      <w:r>
        <w:rPr>
          <w:rFonts w:hint="eastAsia" w:ascii="宋体" w:hAnsi="宋体" w:cs="Arial"/>
          <w:color w:val="auto"/>
          <w:kern w:val="0"/>
          <w:szCs w:val="24"/>
          <w:highlight w:val="none"/>
        </w:rPr>
        <w:t>)、中国政府采购网(www.ccgp.gov.cn)渠道查询供应商响应截止时间前的信用记录。</w:t>
      </w:r>
    </w:p>
    <w:p>
      <w:pPr>
        <w:pStyle w:val="397"/>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2.2信用信息查询记录和证据留存的具体方式：现场查询的供应商的信用记录、查询结果经确认后存档。</w:t>
      </w:r>
    </w:p>
    <w:p>
      <w:pPr>
        <w:pStyle w:val="397"/>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2.3信用信息的使用规则：经查询列入失信被执行人名单、重大税收违法案件当事人名单、政府采购严重违法失信行为记录名单的供应商将被拒绝参与政府采购活动。</w:t>
      </w:r>
    </w:p>
    <w:p>
      <w:pPr>
        <w:pStyle w:val="397"/>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36"/>
        <w:spacing w:line="360" w:lineRule="auto"/>
        <w:rPr>
          <w:rFonts w:hAnsi="宋体" w:cs="仿宋_GB2312"/>
          <w:b/>
          <w:color w:val="auto"/>
          <w:sz w:val="24"/>
          <w:szCs w:val="24"/>
          <w:highlight w:val="none"/>
        </w:rPr>
      </w:pPr>
    </w:p>
    <w:p>
      <w:pPr>
        <w:adjustRightInd/>
        <w:spacing w:line="360" w:lineRule="auto"/>
        <w:jc w:val="center"/>
        <w:outlineLvl w:val="0"/>
        <w:rPr>
          <w:rFonts w:ascii="宋体" w:hAnsi="宋体"/>
          <w:b/>
          <w:color w:val="auto"/>
          <w:sz w:val="32"/>
          <w:szCs w:val="32"/>
          <w:highlight w:val="none"/>
        </w:rPr>
      </w:pPr>
      <w:bookmarkStart w:id="59" w:name="_Toc1849"/>
      <w:r>
        <w:rPr>
          <w:rFonts w:hint="eastAsia" w:ascii="宋体" w:hAnsi="宋体" w:cs="仿宋_GB2312"/>
          <w:b/>
          <w:color w:val="auto"/>
          <w:sz w:val="32"/>
          <w:highlight w:val="none"/>
        </w:rPr>
        <w:t>九</w:t>
      </w:r>
      <w:r>
        <w:rPr>
          <w:rFonts w:hint="eastAsia" w:ascii="宋体" w:hAnsi="宋体" w:cs="仿宋_GB2312"/>
          <w:b/>
          <w:color w:val="auto"/>
          <w:sz w:val="32"/>
          <w:szCs w:val="20"/>
          <w:highlight w:val="none"/>
        </w:rPr>
        <w:t>、提交</w:t>
      </w:r>
      <w:r>
        <w:rPr>
          <w:rFonts w:hint="eastAsia" w:ascii="宋体" w:hAnsi="宋体"/>
          <w:b/>
          <w:color w:val="auto"/>
          <w:sz w:val="32"/>
          <w:szCs w:val="32"/>
          <w:highlight w:val="none"/>
        </w:rPr>
        <w:t>最后报价</w:t>
      </w:r>
      <w:bookmarkEnd w:id="59"/>
    </w:p>
    <w:p>
      <w:pPr>
        <w:snapToGrid w:val="0"/>
        <w:spacing w:line="360" w:lineRule="auto"/>
        <w:rPr>
          <w:rFonts w:ascii="宋体" w:hAnsi="宋体" w:cs="仿宋_GB2312"/>
          <w:color w:val="auto"/>
          <w:sz w:val="24"/>
          <w:highlight w:val="none"/>
          <w:u w:val="single"/>
          <w:lang w:val="zh-CN"/>
        </w:rPr>
      </w:pPr>
      <w:r>
        <w:rPr>
          <w:rFonts w:hint="eastAsia" w:ascii="宋体" w:hAnsi="宋体"/>
          <w:b/>
          <w:color w:val="auto"/>
          <w:sz w:val="24"/>
          <w:highlight w:val="none"/>
        </w:rPr>
        <w:t>1.</w:t>
      </w:r>
      <w:r>
        <w:rPr>
          <w:rFonts w:hint="eastAsia" w:ascii="宋体" w:hAnsi="宋体" w:cs="仿宋_GB2312"/>
          <w:color w:val="auto"/>
          <w:sz w:val="24"/>
          <w:highlight w:val="none"/>
        </w:rPr>
        <w:t>供应商的</w:t>
      </w:r>
      <w:r>
        <w:rPr>
          <w:rFonts w:hint="eastAsia" w:ascii="宋体" w:hAnsi="宋体" w:cs="仿宋_GB2312"/>
          <w:b/>
          <w:color w:val="auto"/>
          <w:sz w:val="24"/>
          <w:highlight w:val="none"/>
        </w:rPr>
        <w:t>最后报价文件</w:t>
      </w:r>
      <w:r>
        <w:rPr>
          <w:rFonts w:hint="eastAsia" w:ascii="宋体" w:hAnsi="宋体" w:cs="仿宋_GB2312"/>
          <w:color w:val="auto"/>
          <w:sz w:val="24"/>
          <w:highlight w:val="none"/>
        </w:rPr>
        <w:t>应包括以下内容（均需使用电子签名）：</w:t>
      </w:r>
    </w:p>
    <w:p>
      <w:pPr>
        <w:pStyle w:val="36"/>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1.1最后报价一览表；</w:t>
      </w:r>
    </w:p>
    <w:p>
      <w:pPr>
        <w:pStyle w:val="36"/>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1.2中小企业声明函（如果有）。</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highlight w:val="none"/>
        </w:rPr>
      </w:pPr>
      <w:bookmarkStart w:id="60" w:name="_Toc22405"/>
      <w:r>
        <w:rPr>
          <w:rFonts w:hint="eastAsia" w:ascii="宋体" w:hAnsi="宋体" w:cs="仿宋_GB2312"/>
          <w:b/>
          <w:color w:val="auto"/>
          <w:sz w:val="32"/>
          <w:szCs w:val="20"/>
          <w:highlight w:val="none"/>
        </w:rPr>
        <w:t>十、</w:t>
      </w:r>
      <w:r>
        <w:rPr>
          <w:rFonts w:hint="eastAsia" w:ascii="宋体" w:hAnsi="宋体"/>
          <w:b/>
          <w:color w:val="auto"/>
          <w:sz w:val="32"/>
          <w:szCs w:val="32"/>
          <w:highlight w:val="none"/>
        </w:rPr>
        <w:t>评审</w:t>
      </w:r>
      <w:bookmarkEnd w:id="60"/>
    </w:p>
    <w:p>
      <w:pPr>
        <w:pStyle w:val="397"/>
        <w:spacing w:before="0"/>
        <w:ind w:firstLine="0" w:firstLineChars="0"/>
        <w:rPr>
          <w:rFonts w:ascii="宋体" w:hAnsi="宋体" w:cs="仿宋_GB2312"/>
          <w:b/>
          <w:color w:val="auto"/>
          <w:highlight w:val="none"/>
        </w:rPr>
      </w:pPr>
      <w:r>
        <w:rPr>
          <w:rFonts w:hint="eastAsia" w:ascii="宋体" w:hAnsi="宋体"/>
          <w:b/>
          <w:color w:val="auto"/>
          <w:szCs w:val="24"/>
          <w:highlight w:val="none"/>
        </w:rPr>
        <w:t>1.</w:t>
      </w:r>
      <w:r>
        <w:rPr>
          <w:rFonts w:hint="eastAsia" w:ascii="宋体" w:hAnsi="宋体" w:cs="仿宋_GB2312"/>
          <w:b/>
          <w:color w:val="auto"/>
          <w:highlight w:val="none"/>
        </w:rPr>
        <w:t xml:space="preserve"> 评审方法：</w:t>
      </w:r>
      <w:r>
        <w:rPr>
          <w:rFonts w:hint="eastAsia" w:ascii="宋体" w:hAnsi="宋体" w:cs="仿宋_GB2312"/>
          <w:color w:val="auto"/>
          <w:highlight w:val="none"/>
        </w:rPr>
        <w:t>综合评分法。</w:t>
      </w:r>
    </w:p>
    <w:p>
      <w:pPr>
        <w:pStyle w:val="397"/>
        <w:spacing w:before="0"/>
        <w:ind w:firstLine="0" w:firstLineChars="0"/>
        <w:rPr>
          <w:rFonts w:ascii="宋体" w:hAnsi="宋体" w:cs="仿宋_GB2312"/>
          <w:b/>
          <w:color w:val="auto"/>
          <w:highlight w:val="none"/>
        </w:rPr>
      </w:pPr>
      <w:r>
        <w:rPr>
          <w:rFonts w:hint="eastAsia" w:ascii="宋体" w:hAnsi="宋体" w:cs="仿宋_GB2312"/>
          <w:b/>
          <w:color w:val="auto"/>
          <w:highlight w:val="none"/>
        </w:rPr>
        <w:t>2. 价格分计算方法：</w:t>
      </w:r>
      <w:r>
        <w:rPr>
          <w:rFonts w:hint="eastAsia" w:ascii="宋体" w:hAnsi="宋体" w:cs="仿宋_GB2312"/>
          <w:color w:val="auto"/>
          <w:highlight w:val="none"/>
        </w:rPr>
        <w:t>低价优先法。</w:t>
      </w:r>
    </w:p>
    <w:p>
      <w:pPr>
        <w:pStyle w:val="397"/>
        <w:spacing w:before="0"/>
        <w:ind w:firstLine="0" w:firstLineChars="0"/>
        <w:rPr>
          <w:rFonts w:ascii="宋体" w:hAnsi="宋体"/>
          <w:color w:val="auto"/>
          <w:szCs w:val="24"/>
          <w:highlight w:val="none"/>
        </w:rPr>
      </w:pPr>
      <w:r>
        <w:rPr>
          <w:rFonts w:hint="eastAsia" w:ascii="宋体" w:hAnsi="宋体" w:cs="仿宋_GB2312"/>
          <w:b/>
          <w:color w:val="auto"/>
          <w:highlight w:val="none"/>
        </w:rPr>
        <w:t>3. 评审要求：</w:t>
      </w:r>
      <w:r>
        <w:rPr>
          <w:rFonts w:hint="eastAsia" w:ascii="宋体" w:hAnsi="宋体" w:cs="仿宋_GB2312"/>
          <w:color w:val="auto"/>
          <w:highlight w:val="none"/>
        </w:rPr>
        <w:t>详见磋商文件第五部分“评审方法及评审标准”。</w:t>
      </w:r>
    </w:p>
    <w:p>
      <w:pPr>
        <w:adjustRightInd/>
        <w:spacing w:line="360" w:lineRule="auto"/>
        <w:jc w:val="center"/>
        <w:outlineLvl w:val="0"/>
        <w:rPr>
          <w:rFonts w:ascii="宋体" w:hAnsi="宋体" w:cs="仿宋_GB2312"/>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61" w:name="_Toc18925"/>
      <w:r>
        <w:rPr>
          <w:rFonts w:hint="eastAsia" w:ascii="宋体" w:hAnsi="宋体" w:cs="仿宋_GB2312"/>
          <w:b/>
          <w:color w:val="auto"/>
          <w:sz w:val="32"/>
          <w:szCs w:val="20"/>
          <w:highlight w:val="none"/>
        </w:rPr>
        <w:t>十一、</w:t>
      </w:r>
      <w:r>
        <w:rPr>
          <w:rFonts w:hint="eastAsia" w:ascii="宋体" w:hAnsi="宋体"/>
          <w:b/>
          <w:color w:val="auto"/>
          <w:sz w:val="32"/>
          <w:szCs w:val="32"/>
          <w:highlight w:val="none"/>
        </w:rPr>
        <w:t>成交</w:t>
      </w:r>
      <w:bookmarkEnd w:id="61"/>
    </w:p>
    <w:p>
      <w:pPr>
        <w:pStyle w:val="36"/>
        <w:spacing w:line="360" w:lineRule="auto"/>
        <w:rPr>
          <w:rFonts w:hAnsi="宋体" w:cs="仿宋_GB2312"/>
          <w:b/>
          <w:color w:val="auto"/>
          <w:sz w:val="24"/>
          <w:szCs w:val="24"/>
          <w:highlight w:val="none"/>
        </w:rPr>
      </w:pPr>
      <w:r>
        <w:rPr>
          <w:rFonts w:hint="eastAsia" w:hAnsi="宋体"/>
          <w:b/>
          <w:color w:val="auto"/>
          <w:sz w:val="24"/>
          <w:highlight w:val="none"/>
        </w:rPr>
        <w:t>1. 推荐成交候选供应商</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pPr>
        <w:pStyle w:val="36"/>
        <w:spacing w:line="360" w:lineRule="auto"/>
        <w:rPr>
          <w:rFonts w:hAnsi="宋体"/>
          <w:b/>
          <w:color w:val="auto"/>
          <w:sz w:val="24"/>
          <w:highlight w:val="none"/>
        </w:rPr>
      </w:pPr>
      <w:r>
        <w:rPr>
          <w:rFonts w:hint="eastAsia" w:hAnsi="宋体"/>
          <w:b/>
          <w:color w:val="auto"/>
          <w:sz w:val="24"/>
          <w:highlight w:val="none"/>
        </w:rPr>
        <w:t>2. 确定成交供应商</w:t>
      </w:r>
    </w:p>
    <w:p>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政府采购项目实行全流程电子化，评审报告送交、采购结果确定和结果公告均在线完成。为进一步提升采购结果确定效率，采购代理机构应当依法及时将评审报告在线送交采购人。采购人应当自收到评审报告之日起2个工作日内在线确定成交供应商。成交通知书和成交结果公告应当在规定时间内同时发出。</w:t>
      </w:r>
    </w:p>
    <w:p>
      <w:pPr>
        <w:tabs>
          <w:tab w:val="left" w:pos="0"/>
        </w:tabs>
        <w:spacing w:line="360" w:lineRule="auto"/>
        <w:rPr>
          <w:rFonts w:ascii="宋体" w:hAnsi="宋体" w:cs="Helvetica"/>
          <w:color w:val="auto"/>
          <w:kern w:val="0"/>
          <w:sz w:val="24"/>
          <w:highlight w:val="none"/>
        </w:rPr>
      </w:pPr>
      <w:r>
        <w:rPr>
          <w:rFonts w:hint="eastAsia" w:ascii="宋体" w:hAnsi="宋体"/>
          <w:b/>
          <w:color w:val="auto"/>
          <w:sz w:val="24"/>
          <w:highlight w:val="none"/>
        </w:rPr>
        <w:t>3．成交通知及成交结果公告</w:t>
      </w:r>
    </w:p>
    <w:p>
      <w:pPr>
        <w:spacing w:line="360" w:lineRule="auto"/>
        <w:ind w:firstLine="360" w:firstLineChars="150"/>
        <w:rPr>
          <w:rFonts w:ascii="宋体" w:hAnsi="宋体" w:cs="宋体"/>
          <w:color w:val="auto"/>
          <w:sz w:val="24"/>
          <w:highlight w:val="none"/>
        </w:rPr>
      </w:pPr>
      <w:r>
        <w:rPr>
          <w:rFonts w:hint="eastAsia" w:ascii="宋体" w:hAnsi="宋体"/>
          <w:color w:val="auto"/>
          <w:sz w:val="24"/>
          <w:szCs w:val="21"/>
          <w:highlight w:val="none"/>
        </w:rPr>
        <w:t>3.1自成交人确定之日起2个工作日内，采购代理机构通过电子交易平台向成交人发出成交通知书，</w:t>
      </w:r>
      <w:r>
        <w:rPr>
          <w:rFonts w:hint="eastAsia" w:ascii="宋体" w:hAnsi="宋体" w:cs="宋体"/>
          <w:color w:val="auto"/>
          <w:sz w:val="24"/>
          <w:highlight w:val="none"/>
        </w:rPr>
        <w:t>同时编制发布采购</w:t>
      </w:r>
      <w:r>
        <w:rPr>
          <w:rFonts w:hint="eastAsia" w:ascii="宋体" w:hAnsi="宋体"/>
          <w:color w:val="auto"/>
          <w:sz w:val="24"/>
          <w:szCs w:val="21"/>
          <w:highlight w:val="none"/>
        </w:rPr>
        <w:t>成交结果公告。</w:t>
      </w:r>
      <w:r>
        <w:rPr>
          <w:rFonts w:hint="eastAsia" w:ascii="宋体" w:hAnsi="宋体" w:cs="宋体"/>
          <w:color w:val="auto"/>
          <w:sz w:val="24"/>
          <w:highlight w:val="none"/>
        </w:rPr>
        <w:t>采购代理机构也可以以纸质形式进行成交通知。</w:t>
      </w:r>
    </w:p>
    <w:p>
      <w:pPr>
        <w:spacing w:line="360" w:lineRule="auto"/>
        <w:ind w:firstLine="360" w:firstLineChars="150"/>
        <w:rPr>
          <w:rFonts w:ascii="宋体" w:hAnsi="宋体"/>
          <w:color w:val="auto"/>
          <w:sz w:val="24"/>
          <w:szCs w:val="21"/>
          <w:highlight w:val="none"/>
        </w:rPr>
      </w:pPr>
      <w:r>
        <w:rPr>
          <w:rFonts w:hint="eastAsia" w:ascii="宋体" w:hAnsi="宋体" w:cs="宋体"/>
          <w:color w:val="auto"/>
          <w:sz w:val="24"/>
          <w:highlight w:val="none"/>
        </w:rPr>
        <w:t>3.2</w:t>
      </w:r>
      <w:r>
        <w:rPr>
          <w:rFonts w:hint="eastAsia" w:ascii="宋体" w:hAnsi="宋体"/>
          <w:color w:val="auto"/>
          <w:sz w:val="24"/>
          <w:szCs w:val="21"/>
          <w:highlight w:val="none"/>
        </w:rPr>
        <w:t>成交</w:t>
      </w:r>
      <w:r>
        <w:rPr>
          <w:rFonts w:hint="eastAsia" w:ascii="宋体" w:hAnsi="宋体" w:cs="仿宋_GB2312"/>
          <w:color w:val="auto"/>
          <w:sz w:val="24"/>
          <w:highlight w:val="none"/>
        </w:rPr>
        <w:t>结果公告内容包括</w:t>
      </w:r>
      <w:r>
        <w:rPr>
          <w:rFonts w:hint="eastAsia" w:ascii="宋体" w:hAnsi="宋体" w:cs="宋体"/>
          <w:color w:val="auto"/>
          <w:sz w:val="24"/>
          <w:highlight w:val="none"/>
        </w:rPr>
        <w:t>采购人及其委托的采购代理机构的名称、地址、联系方式，项目名称和项目编号，成交人名称、地址和成交金额，主要中标标的的名称、规格型号、数量、单价、服务要求，开标记录、</w:t>
      </w:r>
      <w:bookmarkStart w:id="62" w:name="_Hlk101184471"/>
      <w:r>
        <w:rPr>
          <w:rFonts w:hint="eastAsia" w:ascii="宋体" w:hAnsi="宋体" w:cs="宋体"/>
          <w:color w:val="auto"/>
          <w:sz w:val="24"/>
          <w:highlight w:val="none"/>
        </w:rPr>
        <w:t>资格审查情况、评审专家抽取规则、符合性审查情况、</w:t>
      </w:r>
      <w:bookmarkEnd w:id="62"/>
      <w:r>
        <w:rPr>
          <w:rFonts w:hint="eastAsia" w:ascii="宋体" w:hAnsi="宋体" w:cs="宋体"/>
          <w:color w:val="auto"/>
          <w:sz w:val="24"/>
          <w:highlight w:val="none"/>
        </w:rPr>
        <w:t>未成交情况说明、成交公告期限以及评审专家名单、评分汇总及明细。</w:t>
      </w:r>
    </w:p>
    <w:p>
      <w:pPr>
        <w:spacing w:line="360" w:lineRule="auto"/>
        <w:ind w:firstLine="360" w:firstLineChars="150"/>
        <w:rPr>
          <w:rFonts w:ascii="宋体" w:hAnsi="宋体"/>
          <w:color w:val="auto"/>
          <w:sz w:val="24"/>
          <w:szCs w:val="21"/>
          <w:highlight w:val="none"/>
        </w:rPr>
      </w:pPr>
      <w:r>
        <w:rPr>
          <w:rFonts w:hint="eastAsia" w:ascii="宋体" w:hAnsi="宋体"/>
          <w:color w:val="auto"/>
          <w:sz w:val="24"/>
          <w:szCs w:val="21"/>
          <w:highlight w:val="none"/>
        </w:rPr>
        <w:t>3.3公告期限为1个工作日。</w:t>
      </w:r>
    </w:p>
    <w:p>
      <w:pPr>
        <w:snapToGrid w:val="0"/>
        <w:spacing w:line="360" w:lineRule="auto"/>
        <w:jc w:val="center"/>
        <w:outlineLvl w:val="0"/>
        <w:rPr>
          <w:rFonts w:ascii="宋体" w:hAnsi="宋体" w:cs="仿宋_GB2312"/>
          <w:b/>
          <w:color w:val="auto"/>
          <w:sz w:val="36"/>
          <w:szCs w:val="36"/>
          <w:highlight w:val="none"/>
        </w:rPr>
      </w:pPr>
    </w:p>
    <w:p>
      <w:pPr>
        <w:snapToGrid w:val="0"/>
        <w:spacing w:line="360" w:lineRule="auto"/>
        <w:jc w:val="center"/>
        <w:outlineLvl w:val="0"/>
        <w:rPr>
          <w:rFonts w:ascii="宋体" w:hAnsi="宋体" w:cs="仿宋_GB2312"/>
          <w:b/>
          <w:color w:val="auto"/>
          <w:sz w:val="36"/>
          <w:szCs w:val="36"/>
          <w:highlight w:val="none"/>
        </w:rPr>
      </w:pPr>
      <w:bookmarkStart w:id="63" w:name="_Toc20225"/>
      <w:r>
        <w:rPr>
          <w:rFonts w:hint="eastAsia" w:ascii="宋体" w:hAnsi="宋体" w:cs="仿宋_GB2312"/>
          <w:b/>
          <w:color w:val="auto"/>
          <w:sz w:val="36"/>
          <w:szCs w:val="36"/>
          <w:highlight w:val="none"/>
        </w:rPr>
        <w:t>十二、合同</w:t>
      </w:r>
      <w:bookmarkEnd w:id="63"/>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1.合同主要条款：</w:t>
      </w:r>
      <w:r>
        <w:rPr>
          <w:rFonts w:hint="eastAsia" w:ascii="宋体" w:hAnsi="宋体"/>
          <w:color w:val="auto"/>
          <w:sz w:val="24"/>
          <w:highlight w:val="none"/>
        </w:rPr>
        <w:t>详见“第六部分拟签订的合同文本”。</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2.合同的签订</w:t>
      </w:r>
    </w:p>
    <w:p>
      <w:pPr>
        <w:adjustRightInd/>
        <w:spacing w:line="360" w:lineRule="auto"/>
        <w:ind w:firstLine="480" w:firstLineChars="200"/>
        <w:rPr>
          <w:rFonts w:ascii="宋体" w:hAnsi="宋体"/>
          <w:color w:val="auto"/>
          <w:sz w:val="24"/>
          <w:highlight w:val="none"/>
        </w:rPr>
      </w:pPr>
      <w:r>
        <w:rPr>
          <w:rFonts w:hint="eastAsia" w:ascii="宋体" w:hAnsi="宋体"/>
          <w:color w:val="auto"/>
          <w:sz w:val="24"/>
          <w:highlight w:val="none"/>
        </w:rPr>
        <w:t>2.1除不可抗力等特殊情况外，原则上采购人应当在成交通知书发出之日起10个工作日内，与成交供应商按照磋商文件确定的事项签订政府采购合同，并在签订之日起2个工作日内将政府采购合同在浙江政府采购网上公告。鼓励有条件的采购人视情缩减采购合同签订时限，提高采购效率，杜绝“冷、硬、横、推”等不当行为。</w:t>
      </w:r>
    </w:p>
    <w:p>
      <w:pPr>
        <w:pStyle w:val="397"/>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2.2成交人按规定的日期、时间、地点，由法定代表人或其授权代表与采购人代表签订合同。如成交人为联合体的，由联合体成员各方法定代表人或其授权代表与采购人代表签订合同。</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2.5如签订合同并生效后，供应商无故拒绝或延期，除按照合同条款处理外，列入不良行为记录一次，并给予通报。</w:t>
      </w:r>
    </w:p>
    <w:p>
      <w:pPr>
        <w:pStyle w:val="397"/>
        <w:snapToGrid w:val="0"/>
        <w:spacing w:before="0" w:after="120"/>
        <w:ind w:firstLine="480"/>
        <w:rPr>
          <w:rFonts w:ascii="宋体" w:hAnsi="宋体" w:cs="仿宋_GB2312"/>
          <w:color w:val="auto"/>
          <w:highlight w:val="none"/>
        </w:rPr>
      </w:pPr>
      <w:r>
        <w:rPr>
          <w:rFonts w:ascii="宋体" w:hAnsi="宋体" w:cs="仿宋_GB2312"/>
          <w:color w:val="auto"/>
          <w:highlight w:val="none"/>
        </w:rPr>
        <w:t>2.</w:t>
      </w:r>
      <w:r>
        <w:rPr>
          <w:rFonts w:hint="eastAsia" w:ascii="宋体" w:hAnsi="宋体" w:cs="仿宋_GB2312"/>
          <w:color w:val="auto"/>
          <w:highlight w:val="none"/>
        </w:rPr>
        <w:t>6</w:t>
      </w:r>
      <w:r>
        <w:rPr>
          <w:rFonts w:ascii="宋体" w:hAnsi="宋体" w:cs="仿宋_GB2312"/>
          <w:color w:val="auto"/>
          <w:highlight w:val="none"/>
        </w:rPr>
        <w:t>采购合同由采购人与</w:t>
      </w:r>
      <w:r>
        <w:rPr>
          <w:rFonts w:hint="eastAsia" w:ascii="宋体" w:hAnsi="宋体" w:cs="仿宋_GB2312"/>
          <w:color w:val="auto"/>
          <w:highlight w:val="none"/>
        </w:rPr>
        <w:t>成交</w:t>
      </w:r>
      <w:r>
        <w:rPr>
          <w:rFonts w:ascii="宋体" w:hAnsi="宋体" w:cs="仿宋_GB2312"/>
          <w:color w:val="auto"/>
          <w:highlight w:val="none"/>
        </w:rPr>
        <w:t>供应商根据</w:t>
      </w:r>
      <w:r>
        <w:rPr>
          <w:rFonts w:hint="eastAsia" w:ascii="宋体" w:hAnsi="宋体" w:cs="仿宋_GB2312"/>
          <w:color w:val="auto"/>
          <w:highlight w:val="none"/>
        </w:rPr>
        <w:t>磋商文件、响应文件等内容通过政府采购电子交易平台在线签订，自动备案。</w:t>
      </w:r>
    </w:p>
    <w:p>
      <w:pPr>
        <w:tabs>
          <w:tab w:val="left" w:pos="0"/>
        </w:tabs>
        <w:spacing w:line="360" w:lineRule="auto"/>
        <w:rPr>
          <w:rFonts w:hint="eastAsia" w:ascii="宋体" w:hAnsi="宋体" w:eastAsia="宋体"/>
          <w:b/>
          <w:color w:val="auto"/>
          <w:sz w:val="24"/>
          <w:highlight w:val="none"/>
          <w:lang w:eastAsia="zh-CN"/>
        </w:rPr>
      </w:pPr>
      <w:r>
        <w:rPr>
          <w:rFonts w:hint="eastAsia" w:ascii="宋体" w:hAnsi="宋体"/>
          <w:b/>
          <w:color w:val="auto"/>
          <w:sz w:val="24"/>
          <w:highlight w:val="none"/>
        </w:rPr>
        <w:t>3．履约保证金</w:t>
      </w:r>
      <w:r>
        <w:rPr>
          <w:rFonts w:hint="eastAsia" w:ascii="宋体" w:hAnsi="宋体"/>
          <w:b/>
          <w:color w:val="auto"/>
          <w:sz w:val="24"/>
          <w:highlight w:val="none"/>
          <w:lang w:eastAsia="zh-CN"/>
        </w:rPr>
        <w:t>：不要求</w:t>
      </w:r>
    </w:p>
    <w:p>
      <w:pPr>
        <w:snapToGrid w:val="0"/>
        <w:spacing w:line="360" w:lineRule="auto"/>
        <w:jc w:val="center"/>
        <w:rPr>
          <w:rFonts w:ascii="宋体" w:hAnsi="宋体"/>
          <w:b/>
          <w:color w:val="auto"/>
          <w:sz w:val="24"/>
          <w:highlight w:val="none"/>
        </w:rPr>
      </w:pPr>
      <w:bookmarkStart w:id="64" w:name="_Toc22606"/>
      <w:r>
        <w:rPr>
          <w:rFonts w:hint="eastAsia" w:ascii="宋体" w:hAnsi="宋体" w:cs="仿宋_GB2312"/>
          <w:b/>
          <w:color w:val="auto"/>
          <w:sz w:val="36"/>
          <w:szCs w:val="36"/>
          <w:highlight w:val="none"/>
        </w:rPr>
        <w:t>十三、</w:t>
      </w:r>
      <w:bookmarkEnd w:id="64"/>
      <w:r>
        <w:rPr>
          <w:rFonts w:hint="eastAsia" w:ascii="宋体" w:hAnsi="宋体" w:cs="仿宋_GB2312"/>
          <w:b/>
          <w:color w:val="auto"/>
          <w:sz w:val="36"/>
          <w:szCs w:val="36"/>
          <w:highlight w:val="none"/>
        </w:rPr>
        <w:t>电子交易活动的中止</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 电子交易活动的中止</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采购过程中出现以下情形，导致电子交易平台无法正常运行，或者无法保证电子交易的公平、公正和安全时，采购代理机构可中止电子交易活动：</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1.1电子交易平台发生故障而无法登录访问的；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1.2电子交易平台应用或数据库出现错误，不能进行正常操作的；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1.3电子交易平台发现严重安全漏洞，有潜在泄密危险的；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1.4病毒发作导致不能进行正常操作的；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1.5其他无法保证电子交易的公平、公正和安全的情况。</w:t>
      </w:r>
    </w:p>
    <w:p>
      <w:pPr>
        <w:tabs>
          <w:tab w:val="left" w:pos="0"/>
        </w:tabs>
        <w:spacing w:line="360" w:lineRule="auto"/>
        <w:rPr>
          <w:rFonts w:ascii="宋体" w:hAnsi="宋体" w:cs="仿宋_GB2312"/>
          <w:b/>
          <w:color w:val="auto"/>
          <w:sz w:val="36"/>
          <w:szCs w:val="36"/>
          <w:highlight w:val="none"/>
        </w:rPr>
      </w:pPr>
      <w:r>
        <w:rPr>
          <w:rFonts w:hint="eastAsia" w:ascii="宋体" w:hAnsi="宋体" w:cs="Helvetica"/>
          <w:b/>
          <w:color w:val="auto"/>
          <w:kern w:val="0"/>
          <w:sz w:val="24"/>
          <w:highlight w:val="none"/>
        </w:rPr>
        <w:t>2.</w:t>
      </w:r>
      <w:r>
        <w:rPr>
          <w:rFonts w:hint="eastAsia" w:ascii="宋体" w:hAnsi="宋体" w:cs="Helvetica"/>
          <w:color w:val="auto"/>
          <w:kern w:val="0"/>
          <w:sz w:val="24"/>
          <w:highlight w:val="none"/>
        </w:rPr>
        <w:t>出现以上情形，不影响采购公平、公正性的，采购组织机构可以待上述情形消除后继续组织电子交易活动，也可以决定某些环节以纸质形式进行；影响或可能影响采购公平、公正性的，应当重新采购。</w:t>
      </w:r>
      <w:bookmarkEnd w:id="11"/>
      <w:bookmarkStart w:id="65" w:name="_Hlt74729768"/>
      <w:bookmarkEnd w:id="65"/>
      <w:bookmarkStart w:id="66" w:name="_Hlt74707468"/>
      <w:bookmarkEnd w:id="66"/>
      <w:bookmarkStart w:id="67" w:name="_Hlt68057669"/>
      <w:bookmarkEnd w:id="67"/>
      <w:bookmarkStart w:id="68" w:name="_Hlt75236290"/>
      <w:bookmarkEnd w:id="68"/>
      <w:bookmarkStart w:id="69" w:name="_Hlt74714665"/>
      <w:bookmarkEnd w:id="69"/>
      <w:bookmarkStart w:id="70" w:name="_Hlt75236101"/>
      <w:bookmarkEnd w:id="70"/>
      <w:bookmarkStart w:id="71" w:name="_Hlt74730295"/>
      <w:bookmarkEnd w:id="71"/>
      <w:bookmarkStart w:id="72" w:name="_Hlt68072990"/>
      <w:bookmarkEnd w:id="72"/>
      <w:bookmarkStart w:id="73" w:name="_Hlt75236011"/>
      <w:bookmarkEnd w:id="73"/>
      <w:bookmarkStart w:id="74" w:name="_Toc164416483"/>
      <w:bookmarkStart w:id="75" w:name="第三部分"/>
      <w:r>
        <w:rPr>
          <w:rFonts w:ascii="宋体" w:hAnsi="宋体" w:cs="仿宋_GB2312"/>
          <w:b/>
          <w:color w:val="auto"/>
          <w:sz w:val="36"/>
          <w:szCs w:val="36"/>
          <w:highlight w:val="none"/>
        </w:rPr>
        <w:br w:type="page"/>
      </w:r>
    </w:p>
    <w:p>
      <w:pPr>
        <w:adjustRightInd/>
        <w:spacing w:line="360" w:lineRule="auto"/>
        <w:jc w:val="center"/>
        <w:outlineLvl w:val="0"/>
        <w:rPr>
          <w:rStyle w:val="552"/>
          <w:rFonts w:hint="eastAsia"/>
          <w:color w:val="auto"/>
          <w:highlight w:val="none"/>
        </w:rPr>
      </w:pPr>
      <w:bookmarkStart w:id="76" w:name="_Toc10873"/>
      <w:r>
        <w:rPr>
          <w:rStyle w:val="552"/>
          <w:rFonts w:hint="eastAsia"/>
          <w:color w:val="auto"/>
          <w:highlight w:val="none"/>
        </w:rPr>
        <w:t>第四部分  采购需求</w:t>
      </w:r>
      <w:bookmarkEnd w:id="76"/>
    </w:p>
    <w:p>
      <w:pPr>
        <w:numPr>
          <w:ilvl w:val="0"/>
          <w:numId w:val="0"/>
        </w:numPr>
        <w:tabs>
          <w:tab w:val="clear" w:pos="432"/>
          <w:tab w:val="clear" w:pos="480"/>
          <w:tab w:val="clear" w:pos="840"/>
          <w:tab w:val="clear" w:pos="144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一、</w:t>
      </w:r>
      <w:r>
        <w:rPr>
          <w:rFonts w:hint="eastAsia" w:ascii="宋体" w:hAnsi="宋体" w:eastAsia="宋体" w:cs="宋体"/>
          <w:b/>
          <w:sz w:val="24"/>
          <w:szCs w:val="24"/>
        </w:rPr>
        <w:t>工程</w:t>
      </w:r>
      <w:r>
        <w:rPr>
          <w:rFonts w:hint="eastAsia" w:ascii="宋体" w:hAnsi="宋体" w:eastAsia="宋体" w:cs="宋体"/>
          <w:b/>
          <w:sz w:val="24"/>
          <w:szCs w:val="24"/>
          <w:lang w:eastAsia="zh-CN"/>
        </w:rPr>
        <w:t>概况及</w:t>
      </w:r>
      <w:r>
        <w:rPr>
          <w:rFonts w:hint="eastAsia" w:ascii="宋体" w:hAnsi="宋体" w:eastAsia="宋体" w:cs="宋体"/>
          <w:b/>
          <w:sz w:val="24"/>
          <w:szCs w:val="24"/>
        </w:rPr>
        <w:t>招标范围</w:t>
      </w:r>
    </w:p>
    <w:p>
      <w:pPr>
        <w:spacing w:line="360" w:lineRule="auto"/>
        <w:ind w:firstLine="480" w:firstLineChars="200"/>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rPr>
        <w:t xml:space="preserve"> </w:t>
      </w:r>
      <w:r>
        <w:rPr>
          <w:rFonts w:hint="eastAsia" w:ascii="宋体" w:hAnsi="宋体" w:eastAsia="宋体" w:cs="宋体"/>
          <w:kern w:val="2"/>
          <w:sz w:val="24"/>
          <w:szCs w:val="24"/>
          <w:lang w:val="en-US" w:eastAsia="zh-CN" w:bidi="ar-SA"/>
        </w:rPr>
        <w:t>新建学生宿舍工程变配电房位于新城校区田径场看台一层原101-1室，拟对该房间及田径场看台5#</w:t>
      </w:r>
      <w:r>
        <w:rPr>
          <w:rFonts w:hint="eastAsia" w:ascii="宋体" w:hAnsi="宋体" w:eastAsia="宋体" w:cs="宋体"/>
          <w:sz w:val="24"/>
          <w:szCs w:val="24"/>
          <w:lang w:val="en-US" w:eastAsia="zh-CN"/>
        </w:rPr>
        <w:t>配电房</w:t>
      </w:r>
      <w:r>
        <w:rPr>
          <w:rFonts w:hint="eastAsia" w:ascii="宋体" w:hAnsi="宋体" w:eastAsia="宋体" w:cs="宋体"/>
          <w:kern w:val="2"/>
          <w:sz w:val="24"/>
          <w:szCs w:val="24"/>
          <w:lang w:val="en-US" w:eastAsia="zh-CN" w:bidi="ar-SA"/>
        </w:rPr>
        <w:t>实施配电房改造，包括室内土建电缆沟改造、进出户门改造、室外电缆改造铺设、电力设施设备安装等，建成后满足新建学生宿舍工程电力需求</w:t>
      </w:r>
      <w:r>
        <w:rPr>
          <w:rFonts w:hint="eastAsia" w:ascii="宋体" w:hAnsi="宋体" w:eastAsia="宋体" w:cs="宋体"/>
          <w:b w:val="0"/>
          <w:bCs w:val="0"/>
          <w:kern w:val="0"/>
          <w:sz w:val="24"/>
          <w:szCs w:val="24"/>
          <w:lang w:val="en-US" w:eastAsia="zh-CN"/>
        </w:rPr>
        <w:t>，其中田径场看台5#配电房内增容新设15台低压柜,2台全铜变压器SCB14-1600KVA，看台一层原101-1室增加1台低压柜改造8台低压柜，建成后主要用于保障新建2幢学生宿舍电力需求。具体内容详见施工图纸。</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b w:val="0"/>
          <w:bCs w:val="0"/>
          <w:kern w:val="0"/>
          <w:sz w:val="24"/>
          <w:szCs w:val="24"/>
          <w:lang w:val="en-US" w:eastAsia="zh-CN"/>
        </w:rPr>
        <w:t>本工程招标范围为设计施工图纸中所涉及的所有土建、电气改造安装</w:t>
      </w:r>
      <w:r>
        <w:rPr>
          <w:rFonts w:hint="eastAsia" w:ascii="宋体" w:hAnsi="宋体" w:eastAsia="宋体" w:cs="宋体"/>
          <w:kern w:val="0"/>
          <w:sz w:val="24"/>
          <w:szCs w:val="24"/>
          <w:lang w:val="en-US" w:eastAsia="zh-CN"/>
        </w:rPr>
        <w:t>、电缆铺设等所有内容。</w:t>
      </w:r>
    </w:p>
    <w:p>
      <w:pPr>
        <w:pStyle w:val="36"/>
        <w:spacing w:line="360" w:lineRule="auto"/>
        <w:ind w:firstLine="482" w:firstLineChars="200"/>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二、项目要求</w:t>
      </w:r>
    </w:p>
    <w:p>
      <w:pPr>
        <w:numPr>
          <w:ilvl w:val="0"/>
          <w:numId w:val="0"/>
        </w:numPr>
        <w:tabs>
          <w:tab w:val="clear" w:pos="432"/>
          <w:tab w:val="clear" w:pos="480"/>
          <w:tab w:val="clear" w:pos="840"/>
          <w:tab w:val="clear" w:pos="1440"/>
        </w:tabs>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1、新安装的设备仪器、元器件等质量保证期三年，质保期内免费上门对损坏的系统进行安装、升级、更换、调试，包括配件费，材料费，人工费等。</w:t>
      </w:r>
    </w:p>
    <w:p>
      <w:pPr>
        <w:numPr>
          <w:ilvl w:val="0"/>
          <w:numId w:val="0"/>
        </w:numPr>
        <w:tabs>
          <w:tab w:val="clear" w:pos="432"/>
          <w:tab w:val="clear" w:pos="480"/>
          <w:tab w:val="clear" w:pos="840"/>
          <w:tab w:val="clear" w:pos="1440"/>
        </w:tabs>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项目实施期间，如需停电施工，承包单位需自行提供柴油发电机发电确保停电区域正常供电，供电功率不小于400kw。施工期间校区不断电费用列入预算控制价暂列金，结算时承包单位提供实际产生费用佐证材料按实结算。</w:t>
      </w:r>
    </w:p>
    <w:p>
      <w:pPr>
        <w:numPr>
          <w:ilvl w:val="0"/>
          <w:numId w:val="0"/>
        </w:numPr>
        <w:tabs>
          <w:tab w:val="clear" w:pos="432"/>
          <w:tab w:val="clear" w:pos="480"/>
          <w:tab w:val="clear" w:pos="840"/>
          <w:tab w:val="clear" w:pos="1440"/>
        </w:tabs>
        <w:spacing w:line="360" w:lineRule="auto"/>
        <w:ind w:left="120" w:leftChars="0" w:firstLine="480" w:firstLineChars="200"/>
        <w:rPr>
          <w:rFonts w:hint="eastAsia" w:ascii="宋体" w:hAnsi="宋体" w:eastAsia="宋体" w:cs="宋体"/>
          <w:kern w:val="2"/>
          <w:sz w:val="24"/>
          <w:szCs w:val="24"/>
          <w:lang w:val="en-US" w:eastAsia="zh-CN" w:bidi="ar-SA"/>
        </w:rPr>
      </w:pPr>
      <w:bookmarkStart w:id="77" w:name="OLE_LINK12"/>
      <w:r>
        <w:rPr>
          <w:rFonts w:hint="eastAsia" w:ascii="宋体" w:hAnsi="宋体" w:eastAsia="宋体" w:cs="宋体"/>
          <w:kern w:val="2"/>
          <w:sz w:val="24"/>
          <w:szCs w:val="24"/>
          <w:lang w:val="en-US" w:eastAsia="zh-CN" w:bidi="ar-SA"/>
        </w:rPr>
        <w:t>3、合同签订开工后，施工单位负责所有内容的安装及施工，负责与电力管理部门的对接、验收、送电等事宜，期间的一切费用由施工单位承担，送电完成后，通知建设单位进行校内验收。定期巡检、提供运行报告、分析报告。</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sz w:val="24"/>
          <w:lang w:val="en-US" w:eastAsia="zh-CN"/>
        </w:rPr>
      </w:pPr>
      <w:r>
        <w:rPr>
          <w:rFonts w:hint="eastAsia" w:ascii="宋体" w:hAnsi="宋体" w:eastAsia="宋体" w:cs="宋体"/>
          <w:bCs/>
          <w:color w:val="0000FF"/>
          <w:sz w:val="24"/>
          <w:szCs w:val="24"/>
          <w:lang w:val="en-US" w:eastAsia="zh-CN"/>
        </w:rPr>
        <w:t>4、</w:t>
      </w:r>
      <w:r>
        <w:rPr>
          <w:rFonts w:hint="eastAsia" w:ascii="宋体" w:hAnsi="宋体" w:eastAsia="宋体" w:cs="宋体"/>
          <w:bCs/>
          <w:color w:val="0000FF"/>
          <w:sz w:val="24"/>
          <w:szCs w:val="24"/>
          <w:lang w:eastAsia="zh-CN"/>
        </w:rPr>
        <w:t>承包人施工完毕后</w:t>
      </w:r>
      <w:r>
        <w:rPr>
          <w:rFonts w:hint="eastAsia" w:ascii="宋体" w:hAnsi="宋体" w:eastAsia="宋体" w:cs="宋体"/>
          <w:bCs/>
          <w:color w:val="0000FF"/>
          <w:sz w:val="24"/>
          <w:szCs w:val="24"/>
          <w:lang w:val="en-US" w:eastAsia="zh-CN"/>
        </w:rPr>
        <w:t>自行组织</w:t>
      </w:r>
      <w:r>
        <w:rPr>
          <w:rFonts w:hint="eastAsia" w:ascii="宋体" w:hAnsi="宋体" w:eastAsia="宋体" w:cs="宋体"/>
          <w:bCs/>
          <w:color w:val="0000FF"/>
          <w:sz w:val="24"/>
          <w:szCs w:val="24"/>
          <w:lang w:eastAsia="zh-CN"/>
        </w:rPr>
        <w:t>电力主管部门验收合格并送电完成，而后</w:t>
      </w:r>
      <w:r>
        <w:rPr>
          <w:rFonts w:hint="eastAsia" w:ascii="宋体" w:hAnsi="宋体" w:eastAsia="宋体" w:cs="宋体"/>
          <w:bCs/>
          <w:color w:val="0000FF"/>
          <w:sz w:val="24"/>
          <w:szCs w:val="24"/>
          <w:lang w:val="en-US" w:eastAsia="zh-CN"/>
        </w:rPr>
        <w:t>通知</w:t>
      </w:r>
      <w:r>
        <w:rPr>
          <w:rFonts w:hint="eastAsia" w:ascii="宋体" w:hAnsi="宋体" w:eastAsia="宋体" w:cs="宋体"/>
          <w:bCs/>
          <w:color w:val="0000FF"/>
          <w:sz w:val="24"/>
          <w:szCs w:val="24"/>
          <w:lang w:eastAsia="zh-CN"/>
        </w:rPr>
        <w:t>发包人进行项目竣工验收，电力主管部门验收期间需要的相关手续由承包人自行办理，相关申报资料中需发包人提供签字盖章的发包人应予以配合。</w:t>
      </w:r>
    </w:p>
    <w:bookmarkEnd w:id="77"/>
    <w:p>
      <w:pPr>
        <w:numPr>
          <w:ilvl w:val="0"/>
          <w:numId w:val="0"/>
        </w:numPr>
        <w:tabs>
          <w:tab w:val="clear" w:pos="432"/>
          <w:tab w:val="clear" w:pos="480"/>
          <w:tab w:val="clear" w:pos="840"/>
          <w:tab w:val="clear" w:pos="1440"/>
        </w:tabs>
        <w:spacing w:line="360" w:lineRule="auto"/>
        <w:ind w:left="120" w:leftChars="0" w:firstLine="480" w:firstLineChars="200"/>
        <w:rPr>
          <w:rFonts w:hint="eastAsia" w:ascii="宋体" w:hAnsi="宋体" w:eastAsia="宋体" w:cs="宋体"/>
          <w:sz w:val="24"/>
          <w:lang w:val="en-US" w:eastAsia="zh-CN"/>
        </w:rPr>
      </w:pPr>
      <w:r>
        <w:rPr>
          <w:rFonts w:hint="eastAsia" w:ascii="宋体" w:hAnsi="宋体" w:eastAsia="宋体" w:cs="宋体"/>
          <w:kern w:val="2"/>
          <w:sz w:val="24"/>
          <w:szCs w:val="24"/>
          <w:lang w:val="en-US" w:eastAsia="zh-CN" w:bidi="ar-SA"/>
        </w:rPr>
        <w:t>5、收到校方故障通知后4小时内响应，24小时内到达现场，免费维护或更换缺陷部件。</w:t>
      </w:r>
    </w:p>
    <w:p>
      <w:pPr>
        <w:numPr>
          <w:ilvl w:val="0"/>
          <w:numId w:val="0"/>
        </w:numPr>
        <w:tabs>
          <w:tab w:val="clear" w:pos="432"/>
          <w:tab w:val="clear" w:pos="480"/>
          <w:tab w:val="clear" w:pos="840"/>
          <w:tab w:val="clear" w:pos="144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lang w:eastAsia="zh-CN"/>
        </w:rPr>
        <w:t>工程</w:t>
      </w:r>
      <w:r>
        <w:rPr>
          <w:rFonts w:hint="eastAsia" w:ascii="宋体" w:hAnsi="宋体" w:eastAsia="宋体" w:cs="宋体"/>
          <w:b/>
          <w:sz w:val="24"/>
          <w:szCs w:val="24"/>
          <w:lang w:val="en-US" w:eastAsia="zh-CN"/>
        </w:rPr>
        <w:t>响应</w:t>
      </w:r>
      <w:r>
        <w:rPr>
          <w:rFonts w:hint="eastAsia" w:ascii="宋体" w:hAnsi="宋体" w:eastAsia="宋体" w:cs="宋体"/>
          <w:b/>
          <w:sz w:val="24"/>
          <w:szCs w:val="24"/>
          <w:lang w:eastAsia="zh-CN"/>
        </w:rPr>
        <w:t>报价说明</w:t>
      </w:r>
    </w:p>
    <w:p>
      <w:pPr>
        <w:spacing w:line="360" w:lineRule="auto"/>
        <w:rPr>
          <w:rFonts w:hint="eastAsia" w:ascii="宋体" w:hAnsi="宋体" w:eastAsia="宋体" w:cs="宋体"/>
          <w:kern w:val="0"/>
          <w:sz w:val="24"/>
          <w:szCs w:val="24"/>
        </w:rPr>
      </w:pPr>
      <w:r>
        <w:rPr>
          <w:rFonts w:hint="eastAsia" w:ascii="宋体" w:hAnsi="宋体" w:eastAsia="宋体" w:cs="宋体"/>
          <w:b/>
          <w:sz w:val="24"/>
          <w:szCs w:val="24"/>
          <w:lang w:eastAsia="zh-CN"/>
        </w:rPr>
        <w:t>　</w:t>
      </w:r>
      <w:r>
        <w:rPr>
          <w:rFonts w:hint="eastAsia" w:ascii="宋体" w:hAnsi="宋体" w:eastAsia="宋体" w:cs="宋体"/>
          <w:b/>
          <w:sz w:val="24"/>
          <w:szCs w:val="24"/>
          <w:lang w:val="en-US" w:eastAsia="zh-CN"/>
        </w:rPr>
        <w:t xml:space="preserve">  </w:t>
      </w:r>
      <w:r>
        <w:rPr>
          <w:rFonts w:hint="eastAsia" w:ascii="宋体" w:hAnsi="宋体" w:eastAsia="宋体" w:cs="宋体"/>
          <w:sz w:val="24"/>
          <w:szCs w:val="24"/>
          <w:lang w:eastAsia="zh-CN"/>
        </w:rPr>
        <w:t>本</w:t>
      </w:r>
      <w:r>
        <w:rPr>
          <w:rFonts w:hint="eastAsia" w:ascii="宋体" w:hAnsi="宋体" w:eastAsia="宋体" w:cs="宋体"/>
          <w:sz w:val="24"/>
          <w:szCs w:val="24"/>
          <w:lang w:val="en-US" w:eastAsia="zh-CN"/>
        </w:rPr>
        <w:t>响应</w:t>
      </w:r>
      <w:r>
        <w:rPr>
          <w:rFonts w:hint="eastAsia" w:ascii="宋体" w:hAnsi="宋体" w:eastAsia="宋体" w:cs="宋体"/>
          <w:sz w:val="24"/>
          <w:szCs w:val="24"/>
          <w:lang w:eastAsia="zh-CN"/>
        </w:rPr>
        <w:t>报价应</w:t>
      </w:r>
      <w:r>
        <w:rPr>
          <w:rFonts w:hint="eastAsia" w:ascii="宋体" w:hAnsi="宋体" w:eastAsia="宋体" w:cs="宋体"/>
          <w:sz w:val="24"/>
          <w:szCs w:val="24"/>
        </w:rPr>
        <w:t>为</w:t>
      </w:r>
      <w:r>
        <w:rPr>
          <w:rFonts w:hint="eastAsia" w:ascii="宋体" w:hAnsi="宋体" w:eastAsia="宋体" w:cs="宋体"/>
          <w:sz w:val="24"/>
          <w:szCs w:val="24"/>
          <w:lang w:val="en-US" w:eastAsia="zh-CN"/>
        </w:rPr>
        <w:t>采购</w:t>
      </w:r>
      <w:r>
        <w:rPr>
          <w:rFonts w:hint="eastAsia" w:ascii="宋体" w:hAnsi="宋体" w:eastAsia="宋体" w:cs="宋体"/>
          <w:sz w:val="24"/>
          <w:szCs w:val="24"/>
        </w:rPr>
        <w:t>人招标文件相关内容、</w:t>
      </w:r>
      <w:r>
        <w:rPr>
          <w:rFonts w:hint="eastAsia" w:ascii="宋体" w:hAnsi="宋体" w:eastAsia="宋体" w:cs="宋体"/>
          <w:kern w:val="0"/>
          <w:sz w:val="24"/>
          <w:szCs w:val="24"/>
        </w:rPr>
        <w:t>工程量清单</w:t>
      </w:r>
      <w:r>
        <w:rPr>
          <w:rFonts w:hint="eastAsia" w:ascii="宋体" w:hAnsi="宋体" w:eastAsia="宋体" w:cs="宋体"/>
          <w:sz w:val="24"/>
          <w:szCs w:val="24"/>
        </w:rPr>
        <w:t>中提出的各项支</w:t>
      </w:r>
      <w:r>
        <w:rPr>
          <w:rFonts w:hint="eastAsia" w:ascii="宋体" w:hAnsi="宋体" w:eastAsia="宋体" w:cs="宋体"/>
          <w:kern w:val="0"/>
          <w:sz w:val="24"/>
          <w:szCs w:val="24"/>
        </w:rPr>
        <w:t>付金额的总和，是完</w:t>
      </w:r>
      <w:r>
        <w:rPr>
          <w:rFonts w:hint="eastAsia" w:ascii="宋体" w:hAnsi="宋体" w:eastAsia="宋体" w:cs="宋体"/>
          <w:kern w:val="0"/>
          <w:sz w:val="24"/>
          <w:szCs w:val="24"/>
          <w:lang w:eastAsia="zh-CN"/>
        </w:rPr>
        <w:t>成项目</w:t>
      </w:r>
      <w:r>
        <w:rPr>
          <w:rFonts w:hint="eastAsia" w:ascii="宋体" w:hAnsi="宋体" w:eastAsia="宋体" w:cs="宋体"/>
          <w:kern w:val="0"/>
          <w:sz w:val="24"/>
          <w:szCs w:val="24"/>
        </w:rPr>
        <w:t>招标范围及工期的全部工作</w:t>
      </w:r>
      <w:r>
        <w:rPr>
          <w:rFonts w:hint="eastAsia" w:ascii="宋体" w:hAnsi="宋体" w:eastAsia="宋体" w:cs="宋体"/>
          <w:kern w:val="0"/>
          <w:sz w:val="24"/>
          <w:szCs w:val="24"/>
          <w:lang w:eastAsia="zh-CN"/>
        </w:rPr>
        <w:t>内容</w:t>
      </w:r>
      <w:r>
        <w:rPr>
          <w:rFonts w:hint="eastAsia" w:ascii="宋体" w:hAnsi="宋体" w:eastAsia="宋体" w:cs="宋体"/>
          <w:kern w:val="0"/>
          <w:sz w:val="24"/>
          <w:szCs w:val="24"/>
        </w:rPr>
        <w:t>。</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响应报价中所报的单价和合价，以及</w:t>
      </w:r>
      <w:r>
        <w:rPr>
          <w:rFonts w:hint="eastAsia" w:ascii="宋体" w:hAnsi="宋体" w:eastAsia="宋体" w:cs="宋体"/>
          <w:color w:val="auto"/>
          <w:kern w:val="0"/>
          <w:sz w:val="24"/>
          <w:szCs w:val="24"/>
          <w:lang w:val="en-US" w:eastAsia="zh-CN"/>
        </w:rPr>
        <w:t>汇总</w:t>
      </w:r>
      <w:r>
        <w:rPr>
          <w:rFonts w:hint="eastAsia" w:ascii="宋体" w:hAnsi="宋体" w:eastAsia="宋体" w:cs="宋体"/>
          <w:kern w:val="0"/>
          <w:sz w:val="24"/>
          <w:szCs w:val="24"/>
          <w:lang w:val="en-US" w:eastAsia="zh-CN"/>
        </w:rPr>
        <w:t>表中的价格均包括完成该工程项目的人工费、材料费、机械费、管理费、利润、规费、税金、风险费、前期的开办费、现行建筑工程预算定额中明确的措施项目费、政策性文件规定的所有费用。</w:t>
      </w:r>
    </w:p>
    <w:p>
      <w:pPr>
        <w:spacing w:line="360" w:lineRule="auto"/>
        <w:ind w:firstLine="463" w:firstLineChars="192"/>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四、响应</w:t>
      </w:r>
      <w:r>
        <w:rPr>
          <w:rFonts w:hint="eastAsia" w:ascii="宋体" w:hAnsi="宋体" w:eastAsia="宋体" w:cs="宋体"/>
          <w:b/>
          <w:bCs/>
          <w:sz w:val="24"/>
          <w:szCs w:val="24"/>
          <w:lang w:eastAsia="zh-CN"/>
        </w:rPr>
        <w:t>报价</w:t>
      </w:r>
      <w:r>
        <w:rPr>
          <w:rFonts w:hint="eastAsia" w:ascii="宋体" w:hAnsi="宋体" w:eastAsia="宋体" w:cs="宋体"/>
          <w:b/>
          <w:bCs/>
          <w:sz w:val="24"/>
          <w:szCs w:val="24"/>
          <w:lang w:val="en-US" w:eastAsia="zh-CN"/>
        </w:rPr>
        <w:t>说明</w:t>
      </w:r>
    </w:p>
    <w:p>
      <w:pPr>
        <w:spacing w:line="360" w:lineRule="auto"/>
        <w:ind w:firstLine="480" w:firstLineChars="200"/>
        <w:rPr>
          <w:rFonts w:hint="eastAsia" w:ascii="宋体" w:hAnsi="宋体" w:eastAsia="宋体" w:cs="宋体"/>
          <w:b/>
          <w:bCs/>
          <w:sz w:val="24"/>
        </w:rPr>
      </w:pPr>
      <w:r>
        <w:rPr>
          <w:rFonts w:hint="eastAsia" w:ascii="宋体" w:hAnsi="宋体" w:eastAsia="宋体" w:cs="宋体"/>
          <w:kern w:val="0"/>
          <w:sz w:val="24"/>
          <w:szCs w:val="24"/>
        </w:rPr>
        <w:t>本工程</w:t>
      </w:r>
      <w:r>
        <w:rPr>
          <w:rFonts w:hint="eastAsia" w:ascii="宋体" w:hAnsi="宋体" w:eastAsia="宋体" w:cs="宋体"/>
          <w:kern w:val="0"/>
          <w:sz w:val="24"/>
          <w:szCs w:val="24"/>
          <w:lang w:val="en-US" w:eastAsia="zh-CN"/>
        </w:rPr>
        <w:t>响应</w:t>
      </w:r>
      <w:r>
        <w:rPr>
          <w:rFonts w:hint="eastAsia" w:ascii="宋体" w:hAnsi="宋体" w:eastAsia="宋体" w:cs="宋体"/>
          <w:kern w:val="0"/>
          <w:sz w:val="24"/>
          <w:szCs w:val="24"/>
          <w:lang w:eastAsia="zh-CN"/>
        </w:rPr>
        <w:t>单价为</w:t>
      </w:r>
      <w:r>
        <w:rPr>
          <w:rFonts w:hint="eastAsia" w:ascii="宋体" w:hAnsi="宋体" w:eastAsia="宋体" w:cs="宋体"/>
          <w:kern w:val="0"/>
          <w:sz w:val="24"/>
          <w:szCs w:val="24"/>
        </w:rPr>
        <w:t>综合单价报价，</w:t>
      </w:r>
      <w:r>
        <w:rPr>
          <w:rFonts w:hint="eastAsia" w:ascii="宋体" w:hAnsi="宋体" w:eastAsia="宋体" w:cs="宋体"/>
          <w:kern w:val="0"/>
          <w:sz w:val="24"/>
          <w:szCs w:val="24"/>
          <w:lang w:eastAsia="zh-CN"/>
        </w:rPr>
        <w:t>可根据以下规则与文件结合招标人自身能力水平报价。</w:t>
      </w:r>
    </w:p>
    <w:p>
      <w:pPr>
        <w:spacing w:line="360" w:lineRule="auto"/>
        <w:ind w:firstLine="360" w:firstLineChars="150"/>
        <w:rPr>
          <w:rFonts w:hint="eastAsia" w:ascii="宋体" w:hAnsi="宋体" w:eastAsia="宋体" w:cs="宋体"/>
          <w:bCs/>
          <w:sz w:val="24"/>
        </w:rPr>
      </w:pPr>
      <w:r>
        <w:rPr>
          <w:rFonts w:hint="eastAsia" w:ascii="宋体" w:hAnsi="宋体" w:eastAsia="宋体" w:cs="宋体"/>
          <w:bCs/>
          <w:sz w:val="24"/>
        </w:rPr>
        <w:t>各</w:t>
      </w:r>
      <w:r>
        <w:rPr>
          <w:rFonts w:hint="eastAsia" w:ascii="宋体" w:hAnsi="宋体" w:eastAsia="宋体" w:cs="宋体"/>
          <w:bCs/>
          <w:sz w:val="24"/>
          <w:lang w:eastAsia="zh-CN"/>
        </w:rPr>
        <w:t>供应商</w:t>
      </w:r>
      <w:r>
        <w:rPr>
          <w:rFonts w:hint="eastAsia" w:ascii="宋体" w:hAnsi="宋体" w:eastAsia="宋体" w:cs="宋体"/>
          <w:bCs/>
          <w:sz w:val="24"/>
        </w:rPr>
        <w:t>根据招标人提供的工程量清单、措施清单项目、本项目招标要求计算</w:t>
      </w:r>
      <w:r>
        <w:rPr>
          <w:rFonts w:hint="eastAsia" w:ascii="宋体" w:hAnsi="宋体" w:eastAsia="宋体" w:cs="宋体"/>
          <w:bCs/>
          <w:sz w:val="24"/>
          <w:lang w:val="en-US" w:eastAsia="zh-CN"/>
        </w:rPr>
        <w:t>响应</w:t>
      </w:r>
      <w:r>
        <w:rPr>
          <w:rFonts w:hint="eastAsia" w:ascii="宋体" w:hAnsi="宋体" w:eastAsia="宋体" w:cs="宋体"/>
          <w:bCs/>
          <w:sz w:val="24"/>
        </w:rPr>
        <w:t>报价。开标前，</w:t>
      </w:r>
      <w:r>
        <w:rPr>
          <w:rFonts w:hint="eastAsia" w:ascii="宋体" w:hAnsi="宋体" w:eastAsia="宋体" w:cs="宋体"/>
          <w:bCs/>
          <w:sz w:val="24"/>
          <w:lang w:eastAsia="zh-CN"/>
        </w:rPr>
        <w:t>供应商</w:t>
      </w:r>
      <w:r>
        <w:rPr>
          <w:rFonts w:hint="eastAsia" w:ascii="宋体" w:hAnsi="宋体" w:eastAsia="宋体" w:cs="宋体"/>
          <w:bCs/>
          <w:sz w:val="24"/>
        </w:rPr>
        <w:t>无权对上述清单作变动、补充和修改。</w:t>
      </w:r>
    </w:p>
    <w:p>
      <w:pPr>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lang w:eastAsia="zh-CN"/>
        </w:rPr>
        <w:t>供应商</w:t>
      </w:r>
      <w:r>
        <w:rPr>
          <w:rFonts w:hint="eastAsia" w:ascii="宋体" w:hAnsi="宋体" w:eastAsia="宋体" w:cs="宋体"/>
          <w:bCs/>
          <w:sz w:val="24"/>
          <w:highlight w:val="none"/>
        </w:rPr>
        <w:t>在</w:t>
      </w:r>
      <w:r>
        <w:rPr>
          <w:rFonts w:hint="eastAsia" w:ascii="宋体" w:hAnsi="宋体" w:eastAsia="宋体" w:cs="宋体"/>
          <w:bCs/>
          <w:sz w:val="24"/>
          <w:highlight w:val="none"/>
          <w:lang w:val="en-US" w:eastAsia="zh-CN"/>
        </w:rPr>
        <w:t>响应</w:t>
      </w:r>
      <w:r>
        <w:rPr>
          <w:rFonts w:hint="eastAsia" w:ascii="宋体" w:hAnsi="宋体" w:eastAsia="宋体" w:cs="宋体"/>
          <w:bCs/>
          <w:sz w:val="24"/>
          <w:highlight w:val="none"/>
        </w:rPr>
        <w:t>时应充分考虑、预计材料及人工涨价等各类风险，</w:t>
      </w:r>
      <w:r>
        <w:rPr>
          <w:rFonts w:hint="eastAsia" w:ascii="宋体" w:hAnsi="宋体" w:eastAsia="宋体" w:cs="宋体"/>
          <w:bCs/>
          <w:sz w:val="24"/>
          <w:highlight w:val="none"/>
          <w:lang w:val="en-US" w:eastAsia="zh-CN"/>
        </w:rPr>
        <w:t>合同签订直至项目结算，相关清单项目单价不作调整，</w:t>
      </w:r>
      <w:r>
        <w:rPr>
          <w:rFonts w:hint="eastAsia" w:ascii="宋体" w:hAnsi="宋体" w:eastAsia="宋体" w:cs="宋体"/>
          <w:bCs/>
          <w:sz w:val="24"/>
          <w:highlight w:val="none"/>
        </w:rPr>
        <w:t>根据各自情况按实报价，若采用</w:t>
      </w:r>
      <w:r>
        <w:rPr>
          <w:rFonts w:hint="eastAsia" w:ascii="宋体" w:hAnsi="宋体" w:eastAsia="宋体" w:cs="宋体"/>
          <w:bCs/>
          <w:sz w:val="24"/>
          <w:highlight w:val="none"/>
          <w:lang w:val="en-US" w:eastAsia="zh-CN"/>
        </w:rPr>
        <w:t>响应</w:t>
      </w:r>
      <w:r>
        <w:rPr>
          <w:rFonts w:hint="eastAsia" w:ascii="宋体" w:hAnsi="宋体" w:eastAsia="宋体" w:cs="宋体"/>
          <w:bCs/>
          <w:sz w:val="24"/>
          <w:highlight w:val="none"/>
        </w:rPr>
        <w:t>技巧而带来的风险自负。</w:t>
      </w:r>
    </w:p>
    <w:p>
      <w:pPr>
        <w:spacing w:line="360" w:lineRule="auto"/>
        <w:ind w:firstLine="480" w:firstLineChars="200"/>
        <w:rPr>
          <w:rFonts w:hint="eastAsia" w:ascii="宋体" w:hAnsi="宋体" w:eastAsia="宋体" w:cs="宋体"/>
          <w:sz w:val="24"/>
        </w:rPr>
      </w:pPr>
      <w:r>
        <w:rPr>
          <w:rFonts w:hint="eastAsia" w:ascii="宋体" w:hAnsi="宋体" w:eastAsia="宋体" w:cs="宋体"/>
          <w:bCs/>
          <w:sz w:val="24"/>
          <w:lang w:eastAsia="zh-CN"/>
        </w:rPr>
        <w:t>供应商</w:t>
      </w:r>
      <w:r>
        <w:rPr>
          <w:rFonts w:hint="eastAsia" w:ascii="宋体" w:hAnsi="宋体" w:eastAsia="宋体" w:cs="宋体"/>
          <w:sz w:val="24"/>
        </w:rPr>
        <w:t>在施工中必须严格遵守国家及地方有关规定，加强对施工人员安全生产和文明施工教育，配备必要的劳动保护用具，保证工程的施工安全和人身安全，做到安全生产和文明施工。如果由</w:t>
      </w:r>
      <w:r>
        <w:rPr>
          <w:rFonts w:hint="eastAsia" w:ascii="宋体" w:hAnsi="宋体" w:eastAsia="宋体" w:cs="宋体"/>
          <w:bCs/>
          <w:sz w:val="24"/>
          <w:lang w:eastAsia="zh-CN"/>
        </w:rPr>
        <w:t>供应商</w:t>
      </w:r>
      <w:r>
        <w:rPr>
          <w:rFonts w:hint="eastAsia" w:ascii="宋体" w:hAnsi="宋体" w:eastAsia="宋体" w:cs="宋体"/>
          <w:sz w:val="24"/>
        </w:rPr>
        <w:t>原因发生安全事故，一切后果由施工方承担责任；同时必须做好安全防范，保证学校师生、工作人员及其他外来人员的人身安全与财产安全</w:t>
      </w:r>
      <w:r>
        <w:rPr>
          <w:rFonts w:hint="eastAsia" w:ascii="宋体" w:hAnsi="宋体" w:eastAsia="宋体" w:cs="宋体"/>
          <w:bCs/>
          <w:sz w:val="24"/>
        </w:rPr>
        <w:t>。</w:t>
      </w:r>
      <w:r>
        <w:rPr>
          <w:rFonts w:hint="eastAsia" w:ascii="宋体" w:hAnsi="宋体" w:eastAsia="宋体" w:cs="宋体"/>
          <w:sz w:val="24"/>
        </w:rPr>
        <w:t>如果由</w:t>
      </w:r>
      <w:r>
        <w:rPr>
          <w:rFonts w:hint="eastAsia" w:ascii="宋体" w:hAnsi="宋体" w:eastAsia="宋体" w:cs="宋体"/>
          <w:bCs/>
          <w:sz w:val="24"/>
          <w:lang w:eastAsia="zh-CN"/>
        </w:rPr>
        <w:t>供应商</w:t>
      </w:r>
      <w:r>
        <w:rPr>
          <w:rFonts w:hint="eastAsia" w:ascii="宋体" w:hAnsi="宋体" w:eastAsia="宋体" w:cs="宋体"/>
          <w:sz w:val="24"/>
        </w:rPr>
        <w:t>原因发生事故，一切后果由施工方承担责任。相关费用作为风险费用，由</w:t>
      </w:r>
      <w:r>
        <w:rPr>
          <w:rFonts w:hint="eastAsia" w:ascii="宋体" w:hAnsi="宋体" w:eastAsia="宋体" w:cs="宋体"/>
          <w:sz w:val="24"/>
          <w:lang w:eastAsia="zh-CN"/>
        </w:rPr>
        <w:t>供应商</w:t>
      </w:r>
      <w:r>
        <w:rPr>
          <w:rFonts w:hint="eastAsia" w:ascii="宋体" w:hAnsi="宋体" w:eastAsia="宋体" w:cs="宋体"/>
          <w:sz w:val="24"/>
        </w:rPr>
        <w:t>报入综合单价中。</w:t>
      </w:r>
    </w:p>
    <w:p>
      <w:pPr>
        <w:spacing w:line="360" w:lineRule="auto"/>
        <w:ind w:firstLine="480" w:firstLineChars="200"/>
        <w:rPr>
          <w:rFonts w:hint="eastAsia" w:ascii="宋体" w:hAnsi="宋体" w:eastAsia="宋体" w:cs="宋体"/>
          <w:sz w:val="24"/>
        </w:rPr>
      </w:pPr>
      <w:r>
        <w:rPr>
          <w:rFonts w:hint="eastAsia" w:ascii="宋体" w:hAnsi="宋体" w:eastAsia="宋体" w:cs="宋体"/>
          <w:bCs/>
          <w:sz w:val="24"/>
          <w:lang w:eastAsia="zh-CN"/>
        </w:rPr>
        <w:t>供应商</w:t>
      </w:r>
      <w:r>
        <w:rPr>
          <w:rFonts w:hint="eastAsia" w:ascii="宋体" w:hAnsi="宋体" w:eastAsia="宋体" w:cs="宋体"/>
          <w:sz w:val="24"/>
        </w:rPr>
        <w:t>有保护现场建筑物、设施、管线、隐蔽管线与设施、道路、财产、及人身安全等义务、合理安排施工方案和措施，其工作内容属项目措施内容。</w:t>
      </w:r>
      <w:r>
        <w:rPr>
          <w:rFonts w:hint="eastAsia" w:ascii="宋体" w:hAnsi="宋体" w:eastAsia="宋体" w:cs="宋体"/>
          <w:bCs/>
          <w:sz w:val="24"/>
        </w:rPr>
        <w:t>因</w:t>
      </w:r>
      <w:r>
        <w:rPr>
          <w:rFonts w:hint="eastAsia" w:ascii="宋体" w:hAnsi="宋体" w:eastAsia="宋体" w:cs="宋体"/>
          <w:bCs/>
          <w:sz w:val="24"/>
          <w:lang w:eastAsia="zh-CN"/>
        </w:rPr>
        <w:t>供应商</w:t>
      </w:r>
      <w:r>
        <w:rPr>
          <w:rFonts w:hint="eastAsia" w:ascii="宋体" w:hAnsi="宋体" w:eastAsia="宋体" w:cs="宋体"/>
          <w:bCs/>
          <w:sz w:val="24"/>
        </w:rPr>
        <w:t>原因至使</w:t>
      </w:r>
      <w:r>
        <w:rPr>
          <w:rFonts w:hint="eastAsia" w:ascii="宋体" w:hAnsi="宋体" w:eastAsia="宋体" w:cs="宋体"/>
          <w:sz w:val="24"/>
        </w:rPr>
        <w:t>建筑物、设施、管线、隐蔽管线与设施、道路、财产、及人身安全受到损害</w:t>
      </w:r>
      <w:r>
        <w:rPr>
          <w:rFonts w:hint="eastAsia" w:ascii="宋体" w:hAnsi="宋体" w:eastAsia="宋体" w:cs="宋体"/>
          <w:bCs/>
          <w:sz w:val="24"/>
        </w:rPr>
        <w:t>所产生的一切费用（含赔偿费）均由</w:t>
      </w:r>
      <w:r>
        <w:rPr>
          <w:rFonts w:hint="eastAsia" w:ascii="宋体" w:hAnsi="宋体" w:eastAsia="宋体" w:cs="宋体"/>
          <w:bCs/>
          <w:sz w:val="24"/>
          <w:lang w:eastAsia="zh-CN"/>
        </w:rPr>
        <w:t>供应商</w:t>
      </w:r>
      <w:r>
        <w:rPr>
          <w:rFonts w:hint="eastAsia" w:ascii="宋体" w:hAnsi="宋体" w:eastAsia="宋体" w:cs="宋体"/>
          <w:bCs/>
          <w:sz w:val="24"/>
        </w:rPr>
        <w:t>方承担。工程半成品和</w:t>
      </w:r>
      <w:r>
        <w:rPr>
          <w:rFonts w:hint="eastAsia" w:ascii="宋体" w:hAnsi="宋体" w:eastAsia="宋体" w:cs="宋体"/>
          <w:sz w:val="24"/>
        </w:rPr>
        <w:t>完工工程成品未交付使用前由</w:t>
      </w:r>
      <w:r>
        <w:rPr>
          <w:rFonts w:hint="eastAsia" w:ascii="宋体" w:hAnsi="宋体" w:eastAsia="宋体" w:cs="宋体"/>
          <w:bCs/>
          <w:sz w:val="24"/>
          <w:lang w:eastAsia="zh-CN"/>
        </w:rPr>
        <w:t>供应商</w:t>
      </w:r>
      <w:r>
        <w:rPr>
          <w:rFonts w:hint="eastAsia" w:ascii="宋体" w:hAnsi="宋体" w:eastAsia="宋体" w:cs="宋体"/>
          <w:sz w:val="24"/>
        </w:rPr>
        <w:t>负责保护，保护期间如发生损坏等费用</w:t>
      </w:r>
      <w:r>
        <w:rPr>
          <w:rFonts w:hint="eastAsia" w:ascii="宋体" w:hAnsi="宋体" w:eastAsia="宋体" w:cs="宋体"/>
          <w:bCs/>
          <w:sz w:val="24"/>
          <w:lang w:eastAsia="zh-CN"/>
        </w:rPr>
        <w:t>供应商</w:t>
      </w:r>
      <w:r>
        <w:rPr>
          <w:rFonts w:hint="eastAsia" w:ascii="宋体" w:hAnsi="宋体" w:eastAsia="宋体" w:cs="宋体"/>
          <w:sz w:val="24"/>
        </w:rPr>
        <w:t>自费修复。相关费用由</w:t>
      </w:r>
      <w:r>
        <w:rPr>
          <w:rFonts w:hint="eastAsia" w:ascii="宋体" w:hAnsi="宋体" w:eastAsia="宋体" w:cs="宋体"/>
          <w:sz w:val="24"/>
          <w:lang w:eastAsia="zh-CN"/>
        </w:rPr>
        <w:t>供应商</w:t>
      </w:r>
      <w:r>
        <w:rPr>
          <w:rFonts w:hint="eastAsia" w:ascii="宋体" w:hAnsi="宋体" w:eastAsia="宋体" w:cs="宋体"/>
          <w:sz w:val="24"/>
        </w:rPr>
        <w:t>报入综合单价中。</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本项目施工现场为</w:t>
      </w:r>
      <w:r>
        <w:rPr>
          <w:rFonts w:hint="eastAsia" w:ascii="宋体" w:hAnsi="宋体" w:eastAsia="宋体" w:cs="宋体"/>
          <w:sz w:val="24"/>
          <w:lang w:val="en-US" w:eastAsia="zh-CN"/>
        </w:rPr>
        <w:t>新城校区</w:t>
      </w:r>
      <w:r>
        <w:rPr>
          <w:rFonts w:hint="eastAsia" w:ascii="宋体" w:hAnsi="宋体" w:eastAsia="宋体" w:cs="宋体"/>
          <w:sz w:val="24"/>
        </w:rPr>
        <w:t>，场地</w:t>
      </w:r>
      <w:r>
        <w:rPr>
          <w:rFonts w:hint="eastAsia" w:ascii="宋体" w:hAnsi="宋体" w:eastAsia="宋体" w:cs="宋体"/>
          <w:sz w:val="24"/>
          <w:lang w:eastAsia="zh-CN"/>
        </w:rPr>
        <w:t>附近的</w:t>
      </w:r>
      <w:r>
        <w:rPr>
          <w:rFonts w:hint="eastAsia" w:ascii="宋体" w:hAnsi="宋体" w:eastAsia="宋体" w:cs="宋体"/>
          <w:sz w:val="24"/>
        </w:rPr>
        <w:t>设施设备、</w:t>
      </w:r>
      <w:r>
        <w:rPr>
          <w:rFonts w:hint="eastAsia" w:ascii="宋体" w:hAnsi="宋体" w:eastAsia="宋体" w:cs="宋体"/>
          <w:sz w:val="24"/>
          <w:lang w:eastAsia="zh-CN"/>
        </w:rPr>
        <w:t>教学</w:t>
      </w:r>
      <w:r>
        <w:rPr>
          <w:rFonts w:hint="eastAsia" w:ascii="宋体" w:hAnsi="宋体" w:eastAsia="宋体" w:cs="宋体"/>
          <w:sz w:val="24"/>
        </w:rPr>
        <w:t>活动等可能影响现场施工作业，导致施工效力下降和不便；施工方</w:t>
      </w:r>
      <w:r>
        <w:rPr>
          <w:rFonts w:hint="eastAsia" w:ascii="宋体" w:hAnsi="宋体" w:eastAsia="宋体" w:cs="宋体"/>
          <w:bCs/>
          <w:sz w:val="24"/>
        </w:rPr>
        <w:t>须服从招标人各部门的管理，不可影响工作与</w:t>
      </w:r>
      <w:r>
        <w:rPr>
          <w:rFonts w:hint="eastAsia" w:ascii="宋体" w:hAnsi="宋体" w:eastAsia="宋体" w:cs="宋体"/>
          <w:bCs/>
          <w:sz w:val="24"/>
          <w:lang w:eastAsia="zh-CN"/>
        </w:rPr>
        <w:t>教学</w:t>
      </w:r>
      <w:r>
        <w:rPr>
          <w:rFonts w:hint="eastAsia" w:ascii="宋体" w:hAnsi="宋体" w:eastAsia="宋体" w:cs="宋体"/>
          <w:bCs/>
          <w:sz w:val="24"/>
        </w:rPr>
        <w:t>。由此可能造成窝工或施工效力而造成施工损失，</w:t>
      </w:r>
      <w:r>
        <w:rPr>
          <w:rFonts w:hint="eastAsia" w:ascii="宋体" w:hAnsi="宋体" w:eastAsia="宋体" w:cs="宋体"/>
          <w:sz w:val="24"/>
        </w:rPr>
        <w:t>相关费用作为风险费用，由</w:t>
      </w:r>
      <w:r>
        <w:rPr>
          <w:rFonts w:hint="eastAsia" w:ascii="宋体" w:hAnsi="宋体" w:eastAsia="宋体" w:cs="宋体"/>
          <w:sz w:val="24"/>
          <w:lang w:eastAsia="zh-CN"/>
        </w:rPr>
        <w:t>供应商</w:t>
      </w:r>
      <w:r>
        <w:rPr>
          <w:rFonts w:hint="eastAsia" w:ascii="宋体" w:hAnsi="宋体" w:eastAsia="宋体" w:cs="宋体"/>
          <w:sz w:val="24"/>
        </w:rPr>
        <w:t>报入综合单价中</w:t>
      </w:r>
      <w:r>
        <w:rPr>
          <w:rFonts w:hint="eastAsia" w:ascii="宋体" w:hAnsi="宋体" w:eastAsia="宋体" w:cs="宋体"/>
          <w:sz w:val="24"/>
          <w:lang w:eastAsia="zh-CN"/>
        </w:rPr>
        <w:t>，不做另外考虑</w:t>
      </w:r>
      <w:r>
        <w:rPr>
          <w:rFonts w:hint="eastAsia" w:ascii="宋体" w:hAnsi="宋体" w:eastAsia="宋体" w:cs="宋体"/>
          <w:sz w:val="24"/>
        </w:rPr>
        <w:t>。</w:t>
      </w:r>
    </w:p>
    <w:p>
      <w:pPr>
        <w:spacing w:line="360" w:lineRule="auto"/>
        <w:ind w:firstLine="361" w:firstLineChars="150"/>
        <w:rPr>
          <w:rFonts w:hint="eastAsia" w:ascii="宋体" w:hAnsi="宋体" w:eastAsia="宋体" w:cs="宋体"/>
          <w:b/>
          <w:sz w:val="24"/>
        </w:rPr>
      </w:pPr>
      <w:r>
        <w:rPr>
          <w:rFonts w:hint="eastAsia" w:ascii="宋体" w:hAnsi="宋体" w:eastAsia="宋体" w:cs="宋体"/>
          <w:b/>
          <w:sz w:val="24"/>
          <w:lang w:val="en-US" w:eastAsia="zh-CN"/>
        </w:rPr>
        <w:t>五</w:t>
      </w:r>
      <w:r>
        <w:rPr>
          <w:rFonts w:hint="eastAsia" w:ascii="宋体" w:hAnsi="宋体" w:eastAsia="宋体" w:cs="宋体"/>
          <w:b/>
          <w:sz w:val="24"/>
        </w:rPr>
        <w:t>、</w:t>
      </w:r>
      <w:r>
        <w:rPr>
          <w:rFonts w:hint="eastAsia" w:ascii="宋体" w:hAnsi="宋体" w:eastAsia="宋体" w:cs="宋体"/>
          <w:b/>
          <w:sz w:val="24"/>
          <w:lang w:eastAsia="zh-CN"/>
        </w:rPr>
        <w:t>项目</w:t>
      </w:r>
      <w:r>
        <w:rPr>
          <w:rFonts w:hint="eastAsia" w:ascii="宋体" w:hAnsi="宋体" w:eastAsia="宋体" w:cs="宋体"/>
          <w:b/>
          <w:sz w:val="24"/>
        </w:rPr>
        <w:t>结算</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eastAsia="zh-CN"/>
        </w:rPr>
        <w:t>项目</w:t>
      </w:r>
      <w:r>
        <w:rPr>
          <w:rFonts w:hint="eastAsia" w:ascii="宋体" w:hAnsi="宋体" w:eastAsia="宋体" w:cs="宋体"/>
          <w:kern w:val="0"/>
          <w:sz w:val="24"/>
        </w:rPr>
        <w:t xml:space="preserve">工程量调整 </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（1）本</w:t>
      </w:r>
      <w:r>
        <w:rPr>
          <w:rFonts w:hint="eastAsia" w:ascii="宋体" w:hAnsi="宋体" w:eastAsia="宋体" w:cs="宋体"/>
          <w:kern w:val="0"/>
          <w:sz w:val="24"/>
          <w:lang w:eastAsia="zh-CN"/>
        </w:rPr>
        <w:t>项目</w:t>
      </w:r>
      <w:r>
        <w:rPr>
          <w:rFonts w:hint="eastAsia" w:ascii="宋体" w:hAnsi="宋体" w:eastAsia="宋体" w:cs="宋体"/>
          <w:kern w:val="0"/>
          <w:sz w:val="24"/>
        </w:rPr>
        <w:t>按实际施工内容与工程量结算。但本招标文件中明确的不调整的施工内容除外。</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（2）发包方认可的</w:t>
      </w:r>
      <w:r>
        <w:rPr>
          <w:rFonts w:hint="eastAsia" w:ascii="宋体" w:hAnsi="宋体" w:eastAsia="宋体" w:cs="宋体"/>
          <w:kern w:val="0"/>
          <w:sz w:val="24"/>
          <w:lang w:eastAsia="zh-CN"/>
        </w:rPr>
        <w:t>项目</w:t>
      </w:r>
      <w:r>
        <w:rPr>
          <w:rFonts w:hint="eastAsia" w:ascii="宋体" w:hAnsi="宋体" w:eastAsia="宋体" w:cs="宋体"/>
          <w:kern w:val="0"/>
          <w:sz w:val="24"/>
        </w:rPr>
        <w:t>工程施工设计联系单工程量，按设计联系单内容调整。</w:t>
      </w:r>
    </w:p>
    <w:p>
      <w:pPr>
        <w:pStyle w:val="36"/>
        <w:spacing w:line="360" w:lineRule="auto"/>
        <w:ind w:firstLine="480" w:firstLineChars="200"/>
        <w:rPr>
          <w:rFonts w:hint="eastAsia" w:ascii="宋体" w:hAnsi="宋体" w:eastAsia="宋体" w:cs="宋体"/>
          <w:bCs/>
          <w:sz w:val="24"/>
          <w:szCs w:val="24"/>
        </w:rPr>
      </w:pPr>
      <w:r>
        <w:rPr>
          <w:rFonts w:hint="eastAsia" w:ascii="宋体" w:hAnsi="宋体" w:eastAsia="宋体" w:cs="宋体"/>
          <w:kern w:val="0"/>
          <w:sz w:val="24"/>
          <w:szCs w:val="24"/>
        </w:rPr>
        <w:t>（3）</w:t>
      </w:r>
      <w:r>
        <w:rPr>
          <w:rFonts w:hint="eastAsia" w:ascii="宋体" w:hAnsi="宋体" w:eastAsia="宋体" w:cs="宋体"/>
          <w:sz w:val="24"/>
          <w:szCs w:val="24"/>
        </w:rPr>
        <w:t>发包人有权在本标段整个施工周期内调整工程量清单、施工图内容的数量和增减施工内容，修改施工项目作为今后工程结算的依据，但承包方为了施工方便提出的修改增减工程量不予调整。</w:t>
      </w:r>
    </w:p>
    <w:p>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2、价格调整 </w:t>
      </w:r>
    </w:p>
    <w:p>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（1）本</w:t>
      </w:r>
      <w:r>
        <w:rPr>
          <w:rFonts w:hint="eastAsia" w:ascii="宋体" w:hAnsi="宋体" w:eastAsia="宋体" w:cs="宋体"/>
          <w:bCs/>
          <w:sz w:val="24"/>
          <w:lang w:eastAsia="zh-CN"/>
        </w:rPr>
        <w:t>项目</w:t>
      </w:r>
      <w:r>
        <w:rPr>
          <w:rFonts w:hint="eastAsia" w:ascii="宋体" w:hAnsi="宋体" w:eastAsia="宋体" w:cs="宋体"/>
          <w:bCs/>
          <w:sz w:val="24"/>
        </w:rPr>
        <w:t>有综合价项目，按综合价执行。</w:t>
      </w:r>
    </w:p>
    <w:p>
      <w:pPr>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rPr>
        <w:t>（2）本</w:t>
      </w:r>
      <w:r>
        <w:rPr>
          <w:rFonts w:hint="eastAsia" w:ascii="宋体" w:hAnsi="宋体" w:eastAsia="宋体" w:cs="宋体"/>
          <w:bCs/>
          <w:sz w:val="24"/>
          <w:lang w:eastAsia="zh-CN"/>
        </w:rPr>
        <w:t>项目</w:t>
      </w:r>
      <w:r>
        <w:rPr>
          <w:rFonts w:hint="eastAsia" w:ascii="宋体" w:hAnsi="宋体" w:eastAsia="宋体" w:cs="宋体"/>
          <w:bCs/>
          <w:sz w:val="24"/>
        </w:rPr>
        <w:t>结算中发生无综合报价但有定额单价项目，由承包人按下述编制方法计算出该项目的综合单价</w:t>
      </w:r>
      <w:r>
        <w:rPr>
          <w:rFonts w:hint="eastAsia" w:ascii="宋体" w:hAnsi="宋体" w:eastAsia="宋体" w:cs="宋体"/>
          <w:bCs/>
          <w:sz w:val="24"/>
          <w:lang w:eastAsia="zh-CN"/>
        </w:rPr>
        <w:t>：</w:t>
      </w:r>
    </w:p>
    <w:p>
      <w:pPr>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rPr>
        <w:t>无综合报价但有定额单价项目编制方法为：根据2018版浙江省预算定额、省市建设工程价格信息（合同期）（无价材料由招标人签证认可）计算直接工程费。企业管理费、利润</w:t>
      </w:r>
      <w:r>
        <w:rPr>
          <w:rFonts w:hint="eastAsia" w:ascii="宋体" w:hAnsi="宋体" w:eastAsia="宋体" w:cs="宋体"/>
          <w:bCs/>
          <w:sz w:val="24"/>
          <w:lang w:eastAsia="zh-CN"/>
        </w:rPr>
        <w:t>、</w:t>
      </w:r>
      <w:r>
        <w:rPr>
          <w:rFonts w:hint="eastAsia" w:ascii="宋体" w:hAnsi="宋体" w:eastAsia="宋体" w:cs="宋体"/>
          <w:bCs/>
          <w:sz w:val="24"/>
        </w:rPr>
        <w:t>施工组织措施费根据</w:t>
      </w:r>
      <w:r>
        <w:rPr>
          <w:rFonts w:hint="eastAsia" w:ascii="宋体" w:hAnsi="宋体" w:eastAsia="宋体" w:cs="宋体"/>
          <w:bCs/>
          <w:sz w:val="24"/>
          <w:lang w:eastAsia="zh-CN"/>
        </w:rPr>
        <w:t>单独装饰</w:t>
      </w:r>
      <w:r>
        <w:rPr>
          <w:rFonts w:hint="eastAsia" w:ascii="宋体" w:hAnsi="宋体" w:eastAsia="宋体" w:cs="宋体"/>
          <w:bCs/>
          <w:sz w:val="24"/>
        </w:rPr>
        <w:t>工程</w:t>
      </w:r>
      <w:r>
        <w:rPr>
          <w:rFonts w:hint="eastAsia" w:ascii="宋体" w:hAnsi="宋体" w:eastAsia="宋体" w:cs="宋体"/>
          <w:bCs/>
          <w:sz w:val="24"/>
          <w:lang w:eastAsia="zh-CN"/>
        </w:rPr>
        <w:t>一般计税中徝</w:t>
      </w:r>
      <w:r>
        <w:rPr>
          <w:rFonts w:hint="eastAsia" w:ascii="宋体" w:hAnsi="宋体" w:eastAsia="宋体" w:cs="宋体"/>
          <w:bCs/>
          <w:sz w:val="24"/>
        </w:rPr>
        <w:t>计取，安全文明施工费按“市区工程”计取； 安装按水、电、暖通、消防、智能、自控及及通信安装工程</w:t>
      </w:r>
      <w:r>
        <w:rPr>
          <w:rFonts w:hint="eastAsia" w:ascii="宋体" w:hAnsi="宋体" w:eastAsia="宋体" w:cs="宋体"/>
          <w:bCs/>
          <w:sz w:val="24"/>
          <w:lang w:eastAsia="zh-CN"/>
        </w:rPr>
        <w:t>一般计税中徝</w:t>
      </w:r>
      <w:r>
        <w:rPr>
          <w:rFonts w:hint="eastAsia" w:ascii="宋体" w:hAnsi="宋体" w:eastAsia="宋体" w:cs="宋体"/>
          <w:bCs/>
          <w:sz w:val="24"/>
        </w:rPr>
        <w:t>计取</w:t>
      </w:r>
      <w:r>
        <w:rPr>
          <w:rFonts w:hint="eastAsia" w:ascii="宋体" w:hAnsi="宋体" w:eastAsia="宋体" w:cs="宋体"/>
          <w:bCs/>
          <w:sz w:val="24"/>
          <w:lang w:eastAsia="zh-CN"/>
        </w:rPr>
        <w:t>；</w:t>
      </w:r>
      <w:r>
        <w:rPr>
          <w:rFonts w:hint="eastAsia" w:ascii="宋体" w:hAnsi="宋体" w:eastAsia="宋体" w:cs="宋体"/>
          <w:bCs/>
          <w:sz w:val="24"/>
        </w:rPr>
        <w:t>规费</w:t>
      </w:r>
      <w:r>
        <w:rPr>
          <w:rFonts w:hint="eastAsia" w:ascii="宋体" w:hAnsi="宋体" w:eastAsia="宋体" w:cs="宋体"/>
          <w:bCs/>
          <w:sz w:val="24"/>
          <w:lang w:eastAsia="zh-CN"/>
        </w:rPr>
        <w:t>按“单独装饰工程、通用安装工程”一般计税中值×</w:t>
      </w:r>
      <w:r>
        <w:rPr>
          <w:rFonts w:hint="eastAsia" w:ascii="宋体" w:hAnsi="宋体" w:eastAsia="宋体" w:cs="宋体"/>
          <w:bCs/>
          <w:sz w:val="24"/>
          <w:lang w:val="en-US" w:eastAsia="zh-CN"/>
        </w:rPr>
        <w:t>30%计取。</w:t>
      </w:r>
      <w:r>
        <w:rPr>
          <w:rFonts w:hint="eastAsia" w:ascii="宋体" w:hAnsi="宋体" w:eastAsia="宋体" w:cs="宋体"/>
          <w:bCs/>
          <w:sz w:val="24"/>
        </w:rPr>
        <w:t>税金按舟建发【2016】51号文件《转发关于建筑业实施营改增后浙江省建设工程计价规则调整的通知》、浙建建发【2019】92号等工程所在地现行的有关工程造价方面相应规定计算。</w:t>
      </w:r>
    </w:p>
    <w:p>
      <w:pPr>
        <w:numPr>
          <w:ilvl w:val="0"/>
          <w:numId w:val="11"/>
        </w:num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本</w:t>
      </w:r>
      <w:r>
        <w:rPr>
          <w:rFonts w:hint="eastAsia" w:ascii="宋体" w:hAnsi="宋体" w:eastAsia="宋体" w:cs="宋体"/>
          <w:bCs/>
          <w:sz w:val="24"/>
          <w:lang w:eastAsia="zh-CN"/>
        </w:rPr>
        <w:t>项目</w:t>
      </w:r>
      <w:r>
        <w:rPr>
          <w:rFonts w:hint="eastAsia" w:ascii="宋体" w:hAnsi="宋体" w:eastAsia="宋体" w:cs="宋体"/>
          <w:bCs/>
          <w:sz w:val="24"/>
        </w:rPr>
        <w:t>结算中发生无综合单价也无定额单价的项目，由承包人上报综合单价，附组价说明和相关凭据，报发包人确认</w:t>
      </w:r>
      <w:r>
        <w:rPr>
          <w:rFonts w:hint="eastAsia" w:ascii="宋体" w:hAnsi="宋体" w:eastAsia="宋体" w:cs="宋体"/>
          <w:bCs/>
          <w:sz w:val="24"/>
          <w:lang w:val="en-US" w:eastAsia="zh-CN"/>
        </w:rPr>
        <w:t>并经审计审核</w:t>
      </w:r>
      <w:r>
        <w:rPr>
          <w:rFonts w:hint="eastAsia" w:ascii="宋体" w:hAnsi="宋体" w:eastAsia="宋体" w:cs="宋体"/>
          <w:bCs/>
          <w:sz w:val="24"/>
        </w:rPr>
        <w:t>后执行。</w:t>
      </w:r>
    </w:p>
    <w:p>
      <w:pPr>
        <w:numPr>
          <w:ilvl w:val="0"/>
          <w:numId w:val="11"/>
        </w:numPr>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eastAsia="zh-CN"/>
        </w:rPr>
        <w:t>本项目列入“夜间及节假日施工”包干使用，不调整。</w:t>
      </w:r>
      <w:r>
        <w:rPr>
          <w:rFonts w:hint="eastAsia" w:ascii="宋体" w:hAnsi="宋体" w:eastAsia="宋体" w:cs="宋体"/>
          <w:bCs/>
          <w:sz w:val="24"/>
        </w:rPr>
        <w:t xml:space="preserve"> </w:t>
      </w:r>
    </w:p>
    <w:p>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w:t>
      </w:r>
      <w:r>
        <w:rPr>
          <w:rFonts w:hint="eastAsia" w:ascii="宋体" w:hAnsi="宋体" w:eastAsia="宋体" w:cs="宋体"/>
          <w:bCs/>
          <w:sz w:val="24"/>
          <w:lang w:val="en-US" w:eastAsia="zh-CN"/>
        </w:rPr>
        <w:t>5</w:t>
      </w:r>
      <w:r>
        <w:rPr>
          <w:rFonts w:hint="eastAsia" w:ascii="宋体" w:hAnsi="宋体" w:eastAsia="宋体" w:cs="宋体"/>
          <w:bCs/>
          <w:sz w:val="24"/>
        </w:rPr>
        <w:t>）</w:t>
      </w:r>
      <w:r>
        <w:rPr>
          <w:rFonts w:hint="eastAsia" w:ascii="宋体" w:hAnsi="宋体" w:eastAsia="宋体" w:cs="宋体"/>
          <w:bCs/>
          <w:sz w:val="24"/>
          <w:highlight w:val="none"/>
        </w:rPr>
        <w:t>本</w:t>
      </w:r>
      <w:r>
        <w:rPr>
          <w:rFonts w:hint="eastAsia" w:ascii="宋体" w:hAnsi="宋体" w:eastAsia="宋体" w:cs="宋体"/>
          <w:bCs/>
          <w:sz w:val="24"/>
          <w:highlight w:val="none"/>
          <w:lang w:eastAsia="zh-CN"/>
        </w:rPr>
        <w:t>项目</w:t>
      </w:r>
      <w:r>
        <w:rPr>
          <w:rFonts w:hint="eastAsia" w:ascii="宋体" w:hAnsi="宋体" w:eastAsia="宋体" w:cs="宋体"/>
          <w:bCs/>
          <w:sz w:val="24"/>
          <w:highlight w:val="none"/>
        </w:rPr>
        <w:t>施工期间人工、材料均不调整</w:t>
      </w:r>
      <w:r>
        <w:rPr>
          <w:rFonts w:hint="eastAsia" w:ascii="宋体" w:hAnsi="宋体" w:eastAsia="宋体" w:cs="宋体"/>
          <w:bCs/>
          <w:sz w:val="24"/>
        </w:rPr>
        <w:t>。可能因本项工程施工点地场地限制、学校管理方面等等原因而影响工程量清单内外的承包价，结算时不再考虑此些因素。</w:t>
      </w:r>
    </w:p>
    <w:p>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3、本</w:t>
      </w:r>
      <w:r>
        <w:rPr>
          <w:rFonts w:hint="eastAsia" w:ascii="宋体" w:hAnsi="宋体" w:eastAsia="宋体" w:cs="宋体"/>
          <w:bCs/>
          <w:sz w:val="24"/>
          <w:lang w:eastAsia="zh-CN"/>
        </w:rPr>
        <w:t>项目</w:t>
      </w:r>
      <w:r>
        <w:rPr>
          <w:rFonts w:hint="eastAsia" w:ascii="宋体" w:hAnsi="宋体" w:eastAsia="宋体" w:cs="宋体"/>
          <w:bCs/>
          <w:sz w:val="24"/>
        </w:rPr>
        <w:t>若有项目由其他单位施工，并在本工程施工中同时进行，承包人免收工程配合费、管理费等。</w:t>
      </w:r>
    </w:p>
    <w:p>
      <w:pPr>
        <w:spacing w:line="360" w:lineRule="auto"/>
        <w:ind w:firstLine="482" w:firstLineChars="200"/>
        <w:rPr>
          <w:rFonts w:hint="eastAsia" w:ascii="宋体" w:hAnsi="宋体" w:eastAsia="宋体" w:cs="宋体"/>
          <w:sz w:val="24"/>
        </w:rPr>
      </w:pPr>
      <w:r>
        <w:rPr>
          <w:rFonts w:hint="eastAsia" w:ascii="宋体" w:hAnsi="宋体" w:eastAsia="宋体" w:cs="宋体"/>
          <w:b/>
          <w:sz w:val="24"/>
          <w:lang w:val="en-US" w:eastAsia="zh-CN"/>
        </w:rPr>
        <w:t>六</w:t>
      </w:r>
      <w:r>
        <w:rPr>
          <w:rFonts w:hint="eastAsia" w:ascii="宋体" w:hAnsi="宋体" w:eastAsia="宋体" w:cs="宋体"/>
          <w:b/>
          <w:sz w:val="24"/>
        </w:rPr>
        <w:t>、付款方式</w:t>
      </w:r>
      <w:r>
        <w:rPr>
          <w:rFonts w:hint="eastAsia" w:ascii="宋体" w:hAnsi="宋体" w:eastAsia="宋体" w:cs="宋体"/>
          <w:sz w:val="24"/>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本</w:t>
      </w:r>
      <w:r>
        <w:rPr>
          <w:rFonts w:hint="eastAsia" w:ascii="宋体" w:hAnsi="宋体" w:eastAsia="宋体" w:cs="宋体"/>
          <w:sz w:val="24"/>
          <w:lang w:eastAsia="zh-CN"/>
        </w:rPr>
        <w:t>项目合同签订并开工支付</w:t>
      </w:r>
      <w:r>
        <w:rPr>
          <w:rFonts w:hint="eastAsia" w:ascii="宋体" w:hAnsi="宋体" w:eastAsia="宋体" w:cs="宋体"/>
          <w:sz w:val="24"/>
          <w:lang w:val="en-US" w:eastAsia="zh-CN"/>
        </w:rPr>
        <w:t>40%预付款，</w:t>
      </w:r>
      <w:r>
        <w:rPr>
          <w:rFonts w:hint="eastAsia" w:ascii="宋体" w:hAnsi="宋体" w:eastAsia="宋体" w:cs="宋体"/>
          <w:sz w:val="24"/>
        </w:rPr>
        <w:t>验收合格支付至合同价款</w:t>
      </w:r>
      <w:r>
        <w:rPr>
          <w:rFonts w:hint="eastAsia" w:ascii="宋体" w:hAnsi="宋体" w:eastAsia="宋体" w:cs="宋体"/>
          <w:sz w:val="24"/>
          <w:lang w:val="en-US" w:eastAsia="zh-CN"/>
        </w:rPr>
        <w:t>85</w:t>
      </w:r>
      <w:r>
        <w:rPr>
          <w:rFonts w:hint="eastAsia" w:ascii="宋体" w:hAnsi="宋体" w:eastAsia="宋体" w:cs="宋体"/>
          <w:sz w:val="24"/>
        </w:rPr>
        <w:t>%，余款于审计后支付。</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项目结算审计后承包方先向发包方提供结算款1.5%的质保金银行保函或商业保险，保修期满后自动失效；发包方于承包方提供相应保函或保险15天内支付全额工程结算款</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lang w:val="en-US" w:eastAsia="zh-CN"/>
        </w:rPr>
        <w:t>七</w:t>
      </w:r>
      <w:r>
        <w:rPr>
          <w:rFonts w:hint="eastAsia" w:ascii="宋体" w:hAnsi="宋体" w:eastAsia="宋体" w:cs="宋体"/>
          <w:b/>
          <w:sz w:val="24"/>
        </w:rPr>
        <w:t>、保修期与保修金</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新安装的设备仪器、元器件等质量保证</w:t>
      </w:r>
      <w:r>
        <w:rPr>
          <w:rFonts w:hint="eastAsia" w:ascii="宋体" w:hAnsi="宋体" w:eastAsia="宋体" w:cs="宋体"/>
          <w:sz w:val="24"/>
          <w:highlight w:val="none"/>
          <w:lang w:val="en-US" w:eastAsia="zh-CN"/>
        </w:rPr>
        <w:t>期三年</w:t>
      </w:r>
      <w:r>
        <w:rPr>
          <w:rFonts w:hint="eastAsia" w:ascii="宋体" w:hAnsi="宋体" w:eastAsia="宋体" w:cs="宋体"/>
          <w:sz w:val="24"/>
          <w:lang w:val="en-US" w:eastAsia="zh-CN"/>
        </w:rPr>
        <w:t>，</w:t>
      </w:r>
      <w:r>
        <w:rPr>
          <w:rFonts w:hint="eastAsia" w:ascii="宋体" w:hAnsi="宋体" w:eastAsia="宋体" w:cs="宋体"/>
          <w:sz w:val="24"/>
        </w:rPr>
        <w:t>自</w:t>
      </w:r>
      <w:r>
        <w:rPr>
          <w:rFonts w:hint="eastAsia" w:ascii="宋体" w:hAnsi="宋体" w:eastAsia="宋体" w:cs="宋体"/>
          <w:sz w:val="24"/>
          <w:lang w:eastAsia="zh-CN"/>
        </w:rPr>
        <w:t>项目</w:t>
      </w:r>
      <w:r>
        <w:rPr>
          <w:rFonts w:hint="eastAsia" w:ascii="宋体" w:hAnsi="宋体" w:eastAsia="宋体" w:cs="宋体"/>
          <w:sz w:val="24"/>
        </w:rPr>
        <w:t>验收合格日起计算。</w:t>
      </w:r>
    </w:p>
    <w:p>
      <w:pPr>
        <w:spacing w:line="360" w:lineRule="auto"/>
        <w:ind w:firstLine="482" w:firstLineChars="200"/>
        <w:rPr>
          <w:rFonts w:hint="eastAsia" w:ascii="宋体" w:hAnsi="宋体" w:eastAsia="宋体" w:cs="宋体"/>
          <w:b/>
          <w:sz w:val="24"/>
          <w:lang w:eastAsia="zh-CN"/>
        </w:rPr>
      </w:pPr>
      <w:r>
        <w:rPr>
          <w:rFonts w:hint="eastAsia" w:ascii="宋体" w:hAnsi="宋体" w:eastAsia="宋体" w:cs="宋体"/>
          <w:b/>
          <w:sz w:val="24"/>
          <w:lang w:val="en-US" w:eastAsia="zh-CN"/>
        </w:rPr>
        <w:t>八</w:t>
      </w:r>
      <w:r>
        <w:rPr>
          <w:rFonts w:hint="eastAsia" w:ascii="宋体" w:hAnsi="宋体" w:eastAsia="宋体" w:cs="宋体"/>
          <w:b/>
          <w:sz w:val="24"/>
          <w:lang w:eastAsia="zh-CN"/>
        </w:rPr>
        <w:t>、仪器设备要求</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具体要求：</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1、干式变压器</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rPr>
        <w:t>变压器选用SCB1</w:t>
      </w:r>
      <w:r>
        <w:rPr>
          <w:rFonts w:hint="eastAsia" w:ascii="宋体" w:hAnsi="宋体" w:eastAsia="宋体" w:cs="宋体"/>
          <w:b/>
          <w:bCs/>
          <w:sz w:val="24"/>
          <w:lang w:val="en-US" w:eastAsia="zh-CN"/>
        </w:rPr>
        <w:t>4</w:t>
      </w:r>
      <w:r>
        <w:rPr>
          <w:rFonts w:hint="eastAsia" w:ascii="宋体" w:hAnsi="宋体" w:eastAsia="宋体" w:cs="宋体"/>
          <w:b/>
          <w:bCs/>
          <w:sz w:val="24"/>
        </w:rPr>
        <w:t>型</w:t>
      </w:r>
      <w:r>
        <w:rPr>
          <w:rFonts w:hint="eastAsia" w:ascii="宋体" w:hAnsi="宋体" w:eastAsia="宋体" w:cs="宋体"/>
          <w:b/>
          <w:bCs/>
          <w:sz w:val="24"/>
          <w:lang w:val="en-US" w:eastAsia="zh-CN"/>
        </w:rPr>
        <w:t>铜芯</w:t>
      </w:r>
      <w:r>
        <w:rPr>
          <w:rFonts w:hint="eastAsia" w:ascii="宋体" w:hAnsi="宋体" w:eastAsia="宋体" w:cs="宋体"/>
          <w:b/>
          <w:bCs/>
          <w:sz w:val="24"/>
        </w:rPr>
        <w:t>环氧树脂浇注式干式配电变压器，其能效等级符合《电力变压器能效限定值及能效等级》GB20052-2020能效等级为</w:t>
      </w:r>
      <w:r>
        <w:rPr>
          <w:rFonts w:hint="eastAsia" w:ascii="宋体" w:hAnsi="宋体" w:eastAsia="宋体" w:cs="宋体"/>
          <w:b/>
          <w:bCs/>
          <w:sz w:val="24"/>
          <w:lang w:val="en-US" w:eastAsia="zh-CN"/>
        </w:rPr>
        <w:t>2</w:t>
      </w:r>
      <w:r>
        <w:rPr>
          <w:rFonts w:hint="eastAsia" w:ascii="宋体" w:hAnsi="宋体" w:eastAsia="宋体" w:cs="宋体"/>
          <w:b/>
          <w:bCs/>
          <w:sz w:val="24"/>
        </w:rPr>
        <w:t>级的要求;变压器</w:t>
      </w:r>
      <w:r>
        <w:rPr>
          <w:rFonts w:hint="eastAsia" w:ascii="宋体" w:hAnsi="宋体" w:eastAsia="宋体" w:cs="宋体"/>
          <w:b/>
          <w:bCs/>
          <w:sz w:val="24"/>
          <w:lang w:val="en-US" w:eastAsia="zh-CN"/>
        </w:rPr>
        <w:t>壳体选用厚度不小于1.5毫米厚304不锈钢或铝合金板材，下有通风百叶，上有出风孔，外壳防护等级不小于IP20。壳体设计应符合GB 4208的要求。外壳高度为2.2米，宽度为2.1米，深度为1.5米。箱壳门高低压侧均采用1.2米宽度以上的双开门结构，并配置观察窗和门锁。</w:t>
      </w:r>
      <w:r>
        <w:rPr>
          <w:rFonts w:hint="eastAsia" w:ascii="宋体" w:hAnsi="宋体" w:eastAsia="宋体" w:cs="宋体"/>
          <w:b/>
          <w:bCs/>
          <w:sz w:val="24"/>
        </w:rPr>
        <w:t>变压器防护外壳的门要求加装机械锁或电磁锁，在变压器带电时不允许打开变压器门，并</w:t>
      </w:r>
      <w:r>
        <w:rPr>
          <w:rFonts w:hint="eastAsia" w:ascii="宋体" w:hAnsi="宋体" w:eastAsia="宋体" w:cs="宋体"/>
          <w:b/>
          <w:bCs/>
          <w:sz w:val="24"/>
          <w:lang w:eastAsia="zh-CN"/>
        </w:rPr>
        <w:t>装</w:t>
      </w:r>
      <w:r>
        <w:rPr>
          <w:rFonts w:hint="eastAsia" w:ascii="宋体" w:hAnsi="宋体" w:eastAsia="宋体" w:cs="宋体"/>
          <w:b/>
          <w:bCs/>
          <w:sz w:val="24"/>
        </w:rPr>
        <w:t>有行程开关，对变压器运行状态下，强行开门有自带声光报警装置</w:t>
      </w:r>
      <w:r>
        <w:rPr>
          <w:rFonts w:hint="eastAsia" w:ascii="宋体" w:hAnsi="宋体" w:eastAsia="宋体" w:cs="宋体"/>
          <w:b/>
          <w:bCs/>
          <w:sz w:val="24"/>
          <w:lang w:eastAsia="zh-CN"/>
        </w:rPr>
        <w:t>功能，</w:t>
      </w:r>
      <w:r>
        <w:rPr>
          <w:rFonts w:hint="eastAsia" w:ascii="宋体" w:hAnsi="宋体" w:eastAsia="宋体" w:cs="宋体"/>
          <w:b/>
          <w:bCs/>
          <w:sz w:val="24"/>
        </w:rPr>
        <w:t>和开门跳闸辅助触点</w:t>
      </w:r>
      <w:r>
        <w:rPr>
          <w:rFonts w:hint="eastAsia" w:ascii="宋体" w:hAnsi="宋体" w:eastAsia="宋体" w:cs="宋体"/>
          <w:b/>
          <w:bCs/>
          <w:sz w:val="24"/>
          <w:lang w:eastAsia="zh-CN"/>
        </w:rPr>
        <w:t>输出，</w:t>
      </w:r>
      <w:r>
        <w:rPr>
          <w:rFonts w:hint="eastAsia" w:ascii="宋体" w:hAnsi="宋体" w:eastAsia="宋体" w:cs="宋体"/>
          <w:b/>
          <w:bCs/>
          <w:sz w:val="24"/>
        </w:rPr>
        <w:t>跳主变压器高压侧开关。变压器和金属件均有可靠接地，接地装置有</w:t>
      </w:r>
      <w:r>
        <w:rPr>
          <w:rFonts w:hint="eastAsia" w:ascii="宋体" w:hAnsi="宋体" w:eastAsia="宋体" w:cs="宋体"/>
          <w:b/>
          <w:bCs/>
          <w:sz w:val="24"/>
          <w:lang w:eastAsia="zh-CN"/>
        </w:rPr>
        <w:t>导电</w:t>
      </w:r>
      <w:r>
        <w:rPr>
          <w:rFonts w:hint="eastAsia" w:ascii="宋体" w:hAnsi="宋体" w:eastAsia="宋体" w:cs="宋体"/>
          <w:b/>
          <w:bCs/>
          <w:sz w:val="24"/>
        </w:rPr>
        <w:t>防锈镀层，并有明显标识，铁心和全部金属件均有防锈保护层。</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变压器高压侧采用电缆底部进线方式，并配备用于电缆进线的橡胶穿线孔和固定支架。低压侧母排规格按照低压柜订货图纸要求，采用镀锡铜质母排从侧面出线。</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变压器顶部应具有承受整体重量的起吊装置。箱体表面易见位置应至少设置一处明显国家标准的警告标志电力符号“止步，高压危险”。</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变压器</w:t>
      </w:r>
      <w:r>
        <w:rPr>
          <w:rFonts w:hint="eastAsia" w:ascii="宋体" w:hAnsi="宋体" w:eastAsia="宋体" w:cs="宋体"/>
          <w:b/>
          <w:bCs/>
          <w:sz w:val="24"/>
        </w:rPr>
        <w:t>的冷却装置应按负载和温升情况，自动投切。变压器过负荷及温度异常由变压器温控装置启动风机</w:t>
      </w:r>
      <w:r>
        <w:rPr>
          <w:rFonts w:hint="eastAsia" w:ascii="宋体" w:hAnsi="宋体" w:eastAsia="宋体" w:cs="宋体"/>
          <w:b/>
          <w:bCs/>
          <w:sz w:val="24"/>
          <w:lang w:eastAsia="zh-CN"/>
        </w:rPr>
        <w:t>，风机应选用低噪声产品</w:t>
      </w:r>
      <w:r>
        <w:rPr>
          <w:rFonts w:hint="eastAsia" w:ascii="宋体" w:hAnsi="宋体" w:eastAsia="宋体" w:cs="宋体"/>
          <w:b/>
          <w:bCs/>
          <w:sz w:val="24"/>
        </w:rPr>
        <w:t>。</w:t>
      </w:r>
      <w:r>
        <w:rPr>
          <w:rFonts w:hint="eastAsia" w:ascii="宋体" w:hAnsi="宋体" w:eastAsia="宋体" w:cs="宋体"/>
          <w:b/>
          <w:bCs/>
          <w:sz w:val="24"/>
          <w:lang w:val="en-US" w:eastAsia="zh-CN"/>
        </w:rPr>
        <w:t>变压器</w:t>
      </w:r>
      <w:r>
        <w:rPr>
          <w:rFonts w:hint="eastAsia" w:ascii="宋体" w:hAnsi="宋体" w:eastAsia="宋体" w:cs="宋体"/>
          <w:b/>
          <w:bCs/>
          <w:sz w:val="24"/>
        </w:rPr>
        <w:t>温控器应</w:t>
      </w:r>
      <w:r>
        <w:rPr>
          <w:rFonts w:hint="eastAsia" w:ascii="宋体" w:hAnsi="宋体" w:eastAsia="宋体" w:cs="宋体"/>
          <w:b/>
          <w:bCs/>
          <w:sz w:val="24"/>
          <w:lang w:val="en-US" w:eastAsia="zh-CN"/>
        </w:rPr>
        <w:t>带</w:t>
      </w:r>
      <w:r>
        <w:rPr>
          <w:rFonts w:hint="eastAsia" w:ascii="宋体" w:hAnsi="宋体" w:eastAsia="宋体" w:cs="宋体"/>
          <w:b/>
          <w:bCs/>
          <w:sz w:val="24"/>
        </w:rPr>
        <w:t>RS485通信和Modbus协议。</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2、</w:t>
      </w:r>
      <w:r>
        <w:rPr>
          <w:rFonts w:hint="eastAsia" w:ascii="宋体" w:hAnsi="宋体" w:eastAsia="宋体" w:cs="宋体"/>
          <w:b/>
          <w:bCs/>
          <w:sz w:val="24"/>
        </w:rPr>
        <w:t>低压</w:t>
      </w:r>
      <w:r>
        <w:rPr>
          <w:rFonts w:hint="eastAsia" w:ascii="宋体" w:hAnsi="宋体" w:eastAsia="宋体" w:cs="宋体"/>
          <w:b/>
          <w:bCs/>
          <w:sz w:val="24"/>
          <w:lang w:val="en-US" w:eastAsia="zh-CN"/>
        </w:rPr>
        <w:t>开关柜</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低压开关柜额定电压400V，额定电流3200A，额定短时耐受电流80kA。</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rPr>
        <w:t>防护等级：柜体外壳的防护等级不应低于GB4208外壳防护等级（IP代码）中IP30的规定</w:t>
      </w:r>
      <w:r>
        <w:rPr>
          <w:rFonts w:hint="eastAsia" w:ascii="宋体" w:hAnsi="宋体" w:eastAsia="宋体" w:cs="宋体"/>
          <w:b/>
          <w:bCs/>
          <w:sz w:val="24"/>
          <w:lang w:val="en-US" w:eastAsia="zh-CN"/>
        </w:rPr>
        <w:t>。外壳和隔板应采用优质敷铝锌钢板经CNC机床加工和多重折弯之后以铆钉和螺丝栓接而成，钢板厚度2.0mm。</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低压开关柜中的结构除优质冷轧钢板外，其余金属构件均应经过镀锌处理，开关柜外层应先进行除油、除锈或磷化处理，钢板内外表层应至少喷一层防蚀底漆，再采用环氧树脂粉末静电喷涂，使其表面抗撞击、耐腐蚀、外形美观。</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低压框架断路器：3200A框架断路器额定运行短路分断能力不小于80kA；1600A及以下框架断路器额定运行短路分断能力不小于50kA；，具有长延时、短延时、瞬时等保护。</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低压塑壳断路器：630A和400A塑壳断路器额定运行短路分断能力不小于50kA；250A及以下塑壳断路器额定运行短路分断能力不小于35kA，均采用热电磁脱扣器。</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多功能仪表采用LCD液晶显示，具有电流、电压、功率、频率、电能等测量功能，带</w:t>
      </w:r>
      <w:r>
        <w:rPr>
          <w:rFonts w:hint="eastAsia" w:ascii="宋体" w:hAnsi="宋体" w:eastAsia="宋体" w:cs="宋体"/>
          <w:b/>
          <w:bCs/>
          <w:sz w:val="24"/>
        </w:rPr>
        <w:t>RS485通信和Modbus协议。</w:t>
      </w:r>
    </w:p>
    <w:p>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无功补偿装置：采用抗谐型智能低压电容器，串接 7％纯铜芯电抗器的产品。容量为 30kvar 三相补偿产品应采用标准 16mm 2 截面积的多芯铜导线。补偿控制器应带</w:t>
      </w:r>
      <w:r>
        <w:rPr>
          <w:rFonts w:hint="eastAsia" w:ascii="宋体" w:hAnsi="宋体" w:eastAsia="宋体" w:cs="宋体"/>
          <w:b/>
          <w:bCs/>
          <w:sz w:val="24"/>
        </w:rPr>
        <w:t>RS485通信和Modbus协议。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82" w:firstLineChars="200"/>
        <w:textAlignment w:val="auto"/>
        <w:rPr>
          <w:rFonts w:hint="default" w:ascii="宋体" w:hAnsi="宋体" w:cs="Helvetica"/>
          <w:b/>
          <w:bCs/>
          <w:color w:val="auto"/>
          <w:kern w:val="0"/>
          <w:sz w:val="24"/>
          <w:highlight w:val="none"/>
          <w:lang w:val="en-US" w:eastAsia="zh-CN"/>
        </w:rPr>
      </w:pPr>
    </w:p>
    <w:p>
      <w:pPr>
        <w:pStyle w:val="22"/>
        <w:rPr>
          <w:color w:val="auto"/>
          <w:highlight w:val="none"/>
        </w:rPr>
      </w:pP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br w:type="page"/>
      </w:r>
    </w:p>
    <w:p>
      <w:pPr>
        <w:adjustRightInd/>
        <w:spacing w:line="360" w:lineRule="auto"/>
        <w:jc w:val="center"/>
        <w:outlineLvl w:val="0"/>
        <w:rPr>
          <w:rStyle w:val="552"/>
          <w:color w:val="auto"/>
          <w:highlight w:val="none"/>
        </w:rPr>
      </w:pPr>
      <w:bookmarkStart w:id="78" w:name="_Toc693"/>
      <w:r>
        <w:rPr>
          <w:rStyle w:val="552"/>
          <w:rFonts w:hint="eastAsia"/>
          <w:color w:val="auto"/>
          <w:highlight w:val="none"/>
        </w:rPr>
        <w:t xml:space="preserve">第五部分  </w:t>
      </w:r>
      <w:bookmarkStart w:id="79" w:name="第四部分"/>
      <w:bookmarkEnd w:id="74"/>
      <w:bookmarkEnd w:id="75"/>
      <w:r>
        <w:rPr>
          <w:rStyle w:val="552"/>
          <w:rFonts w:hint="eastAsia"/>
          <w:color w:val="auto"/>
          <w:highlight w:val="none"/>
        </w:rPr>
        <w:t>评审方法及评审标准</w:t>
      </w:r>
      <w:bookmarkEnd w:id="78"/>
    </w:p>
    <w:p>
      <w:pPr>
        <w:pStyle w:val="397"/>
        <w:spacing w:before="0"/>
        <w:ind w:firstLine="643"/>
        <w:jc w:val="center"/>
        <w:rPr>
          <w:rFonts w:ascii="宋体" w:hAnsi="宋体" w:cs="仿宋_GB2312"/>
          <w:b/>
          <w:color w:val="auto"/>
          <w:sz w:val="32"/>
          <w:highlight w:val="none"/>
        </w:rPr>
      </w:pPr>
      <w:r>
        <w:rPr>
          <w:rFonts w:hint="eastAsia" w:ascii="宋体" w:hAnsi="宋体" w:cs="仿宋_GB2312"/>
          <w:b/>
          <w:color w:val="auto"/>
          <w:sz w:val="32"/>
          <w:highlight w:val="none"/>
        </w:rPr>
        <w:t>评审方法前附表</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资格审查表</w:t>
      </w:r>
    </w:p>
    <w:tbl>
      <w:tblPr>
        <w:tblStyle w:val="73"/>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867"/>
        <w:gridCol w:w="1717"/>
        <w:gridCol w:w="5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审查因素</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审查内容</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具有独立承担民事责任的能力</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 xml:space="preserve">提供有效的营业执照副本（或事业法人登记证副本或其他登记证明材料）原件扫描件或者电子营业执照 </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（1）如供应商是企业（包括合伙企业），提供在工商部门注册的有效“企业法人营业执照”或“营业执照”；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（2）如供应商是事业单位，提供有效的“事业单位法人证书”；</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（3）如供应商是非企业专业服务机构的，提供执业许可证等证明文件；</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（4）如供应商是个体工商户，提供有效的“个体工商户营业执照”；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（5）如供应商是自然人，提供有效的自然人身份证明。</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注：以上材料需要复印件加盖公章（自然人则签字）。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满足《中华人民共和国政府采购法》第二十二条规定</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承诺函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提供符合参加政府采购活动应当具备的一般条件的承诺函，格式附后。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特定资格</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highlight w:val="none"/>
              </w:rPr>
            </w:pPr>
            <w:r>
              <w:rPr>
                <w:rFonts w:hint="eastAsia" w:cs="Times New Roman"/>
                <w:color w:val="auto"/>
                <w:sz w:val="24"/>
                <w:highlight w:val="none"/>
                <w:lang w:val="en-US" w:eastAsia="zh-CN"/>
              </w:rPr>
              <w:t>资质证书</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提供</w:t>
            </w:r>
            <w:r>
              <w:rPr>
                <w:rFonts w:hint="eastAsia" w:ascii="宋体" w:hAnsi="宋体" w:cs="宋体"/>
                <w:color w:val="auto"/>
                <w:sz w:val="24"/>
                <w:highlight w:val="none"/>
                <w:lang w:val="en-US" w:eastAsia="zh-CN"/>
              </w:rPr>
              <w:t>国家电力监管委员会或其分支机构颁发的承装（修、试）电力设施许可证</w:t>
            </w:r>
            <w:r>
              <w:rPr>
                <w:rFonts w:hint="eastAsia" w:ascii="Times New Roman" w:hAnsi="Times New Roman" w:eastAsia="宋体" w:cs="Times New Roman"/>
                <w:color w:val="auto"/>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诚信记录</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供应商“信用中国”网站（www.creditchina.gov.cn）、中国政府采购网（www.ccgp.gov.cn）信用记录情况无不良记录。</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开标当日为准对供应商“信用中国”网站（www.creditchina.gov.cn）、中国政府采购网（www.ccgp.gov.cn）信用记录情况进行核实，未被列入失信被执行人、重大税收违法案件当事人名单、政府采购严重违法失信行为记录名单。</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5</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联合体响应</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非联合体响应</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本项目不接受联合体响应</w:t>
            </w:r>
          </w:p>
        </w:tc>
      </w:tr>
    </w:tbl>
    <w:p>
      <w:pPr>
        <w:spacing w:line="360" w:lineRule="auto"/>
        <w:ind w:firstLine="422"/>
        <w:rPr>
          <w:rFonts w:ascii="宋体" w:hAnsi="宋体" w:cs="宋体"/>
          <w:b/>
          <w:bCs/>
          <w:color w:val="auto"/>
          <w:sz w:val="24"/>
          <w:highlight w:val="none"/>
        </w:rPr>
      </w:pPr>
      <w:r>
        <w:rPr>
          <w:rFonts w:hint="eastAsia" w:ascii="宋体" w:hAnsi="宋体" w:cs="宋体"/>
          <w:b/>
          <w:color w:val="auto"/>
          <w:sz w:val="24"/>
          <w:highlight w:val="none"/>
        </w:rPr>
        <w:t>注：</w:t>
      </w:r>
      <w:r>
        <w:rPr>
          <w:rFonts w:hint="eastAsia" w:ascii="宋体" w:hAnsi="宋体" w:cs="宋体"/>
          <w:b/>
          <w:bCs/>
          <w:color w:val="auto"/>
          <w:sz w:val="24"/>
          <w:highlight w:val="none"/>
        </w:rPr>
        <w:t>1、上述资格证明文件未按采购文件要求附入响应文件中的，资格性审查不合格。</w:t>
      </w:r>
    </w:p>
    <w:p>
      <w:pPr>
        <w:spacing w:line="360" w:lineRule="auto"/>
        <w:ind w:firstLine="422"/>
        <w:rPr>
          <w:rFonts w:ascii="宋体" w:hAnsi="宋体" w:cs="宋体"/>
          <w:b/>
          <w:bCs/>
          <w:color w:val="auto"/>
          <w:sz w:val="24"/>
          <w:highlight w:val="none"/>
        </w:rPr>
      </w:pPr>
      <w:r>
        <w:rPr>
          <w:rFonts w:hint="eastAsia" w:ascii="宋体" w:hAnsi="宋体" w:cs="宋体"/>
          <w:b/>
          <w:bCs/>
          <w:color w:val="auto"/>
          <w:sz w:val="24"/>
          <w:highlight w:val="none"/>
        </w:rPr>
        <w:t>2、上述审查项目中，任意一项不符合的，资格性审查不合格。</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符合性审查表(可放弃关联)</w:t>
      </w:r>
    </w:p>
    <w:tbl>
      <w:tblPr>
        <w:tblStyle w:val="73"/>
        <w:tblW w:w="9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5"/>
        <w:gridCol w:w="6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545"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审查项目</w:t>
            </w:r>
          </w:p>
        </w:tc>
        <w:tc>
          <w:tcPr>
            <w:tcW w:w="615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响应文件的签署盖章</w:t>
            </w:r>
          </w:p>
        </w:tc>
        <w:tc>
          <w:tcPr>
            <w:tcW w:w="6150" w:type="dxa"/>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按采购文件规定签字或盖章的。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实质性条款响应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响应文件完全满足采购文件的实质性条款（即标注★号条款）无负偏离的。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法定代表人授权书</w:t>
            </w:r>
          </w:p>
        </w:tc>
        <w:tc>
          <w:tcPr>
            <w:tcW w:w="6150" w:type="dxa"/>
            <w:vAlign w:val="center"/>
          </w:tcPr>
          <w:p>
            <w:pPr>
              <w:adjustRightInd/>
              <w:rPr>
                <w:rFonts w:ascii="宋体" w:hAnsi="宋体" w:cs="宋体"/>
                <w:color w:val="auto"/>
                <w:sz w:val="24"/>
                <w:highlight w:val="none"/>
              </w:rPr>
            </w:pPr>
            <w:r>
              <w:rPr>
                <w:rFonts w:hint="eastAsia" w:ascii="宋体" w:hAnsi="宋体" w:cs="宋体"/>
                <w:color w:val="auto"/>
                <w:sz w:val="24"/>
                <w:highlight w:val="none"/>
              </w:rPr>
              <w:t>提供有效的法定代表人证明书</w:t>
            </w:r>
            <w:r>
              <w:rPr>
                <w:rFonts w:hint="eastAsia" w:ascii="宋体" w:hAnsi="宋体" w:cs="宋体"/>
                <w:color w:val="auto"/>
                <w:sz w:val="24"/>
                <w:highlight w:val="none"/>
                <w:lang w:eastAsia="zh-CN"/>
              </w:rPr>
              <w:t>及</w:t>
            </w:r>
            <w:r>
              <w:rPr>
                <w:rFonts w:hint="eastAsia" w:ascii="宋体" w:hAnsi="宋体" w:cs="宋体"/>
                <w:color w:val="auto"/>
                <w:sz w:val="24"/>
                <w:highlight w:val="none"/>
              </w:rPr>
              <w:t>身份证复印件/法定代表人授权委托书</w:t>
            </w:r>
            <w:r>
              <w:rPr>
                <w:rFonts w:hint="eastAsia" w:ascii="宋体" w:hAnsi="宋体" w:cs="宋体"/>
                <w:color w:val="auto"/>
                <w:sz w:val="24"/>
                <w:highlight w:val="none"/>
                <w:lang w:eastAsia="zh-CN"/>
              </w:rPr>
              <w:t>、</w:t>
            </w:r>
            <w:r>
              <w:rPr>
                <w:rFonts w:hint="eastAsia" w:ascii="宋体" w:hAnsi="宋体" w:cs="宋体"/>
                <w:color w:val="auto"/>
                <w:sz w:val="24"/>
                <w:highlight w:val="none"/>
              </w:rPr>
              <w:t>身份证复印件</w:t>
            </w:r>
            <w:r>
              <w:rPr>
                <w:rFonts w:hint="eastAsia" w:ascii="宋体" w:hAnsi="宋体" w:cs="宋体"/>
                <w:color w:val="auto"/>
                <w:sz w:val="24"/>
                <w:highlight w:val="none"/>
                <w:lang w:eastAsia="zh-CN"/>
              </w:rPr>
              <w:t>及</w:t>
            </w:r>
            <w:r>
              <w:rPr>
                <w:rFonts w:hint="eastAsia" w:ascii="宋体" w:hAnsi="宋体" w:cs="宋体"/>
                <w:color w:val="auto"/>
                <w:sz w:val="24"/>
                <w:highlight w:val="none"/>
              </w:rPr>
              <w:t>授权委托人社保证明。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无效响应条款响应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响应文件没有采购文件中规定的其它无效响应条款的。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响应供应商无虚假应标、串通响应的情形。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按有关法律、法规、规章不属于响应无效的。</w:t>
            </w:r>
          </w:p>
        </w:tc>
      </w:tr>
    </w:tbl>
    <w:p>
      <w:pPr>
        <w:spacing w:line="360" w:lineRule="auto"/>
        <w:ind w:firstLine="422"/>
        <w:rPr>
          <w:rFonts w:ascii="宋体" w:hAnsi="宋体" w:cs="宋体"/>
          <w:b/>
          <w:color w:val="auto"/>
          <w:sz w:val="24"/>
          <w:highlight w:val="none"/>
        </w:rPr>
      </w:pPr>
      <w:r>
        <w:rPr>
          <w:rFonts w:hint="eastAsia" w:ascii="宋体" w:hAnsi="宋体" w:cs="宋体"/>
          <w:b/>
          <w:color w:val="auto"/>
          <w:sz w:val="24"/>
          <w:highlight w:val="none"/>
        </w:rPr>
        <w:t>注：上述审查项目中，任意一项不符合的，符合性审查不合格。</w:t>
      </w:r>
    </w:p>
    <w:p>
      <w:pPr>
        <w:spacing w:line="360" w:lineRule="auto"/>
        <w:ind w:firstLine="422"/>
        <w:jc w:val="center"/>
        <w:rPr>
          <w:rStyle w:val="552"/>
          <w:rFonts w:hint="eastAsia"/>
          <w:color w:val="auto"/>
          <w:highlight w:val="none"/>
        </w:rPr>
      </w:pPr>
      <w:r>
        <w:rPr>
          <w:rStyle w:val="552"/>
          <w:rFonts w:hint="eastAsia"/>
          <w:color w:val="auto"/>
          <w:highlight w:val="none"/>
        </w:rPr>
        <w:t>评审标准</w:t>
      </w:r>
    </w:p>
    <w:p>
      <w:pPr>
        <w:spacing w:line="360" w:lineRule="auto"/>
        <w:ind w:firstLine="422"/>
        <w:rPr>
          <w:rFonts w:hint="eastAsia" w:cs="宋体"/>
          <w:b/>
          <w:bCs/>
          <w:color w:val="auto"/>
          <w:szCs w:val="21"/>
        </w:rPr>
      </w:pPr>
      <w:r>
        <w:rPr>
          <w:rFonts w:hint="eastAsia" w:cs="宋体"/>
          <w:b/>
          <w:bCs/>
          <w:color w:val="auto"/>
          <w:szCs w:val="21"/>
        </w:rPr>
        <w:t>1.所投</w:t>
      </w:r>
      <w:r>
        <w:rPr>
          <w:rFonts w:hint="eastAsia" w:cs="宋体"/>
          <w:b/>
          <w:bCs/>
          <w:color w:val="auto"/>
          <w:szCs w:val="21"/>
          <w:lang w:val="en-US" w:eastAsia="zh-CN"/>
        </w:rPr>
        <w:t>工程</w:t>
      </w:r>
      <w:r>
        <w:rPr>
          <w:rFonts w:hint="eastAsia" w:cs="宋体"/>
          <w:b/>
          <w:bCs/>
          <w:color w:val="auto"/>
          <w:szCs w:val="21"/>
        </w:rPr>
        <w:t>为小型或微型企业</w:t>
      </w:r>
      <w:r>
        <w:rPr>
          <w:rFonts w:hint="eastAsia" w:cs="宋体"/>
          <w:b/>
          <w:bCs/>
          <w:color w:val="auto"/>
          <w:szCs w:val="21"/>
          <w:lang w:val="en-US" w:eastAsia="zh-CN"/>
        </w:rPr>
        <w:t>承接</w:t>
      </w:r>
      <w:r>
        <w:rPr>
          <w:rFonts w:hint="eastAsia" w:cs="宋体"/>
          <w:b/>
          <w:bCs/>
          <w:color w:val="auto"/>
          <w:szCs w:val="21"/>
        </w:rPr>
        <w:t>的，其</w:t>
      </w:r>
      <w:r>
        <w:rPr>
          <w:rFonts w:hint="eastAsia" w:cs="宋体"/>
          <w:b/>
          <w:bCs/>
          <w:color w:val="auto"/>
          <w:szCs w:val="21"/>
          <w:lang w:val="en-US" w:eastAsia="zh-CN"/>
        </w:rPr>
        <w:t>最后</w:t>
      </w:r>
      <w:r>
        <w:rPr>
          <w:rFonts w:hint="eastAsia" w:cs="宋体"/>
          <w:b/>
          <w:bCs/>
          <w:color w:val="auto"/>
          <w:szCs w:val="21"/>
        </w:rPr>
        <w:t>报价扣除10%后参与评审；</w:t>
      </w:r>
    </w:p>
    <w:p>
      <w:pPr>
        <w:spacing w:line="360" w:lineRule="auto"/>
        <w:ind w:firstLine="422"/>
        <w:rPr>
          <w:rFonts w:hint="eastAsia" w:cs="宋体"/>
          <w:b/>
          <w:bCs/>
          <w:color w:val="auto"/>
          <w:szCs w:val="21"/>
        </w:rPr>
      </w:pPr>
      <w:r>
        <w:rPr>
          <w:rFonts w:hint="eastAsia" w:cs="宋体"/>
          <w:b/>
          <w:bCs/>
          <w:color w:val="auto"/>
          <w:szCs w:val="21"/>
        </w:rPr>
        <w:t>2.所投</w:t>
      </w:r>
      <w:r>
        <w:rPr>
          <w:rFonts w:hint="eastAsia" w:cs="宋体"/>
          <w:b/>
          <w:bCs/>
          <w:color w:val="auto"/>
          <w:szCs w:val="21"/>
          <w:lang w:val="en-US" w:eastAsia="zh-CN"/>
        </w:rPr>
        <w:t>工程</w:t>
      </w:r>
      <w:r>
        <w:rPr>
          <w:rFonts w:hint="eastAsia" w:cs="宋体"/>
          <w:b/>
          <w:bCs/>
          <w:color w:val="auto"/>
          <w:szCs w:val="21"/>
        </w:rPr>
        <w:t>为如为监狱企业</w:t>
      </w:r>
      <w:r>
        <w:rPr>
          <w:rFonts w:hint="eastAsia" w:cs="宋体"/>
          <w:b/>
          <w:bCs/>
          <w:color w:val="auto"/>
          <w:szCs w:val="21"/>
          <w:lang w:val="en-US" w:eastAsia="zh-CN"/>
        </w:rPr>
        <w:t>承接</w:t>
      </w:r>
      <w:r>
        <w:rPr>
          <w:rFonts w:hint="eastAsia" w:cs="宋体"/>
          <w:b/>
          <w:bCs/>
          <w:color w:val="auto"/>
          <w:szCs w:val="21"/>
        </w:rPr>
        <w:t>的，其</w:t>
      </w:r>
      <w:r>
        <w:rPr>
          <w:rFonts w:hint="eastAsia" w:cs="宋体"/>
          <w:b/>
          <w:bCs/>
          <w:color w:val="auto"/>
          <w:szCs w:val="21"/>
          <w:lang w:val="en-US" w:eastAsia="zh-CN"/>
        </w:rPr>
        <w:t>最后</w:t>
      </w:r>
      <w:r>
        <w:rPr>
          <w:rFonts w:hint="eastAsia" w:cs="宋体"/>
          <w:b/>
          <w:bCs/>
          <w:color w:val="auto"/>
          <w:szCs w:val="21"/>
        </w:rPr>
        <w:t>报价扣除10%后参与评审；</w:t>
      </w:r>
    </w:p>
    <w:p>
      <w:pPr>
        <w:spacing w:line="360" w:lineRule="auto"/>
        <w:ind w:firstLine="422"/>
        <w:rPr>
          <w:rFonts w:hint="eastAsia" w:cs="宋体"/>
          <w:b/>
          <w:bCs/>
          <w:color w:val="auto"/>
          <w:szCs w:val="21"/>
        </w:rPr>
      </w:pPr>
      <w:r>
        <w:rPr>
          <w:rFonts w:hint="eastAsia" w:cs="宋体"/>
          <w:b/>
          <w:bCs/>
          <w:color w:val="auto"/>
          <w:szCs w:val="21"/>
        </w:rPr>
        <w:t>3.所投</w:t>
      </w:r>
      <w:r>
        <w:rPr>
          <w:rFonts w:hint="eastAsia" w:cs="宋体"/>
          <w:b/>
          <w:bCs/>
          <w:color w:val="auto"/>
          <w:szCs w:val="21"/>
          <w:lang w:val="en-US" w:eastAsia="zh-CN"/>
        </w:rPr>
        <w:t>工程</w:t>
      </w:r>
      <w:r>
        <w:rPr>
          <w:rFonts w:hint="eastAsia" w:cs="宋体"/>
          <w:b/>
          <w:bCs/>
          <w:color w:val="auto"/>
          <w:szCs w:val="21"/>
        </w:rPr>
        <w:t>为残疾人福利性单位</w:t>
      </w:r>
      <w:r>
        <w:rPr>
          <w:rFonts w:hint="eastAsia" w:cs="宋体"/>
          <w:b/>
          <w:bCs/>
          <w:color w:val="auto"/>
          <w:szCs w:val="21"/>
          <w:lang w:val="en-US" w:eastAsia="zh-CN"/>
        </w:rPr>
        <w:t>承接</w:t>
      </w:r>
      <w:r>
        <w:rPr>
          <w:rFonts w:hint="eastAsia" w:cs="宋体"/>
          <w:b/>
          <w:bCs/>
          <w:color w:val="auto"/>
          <w:szCs w:val="21"/>
        </w:rPr>
        <w:t>的，其</w:t>
      </w:r>
      <w:r>
        <w:rPr>
          <w:rFonts w:hint="eastAsia" w:cs="宋体"/>
          <w:b/>
          <w:bCs/>
          <w:color w:val="auto"/>
          <w:szCs w:val="21"/>
          <w:lang w:val="en-US" w:eastAsia="zh-CN"/>
        </w:rPr>
        <w:t>最后</w:t>
      </w:r>
      <w:r>
        <w:rPr>
          <w:rFonts w:hint="eastAsia" w:cs="宋体"/>
          <w:b/>
          <w:bCs/>
          <w:color w:val="auto"/>
          <w:szCs w:val="21"/>
        </w:rPr>
        <w:t>报价扣除10%后参与评审；</w:t>
      </w:r>
    </w:p>
    <w:p>
      <w:pPr>
        <w:spacing w:line="360" w:lineRule="auto"/>
        <w:ind w:firstLine="422"/>
        <w:rPr>
          <w:rFonts w:hint="eastAsia"/>
        </w:rPr>
      </w:pPr>
      <w:r>
        <w:rPr>
          <w:rFonts w:hint="eastAsia" w:cs="宋体"/>
          <w:b/>
          <w:bCs/>
          <w:color w:val="auto"/>
          <w:szCs w:val="21"/>
        </w:rPr>
        <w:t>4.残疾人福利性单位属于小型、微型企业的，不重复享受政策。</w:t>
      </w:r>
    </w:p>
    <w:tbl>
      <w:tblPr>
        <w:tblStyle w:val="74"/>
        <w:tblW w:w="94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682"/>
        <w:gridCol w:w="7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评审因素</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分值</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498" w:type="dxa"/>
            <w:gridSpan w:val="3"/>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
                <w:bCs/>
                <w:color w:val="auto"/>
                <w:kern w:val="0"/>
                <w:sz w:val="21"/>
                <w:szCs w:val="21"/>
              </w:rPr>
              <w:t>价格分（30）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cs="宋体"/>
                <w:b/>
                <w:bCs/>
                <w:color w:val="auto"/>
                <w:kern w:val="0"/>
                <w:sz w:val="21"/>
                <w:szCs w:val="21"/>
                <w:lang w:val="en-US" w:eastAsia="zh-CN"/>
              </w:rPr>
              <w:t>最后</w:t>
            </w:r>
            <w:r>
              <w:rPr>
                <w:rFonts w:hint="eastAsia" w:ascii="宋体" w:hAnsi="宋体" w:eastAsia="宋体" w:cs="宋体"/>
                <w:b/>
                <w:bCs/>
                <w:color w:val="auto"/>
                <w:kern w:val="0"/>
                <w:sz w:val="21"/>
                <w:szCs w:val="21"/>
              </w:rPr>
              <w:t>报价</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30</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价格分统一采用低价优先法计算，即满足</w:t>
            </w:r>
            <w:r>
              <w:rPr>
                <w:rFonts w:hint="eastAsia" w:ascii="宋体" w:hAnsi="宋体" w:eastAsia="宋体" w:cs="宋体"/>
                <w:color w:val="auto"/>
                <w:kern w:val="0"/>
                <w:sz w:val="21"/>
                <w:szCs w:val="21"/>
                <w:lang w:val="en-US" w:eastAsia="zh-CN"/>
              </w:rPr>
              <w:t>采购</w:t>
            </w:r>
            <w:r>
              <w:rPr>
                <w:rFonts w:hint="eastAsia" w:ascii="宋体" w:hAnsi="宋体" w:eastAsia="宋体" w:cs="宋体"/>
                <w:color w:val="auto"/>
                <w:kern w:val="0"/>
                <w:sz w:val="21"/>
                <w:szCs w:val="21"/>
              </w:rPr>
              <w:t>文件要求且最后报价最低的</w:t>
            </w:r>
            <w:r>
              <w:rPr>
                <w:rFonts w:hint="eastAsia" w:ascii="宋体" w:hAnsi="宋体" w:cs="宋体"/>
                <w:color w:val="auto"/>
                <w:kern w:val="0"/>
                <w:sz w:val="21"/>
                <w:szCs w:val="21"/>
                <w:lang w:val="en-US" w:eastAsia="zh-CN"/>
              </w:rPr>
              <w:t>供应商</w:t>
            </w:r>
            <w:r>
              <w:rPr>
                <w:rFonts w:hint="eastAsia" w:ascii="宋体" w:hAnsi="宋体" w:eastAsia="宋体" w:cs="宋体"/>
                <w:color w:val="auto"/>
                <w:kern w:val="0"/>
                <w:sz w:val="21"/>
                <w:szCs w:val="21"/>
              </w:rPr>
              <w:t>的价格为基准价，其价格分为满分。其他</w:t>
            </w:r>
            <w:r>
              <w:rPr>
                <w:rFonts w:hint="eastAsia" w:ascii="宋体" w:hAnsi="宋体" w:cs="宋体"/>
                <w:color w:val="auto"/>
                <w:kern w:val="0"/>
                <w:sz w:val="21"/>
                <w:szCs w:val="21"/>
                <w:lang w:val="en-US" w:eastAsia="zh-CN"/>
              </w:rPr>
              <w:t>供应商</w:t>
            </w:r>
            <w:r>
              <w:rPr>
                <w:rFonts w:hint="eastAsia" w:ascii="宋体" w:hAnsi="宋体" w:eastAsia="宋体" w:cs="宋体"/>
                <w:color w:val="auto"/>
                <w:kern w:val="0"/>
                <w:sz w:val="21"/>
                <w:szCs w:val="21"/>
              </w:rPr>
              <w:t>的价格分统一按照下列公式计算：</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报价得分=（基准价/</w:t>
            </w:r>
            <w:r>
              <w:rPr>
                <w:rFonts w:hint="eastAsia" w:ascii="宋体" w:hAnsi="宋体" w:cs="宋体"/>
                <w:color w:val="auto"/>
                <w:kern w:val="0"/>
                <w:sz w:val="21"/>
                <w:szCs w:val="21"/>
                <w:lang w:val="en-US" w:eastAsia="zh-CN"/>
              </w:rPr>
              <w:t>最后</w:t>
            </w:r>
            <w:r>
              <w:rPr>
                <w:rFonts w:hint="eastAsia" w:ascii="宋体" w:hAnsi="宋体" w:eastAsia="宋体" w:cs="宋体"/>
                <w:color w:val="auto"/>
                <w:kern w:val="0"/>
                <w:sz w:val="21"/>
                <w:szCs w:val="21"/>
              </w:rPr>
              <w:t>报价）×30%×100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498" w:type="dxa"/>
            <w:gridSpan w:val="3"/>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
                <w:bCs/>
                <w:color w:val="auto"/>
                <w:kern w:val="0"/>
                <w:sz w:val="21"/>
                <w:szCs w:val="21"/>
              </w:rPr>
              <w:t>商务分（</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业绩</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1.5</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【客观分】</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cs="宋体"/>
                <w:color w:val="auto"/>
                <w:kern w:val="0"/>
                <w:sz w:val="21"/>
                <w:szCs w:val="21"/>
                <w:lang w:val="en-US" w:eastAsia="zh-CN"/>
              </w:rPr>
              <w:t>供应商</w:t>
            </w:r>
            <w:r>
              <w:rPr>
                <w:rFonts w:hint="eastAsia" w:ascii="宋体" w:hAnsi="宋体" w:eastAsia="宋体" w:cs="宋体"/>
                <w:color w:val="auto"/>
                <w:kern w:val="0"/>
                <w:sz w:val="21"/>
                <w:szCs w:val="21"/>
              </w:rPr>
              <w:t>自202</w:t>
            </w:r>
            <w:r>
              <w:rPr>
                <w:rFonts w:hint="eastAsia" w:ascii="宋体" w:hAnsi="宋体" w:eastAsia="宋体" w:cs="宋体"/>
                <w:color w:val="auto"/>
                <w:kern w:val="0"/>
                <w:sz w:val="21"/>
                <w:szCs w:val="21"/>
                <w:lang w:val="en-US" w:eastAsia="zh-CN"/>
              </w:rPr>
              <w:t>2</w:t>
            </w:r>
            <w:r>
              <w:rPr>
                <w:rFonts w:hint="eastAsia" w:ascii="宋体" w:hAnsi="宋体" w:eastAsia="宋体" w:cs="宋体"/>
                <w:color w:val="auto"/>
                <w:kern w:val="0"/>
                <w:sz w:val="21"/>
                <w:szCs w:val="21"/>
              </w:rPr>
              <w:t>年1月1日以来（以合同签订时间为准）同类合同业绩（以提供的合同扫描件和竣工验收记录（或报告）扫描件为准）：每提供1份合同业绩证明材料得0.5分，最高得1.5分。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体系认证</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3</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【客观分】</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cs="宋体"/>
                <w:color w:val="auto"/>
                <w:kern w:val="0"/>
                <w:sz w:val="21"/>
                <w:szCs w:val="21"/>
                <w:lang w:val="en-US" w:eastAsia="zh-CN"/>
              </w:rPr>
              <w:t>供应商</w:t>
            </w:r>
            <w:r>
              <w:rPr>
                <w:rFonts w:hint="eastAsia" w:ascii="宋体" w:hAnsi="宋体" w:eastAsia="宋体" w:cs="宋体"/>
                <w:color w:val="auto"/>
                <w:kern w:val="0"/>
                <w:sz w:val="21"/>
                <w:szCs w:val="21"/>
              </w:rPr>
              <w:t>具有有效的质量管理体系认证、环境管理体系认证、职业健康安全管理认证的，每提供1份证明材料得1分，最高得3分。</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证明材料：须提供有效期内相关证书扫描件及在全国认证认可信息公共服务平台查询的截图（http://cx.cnca.cn）证明，缺任1项均不得分。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498" w:type="dxa"/>
            <w:gridSpan w:val="3"/>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
                <w:bCs/>
                <w:color w:val="auto"/>
                <w:kern w:val="0"/>
                <w:sz w:val="21"/>
                <w:szCs w:val="21"/>
              </w:rPr>
              <w:t>技术分（</w:t>
            </w:r>
            <w:r>
              <w:rPr>
                <w:rFonts w:hint="eastAsia" w:ascii="宋体" w:hAnsi="宋体" w:eastAsia="宋体" w:cs="宋体"/>
                <w:b/>
                <w:bCs/>
                <w:color w:val="auto"/>
                <w:kern w:val="0"/>
                <w:sz w:val="21"/>
                <w:szCs w:val="21"/>
                <w:lang w:val="en-US" w:eastAsia="zh-CN"/>
              </w:rPr>
              <w:t>65</w:t>
            </w:r>
            <w:r>
              <w:rPr>
                <w:rFonts w:hint="eastAsia" w:ascii="宋体" w:hAnsi="宋体" w:eastAsia="宋体" w:cs="宋体"/>
                <w:b/>
                <w:bCs/>
                <w:color w:val="auto"/>
                <w:kern w:val="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restart"/>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技术方案</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lang w:eastAsia="zh-CN"/>
              </w:rPr>
            </w:pPr>
            <w:r>
              <w:rPr>
                <w:rFonts w:hint="eastAsia" w:ascii="宋体" w:hAnsi="宋体" w:cs="宋体"/>
                <w:b/>
                <w:bCs/>
                <w:color w:val="auto"/>
                <w:kern w:val="0"/>
                <w:sz w:val="21"/>
                <w:szCs w:val="21"/>
                <w:lang w:val="en-US" w:eastAsia="zh-CN"/>
              </w:rPr>
              <w:t>6</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针对本项目制定的施工总体方案，内容详细、考虑全面、合理，具有针对性。</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w:t>
            </w:r>
            <w:r>
              <w:rPr>
                <w:rFonts w:hint="eastAsia" w:ascii="宋体" w:hAnsi="宋体" w:cs="宋体"/>
                <w:bCs/>
                <w:color w:val="auto"/>
                <w:kern w:val="0"/>
                <w:sz w:val="21"/>
                <w:szCs w:val="21"/>
                <w:lang w:val="en-US" w:eastAsia="zh-CN"/>
              </w:rPr>
              <w:t>6,</w:t>
            </w:r>
            <w:r>
              <w:rPr>
                <w:rFonts w:hint="eastAsia" w:ascii="宋体" w:hAnsi="宋体" w:eastAsia="宋体" w:cs="宋体"/>
                <w:bCs/>
                <w:color w:val="auto"/>
                <w:kern w:val="0"/>
                <w:sz w:val="21"/>
                <w:szCs w:val="21"/>
              </w:rPr>
              <w:t>5，4，3，2，1，0）</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针对项目的道路施工和校内开挖的关键部位的施工方案，内容详细、考虑全面、合理，具有针对性。</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投入的施工机械设备和检测设备情况，施工机具进场计划安排详细、清晰，管理的保证措施内容全面，能够满足工程质量和进度的要求。</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各专业工种的配置和劳动力的投入情况，劳动力安排组织与管理措施，人员配置合理，专业能力强，组织安排合理。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主材设备供货计划、工期承诺、进度计划和控制措施，措施内容有利于项目实施，控制措施有效可行。</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安全、文明施工的保证措施科学、合理、到位，特别是针对高校特殊施工环境需要采取的安全管理、降噪和降低扬尘的施工技术和组织措施明确、清晰。</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制定的工程质量的技术组织措施，内容明确、清晰。</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 xml:space="preserve">（评分范围： </w:t>
            </w:r>
            <w:r>
              <w:rPr>
                <w:rFonts w:hint="eastAsia" w:ascii="宋体" w:hAnsi="宋体" w:eastAsia="宋体" w:cs="宋体"/>
                <w:bCs/>
                <w:color w:val="auto"/>
                <w:kern w:val="0"/>
                <w:sz w:val="21"/>
                <w:szCs w:val="21"/>
                <w:lang w:val="en-US" w:eastAsia="zh-CN"/>
              </w:rPr>
              <w:t>5，</w:t>
            </w:r>
            <w:r>
              <w:rPr>
                <w:rFonts w:hint="eastAsia" w:ascii="宋体" w:hAnsi="宋体" w:eastAsia="宋体" w:cs="宋体"/>
                <w:bCs/>
                <w:color w:val="auto"/>
                <w:kern w:val="0"/>
                <w:sz w:val="21"/>
                <w:szCs w:val="21"/>
              </w:rPr>
              <w:t>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选用材料质量保证措施，明确选材计划、材质保障，供货有效措施等。</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施工突发情况的应急</w:t>
            </w:r>
            <w:r>
              <w:rPr>
                <w:rFonts w:hint="eastAsia" w:ascii="宋体" w:hAnsi="宋体" w:eastAsia="宋体" w:cs="宋体"/>
                <w:bCs/>
                <w:snapToGrid w:val="0"/>
                <w:color w:val="auto"/>
                <w:kern w:val="0"/>
                <w:sz w:val="21"/>
                <w:szCs w:val="21"/>
              </w:rPr>
              <w:t>预案</w:t>
            </w:r>
            <w:r>
              <w:rPr>
                <w:rFonts w:hint="eastAsia" w:ascii="宋体" w:hAnsi="宋体" w:eastAsia="宋体" w:cs="宋体"/>
                <w:bCs/>
                <w:color w:val="auto"/>
                <w:kern w:val="0"/>
                <w:sz w:val="21"/>
                <w:szCs w:val="21"/>
              </w:rPr>
              <w:t>，方案全面、完善，应急联系机制建立，有利于本项目履约实施。</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项目实施过程中针对成品保护和现有环境的各项措施，措施内容具有针对性</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 xml:space="preserve">（评分范围： </w:t>
            </w:r>
            <w:r>
              <w:rPr>
                <w:rFonts w:hint="eastAsia" w:ascii="宋体" w:hAnsi="宋体" w:eastAsia="宋体" w:cs="宋体"/>
                <w:bCs/>
                <w:color w:val="auto"/>
                <w:kern w:val="0"/>
                <w:sz w:val="21"/>
                <w:szCs w:val="21"/>
                <w:lang w:val="en-US" w:eastAsia="zh-CN"/>
              </w:rPr>
              <w:t>5，</w:t>
            </w:r>
            <w:r>
              <w:rPr>
                <w:rFonts w:hint="eastAsia" w:ascii="宋体" w:hAnsi="宋体" w:eastAsia="宋体" w:cs="宋体"/>
                <w:bCs/>
                <w:color w:val="auto"/>
                <w:kern w:val="0"/>
                <w:sz w:val="21"/>
                <w:szCs w:val="21"/>
              </w:rPr>
              <w:t>4，3，2，1，0）</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注：未提供相应内容不得分。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restart"/>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拟派人员</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4.5</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【客观分】</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拟派项目经理202</w:t>
            </w:r>
            <w:r>
              <w:rPr>
                <w:rFonts w:hint="eastAsia" w:ascii="宋体" w:hAnsi="宋体" w:eastAsia="宋体" w:cs="宋体"/>
                <w:bCs/>
                <w:color w:val="auto"/>
                <w:kern w:val="0"/>
                <w:sz w:val="21"/>
                <w:szCs w:val="21"/>
                <w:lang w:val="en-US" w:eastAsia="zh-CN"/>
              </w:rPr>
              <w:t>2</w:t>
            </w:r>
            <w:r>
              <w:rPr>
                <w:rFonts w:hint="eastAsia" w:ascii="宋体" w:hAnsi="宋体" w:eastAsia="宋体" w:cs="宋体"/>
                <w:bCs/>
                <w:color w:val="auto"/>
                <w:kern w:val="0"/>
                <w:sz w:val="21"/>
                <w:szCs w:val="21"/>
              </w:rPr>
              <w:t>年1月1日以来（时间以合同最终签署时间为准），具有同类项目业绩的，每提供一个合同得1.5分，最高得3分。</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注：需提供项目经理在职证明或社保缴纳证明、同类项目业绩合同扫描件并加盖</w:t>
            </w:r>
            <w:r>
              <w:rPr>
                <w:rFonts w:hint="eastAsia" w:ascii="宋体" w:hAnsi="宋体" w:cs="宋体"/>
                <w:b/>
                <w:color w:val="auto"/>
                <w:kern w:val="0"/>
                <w:sz w:val="21"/>
                <w:szCs w:val="21"/>
                <w:lang w:val="en-US" w:eastAsia="zh-CN"/>
              </w:rPr>
              <w:t>供应商</w:t>
            </w:r>
            <w:r>
              <w:rPr>
                <w:rFonts w:hint="eastAsia" w:ascii="宋体" w:hAnsi="宋体" w:eastAsia="宋体" w:cs="宋体"/>
                <w:b/>
                <w:color w:val="auto"/>
                <w:kern w:val="0"/>
                <w:sz w:val="21"/>
                <w:szCs w:val="21"/>
              </w:rPr>
              <w:t>公章，如合同中未体现项目经理的，需提供用户的证明材料，未按要求提供上述相关证明材料的不得分。</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2、项目经理具有机电或电气专业高级工程师职称的得1.5分，机电或电气专业工程师职称的得0.5分，没有的得0分。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Merge w:val="continue"/>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val="en-US" w:eastAsia="zh-CN"/>
              </w:rPr>
              <w:t>5</w:t>
            </w:r>
          </w:p>
        </w:tc>
        <w:tc>
          <w:tcPr>
            <w:tcW w:w="7071"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【主观分】</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拟派驻现场的项目组专业配置满足项目要求，组织机构合理，工作经验丰富。</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（评分范围：5，4，3，2，1，0）</w:t>
            </w:r>
          </w:p>
          <w:p>
            <w:pPr>
              <w:keepNext w:val="0"/>
              <w:keepLines w:val="0"/>
              <w:pageBreakBefore w:val="0"/>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bCs/>
                <w:color w:val="auto"/>
                <w:kern w:val="0"/>
                <w:sz w:val="21"/>
                <w:szCs w:val="21"/>
              </w:rPr>
              <w:t>注：需提供上述人员在职证明或社保缴纳证明、具体人员配置清单及人员证书、工作经验证明。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745"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其它服务承诺</w:t>
            </w:r>
          </w:p>
        </w:tc>
        <w:tc>
          <w:tcPr>
            <w:tcW w:w="682" w:type="dxa"/>
            <w:vAlign w:val="center"/>
          </w:tcPr>
          <w:p>
            <w:pPr>
              <w:keepNext w:val="0"/>
              <w:keepLines w:val="0"/>
              <w:pageBreakBefore w:val="0"/>
              <w:kinsoku/>
              <w:wordWrap/>
              <w:overflowPunct/>
              <w:topLinePunct w:val="0"/>
              <w:autoSpaceDE/>
              <w:autoSpaceDN/>
              <w:bidi w:val="0"/>
              <w:adjustRightInd w:val="0"/>
              <w:snapToGrid w:val="0"/>
              <w:spacing w:line="288" w:lineRule="auto"/>
              <w:jc w:val="center"/>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val="en-US" w:eastAsia="zh-CN"/>
              </w:rPr>
              <w:t>5</w:t>
            </w:r>
          </w:p>
        </w:tc>
        <w:tc>
          <w:tcPr>
            <w:tcW w:w="7071" w:type="dxa"/>
            <w:vAlign w:val="center"/>
          </w:tcPr>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【主观分】</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cs="宋体"/>
                <w:bCs/>
                <w:color w:val="auto"/>
                <w:kern w:val="0"/>
                <w:sz w:val="21"/>
                <w:szCs w:val="21"/>
                <w:lang w:val="en-US" w:eastAsia="zh-CN"/>
              </w:rPr>
              <w:t>供应商</w:t>
            </w:r>
            <w:r>
              <w:rPr>
                <w:rFonts w:hint="eastAsia" w:ascii="宋体" w:hAnsi="宋体" w:eastAsia="宋体" w:cs="宋体"/>
                <w:bCs/>
                <w:color w:val="auto"/>
                <w:kern w:val="0"/>
                <w:sz w:val="21"/>
                <w:szCs w:val="21"/>
              </w:rPr>
              <w:t>提供工程交付使用后的保修服务和其它服务承诺，承诺措施可行，有利于项目。</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（评分范围：</w:t>
            </w:r>
            <w:r>
              <w:rPr>
                <w:rFonts w:hint="eastAsia" w:ascii="宋体" w:hAnsi="宋体" w:eastAsia="宋体" w:cs="宋体"/>
                <w:bCs/>
                <w:color w:val="auto"/>
                <w:kern w:val="0"/>
                <w:sz w:val="21"/>
                <w:szCs w:val="21"/>
                <w:lang w:val="en-US" w:eastAsia="zh-CN"/>
              </w:rPr>
              <w:t>5，</w:t>
            </w:r>
            <w:r>
              <w:rPr>
                <w:rFonts w:hint="eastAsia" w:ascii="宋体" w:hAnsi="宋体" w:eastAsia="宋体" w:cs="宋体"/>
                <w:bCs/>
                <w:color w:val="auto"/>
                <w:kern w:val="0"/>
                <w:sz w:val="21"/>
                <w:szCs w:val="21"/>
              </w:rPr>
              <w:t>4，3，2，1，0）</w:t>
            </w:r>
          </w:p>
          <w:p>
            <w:pPr>
              <w:keepNext w:val="0"/>
              <w:keepLines w:val="0"/>
              <w:pageBreakBefore w:val="0"/>
              <w:widowControl/>
              <w:kinsoku/>
              <w:wordWrap/>
              <w:overflowPunct/>
              <w:topLinePunct w:val="0"/>
              <w:autoSpaceDE/>
              <w:autoSpaceDN/>
              <w:bidi w:val="0"/>
              <w:adjustRightInd w:val="0"/>
              <w:snapToGrid w:val="0"/>
              <w:spacing w:line="288"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Cs/>
                <w:color w:val="auto"/>
                <w:kern w:val="0"/>
                <w:sz w:val="21"/>
                <w:szCs w:val="21"/>
              </w:rPr>
              <w:t>注：未提供相应内容不得分。</w:t>
            </w:r>
          </w:p>
        </w:tc>
      </w:tr>
    </w:tbl>
    <w:p>
      <w:pPr>
        <w:pStyle w:val="397"/>
        <w:spacing w:before="0"/>
        <w:ind w:firstLine="643"/>
        <w:jc w:val="both"/>
        <w:rPr>
          <w:rFonts w:ascii="宋体" w:hAnsi="宋体" w:cs="仿宋_GB2312"/>
          <w:b/>
          <w:color w:val="auto"/>
          <w:sz w:val="32"/>
          <w:highlight w:val="none"/>
        </w:rPr>
      </w:pPr>
      <w:r>
        <w:rPr>
          <w:rFonts w:hint="eastAsia" w:ascii="宋体" w:hAnsi="宋体" w:cs="仿宋_GB2312"/>
          <w:b/>
          <w:color w:val="auto"/>
          <w:sz w:val="32"/>
          <w:highlight w:val="none"/>
        </w:rPr>
        <w:br w:type="page"/>
      </w:r>
    </w:p>
    <w:p>
      <w:pPr>
        <w:pStyle w:val="397"/>
        <w:spacing w:before="0"/>
        <w:ind w:firstLine="3534" w:firstLineChars="1100"/>
        <w:jc w:val="both"/>
        <w:rPr>
          <w:rFonts w:ascii="宋体" w:hAnsi="宋体" w:cs="仿宋_GB2312"/>
          <w:b/>
          <w:color w:val="auto"/>
          <w:highlight w:val="none"/>
        </w:rPr>
      </w:pPr>
      <w:r>
        <w:rPr>
          <w:rFonts w:hint="eastAsia" w:ascii="宋体" w:hAnsi="宋体" w:cs="仿宋_GB2312"/>
          <w:b/>
          <w:color w:val="auto"/>
          <w:sz w:val="32"/>
          <w:highlight w:val="none"/>
        </w:rPr>
        <w:t>一、评审方法</w:t>
      </w:r>
    </w:p>
    <w:p>
      <w:pPr>
        <w:adjustRightInd/>
        <w:spacing w:line="360" w:lineRule="auto"/>
        <w:rPr>
          <w:rFonts w:ascii="宋体" w:hAnsi="宋体" w:cs="Arial"/>
          <w:color w:val="auto"/>
          <w:kern w:val="0"/>
          <w:sz w:val="24"/>
          <w:highlight w:val="none"/>
        </w:rPr>
      </w:pPr>
      <w:r>
        <w:rPr>
          <w:rFonts w:hint="eastAsia" w:ascii="宋体" w:hAnsi="宋体" w:cs="Arial"/>
          <w:b/>
          <w:color w:val="auto"/>
          <w:kern w:val="0"/>
          <w:sz w:val="24"/>
          <w:highlight w:val="none"/>
        </w:rPr>
        <w:t>1.综合评分法。</w:t>
      </w:r>
      <w:r>
        <w:rPr>
          <w:rFonts w:hint="eastAsia" w:ascii="宋体" w:hAnsi="宋体" w:cs="Arial"/>
          <w:color w:val="auto"/>
          <w:kern w:val="0"/>
          <w:sz w:val="24"/>
          <w:highlight w:val="none"/>
        </w:rPr>
        <w:t>综合评分法，是指响应文件满足磋商文件全部实质性要求，且按照评审因素的量化指标评审得分最高的供应商为成交候选人的评审方法。</w:t>
      </w:r>
    </w:p>
    <w:p>
      <w:pPr>
        <w:adjustRightInd/>
        <w:spacing w:line="360" w:lineRule="auto"/>
        <w:rPr>
          <w:rFonts w:ascii="宋体" w:hAnsi="宋体" w:cs="Arial"/>
          <w:color w:val="auto"/>
          <w:kern w:val="0"/>
          <w:sz w:val="24"/>
          <w:highlight w:val="none"/>
        </w:rPr>
      </w:pPr>
    </w:p>
    <w:p>
      <w:pPr>
        <w:snapToGrid w:val="0"/>
        <w:spacing w:line="360" w:lineRule="auto"/>
        <w:ind w:left="120" w:leftChars="57" w:firstLine="422" w:firstLineChars="150"/>
        <w:jc w:val="center"/>
        <w:rPr>
          <w:rFonts w:ascii="宋体" w:hAnsi="宋体" w:cs="仿宋_GB2312"/>
          <w:b/>
          <w:color w:val="auto"/>
          <w:sz w:val="32"/>
          <w:highlight w:val="none"/>
        </w:rPr>
      </w:pPr>
      <w:r>
        <w:rPr>
          <w:rFonts w:hint="eastAsia" w:ascii="宋体" w:hAnsi="宋体"/>
          <w:b/>
          <w:color w:val="auto"/>
          <w:sz w:val="28"/>
          <w:szCs w:val="28"/>
          <w:highlight w:val="none"/>
        </w:rPr>
        <w:t xml:space="preserve">   </w:t>
      </w:r>
      <w:r>
        <w:rPr>
          <w:rFonts w:hint="eastAsia" w:ascii="宋体" w:hAnsi="宋体" w:cs="仿宋_GB2312"/>
          <w:b/>
          <w:color w:val="auto"/>
          <w:sz w:val="32"/>
          <w:highlight w:val="none"/>
        </w:rPr>
        <w:t>二、磋商小组的组成</w:t>
      </w:r>
    </w:p>
    <w:p>
      <w:pPr>
        <w:pStyle w:val="397"/>
        <w:spacing w:before="0"/>
        <w:ind w:firstLine="0" w:firstLineChars="0"/>
        <w:rPr>
          <w:rFonts w:ascii="宋体" w:hAnsi="宋体" w:cs="Arial"/>
          <w:b/>
          <w:color w:val="auto"/>
          <w:kern w:val="0"/>
          <w:highlight w:val="none"/>
        </w:rPr>
      </w:pPr>
      <w:r>
        <w:rPr>
          <w:rFonts w:hint="eastAsia" w:ascii="宋体" w:hAnsi="宋体" w:cs="Arial"/>
          <w:b/>
          <w:color w:val="auto"/>
          <w:kern w:val="0"/>
          <w:highlight w:val="none"/>
        </w:rPr>
        <w:t>1.磋商小组的组成。</w:t>
      </w:r>
    </w:p>
    <w:p>
      <w:pPr>
        <w:pStyle w:val="397"/>
        <w:spacing w:before="0"/>
        <w:ind w:firstLine="480"/>
        <w:rPr>
          <w:rFonts w:ascii="宋体" w:hAnsi="宋体"/>
          <w:color w:val="auto"/>
          <w:highlight w:val="none"/>
        </w:rPr>
      </w:pPr>
      <w:r>
        <w:rPr>
          <w:rFonts w:hint="eastAsia" w:ascii="宋体" w:hAnsi="宋体"/>
          <w:color w:val="auto"/>
          <w:highlight w:val="none"/>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397"/>
        <w:spacing w:before="0"/>
        <w:ind w:firstLine="480"/>
        <w:rPr>
          <w:rFonts w:ascii="宋体" w:hAnsi="宋体"/>
          <w:color w:val="auto"/>
          <w:highlight w:val="none"/>
        </w:rPr>
      </w:pPr>
      <w:r>
        <w:rPr>
          <w:rFonts w:hint="eastAsia" w:ascii="宋体" w:hAnsi="宋体"/>
          <w:color w:val="auto"/>
          <w:highlight w:val="none"/>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pPr>
        <w:snapToGrid w:val="0"/>
        <w:spacing w:line="360" w:lineRule="auto"/>
        <w:rPr>
          <w:rFonts w:ascii="宋体" w:hAnsi="宋体" w:cs="Arial"/>
          <w:b/>
          <w:color w:val="auto"/>
          <w:kern w:val="0"/>
          <w:sz w:val="24"/>
          <w:szCs w:val="20"/>
          <w:highlight w:val="none"/>
        </w:rPr>
      </w:pPr>
      <w:r>
        <w:rPr>
          <w:rFonts w:hint="eastAsia" w:ascii="宋体" w:hAnsi="宋体" w:cs="Arial"/>
          <w:b/>
          <w:color w:val="auto"/>
          <w:kern w:val="0"/>
          <w:sz w:val="24"/>
          <w:szCs w:val="20"/>
          <w:highlight w:val="none"/>
        </w:rPr>
        <w:t>2.磋商小组的组成人员的回避。</w:t>
      </w:r>
    </w:p>
    <w:p>
      <w:pPr>
        <w:pStyle w:val="397"/>
        <w:spacing w:before="0"/>
        <w:ind w:firstLine="480"/>
        <w:rPr>
          <w:rFonts w:ascii="宋体" w:hAnsi="宋体"/>
          <w:color w:val="auto"/>
          <w:highlight w:val="none"/>
        </w:rPr>
      </w:pPr>
      <w:r>
        <w:rPr>
          <w:rFonts w:hint="eastAsia" w:ascii="宋体" w:hAnsi="宋体"/>
          <w:color w:val="auto"/>
          <w:highlight w:val="none"/>
        </w:rPr>
        <w:t>在政府采购活动中，磋商小组的组成人员与供应商有下列利害关系之一的，应当回避：</w:t>
      </w:r>
    </w:p>
    <w:p>
      <w:pPr>
        <w:pStyle w:val="397"/>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2.1参加采购活动前3年内与供应商存在劳动关系；</w:t>
      </w:r>
    </w:p>
    <w:p>
      <w:pPr>
        <w:pStyle w:val="397"/>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2.2参加采购活动前3年内担任供应商的董事、监事；</w:t>
      </w:r>
    </w:p>
    <w:p>
      <w:pPr>
        <w:pStyle w:val="397"/>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2.3参加采购活动前3年内是供应商的控股股东或者实际控制人；</w:t>
      </w:r>
    </w:p>
    <w:p>
      <w:pPr>
        <w:pStyle w:val="397"/>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2.4与供应商的法定代表人或者负责人有夫妻、直系血亲、三代以内旁系血亲或者近姻亲关系；</w:t>
      </w:r>
    </w:p>
    <w:p>
      <w:pPr>
        <w:pStyle w:val="397"/>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2.5与供应商有其他可能影响政府采购活动公平、公正进行的关系。</w:t>
      </w:r>
    </w:p>
    <w:p>
      <w:pPr>
        <w:snapToGrid w:val="0"/>
        <w:spacing w:line="360" w:lineRule="auto"/>
        <w:ind w:left="120" w:leftChars="57" w:firstLine="482" w:firstLineChars="150"/>
        <w:jc w:val="center"/>
        <w:rPr>
          <w:rFonts w:ascii="宋体" w:hAnsi="宋体" w:cs="仿宋_GB2312"/>
          <w:b/>
          <w:color w:val="auto"/>
          <w:sz w:val="32"/>
          <w:highlight w:val="none"/>
        </w:rPr>
      </w:pPr>
    </w:p>
    <w:p>
      <w:pPr>
        <w:snapToGrid w:val="0"/>
        <w:spacing w:line="360" w:lineRule="auto"/>
        <w:ind w:left="120" w:leftChars="57" w:firstLine="482" w:firstLineChars="150"/>
        <w:jc w:val="center"/>
        <w:rPr>
          <w:rFonts w:ascii="宋体" w:hAnsi="宋体"/>
          <w:b/>
          <w:color w:val="auto"/>
          <w:sz w:val="32"/>
          <w:szCs w:val="32"/>
          <w:highlight w:val="none"/>
        </w:rPr>
      </w:pPr>
      <w:r>
        <w:rPr>
          <w:rFonts w:hint="eastAsia" w:ascii="宋体" w:hAnsi="宋体" w:cs="仿宋_GB2312"/>
          <w:b/>
          <w:color w:val="auto"/>
          <w:sz w:val="32"/>
          <w:highlight w:val="none"/>
        </w:rPr>
        <w:t>三、磋商小组的职责</w:t>
      </w:r>
    </w:p>
    <w:p>
      <w:pPr>
        <w:pStyle w:val="397"/>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1.磋商小组负责具体评审事务，并独立履行下列职责：</w:t>
      </w:r>
    </w:p>
    <w:p>
      <w:pPr>
        <w:pStyle w:val="397"/>
        <w:spacing w:before="0"/>
        <w:ind w:firstLine="480"/>
        <w:rPr>
          <w:rFonts w:ascii="宋体" w:hAnsi="宋体"/>
          <w:color w:val="auto"/>
          <w:highlight w:val="none"/>
        </w:rPr>
      </w:pPr>
      <w:r>
        <w:rPr>
          <w:rFonts w:hint="eastAsia" w:ascii="宋体" w:hAnsi="宋体"/>
          <w:color w:val="auto"/>
          <w:highlight w:val="none"/>
        </w:rPr>
        <w:t>1.1对响应文件的有效性、完整性和响应程度进行审查；</w:t>
      </w:r>
    </w:p>
    <w:p>
      <w:pPr>
        <w:pStyle w:val="397"/>
        <w:spacing w:before="0"/>
        <w:ind w:firstLine="480"/>
        <w:rPr>
          <w:rFonts w:ascii="宋体" w:hAnsi="宋体"/>
          <w:color w:val="auto"/>
          <w:highlight w:val="none"/>
        </w:rPr>
      </w:pPr>
      <w:r>
        <w:rPr>
          <w:rFonts w:hint="eastAsia" w:ascii="宋体" w:hAnsi="宋体"/>
          <w:color w:val="auto"/>
          <w:highlight w:val="none"/>
        </w:rPr>
        <w:t>1.2审查、评价响应文件是否符合磋商文件的商务、技术等实质性要求；</w:t>
      </w:r>
    </w:p>
    <w:p>
      <w:pPr>
        <w:pStyle w:val="397"/>
        <w:spacing w:before="0"/>
        <w:ind w:firstLine="480"/>
        <w:rPr>
          <w:rFonts w:ascii="宋体" w:hAnsi="宋体"/>
          <w:color w:val="auto"/>
          <w:highlight w:val="none"/>
        </w:rPr>
      </w:pPr>
      <w:r>
        <w:rPr>
          <w:rFonts w:hint="eastAsia" w:ascii="宋体" w:hAnsi="宋体"/>
          <w:color w:val="auto"/>
          <w:highlight w:val="none"/>
        </w:rPr>
        <w:t>1.3要求供应商对响应文件有关事项作出澄清、说明或者更正；</w:t>
      </w:r>
    </w:p>
    <w:p>
      <w:pPr>
        <w:pStyle w:val="397"/>
        <w:spacing w:before="0"/>
        <w:ind w:firstLine="480"/>
        <w:rPr>
          <w:rFonts w:ascii="宋体" w:hAnsi="宋体"/>
          <w:color w:val="auto"/>
          <w:highlight w:val="none"/>
        </w:rPr>
      </w:pPr>
      <w:r>
        <w:rPr>
          <w:rFonts w:hint="eastAsia" w:ascii="宋体" w:hAnsi="宋体"/>
          <w:color w:val="auto"/>
          <w:highlight w:val="none"/>
        </w:rPr>
        <w:t>1.4磋商小组集中与单一供应商分别进行磋商；</w:t>
      </w:r>
    </w:p>
    <w:p>
      <w:pPr>
        <w:pStyle w:val="397"/>
        <w:spacing w:before="0"/>
        <w:ind w:firstLine="480"/>
        <w:rPr>
          <w:rFonts w:ascii="宋体" w:hAnsi="宋体"/>
          <w:color w:val="auto"/>
          <w:highlight w:val="none"/>
        </w:rPr>
      </w:pPr>
      <w:r>
        <w:rPr>
          <w:rFonts w:hint="eastAsia" w:ascii="宋体" w:hAnsi="宋体"/>
          <w:color w:val="auto"/>
          <w:highlight w:val="none"/>
        </w:rPr>
        <w:t>1.5确定磋商文件的变动情况，并确定提交最后报价的供应商；</w:t>
      </w:r>
    </w:p>
    <w:p>
      <w:pPr>
        <w:pStyle w:val="397"/>
        <w:spacing w:before="0"/>
        <w:ind w:firstLine="480"/>
        <w:rPr>
          <w:rFonts w:ascii="宋体" w:hAnsi="宋体"/>
          <w:color w:val="auto"/>
          <w:highlight w:val="none"/>
        </w:rPr>
      </w:pPr>
      <w:r>
        <w:rPr>
          <w:rFonts w:hint="eastAsia" w:ascii="宋体" w:hAnsi="宋体"/>
          <w:color w:val="auto"/>
          <w:highlight w:val="none"/>
        </w:rPr>
        <w:t>1.6根据磋商文件确定的评审办法及评审标准对提交最后报价的供应商的响应文件和最后报价采用综合评分法进行综合评分；</w:t>
      </w:r>
    </w:p>
    <w:p>
      <w:pPr>
        <w:pStyle w:val="397"/>
        <w:spacing w:before="0"/>
        <w:ind w:firstLine="480"/>
        <w:rPr>
          <w:rFonts w:ascii="宋体" w:hAnsi="宋体"/>
          <w:color w:val="auto"/>
          <w:highlight w:val="none"/>
        </w:rPr>
      </w:pPr>
      <w:r>
        <w:rPr>
          <w:rFonts w:hint="eastAsia" w:ascii="宋体" w:hAnsi="宋体"/>
          <w:color w:val="auto"/>
          <w:highlight w:val="none"/>
        </w:rPr>
        <w:t>1.7编制评审报告，确定成交候选人名单，以及根据采购人委托直接确定成交人；</w:t>
      </w:r>
    </w:p>
    <w:p>
      <w:pPr>
        <w:pStyle w:val="397"/>
        <w:spacing w:before="0"/>
        <w:ind w:firstLine="480"/>
        <w:rPr>
          <w:rFonts w:ascii="宋体" w:hAnsi="宋体"/>
          <w:color w:val="auto"/>
          <w:highlight w:val="none"/>
        </w:rPr>
      </w:pPr>
      <w:r>
        <w:rPr>
          <w:rFonts w:hint="eastAsia" w:ascii="宋体" w:hAnsi="宋体"/>
          <w:color w:val="auto"/>
          <w:highlight w:val="none"/>
        </w:rPr>
        <w:t>1.8向采购人、采购代理机构或者有关部门报告评审中发现的违法行为；</w:t>
      </w:r>
    </w:p>
    <w:p>
      <w:pPr>
        <w:pStyle w:val="397"/>
        <w:spacing w:before="0"/>
        <w:ind w:firstLine="480"/>
        <w:rPr>
          <w:rFonts w:ascii="宋体" w:hAnsi="宋体"/>
          <w:color w:val="auto"/>
          <w:highlight w:val="none"/>
        </w:rPr>
      </w:pPr>
      <w:r>
        <w:rPr>
          <w:rFonts w:hint="eastAsia" w:ascii="宋体" w:hAnsi="宋体"/>
          <w:color w:val="auto"/>
          <w:highlight w:val="none"/>
        </w:rPr>
        <w:t>1.9法律、法规、规章、磋商文件等规定的其它事项。</w:t>
      </w:r>
    </w:p>
    <w:p>
      <w:pPr>
        <w:pStyle w:val="397"/>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2.磋商小组及其成员不得有下列行为：</w:t>
      </w:r>
    </w:p>
    <w:p>
      <w:pPr>
        <w:pStyle w:val="397"/>
        <w:spacing w:before="0"/>
        <w:ind w:firstLine="480"/>
        <w:rPr>
          <w:rFonts w:ascii="宋体" w:hAnsi="宋体"/>
          <w:color w:val="auto"/>
          <w:highlight w:val="none"/>
        </w:rPr>
      </w:pPr>
      <w:r>
        <w:rPr>
          <w:rFonts w:hint="eastAsia" w:ascii="宋体" w:hAnsi="宋体"/>
          <w:color w:val="auto"/>
          <w:highlight w:val="none"/>
        </w:rPr>
        <w:t>2.1确定参与本项目至评审结束前私自接触供应商；</w:t>
      </w:r>
    </w:p>
    <w:p>
      <w:pPr>
        <w:pStyle w:val="397"/>
        <w:spacing w:before="0"/>
        <w:ind w:firstLine="480"/>
        <w:rPr>
          <w:rFonts w:ascii="宋体" w:hAnsi="宋体"/>
          <w:color w:val="auto"/>
          <w:highlight w:val="none"/>
        </w:rPr>
      </w:pPr>
      <w:r>
        <w:rPr>
          <w:rFonts w:hint="eastAsia" w:ascii="宋体" w:hAnsi="宋体"/>
          <w:color w:val="auto"/>
          <w:highlight w:val="none"/>
        </w:rPr>
        <w:t xml:space="preserve">2.2接受供应商提出的“超出响应文件的范围或者改变响应文件的实质性内容”的澄清、说明或者更正； </w:t>
      </w:r>
    </w:p>
    <w:p>
      <w:pPr>
        <w:pStyle w:val="397"/>
        <w:spacing w:before="0"/>
        <w:ind w:firstLine="480"/>
        <w:rPr>
          <w:rFonts w:ascii="宋体" w:hAnsi="宋体"/>
          <w:color w:val="auto"/>
          <w:highlight w:val="none"/>
        </w:rPr>
      </w:pPr>
      <w:r>
        <w:rPr>
          <w:rFonts w:hint="eastAsia" w:ascii="宋体" w:hAnsi="宋体"/>
          <w:color w:val="auto"/>
          <w:highlight w:val="none"/>
        </w:rPr>
        <w:t>2.3违反评审纪律发表倾向性意见或者征询采购人的倾向性意见；</w:t>
      </w:r>
    </w:p>
    <w:p>
      <w:pPr>
        <w:pStyle w:val="397"/>
        <w:spacing w:before="0"/>
        <w:ind w:firstLine="480"/>
        <w:rPr>
          <w:rFonts w:ascii="宋体" w:hAnsi="宋体"/>
          <w:color w:val="auto"/>
          <w:highlight w:val="none"/>
        </w:rPr>
      </w:pPr>
      <w:r>
        <w:rPr>
          <w:rFonts w:hint="eastAsia" w:ascii="宋体" w:hAnsi="宋体"/>
          <w:color w:val="auto"/>
          <w:highlight w:val="none"/>
        </w:rPr>
        <w:t>2.4对需要专业判断的主观评审因素协商评分；</w:t>
      </w:r>
    </w:p>
    <w:p>
      <w:pPr>
        <w:pStyle w:val="397"/>
        <w:spacing w:before="0"/>
        <w:ind w:firstLine="480"/>
        <w:rPr>
          <w:rFonts w:ascii="宋体" w:hAnsi="宋体"/>
          <w:color w:val="auto"/>
          <w:highlight w:val="none"/>
        </w:rPr>
      </w:pPr>
      <w:r>
        <w:rPr>
          <w:rFonts w:hint="eastAsia" w:ascii="宋体" w:hAnsi="宋体"/>
          <w:color w:val="auto"/>
          <w:highlight w:val="none"/>
        </w:rPr>
        <w:t>2.5在评审过程中擅离职守，影响评审程序正常进行的；</w:t>
      </w:r>
    </w:p>
    <w:p>
      <w:pPr>
        <w:pStyle w:val="397"/>
        <w:spacing w:before="0"/>
        <w:ind w:firstLine="480"/>
        <w:rPr>
          <w:rFonts w:ascii="宋体" w:hAnsi="宋体"/>
          <w:color w:val="auto"/>
          <w:highlight w:val="none"/>
        </w:rPr>
      </w:pPr>
      <w:r>
        <w:rPr>
          <w:rFonts w:hint="eastAsia" w:ascii="宋体" w:hAnsi="宋体"/>
          <w:color w:val="auto"/>
          <w:highlight w:val="none"/>
        </w:rPr>
        <w:t>2.6记录、复制或者带走任何评审资料；</w:t>
      </w:r>
    </w:p>
    <w:p>
      <w:pPr>
        <w:pStyle w:val="397"/>
        <w:spacing w:before="0"/>
        <w:ind w:firstLine="480"/>
        <w:rPr>
          <w:rFonts w:ascii="宋体" w:hAnsi="宋体"/>
          <w:color w:val="auto"/>
          <w:highlight w:val="none"/>
        </w:rPr>
      </w:pPr>
      <w:r>
        <w:rPr>
          <w:rFonts w:hint="eastAsia" w:ascii="宋体" w:hAnsi="宋体"/>
          <w:color w:val="auto"/>
          <w:highlight w:val="none"/>
        </w:rPr>
        <w:t>2.7其他不遵守评审纪律的行为。</w:t>
      </w:r>
    </w:p>
    <w:p>
      <w:pPr>
        <w:pStyle w:val="397"/>
        <w:spacing w:before="0"/>
        <w:ind w:firstLine="480"/>
        <w:rPr>
          <w:rFonts w:ascii="宋体" w:hAnsi="宋体"/>
          <w:color w:val="auto"/>
          <w:highlight w:val="none"/>
        </w:rPr>
      </w:pPr>
      <w:r>
        <w:rPr>
          <w:rFonts w:hint="eastAsia" w:ascii="宋体" w:hAnsi="宋体"/>
          <w:color w:val="auto"/>
          <w:highlight w:val="none"/>
        </w:rPr>
        <w:t>磋商小组成员有2.1-2.5行为之一的，其评审意见无效，并不得获取评审劳务报酬和报销异地评审差旅费。</w:t>
      </w:r>
    </w:p>
    <w:p>
      <w:pPr>
        <w:pStyle w:val="397"/>
        <w:spacing w:before="0"/>
        <w:ind w:firstLine="0" w:firstLineChars="0"/>
        <w:rPr>
          <w:rFonts w:ascii="宋体" w:hAnsi="宋体"/>
          <w:b/>
          <w:color w:val="auto"/>
          <w:highlight w:val="none"/>
        </w:rPr>
      </w:pPr>
    </w:p>
    <w:p>
      <w:pPr>
        <w:pStyle w:val="397"/>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四、评审程序</w:t>
      </w:r>
    </w:p>
    <w:p>
      <w:pPr>
        <w:pStyle w:val="397"/>
        <w:spacing w:before="0"/>
        <w:ind w:firstLine="472" w:firstLineChars="196"/>
        <w:rPr>
          <w:rFonts w:ascii="宋体" w:hAnsi="宋体"/>
          <w:b/>
          <w:color w:val="auto"/>
          <w:highlight w:val="none"/>
        </w:rPr>
      </w:pPr>
      <w:r>
        <w:rPr>
          <w:rFonts w:hint="eastAsia" w:ascii="宋体" w:hAnsi="宋体"/>
          <w:b/>
          <w:color w:val="auto"/>
          <w:highlight w:val="none"/>
        </w:rPr>
        <w:t>详见磋商文件“第二部分 竞争性磋商流程”。</w:t>
      </w:r>
    </w:p>
    <w:p>
      <w:pPr>
        <w:pStyle w:val="397"/>
        <w:spacing w:before="0"/>
        <w:ind w:firstLine="0" w:firstLineChars="0"/>
        <w:rPr>
          <w:rFonts w:ascii="宋体" w:hAnsi="宋体"/>
          <w:b/>
          <w:color w:val="auto"/>
          <w:highlight w:val="none"/>
        </w:rPr>
      </w:pPr>
    </w:p>
    <w:p>
      <w:pPr>
        <w:pStyle w:val="397"/>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五、评审须知</w:t>
      </w:r>
    </w:p>
    <w:p>
      <w:pPr>
        <w:pStyle w:val="397"/>
        <w:spacing w:before="0"/>
        <w:ind w:firstLine="0" w:firstLineChars="0"/>
        <w:rPr>
          <w:rFonts w:ascii="宋体" w:hAnsi="宋体" w:cs="仿宋_GB2312"/>
          <w:b/>
          <w:color w:val="auto"/>
          <w:szCs w:val="24"/>
          <w:highlight w:val="none"/>
        </w:rPr>
      </w:pPr>
      <w:r>
        <w:rPr>
          <w:rFonts w:hint="eastAsia" w:ascii="宋体" w:hAnsi="宋体"/>
          <w:b/>
          <w:color w:val="auto"/>
          <w:szCs w:val="24"/>
          <w:highlight w:val="none"/>
        </w:rPr>
        <w:t>1. 响应文件的澄清</w:t>
      </w:r>
    </w:p>
    <w:p>
      <w:pPr>
        <w:spacing w:line="360" w:lineRule="auto"/>
        <w:ind w:firstLine="480"/>
        <w:rPr>
          <w:rFonts w:ascii="宋体" w:hAnsi="宋体"/>
          <w:color w:val="auto"/>
          <w:sz w:val="24"/>
          <w:highlight w:val="none"/>
        </w:rPr>
      </w:pPr>
      <w:r>
        <w:rPr>
          <w:rFonts w:hint="eastAsia" w:ascii="宋体" w:hAnsi="宋体"/>
          <w:color w:val="auto"/>
          <w:sz w:val="24"/>
          <w:highlight w:val="none"/>
        </w:rPr>
        <w:t>对于响应文件中含义不明确、同类问题表述不一致或者有明显文字和计算错误的内容需要供应商做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397"/>
        <w:spacing w:before="0"/>
        <w:ind w:firstLine="0" w:firstLineChars="0"/>
        <w:rPr>
          <w:rFonts w:ascii="宋体" w:hAnsi="宋体" w:cs="仿宋_GB2312"/>
          <w:b/>
          <w:color w:val="auto"/>
          <w:szCs w:val="24"/>
          <w:highlight w:val="none"/>
        </w:rPr>
      </w:pPr>
      <w:r>
        <w:rPr>
          <w:rFonts w:hint="eastAsia" w:ascii="宋体" w:hAnsi="宋体"/>
          <w:b/>
          <w:color w:val="auto"/>
          <w:highlight w:val="none"/>
        </w:rPr>
        <w:t>2.最后报价的修正原则</w:t>
      </w:r>
    </w:p>
    <w:p>
      <w:pPr>
        <w:spacing w:line="360" w:lineRule="auto"/>
        <w:ind w:firstLine="480"/>
        <w:rPr>
          <w:rFonts w:ascii="宋体" w:hAnsi="宋体"/>
          <w:color w:val="auto"/>
          <w:sz w:val="24"/>
          <w:highlight w:val="none"/>
        </w:rPr>
      </w:pPr>
      <w:r>
        <w:rPr>
          <w:rFonts w:hint="eastAsia" w:ascii="宋体" w:hAnsi="宋体"/>
          <w:color w:val="auto"/>
          <w:sz w:val="24"/>
          <w:highlight w:val="none"/>
        </w:rPr>
        <w:t>磋商小组对响应文件的最后报价进行审核，对发现计算、书写等错误的，按以下原则进行修正：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2.1《最后报价一览表》内容与响应文件中响应内容不一致的，以《最后报价一览表》为准;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2.2大写金额和小写金额不一致的，以大写金额为准;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2.3单价金额小数点或者百分比有明显错位的，以《最后报价一览表》的总价为准，并修改单价;</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2.4总价金额与按单价汇总金额不一致的，以单价金额计算结果为准。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2.5同时出现两种以上不一致的，按照前款规定的顺序修正。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2.6以修正后的总价作为最后报价。</w:t>
      </w:r>
    </w:p>
    <w:p>
      <w:pPr>
        <w:spacing w:line="360" w:lineRule="auto"/>
        <w:rPr>
          <w:rFonts w:ascii="宋体" w:hAnsi="宋体" w:cs="仿宋_GB2312"/>
          <w:b/>
          <w:bCs/>
          <w:color w:val="auto"/>
          <w:sz w:val="24"/>
          <w:highlight w:val="none"/>
        </w:rPr>
      </w:pPr>
      <w:r>
        <w:rPr>
          <w:rFonts w:hint="eastAsia" w:ascii="宋体" w:hAnsi="宋体" w:cs="仿宋_GB2312"/>
          <w:bCs/>
          <w:color w:val="auto"/>
          <w:sz w:val="24"/>
          <w:highlight w:val="none"/>
        </w:rPr>
        <w:t>★</w:t>
      </w:r>
      <w:r>
        <w:rPr>
          <w:rFonts w:hint="eastAsia" w:ascii="宋体" w:hAnsi="宋体" w:cs="仿宋_GB2312"/>
          <w:b/>
          <w:bCs/>
          <w:color w:val="auto"/>
          <w:sz w:val="24"/>
          <w:highlight w:val="none"/>
        </w:rPr>
        <w:t>供应商对根据修正原则修正后的最后报价不确认的，响应无效。</w:t>
      </w:r>
    </w:p>
    <w:p>
      <w:pPr>
        <w:pStyle w:val="397"/>
        <w:spacing w:before="0"/>
        <w:ind w:firstLine="0" w:firstLineChars="0"/>
        <w:rPr>
          <w:rFonts w:ascii="宋体" w:hAnsi="宋体" w:cs="仿宋_GB2312"/>
          <w:b/>
          <w:color w:val="auto"/>
          <w:szCs w:val="24"/>
          <w:highlight w:val="none"/>
        </w:rPr>
      </w:pPr>
      <w:r>
        <w:rPr>
          <w:rFonts w:hint="eastAsia" w:ascii="宋体" w:hAnsi="宋体"/>
          <w:b/>
          <w:color w:val="auto"/>
          <w:highlight w:val="none"/>
        </w:rPr>
        <w:t>3.</w:t>
      </w:r>
      <w:r>
        <w:rPr>
          <w:rFonts w:hint="eastAsia" w:ascii="宋体" w:hAnsi="宋体"/>
          <w:b/>
          <w:color w:val="auto"/>
          <w:spacing w:val="20"/>
          <w:highlight w:val="none"/>
        </w:rPr>
        <w:t>响应无效</w:t>
      </w:r>
    </w:p>
    <w:p>
      <w:pPr>
        <w:pStyle w:val="28"/>
        <w:spacing w:line="360" w:lineRule="auto"/>
        <w:ind w:firstLine="600" w:firstLineChars="250"/>
        <w:rPr>
          <w:color w:val="auto"/>
          <w:szCs w:val="21"/>
          <w:highlight w:val="none"/>
        </w:rPr>
      </w:pPr>
      <w:r>
        <w:rPr>
          <w:rFonts w:hint="eastAsia" w:cs="仿宋_GB2312"/>
          <w:color w:val="auto"/>
          <w:szCs w:val="21"/>
          <w:highlight w:val="none"/>
        </w:rPr>
        <w:t>有下列情况之一的，响应无效</w:t>
      </w:r>
      <w:r>
        <w:rPr>
          <w:rFonts w:hint="eastAsia"/>
          <w:color w:val="auto"/>
          <w:szCs w:val="21"/>
          <w:highlight w:val="none"/>
        </w:rPr>
        <w:t>：</w:t>
      </w:r>
    </w:p>
    <w:p>
      <w:pPr>
        <w:spacing w:line="360" w:lineRule="auto"/>
        <w:ind w:firstLine="480" w:firstLineChars="200"/>
        <w:rPr>
          <w:rFonts w:ascii="宋体" w:hAnsi="宋体" w:cs="仿宋_GB2312"/>
          <w:color w:val="auto"/>
          <w:sz w:val="24"/>
          <w:szCs w:val="21"/>
          <w:highlight w:val="none"/>
        </w:rPr>
      </w:pPr>
      <w:r>
        <w:rPr>
          <w:rFonts w:hint="eastAsia" w:ascii="宋体" w:hAnsi="宋体"/>
          <w:color w:val="auto"/>
          <w:sz w:val="24"/>
          <w:highlight w:val="none"/>
        </w:rPr>
        <w:t>3.1</w:t>
      </w:r>
      <w:r>
        <w:rPr>
          <w:rFonts w:hint="eastAsia" w:ascii="宋体" w:hAnsi="宋体" w:cs="仿宋_GB2312"/>
          <w:color w:val="auto"/>
          <w:sz w:val="24"/>
          <w:szCs w:val="21"/>
          <w:highlight w:val="none"/>
        </w:rPr>
        <w:t>单位负责人为同一人或者存在直接控股、管理关系的不同供应商参加同一合同项下的政府采购活动的（均无效）；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3.2为采购项目提供整体设计、规范编制或者项目管理、监理、检测等服务的供应商再参加该采购项目的其他采购活动的；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3.3供应商不具备磋商文件中规定的资格要求的（供应商未提供有效的资格证明文件的，视为供应商不具备磋商文件中规定的资格要求）；</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3.4如以联合体形式参加政府采购活动的，联合协议不符合磋商文件规定的联合协议要求的；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3.5响应文件未按磋商文件的澄清、修改的内容编制，又不符合实质性要求的；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3.6响应文件组成漏项，内容不全或内容字迹模糊辨认不清的；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3.7响应文件中法人授权书所载内容与本项目内容有异的；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3.8响应文件未按照磋商文件要求签署、盖章的；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3.9</w:t>
      </w:r>
      <w:r>
        <w:rPr>
          <w:rFonts w:hint="eastAsia" w:ascii="宋体" w:hAnsi="宋体" w:cs="宋体"/>
          <w:color w:val="auto"/>
          <w:kern w:val="0"/>
          <w:sz w:val="24"/>
          <w:highlight w:val="none"/>
        </w:rPr>
        <w:t>采购人拟采购的产品属于政府强制采购的节能产品品目清单范围的，供应商相应的响应产品未获得国家确定的认证机构出具的、处于有效期之内的节能产品认证证书的；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3.10响应文件含有采购人不能接受的附加条件的；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3.11响应文件中承诺的响应有效期少于磋商文件中载明的响应有效期的；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3.12供应商所投内容不符合磋商文件中实质性要求的；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3.13所提交的《最后报价一览表》中出现不是唯一的、有选择性的报价的;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3.14最后报价高于本项目采购预算或者最高限价的;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3.15最后报价明显低于其他供应商的最后报价，有可能影响产品质量或者不能诚信履约的，未能按要求提供书面说明或者提交相关证明材料，不能证明其报价合理性的;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3.16《最后报价一览表》填写不完整或字迹不能辨认或有漏项的；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3.17供应商对根据修正原则修正后的最后报价不确认的；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3.18供应商提供虚假材料响应的（包括但不限于以下情节）；</w:t>
      </w:r>
    </w:p>
    <w:p>
      <w:pPr>
        <w:pStyle w:val="110"/>
        <w:numPr>
          <w:ilvl w:val="0"/>
          <w:numId w:val="12"/>
        </w:numPr>
        <w:ind w:firstLineChars="0"/>
        <w:rPr>
          <w:rFonts w:ascii="宋体" w:hAnsi="宋体" w:eastAsia="宋体"/>
          <w:color w:val="auto"/>
          <w:highlight w:val="none"/>
        </w:rPr>
      </w:pPr>
      <w:r>
        <w:rPr>
          <w:rFonts w:hint="eastAsia" w:ascii="宋体" w:hAnsi="宋体" w:eastAsia="宋体"/>
          <w:color w:val="auto"/>
          <w:highlight w:val="none"/>
        </w:rPr>
        <w:t>使用伪造、变造的许可证件；</w:t>
      </w:r>
    </w:p>
    <w:p>
      <w:pPr>
        <w:pStyle w:val="110"/>
        <w:numPr>
          <w:ilvl w:val="0"/>
          <w:numId w:val="12"/>
        </w:numPr>
        <w:ind w:firstLineChars="0"/>
        <w:rPr>
          <w:rFonts w:ascii="宋体" w:hAnsi="宋体" w:eastAsia="宋体"/>
          <w:color w:val="auto"/>
          <w:highlight w:val="none"/>
        </w:rPr>
      </w:pPr>
      <w:r>
        <w:rPr>
          <w:rFonts w:hint="eastAsia" w:ascii="宋体" w:hAnsi="宋体" w:eastAsia="宋体"/>
          <w:color w:val="auto"/>
          <w:highlight w:val="none"/>
        </w:rPr>
        <w:t>提供虚假的财务状况或者业绩；</w:t>
      </w:r>
    </w:p>
    <w:p>
      <w:pPr>
        <w:pStyle w:val="110"/>
        <w:numPr>
          <w:ilvl w:val="0"/>
          <w:numId w:val="12"/>
        </w:numPr>
        <w:ind w:firstLineChars="0"/>
        <w:rPr>
          <w:rFonts w:ascii="宋体" w:hAnsi="宋体" w:eastAsia="宋体"/>
          <w:color w:val="auto"/>
          <w:highlight w:val="none"/>
        </w:rPr>
      </w:pPr>
      <w:r>
        <w:rPr>
          <w:rFonts w:hint="eastAsia" w:ascii="宋体" w:hAnsi="宋体" w:eastAsia="宋体"/>
          <w:color w:val="auto"/>
          <w:highlight w:val="none"/>
        </w:rPr>
        <w:t>提供虚假的项目负责人或者主要技术人员简历、劳动关系证明；</w:t>
      </w:r>
    </w:p>
    <w:p>
      <w:pPr>
        <w:pStyle w:val="110"/>
        <w:numPr>
          <w:ilvl w:val="0"/>
          <w:numId w:val="12"/>
        </w:numPr>
        <w:ind w:firstLineChars="0"/>
        <w:rPr>
          <w:rFonts w:ascii="宋体" w:hAnsi="宋体" w:eastAsia="宋体"/>
          <w:color w:val="auto"/>
          <w:highlight w:val="none"/>
        </w:rPr>
      </w:pPr>
      <w:r>
        <w:rPr>
          <w:rFonts w:hint="eastAsia" w:ascii="宋体" w:hAnsi="宋体" w:eastAsia="宋体"/>
          <w:color w:val="auto"/>
          <w:highlight w:val="none"/>
        </w:rPr>
        <w:t>提供虚假的信用状况；</w:t>
      </w:r>
    </w:p>
    <w:p>
      <w:pPr>
        <w:pStyle w:val="110"/>
        <w:numPr>
          <w:ilvl w:val="0"/>
          <w:numId w:val="12"/>
        </w:numPr>
        <w:ind w:firstLineChars="0"/>
        <w:rPr>
          <w:rFonts w:ascii="宋体" w:hAnsi="宋体" w:eastAsia="宋体"/>
          <w:color w:val="auto"/>
          <w:highlight w:val="none"/>
        </w:rPr>
      </w:pPr>
      <w:r>
        <w:rPr>
          <w:rFonts w:hint="eastAsia" w:ascii="宋体" w:hAnsi="宋体" w:eastAsia="宋体"/>
          <w:color w:val="auto"/>
          <w:highlight w:val="none"/>
        </w:rPr>
        <w:t>其他弄虚作假的行为。</w:t>
      </w:r>
    </w:p>
    <w:p>
      <w:pPr>
        <w:spacing w:line="360" w:lineRule="auto"/>
        <w:ind w:firstLine="480"/>
        <w:rPr>
          <w:rFonts w:ascii="宋体" w:hAnsi="宋体"/>
          <w:color w:val="auto"/>
          <w:sz w:val="24"/>
          <w:highlight w:val="none"/>
        </w:rPr>
      </w:pPr>
      <w:r>
        <w:rPr>
          <w:rFonts w:hint="eastAsia" w:ascii="宋体" w:hAnsi="宋体"/>
          <w:color w:val="auto"/>
          <w:sz w:val="24"/>
          <w:highlight w:val="none"/>
        </w:rPr>
        <w:t>3.19供应商有恶意串通、妨碍其他供应商的竞争行为、损害采购人或者其他供应商的合法权益情形的。</w:t>
      </w:r>
    </w:p>
    <w:p>
      <w:pPr>
        <w:spacing w:line="360" w:lineRule="auto"/>
        <w:ind w:firstLine="480"/>
        <w:rPr>
          <w:rFonts w:ascii="宋体" w:hAnsi="宋体"/>
          <w:color w:val="auto"/>
          <w:sz w:val="24"/>
          <w:highlight w:val="none"/>
        </w:rPr>
      </w:pPr>
      <w:r>
        <w:rPr>
          <w:rFonts w:hint="eastAsia" w:ascii="宋体" w:hAnsi="宋体"/>
          <w:color w:val="auto"/>
          <w:sz w:val="24"/>
          <w:highlight w:val="none"/>
        </w:rPr>
        <w:t>有下列情形之一的，属于或视为恶意串通，其响应无效：</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供应商直接或者间接从采购人或者采购代理机构处获得其他供应商的相关情况并修改其响应文件；</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供应商按照采购人或者采购代理机构的授意撤换、修改响应文件；</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供应商之间协商报价、技术方案等响应文件的实质性内容；</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属于同一集团、协会、商会等组织成员的供应商按照该组织要求协同参加政府采购活动；</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供应商之间事先约定由某一特定供应商中标、成交；</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供应商之间商定部分供应商放弃参加政府采购活动或者放弃中标、成交；</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供应商与采购人或者采购代理机构之间、供应商相互之间，为谋求特定供应商中标、成交或者排斥其他供应商的其他串通行为。</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不同供应商的响应文件由同一单位或者个人编制；</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不同供应商委托同一单位或者个人办理响应事宜；</w:t>
      </w:r>
    </w:p>
    <w:p>
      <w:pPr>
        <w:pStyle w:val="110"/>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不同供应商的响应文件载明的项目管理成员或者联系人员为同一人；</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不同供应商的响应文件异常一致或者最后报价呈规律性差异；</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不同供应商的响应文件相互混装。</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不同供应商的电子投标（响应）文件上传计算机的网卡MAC地址或硬盘序列号等硬件信息相同的；</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上传的电子投标（响应）文件若出现使用本项目其他投标（响应）供应商的数字证书加密的，或者加盖本项目其他投标（响应）供应商的电子印章的；</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不同供应商的投标（响应）文件的内容存在三处（含）以上错误一致的；</w:t>
      </w:r>
    </w:p>
    <w:p>
      <w:pPr>
        <w:pStyle w:val="110"/>
        <w:numPr>
          <w:ilvl w:val="0"/>
          <w:numId w:val="13"/>
        </w:numPr>
        <w:ind w:firstLineChars="0"/>
        <w:rPr>
          <w:rFonts w:hint="eastAsia" w:ascii="宋体" w:hAnsi="宋体" w:eastAsia="宋体"/>
          <w:color w:val="auto"/>
          <w:highlight w:val="none"/>
        </w:rPr>
      </w:pPr>
      <w:r>
        <w:rPr>
          <w:rFonts w:hint="eastAsia" w:ascii="宋体" w:hAnsi="宋体" w:eastAsia="宋体"/>
          <w:color w:val="auto"/>
          <w:highlight w:val="none"/>
        </w:rPr>
        <w:t>不同供应商联系人为同一人或不同联系人的联系电话一致的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3.20供应商仅提交备份响应文件，没有在电子交易平台传输提交响应文件的，响应无效；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3.21法律、法规、规章（适用本市的）及省级以上规范性文件（适用本市的）规定的其他无效情形。</w:t>
      </w:r>
    </w:p>
    <w:p>
      <w:pPr>
        <w:pStyle w:val="397"/>
        <w:spacing w:before="0"/>
        <w:ind w:firstLine="0" w:firstLineChars="0"/>
        <w:rPr>
          <w:rFonts w:ascii="宋体" w:hAnsi="宋体"/>
          <w:b/>
          <w:color w:val="auto"/>
          <w:szCs w:val="24"/>
          <w:highlight w:val="none"/>
        </w:rPr>
      </w:pPr>
      <w:r>
        <w:rPr>
          <w:rFonts w:hint="eastAsia" w:ascii="宋体" w:hAnsi="宋体"/>
          <w:b/>
          <w:color w:val="auto"/>
          <w:szCs w:val="24"/>
          <w:highlight w:val="none"/>
        </w:rPr>
        <w:t>4. 重新开展采购活动</w:t>
      </w:r>
    </w:p>
    <w:p>
      <w:pPr>
        <w:spacing w:line="360" w:lineRule="auto"/>
        <w:ind w:firstLine="407" w:firstLineChars="194"/>
        <w:rPr>
          <w:rFonts w:ascii="宋体" w:hAnsi="宋体"/>
          <w:color w:val="auto"/>
          <w:sz w:val="24"/>
          <w:szCs w:val="21"/>
          <w:highlight w:val="none"/>
        </w:rPr>
      </w:pPr>
      <w:r>
        <w:rPr>
          <w:rFonts w:hint="eastAsia" w:ascii="宋体" w:hAnsi="宋体" w:cs="Arial"/>
          <w:color w:val="auto"/>
          <w:szCs w:val="21"/>
          <w:highlight w:val="none"/>
        </w:rPr>
        <w:t xml:space="preserve"> </w:t>
      </w:r>
      <w:r>
        <w:rPr>
          <w:rFonts w:hint="eastAsia" w:ascii="宋体" w:hAnsi="宋体"/>
          <w:color w:val="auto"/>
          <w:sz w:val="24"/>
          <w:szCs w:val="21"/>
          <w:highlight w:val="none"/>
        </w:rPr>
        <w:t>出现下列情形之一的，采购代理机构应当终止竞争性磋商采购活动，通过电子交易平台发布项目终止公告并说明原因，重新开展采购活动：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（1）因情况变化，不再符合规定的竞争性磋商采购方式适用情形的；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（2）出现影响采购公正的违法、违规行为的；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pPr>
        <w:pStyle w:val="397"/>
        <w:spacing w:before="0"/>
        <w:ind w:firstLine="0" w:firstLineChars="0"/>
        <w:rPr>
          <w:rFonts w:ascii="宋体" w:hAnsi="宋体"/>
          <w:b/>
          <w:color w:val="auto"/>
          <w:szCs w:val="24"/>
          <w:highlight w:val="none"/>
        </w:rPr>
      </w:pPr>
      <w:r>
        <w:rPr>
          <w:rFonts w:hint="eastAsia" w:ascii="宋体" w:hAnsi="宋体"/>
          <w:b/>
          <w:color w:val="auto"/>
          <w:szCs w:val="24"/>
          <w:highlight w:val="none"/>
        </w:rPr>
        <w:t>5. 终止采购活动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在采购活动中因重大变故，采购任务取消的，采购代理机构将终止采购活动，通过电子交易平台通知所有参加采购活动的供应商，并将项目实施情况和采购任务取消原因报送本级财政部门。</w:t>
      </w:r>
    </w:p>
    <w:p>
      <w:pPr>
        <w:spacing w:line="360" w:lineRule="auto"/>
        <w:rPr>
          <w:rFonts w:ascii="宋体" w:hAnsi="宋体" w:cs="仿宋_GB2312"/>
          <w:color w:val="auto"/>
          <w:sz w:val="24"/>
          <w:highlight w:val="none"/>
        </w:rPr>
      </w:pPr>
      <w:r>
        <w:rPr>
          <w:rFonts w:ascii="宋体" w:hAnsi="宋体"/>
          <w:b/>
          <w:color w:val="auto"/>
          <w:sz w:val="24"/>
          <w:highlight w:val="none"/>
        </w:rPr>
        <w:t xml:space="preserve">6. </w:t>
      </w:r>
      <w:r>
        <w:rPr>
          <w:rFonts w:hint="eastAsia" w:ascii="宋体" w:hAnsi="宋体" w:cs="仿宋_GB2312"/>
          <w:b/>
          <w:color w:val="auto"/>
          <w:sz w:val="24"/>
          <w:highlight w:val="none"/>
        </w:rPr>
        <w:t>采购代理机构有权对磋商小组各成员的评分情况和评审意见进行合理性和合规性审查</w:t>
      </w:r>
      <w:r>
        <w:rPr>
          <w:rFonts w:hint="eastAsia" w:ascii="宋体" w:hAnsi="宋体" w:cs="仿宋_GB2312"/>
          <w:color w:val="auto"/>
          <w:sz w:val="24"/>
          <w:highlight w:val="none"/>
        </w:rPr>
        <w:t>，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pPr>
        <w:pStyle w:val="397"/>
        <w:spacing w:before="0"/>
        <w:ind w:firstLine="0" w:firstLineChars="0"/>
        <w:rPr>
          <w:rFonts w:ascii="宋体" w:hAnsi="宋体" w:cs="仿宋_GB2312"/>
          <w:b/>
          <w:color w:val="auto"/>
          <w:highlight w:val="none"/>
        </w:rPr>
      </w:pPr>
    </w:p>
    <w:p>
      <w:pPr>
        <w:snapToGrid w:val="0"/>
        <w:spacing w:line="360" w:lineRule="auto"/>
        <w:ind w:left="120" w:leftChars="57" w:firstLine="482" w:firstLineChars="150"/>
        <w:jc w:val="center"/>
        <w:rPr>
          <w:rFonts w:ascii="宋体" w:hAnsi="宋体" w:cs="仿宋_GB2312"/>
          <w:b/>
          <w:color w:val="auto"/>
          <w:sz w:val="32"/>
          <w:highlight w:val="none"/>
        </w:rPr>
      </w:pPr>
      <w:r>
        <w:rPr>
          <w:rFonts w:hint="eastAsia" w:ascii="宋体" w:hAnsi="宋体" w:cs="仿宋_GB2312"/>
          <w:b/>
          <w:color w:val="auto"/>
          <w:sz w:val="32"/>
          <w:highlight w:val="none"/>
        </w:rPr>
        <w:t>六、评审过程的保密与录像</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1.保密。</w:t>
      </w:r>
      <w:r>
        <w:rPr>
          <w:rFonts w:hint="eastAsia" w:ascii="宋体" w:hAnsi="宋体" w:cs="仿宋_GB2312"/>
          <w:color w:val="auto"/>
          <w:sz w:val="24"/>
          <w:highlight w:val="none"/>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2.录音录像。</w:t>
      </w:r>
      <w:r>
        <w:rPr>
          <w:rFonts w:hint="eastAsia" w:ascii="宋体" w:hAnsi="宋体" w:cs="仿宋_GB2312"/>
          <w:color w:val="auto"/>
          <w:sz w:val="24"/>
          <w:highlight w:val="none"/>
        </w:rPr>
        <w:t>采购代理机构对评审工作现场进行全过程录音录像，录音录像资料作为采购项目文件随其他文件一并存档。</w:t>
      </w:r>
    </w:p>
    <w:p>
      <w:pPr>
        <w:widowControl/>
        <w:adjustRightInd/>
        <w:jc w:val="left"/>
        <w:rPr>
          <w:rFonts w:ascii="宋体" w:hAnsi="宋体" w:cs="仿宋_GB2312"/>
          <w:b/>
          <w:color w:val="auto"/>
          <w:sz w:val="36"/>
          <w:szCs w:val="36"/>
          <w:highlight w:val="none"/>
        </w:rPr>
      </w:pPr>
      <w:r>
        <w:rPr>
          <w:rFonts w:ascii="宋体" w:hAnsi="宋体" w:cs="仿宋_GB2312"/>
          <w:b/>
          <w:color w:val="auto"/>
          <w:sz w:val="36"/>
          <w:szCs w:val="36"/>
          <w:highlight w:val="none"/>
        </w:rPr>
        <w:br w:type="page"/>
      </w:r>
    </w:p>
    <w:p>
      <w:pPr>
        <w:adjustRightInd/>
        <w:spacing w:line="360" w:lineRule="auto"/>
        <w:jc w:val="center"/>
        <w:outlineLvl w:val="0"/>
        <w:rPr>
          <w:rStyle w:val="552"/>
          <w:color w:val="auto"/>
          <w:highlight w:val="none"/>
        </w:rPr>
      </w:pPr>
      <w:bookmarkStart w:id="80" w:name="_Toc766"/>
      <w:r>
        <w:rPr>
          <w:rStyle w:val="552"/>
          <w:rFonts w:hint="eastAsia"/>
          <w:color w:val="auto"/>
          <w:highlight w:val="none"/>
        </w:rPr>
        <w:t>第六部分</w:t>
      </w:r>
      <w:bookmarkEnd w:id="79"/>
      <w:r>
        <w:rPr>
          <w:rStyle w:val="552"/>
          <w:rFonts w:hint="eastAsia"/>
          <w:color w:val="auto"/>
          <w:highlight w:val="none"/>
        </w:rPr>
        <w:t xml:space="preserve">  拟签订的合同文本</w:t>
      </w:r>
      <w:bookmarkEnd w:id="80"/>
    </w:p>
    <w:p>
      <w:pPr>
        <w:spacing w:line="360" w:lineRule="auto"/>
        <w:rPr>
          <w:rFonts w:ascii="宋体" w:hAnsi="宋体"/>
          <w:color w:val="auto"/>
          <w:sz w:val="24"/>
          <w:highlight w:val="none"/>
        </w:rPr>
      </w:pPr>
      <w:bookmarkStart w:id="81" w:name="第五部分"/>
      <w:bookmarkStart w:id="82" w:name="_Toc86217003"/>
    </w:p>
    <w:p>
      <w:pPr>
        <w:keepNext w:val="0"/>
        <w:keepLines w:val="0"/>
        <w:pageBreakBefore w:val="0"/>
        <w:widowControl w:val="0"/>
        <w:kinsoku/>
        <w:wordWrap/>
        <w:overflowPunct/>
        <w:topLinePunct w:val="0"/>
        <w:autoSpaceDE/>
        <w:autoSpaceDN/>
        <w:bidi w:val="0"/>
        <w:adjustRightInd/>
        <w:snapToGrid/>
        <w:spacing w:line="360" w:lineRule="auto"/>
        <w:ind w:right="0" w:rightChars="0" w:firstLine="3103" w:firstLineChars="1293"/>
        <w:jc w:val="both"/>
        <w:textAlignment w:val="auto"/>
        <w:outlineLvl w:val="9"/>
        <w:rPr>
          <w:rFonts w:hint="eastAsia" w:ascii="宋体" w:hAnsi="宋体" w:eastAsia="宋体" w:cs="宋体"/>
          <w:b/>
          <w:color w:val="auto"/>
          <w:sz w:val="24"/>
          <w:szCs w:val="24"/>
        </w:rPr>
      </w:pPr>
      <w:r>
        <w:rPr>
          <w:rFonts w:hint="eastAsia" w:ascii="宋体" w:hAnsi="宋体" w:eastAsia="宋体" w:cs="宋体"/>
          <w:color w:val="auto"/>
          <w:sz w:val="24"/>
          <w:szCs w:val="24"/>
        </w:rPr>
        <w:t>（合同编号：    ）</w:t>
      </w:r>
      <w:r>
        <w:rPr>
          <w:rFonts w:hint="eastAsia" w:ascii="宋体" w:hAnsi="宋体" w:eastAsia="宋体" w:cs="宋体"/>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甲方</w:t>
      </w:r>
      <w:r>
        <w:rPr>
          <w:rFonts w:hint="eastAsia" w:ascii="宋体" w:hAnsi="宋体" w:eastAsia="宋体" w:cs="宋体"/>
          <w:bCs/>
          <w:color w:val="auto"/>
          <w:sz w:val="24"/>
          <w:szCs w:val="24"/>
        </w:rPr>
        <w:t>：浙江海洋大学</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依照《中华人民共和国</w:t>
      </w:r>
      <w:r>
        <w:rPr>
          <w:rFonts w:hint="eastAsia" w:ascii="宋体" w:hAnsi="宋体" w:eastAsia="宋体" w:cs="宋体"/>
          <w:bCs/>
          <w:color w:val="auto"/>
          <w:sz w:val="24"/>
          <w:szCs w:val="24"/>
          <w:lang w:eastAsia="zh-CN"/>
        </w:rPr>
        <w:t>民法典</w:t>
      </w:r>
      <w:r>
        <w:rPr>
          <w:rFonts w:hint="eastAsia" w:ascii="宋体" w:hAnsi="宋体" w:eastAsia="宋体" w:cs="宋体"/>
          <w:bCs/>
          <w:color w:val="auto"/>
          <w:sz w:val="24"/>
          <w:szCs w:val="24"/>
        </w:rPr>
        <w:t>》及其他有关法律法规，遵循平等、自愿、公平和诚实信用的原则，经发包人于   年   月   日</w:t>
      </w:r>
      <w:r>
        <w:rPr>
          <w:rFonts w:hint="eastAsia" w:ascii="宋体" w:hAnsi="宋体" w:eastAsia="宋体" w:cs="宋体"/>
          <w:bCs/>
          <w:color w:val="auto"/>
          <w:sz w:val="24"/>
          <w:szCs w:val="24"/>
          <w:lang w:eastAsia="zh-CN"/>
        </w:rPr>
        <w:t>竞争性磋商</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编号：    ）    双方就本工程事项协商一致，订立本协议。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一、概况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bCs w:val="0"/>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b w:val="0"/>
          <w:bCs w:val="0"/>
          <w:color w:val="auto"/>
          <w:sz w:val="24"/>
          <w:szCs w:val="24"/>
          <w:u w:val="none"/>
          <w:lang w:val="en-US" w:eastAsia="zh-CN"/>
        </w:rPr>
        <w:t>　　　　　　　</w:t>
      </w:r>
    </w:p>
    <w:p>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color w:val="auto"/>
          <w:sz w:val="24"/>
          <w:szCs w:val="24"/>
          <w:u w:val="single"/>
        </w:rPr>
      </w:pPr>
      <w:r>
        <w:rPr>
          <w:rFonts w:hint="eastAsia" w:ascii="宋体" w:hAnsi="宋体" w:eastAsia="宋体" w:cs="宋体"/>
          <w:b w:val="0"/>
          <w:bCs w:val="0"/>
          <w:color w:val="auto"/>
          <w:sz w:val="24"/>
          <w:szCs w:val="24"/>
        </w:rPr>
        <w:t>工程地点：</w:t>
      </w:r>
      <w:r>
        <w:rPr>
          <w:rFonts w:hint="eastAsia" w:ascii="宋体" w:hAnsi="宋体" w:eastAsia="宋体" w:cs="宋体"/>
          <w:b w:val="0"/>
          <w:bCs w:val="0"/>
          <w:color w:val="auto"/>
          <w:sz w:val="24"/>
          <w:szCs w:val="24"/>
          <w:u w:val="single"/>
          <w:lang w:eastAsia="zh-CN"/>
        </w:rPr>
        <w:t>浙江海洋大学校</w:t>
      </w:r>
      <w:r>
        <w:rPr>
          <w:rFonts w:hint="eastAsia" w:ascii="宋体" w:hAnsi="宋体" w:eastAsia="宋体" w:cs="宋体"/>
          <w:color w:val="auto"/>
          <w:sz w:val="24"/>
          <w:szCs w:val="24"/>
          <w:u w:val="single"/>
          <w:lang w:val="zh-CN"/>
        </w:rPr>
        <w:t>定海区</w:t>
      </w:r>
      <w:r>
        <w:rPr>
          <w:rFonts w:hint="eastAsia" w:ascii="宋体" w:hAnsi="宋体" w:eastAsia="宋体" w:cs="宋体"/>
          <w:color w:val="auto"/>
          <w:sz w:val="24"/>
          <w:szCs w:val="24"/>
          <w:u w:val="single"/>
          <w:lang w:val="en-US" w:eastAsia="zh-CN"/>
        </w:rPr>
        <w:t>校园内</w:t>
      </w:r>
    </w:p>
    <w:p>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u w:val="single"/>
          <w:lang w:eastAsia="zh-CN"/>
        </w:rPr>
      </w:pPr>
      <w:r>
        <w:rPr>
          <w:rFonts w:hint="eastAsia" w:ascii="宋体" w:hAnsi="宋体" w:eastAsia="宋体" w:cs="宋体"/>
          <w:b w:val="0"/>
          <w:bCs w:val="0"/>
          <w:color w:val="auto"/>
          <w:sz w:val="24"/>
          <w:szCs w:val="24"/>
        </w:rPr>
        <w:t>工程内容：</w:t>
      </w:r>
      <w:r>
        <w:rPr>
          <w:rFonts w:hint="eastAsia" w:ascii="宋体" w:hAnsi="宋体" w:eastAsia="宋体" w:cs="宋体"/>
          <w:b w:val="0"/>
          <w:bCs w:val="0"/>
          <w:color w:val="auto"/>
          <w:sz w:val="24"/>
          <w:szCs w:val="24"/>
          <w:u w:val="single"/>
          <w:lang w:eastAsia="zh-CN"/>
        </w:rPr>
        <w:t>见工程量清单</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lang w:val="en-US" w:eastAsia="zh-CN"/>
        </w:rPr>
        <w:t>4、工程质量：</w:t>
      </w:r>
      <w:r>
        <w:rPr>
          <w:rFonts w:hint="eastAsia" w:ascii="宋体" w:hAnsi="宋体" w:eastAsia="宋体" w:cs="宋体"/>
          <w:b w:val="0"/>
          <w:bCs w:val="0"/>
          <w:color w:val="auto"/>
          <w:sz w:val="24"/>
          <w:szCs w:val="24"/>
          <w:u w:val="single"/>
          <w:lang w:val="en-US" w:eastAsia="zh-CN"/>
        </w:rPr>
        <w:t>合格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 xml:space="preserve">、合同金额：大写人民币：  </w:t>
      </w:r>
      <w:r>
        <w:rPr>
          <w:rFonts w:hint="eastAsia" w:ascii="宋体" w:hAnsi="宋体" w:eastAsia="宋体" w:cs="宋体"/>
          <w:bCs/>
          <w:color w:val="auto"/>
          <w:sz w:val="24"/>
          <w:szCs w:val="24"/>
          <w:u w:val="single"/>
        </w:rPr>
        <w:t xml:space="preserve">拾 万   仟  佰   元整 </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 xml:space="preserve">             小写人民币：</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　　</w:t>
      </w:r>
      <w:r>
        <w:rPr>
          <w:rFonts w:hint="eastAsia" w:ascii="宋体" w:hAnsi="宋体" w:eastAsia="宋体" w:cs="宋体"/>
          <w:bCs/>
          <w:color w:val="auto"/>
          <w:sz w:val="24"/>
          <w:szCs w:val="24"/>
          <w:u w:val="single"/>
        </w:rPr>
        <w:t xml:space="preserve"> .00元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二、承包方式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Cs/>
          <w:color w:val="auto"/>
          <w:sz w:val="24"/>
          <w:szCs w:val="24"/>
        </w:rPr>
        <w:t>包工包料</w:t>
      </w:r>
      <w:r>
        <w:rPr>
          <w:rFonts w:hint="eastAsia" w:ascii="宋体" w:hAnsi="宋体" w:eastAsia="宋体" w:cs="宋体"/>
          <w:bCs/>
          <w:color w:val="auto"/>
          <w:sz w:val="24"/>
          <w:szCs w:val="24"/>
          <w:lang w:eastAsia="zh-CN"/>
        </w:rPr>
        <w:t>，</w:t>
      </w:r>
      <w:r>
        <w:rPr>
          <w:rFonts w:hint="eastAsia" w:ascii="宋体" w:hAnsi="宋体" w:eastAsia="宋体" w:cs="宋体"/>
          <w:b w:val="0"/>
          <w:bCs w:val="0"/>
          <w:color w:val="auto"/>
          <w:sz w:val="24"/>
          <w:szCs w:val="24"/>
          <w:lang w:eastAsia="zh-CN"/>
        </w:rPr>
        <w:t>发包人提供施工用水用电。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三、工程验收与质量要求：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rPr>
        <w:t>工程质量应当达到国家、省、市现行施工、验收规范要求，并以此标准验收。承包人必须严格按国家现行有关规范、规程操作，按施工图及其</w:t>
      </w:r>
      <w:r>
        <w:rPr>
          <w:rFonts w:hint="eastAsia" w:ascii="宋体" w:hAnsi="宋体" w:eastAsia="宋体" w:cs="宋体"/>
          <w:bCs/>
          <w:color w:val="auto"/>
          <w:sz w:val="24"/>
          <w:szCs w:val="24"/>
          <w:lang w:eastAsia="zh-CN"/>
        </w:rPr>
        <w:t>相</w:t>
      </w:r>
      <w:r>
        <w:rPr>
          <w:rFonts w:hint="eastAsia" w:ascii="宋体" w:hAnsi="宋体" w:eastAsia="宋体" w:cs="宋体"/>
          <w:bCs/>
          <w:color w:val="auto"/>
          <w:sz w:val="24"/>
          <w:szCs w:val="24"/>
        </w:rPr>
        <w:t>关要求施工。工程质量合格。工程质量达不到标准的部分，发包人要求拆除和重新施工，直到符合约定标准，由承包人承担拆除和重新施工的费用。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 w:val="0"/>
          <w:bCs w:val="0"/>
          <w:color w:val="auto"/>
          <w:sz w:val="24"/>
          <w:szCs w:val="24"/>
          <w:lang w:eastAsia="zh-CN"/>
        </w:rPr>
        <w:t>发包人提供施工用水用电（免费），其他</w:t>
      </w:r>
      <w:r>
        <w:rPr>
          <w:rFonts w:hint="eastAsia" w:ascii="宋体" w:hAnsi="宋体" w:eastAsia="宋体" w:cs="宋体"/>
          <w:bCs/>
          <w:color w:val="auto"/>
          <w:sz w:val="24"/>
          <w:szCs w:val="24"/>
        </w:rPr>
        <w:t>发包范围内的所有材料均由承包人采购。所有材料设备应选用具有一定生产规模和良好市场信誉的生产厂商和品牌，应有合格证和质保书，符合国家规定的技术标准，并须经发包人签认，承包人按发包人签认的产品进行采购。</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3.</w:t>
      </w:r>
      <w:r>
        <w:rPr>
          <w:rFonts w:hint="eastAsia" w:ascii="宋体" w:hAnsi="宋体" w:eastAsia="宋体" w:cs="宋体"/>
          <w:bCs/>
          <w:color w:val="auto"/>
          <w:sz w:val="24"/>
          <w:szCs w:val="24"/>
        </w:rPr>
        <w:t>承包人若使用劣质材料施工，一经发现，发包人有权制止使用，甚至停工、返工或中止合同。无论发包人是否发现和制止，由于使用劣质材料施工所引起的一切责任均由承包人负责。</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四、开工及工期要求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工程</w:t>
      </w:r>
      <w:r>
        <w:rPr>
          <w:rFonts w:hint="eastAsia" w:ascii="宋体" w:hAnsi="宋体" w:eastAsia="宋体" w:cs="宋体"/>
          <w:bCs/>
          <w:color w:val="auto"/>
          <w:sz w:val="24"/>
          <w:szCs w:val="24"/>
        </w:rPr>
        <w:t>合同施工期限为</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日至</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日止，历时</w:t>
      </w:r>
      <w:r>
        <w:rPr>
          <w:rFonts w:hint="eastAsia" w:ascii="宋体" w:hAnsi="宋体" w:cs="宋体"/>
          <w:bCs/>
          <w:color w:val="auto"/>
          <w:sz w:val="24"/>
          <w:szCs w:val="24"/>
          <w:lang w:val="en-US" w:eastAsia="zh-CN"/>
        </w:rPr>
        <w:t>30日历天</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五、结算方式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本协议采用固定综合单价合同。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1.工程量调整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rPr>
        <w:t>本工程按实际施工内容与工程量结算。但本</w:t>
      </w:r>
      <w:r>
        <w:rPr>
          <w:rFonts w:hint="eastAsia" w:ascii="宋体" w:hAnsi="宋体" w:cs="宋体"/>
          <w:bCs/>
          <w:color w:val="auto"/>
          <w:sz w:val="24"/>
          <w:szCs w:val="24"/>
          <w:lang w:eastAsia="zh-CN"/>
        </w:rPr>
        <w:t>采购</w:t>
      </w:r>
      <w:r>
        <w:rPr>
          <w:rFonts w:hint="eastAsia" w:ascii="宋体" w:hAnsi="宋体" w:eastAsia="宋体" w:cs="宋体"/>
          <w:bCs/>
          <w:color w:val="auto"/>
          <w:sz w:val="24"/>
          <w:szCs w:val="24"/>
        </w:rPr>
        <w:t>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rPr>
        <w:t>发包方认可的工程施工设计联系单工程量，按设计联系单内容调整。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3.</w:t>
      </w:r>
      <w:r>
        <w:rPr>
          <w:rFonts w:hint="eastAsia" w:ascii="宋体" w:hAnsi="宋体" w:eastAsia="宋体" w:cs="宋体"/>
          <w:bCs/>
          <w:color w:val="auto"/>
          <w:sz w:val="24"/>
          <w:szCs w:val="24"/>
        </w:rPr>
        <w:t>发包人有权在本标段整个施工周期内调整工程量清单</w:t>
      </w:r>
      <w:r>
        <w:rPr>
          <w:rFonts w:hint="eastAsia" w:ascii="宋体" w:hAnsi="宋体" w:eastAsia="宋体" w:cs="宋体"/>
          <w:bCs/>
          <w:color w:val="auto"/>
          <w:sz w:val="24"/>
          <w:szCs w:val="24"/>
          <w:lang w:eastAsia="zh-CN"/>
        </w:rPr>
        <w:t>、施工图内容</w:t>
      </w:r>
      <w:r>
        <w:rPr>
          <w:rFonts w:hint="eastAsia" w:ascii="宋体" w:hAnsi="宋体" w:eastAsia="宋体" w:cs="宋体"/>
          <w:bCs/>
          <w:color w:val="auto"/>
          <w:sz w:val="24"/>
          <w:szCs w:val="24"/>
        </w:rPr>
        <w:t>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2、价格调整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（1）本工程有综合价项目，按综合价执行。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）本工程结算中发生无综合单价项目，由</w:t>
      </w:r>
      <w:r>
        <w:rPr>
          <w:rFonts w:hint="eastAsia" w:ascii="宋体" w:hAnsi="宋体" w:cs="宋体"/>
          <w:color w:val="auto"/>
          <w:sz w:val="24"/>
          <w:szCs w:val="24"/>
          <w:lang w:eastAsia="zh-CN"/>
        </w:rPr>
        <w:t>供应商</w:t>
      </w:r>
      <w:r>
        <w:rPr>
          <w:rFonts w:hint="eastAsia" w:ascii="宋体" w:hAnsi="宋体" w:eastAsia="宋体" w:cs="宋体"/>
          <w:color w:val="auto"/>
          <w:sz w:val="24"/>
          <w:szCs w:val="24"/>
        </w:rPr>
        <w:t>上报综合单价，附组价说明和相关凭据，报</w:t>
      </w:r>
      <w:r>
        <w:rPr>
          <w:rFonts w:hint="eastAsia" w:ascii="宋体" w:hAnsi="宋体" w:cs="宋体"/>
          <w:color w:val="auto"/>
          <w:sz w:val="24"/>
          <w:szCs w:val="24"/>
          <w:lang w:eastAsia="zh-CN"/>
        </w:rPr>
        <w:t>采购</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 xml:space="preserve">确认后执行。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bCs/>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无</w:t>
      </w:r>
      <w:r>
        <w:rPr>
          <w:rFonts w:hint="eastAsia" w:ascii="宋体" w:hAnsi="宋体" w:cs="宋体"/>
          <w:color w:val="auto"/>
          <w:sz w:val="24"/>
          <w:szCs w:val="24"/>
          <w:lang w:eastAsia="zh-CN"/>
        </w:rPr>
        <w:t>响应</w:t>
      </w:r>
      <w:r>
        <w:rPr>
          <w:rFonts w:hint="eastAsia" w:ascii="宋体" w:hAnsi="宋体" w:eastAsia="宋体" w:cs="宋体"/>
          <w:color w:val="auto"/>
          <w:sz w:val="24"/>
          <w:szCs w:val="24"/>
          <w:lang w:eastAsia="zh-CN"/>
        </w:rPr>
        <w:t>报价的玻璃主材价格按实际发生期舟山建设工程造价信息计算综合单价；其他人工费，主副</w:t>
      </w:r>
      <w:r>
        <w:rPr>
          <w:rFonts w:hint="eastAsia" w:ascii="宋体" w:hAnsi="宋体" w:eastAsia="宋体" w:cs="宋体"/>
          <w:color w:val="auto"/>
          <w:sz w:val="24"/>
          <w:szCs w:val="24"/>
        </w:rPr>
        <w:t>材料</w:t>
      </w:r>
      <w:r>
        <w:rPr>
          <w:rFonts w:hint="eastAsia" w:ascii="宋体" w:hAnsi="宋体" w:eastAsia="宋体" w:cs="宋体"/>
          <w:color w:val="auto"/>
          <w:sz w:val="24"/>
          <w:szCs w:val="24"/>
          <w:lang w:eastAsia="zh-CN"/>
        </w:rPr>
        <w:t>、措施费（含脚手架、吊装等机械设备费）、间接费、利润等不调整；</w:t>
      </w:r>
      <w:r>
        <w:rPr>
          <w:rFonts w:hint="eastAsia" w:ascii="宋体" w:hAnsi="宋体" w:eastAsia="宋体" w:cs="宋体"/>
          <w:color w:val="auto"/>
          <w:sz w:val="24"/>
          <w:szCs w:val="24"/>
        </w:rPr>
        <w:t>风险费、</w:t>
      </w:r>
      <w:r>
        <w:rPr>
          <w:rFonts w:hint="eastAsia" w:ascii="宋体" w:hAnsi="宋体" w:eastAsia="宋体" w:cs="宋体"/>
          <w:color w:val="auto"/>
          <w:sz w:val="24"/>
          <w:szCs w:val="24"/>
          <w:lang w:eastAsia="zh-CN"/>
        </w:rPr>
        <w:t>保险费、</w:t>
      </w:r>
      <w:r>
        <w:rPr>
          <w:rFonts w:hint="eastAsia" w:ascii="宋体" w:hAnsi="宋体" w:eastAsia="宋体" w:cs="宋体"/>
          <w:color w:val="auto"/>
          <w:sz w:val="24"/>
          <w:szCs w:val="24"/>
        </w:rPr>
        <w:t>政策性文件规定费用、</w:t>
      </w:r>
      <w:r>
        <w:rPr>
          <w:rFonts w:hint="eastAsia" w:ascii="宋体" w:hAnsi="宋体" w:cs="宋体"/>
          <w:color w:val="auto"/>
          <w:sz w:val="24"/>
          <w:szCs w:val="24"/>
          <w:lang w:eastAsia="zh-CN"/>
        </w:rPr>
        <w:t>采购</w:t>
      </w:r>
      <w:r>
        <w:rPr>
          <w:rFonts w:hint="eastAsia" w:ascii="宋体" w:hAnsi="宋体" w:eastAsia="宋体" w:cs="宋体"/>
          <w:color w:val="auto"/>
          <w:sz w:val="24"/>
          <w:szCs w:val="24"/>
        </w:rPr>
        <w:t>范围内计价规则所规定的有关的检测费</w:t>
      </w:r>
      <w:r>
        <w:rPr>
          <w:rFonts w:hint="eastAsia" w:ascii="宋体" w:hAnsi="宋体" w:eastAsia="宋体" w:cs="宋体"/>
          <w:color w:val="auto"/>
          <w:sz w:val="24"/>
          <w:szCs w:val="24"/>
          <w:lang w:eastAsia="zh-CN"/>
        </w:rPr>
        <w:t>及</w:t>
      </w:r>
      <w:r>
        <w:rPr>
          <w:rFonts w:hint="eastAsia" w:ascii="宋体" w:hAnsi="宋体" w:cs="宋体"/>
          <w:color w:val="auto"/>
          <w:sz w:val="24"/>
          <w:szCs w:val="24"/>
          <w:lang w:eastAsia="zh-CN"/>
        </w:rPr>
        <w:t>磋商</w:t>
      </w:r>
      <w:r>
        <w:rPr>
          <w:rFonts w:hint="eastAsia" w:ascii="宋体" w:hAnsi="宋体" w:eastAsia="宋体" w:cs="宋体"/>
          <w:color w:val="auto"/>
          <w:sz w:val="24"/>
          <w:szCs w:val="24"/>
          <w:lang w:eastAsia="zh-CN"/>
        </w:rPr>
        <w:t>自估的其他费用等</w:t>
      </w:r>
      <w:r>
        <w:rPr>
          <w:rFonts w:hint="eastAsia" w:ascii="宋体" w:hAnsi="宋体" w:eastAsia="宋体" w:cs="宋体"/>
          <w:color w:val="auto"/>
          <w:sz w:val="24"/>
          <w:szCs w:val="24"/>
        </w:rPr>
        <w:t>等所有费用</w:t>
      </w:r>
      <w:r>
        <w:rPr>
          <w:rFonts w:hint="eastAsia" w:ascii="宋体" w:hAnsi="宋体" w:eastAsia="宋体" w:cs="宋体"/>
          <w:color w:val="auto"/>
          <w:sz w:val="24"/>
          <w:szCs w:val="24"/>
          <w:lang w:eastAsia="zh-CN"/>
        </w:rPr>
        <w:t>均不调整</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none"/>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本项目施工现场</w:t>
      </w:r>
      <w:r>
        <w:rPr>
          <w:rFonts w:hint="eastAsia" w:ascii="宋体" w:hAnsi="宋体" w:eastAsia="宋体" w:cs="宋体"/>
          <w:color w:val="auto"/>
          <w:sz w:val="24"/>
          <w:szCs w:val="24"/>
          <w:lang w:val="en-US" w:eastAsia="zh-CN"/>
        </w:rPr>
        <w:t>学生宿舍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可能影响现场施工作业，导致施工效力下降和不便；施工方</w:t>
      </w:r>
      <w:r>
        <w:rPr>
          <w:rFonts w:hint="eastAsia" w:ascii="宋体" w:hAnsi="宋体" w:eastAsia="宋体" w:cs="宋体"/>
          <w:bCs/>
          <w:color w:val="auto"/>
          <w:sz w:val="24"/>
          <w:szCs w:val="24"/>
        </w:rPr>
        <w:t>须服从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各部门的管理，不可影响</w:t>
      </w:r>
      <w:r>
        <w:rPr>
          <w:rFonts w:hint="eastAsia" w:ascii="宋体" w:hAnsi="宋体" w:eastAsia="宋体" w:cs="宋体"/>
          <w:bCs/>
          <w:color w:val="auto"/>
          <w:sz w:val="24"/>
          <w:szCs w:val="24"/>
          <w:lang w:val="en-US" w:eastAsia="zh-CN"/>
        </w:rPr>
        <w:t>学生学习</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val="en-US" w:eastAsia="zh-CN"/>
        </w:rPr>
        <w:t>工作</w:t>
      </w:r>
      <w:r>
        <w:rPr>
          <w:rFonts w:hint="eastAsia" w:ascii="宋体" w:hAnsi="宋体" w:eastAsia="宋体" w:cs="宋体"/>
          <w:bCs/>
          <w:color w:val="auto"/>
          <w:sz w:val="24"/>
          <w:szCs w:val="24"/>
        </w:rPr>
        <w:t>。由此可能造成窝工或施工效力</w:t>
      </w:r>
      <w:r>
        <w:rPr>
          <w:rFonts w:hint="eastAsia" w:ascii="宋体" w:hAnsi="宋体" w:eastAsia="宋体" w:cs="宋体"/>
          <w:bCs/>
          <w:color w:val="auto"/>
          <w:sz w:val="24"/>
          <w:szCs w:val="24"/>
          <w:lang w:val="en-US" w:eastAsia="zh-CN"/>
        </w:rPr>
        <w:t>降低</w:t>
      </w:r>
      <w:r>
        <w:rPr>
          <w:rFonts w:hint="eastAsia" w:ascii="宋体" w:hAnsi="宋体" w:eastAsia="宋体" w:cs="宋体"/>
          <w:bCs/>
          <w:color w:val="auto"/>
          <w:sz w:val="24"/>
          <w:szCs w:val="24"/>
        </w:rPr>
        <w:t>而造成施工损失</w:t>
      </w:r>
      <w:r>
        <w:rPr>
          <w:rFonts w:hint="eastAsia" w:ascii="宋体" w:hAnsi="宋体" w:eastAsia="宋体" w:cs="宋体"/>
          <w:bCs/>
          <w:color w:val="auto"/>
          <w:sz w:val="24"/>
          <w:szCs w:val="24"/>
          <w:lang w:val="en-US" w:eastAsia="zh-CN"/>
        </w:rPr>
        <w:t>等</w:t>
      </w:r>
      <w:r>
        <w:rPr>
          <w:rFonts w:hint="eastAsia" w:ascii="宋体" w:hAnsi="宋体" w:eastAsia="宋体" w:cs="宋体"/>
          <w:color w:val="auto"/>
          <w:sz w:val="24"/>
          <w:szCs w:val="24"/>
        </w:rPr>
        <w:t>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r>
        <w:rPr>
          <w:rFonts w:hint="eastAsia" w:ascii="宋体" w:hAnsi="宋体" w:eastAsia="宋体" w:cs="宋体"/>
          <w:color w:val="auto"/>
          <w:sz w:val="24"/>
          <w:szCs w:val="24"/>
          <w:lang w:eastAsia="zh-CN"/>
        </w:rPr>
        <w:t>，不做另外考虑</w:t>
      </w:r>
      <w:r>
        <w:rPr>
          <w:rFonts w:hint="eastAsia" w:ascii="宋体" w:hAnsi="宋体" w:eastAsia="宋体" w:cs="宋体"/>
          <w:color w:val="auto"/>
          <w:sz w:val="24"/>
          <w:szCs w:val="24"/>
        </w:rPr>
        <w:t>。</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color w:val="auto"/>
          <w:sz w:val="24"/>
          <w:szCs w:val="24"/>
        </w:rPr>
      </w:pPr>
      <w:r>
        <w:rPr>
          <w:rFonts w:hint="eastAsia" w:ascii="宋体" w:hAnsi="宋体" w:cs="宋体"/>
          <w:color w:val="auto"/>
          <w:kern w:val="2"/>
          <w:sz w:val="24"/>
          <w:szCs w:val="24"/>
          <w:lang w:val="en-US" w:eastAsia="zh-CN" w:bidi="ar-SA"/>
        </w:rPr>
        <w:t>4.</w:t>
      </w:r>
      <w:r>
        <w:rPr>
          <w:rFonts w:hint="eastAsia" w:ascii="宋体" w:hAnsi="宋体" w:eastAsia="宋体" w:cs="宋体"/>
          <w:color w:val="auto"/>
          <w:kern w:val="2"/>
          <w:sz w:val="24"/>
          <w:szCs w:val="24"/>
          <w:lang w:val="en-US" w:eastAsia="zh-CN" w:bidi="ar-SA"/>
        </w:rPr>
        <w:t>本工程应充分了解工地位置、情况、道路、储存空间、装卸限制及任何其他足以影响承包价的情况，如</w:t>
      </w:r>
      <w:r>
        <w:rPr>
          <w:rFonts w:hint="eastAsia" w:ascii="宋体" w:hAnsi="宋体" w:cs="宋体"/>
          <w:color w:val="auto"/>
          <w:kern w:val="2"/>
          <w:sz w:val="24"/>
          <w:szCs w:val="24"/>
          <w:lang w:val="en-US" w:eastAsia="zh-CN" w:bidi="ar-SA"/>
        </w:rPr>
        <w:t>因</w:t>
      </w:r>
      <w:r>
        <w:rPr>
          <w:rFonts w:hint="eastAsia" w:ascii="宋体" w:hAnsi="宋体" w:eastAsia="宋体" w:cs="宋体"/>
          <w:color w:val="auto"/>
          <w:kern w:val="2"/>
          <w:sz w:val="24"/>
          <w:szCs w:val="24"/>
          <w:lang w:val="en-US" w:eastAsia="zh-CN" w:bidi="ar-SA"/>
        </w:rPr>
        <w:t>二次搬运费</w:t>
      </w:r>
      <w:r>
        <w:rPr>
          <w:rFonts w:hint="eastAsia" w:ascii="宋体" w:hAnsi="宋体" w:cs="宋体"/>
          <w:color w:val="auto"/>
          <w:kern w:val="2"/>
          <w:sz w:val="24"/>
          <w:szCs w:val="24"/>
          <w:lang w:val="en-US" w:eastAsia="zh-CN" w:bidi="ar-SA"/>
        </w:rPr>
        <w:t>产生的费</w:t>
      </w:r>
      <w:r>
        <w:rPr>
          <w:rFonts w:hint="eastAsia" w:ascii="宋体" w:hAnsi="宋体" w:eastAsia="宋体" w:cs="宋体"/>
          <w:color w:val="auto"/>
          <w:kern w:val="2"/>
          <w:sz w:val="24"/>
          <w:szCs w:val="24"/>
          <w:lang w:val="en-US" w:eastAsia="zh-CN" w:bidi="ar-SA"/>
        </w:rPr>
        <w:t>用由承包商承担。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u w:val="none"/>
          <w:lang w:val="en-US" w:eastAsia="zh-CN"/>
        </w:rPr>
        <w:t>工程竣工后，承包人需要在1日历天内做好剩余物资、建施设备、临时设施等清退工作。建筑垃圾处理需按照《舟山市建筑垃圾管理办法》执行，若承包人随意倾倒被采购人发现，发包人有权停止支付工程款直至供应商清理完随意倾倒的垃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6</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u w:val="none"/>
          <w:lang w:val="en-US" w:eastAsia="zh-CN"/>
        </w:rPr>
        <w:t>本工程若有项目由其他单位施工，并在本工程施工中同时进行，供应商免收工程配合费、管理费等。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六、付款方式：</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项目合同签订并开工支付</w:t>
      </w:r>
      <w:r>
        <w:rPr>
          <w:rFonts w:hint="eastAsia" w:ascii="宋体" w:hAnsi="宋体" w:eastAsia="宋体" w:cs="宋体"/>
          <w:bCs/>
          <w:color w:val="auto"/>
          <w:sz w:val="24"/>
          <w:szCs w:val="24"/>
          <w:lang w:val="en-US" w:eastAsia="zh-CN"/>
        </w:rPr>
        <w:t>40%预付款，</w:t>
      </w:r>
      <w:r>
        <w:rPr>
          <w:rFonts w:hint="eastAsia" w:ascii="宋体" w:hAnsi="宋体" w:eastAsia="宋体" w:cs="宋体"/>
          <w:bCs/>
          <w:color w:val="auto"/>
          <w:sz w:val="24"/>
          <w:szCs w:val="24"/>
        </w:rPr>
        <w:t>验收合格支付至合同价款</w:t>
      </w:r>
      <w:r>
        <w:rPr>
          <w:rFonts w:hint="eastAsia" w:ascii="宋体" w:hAnsi="宋体" w:eastAsia="宋体" w:cs="宋体"/>
          <w:bCs/>
          <w:color w:val="auto"/>
          <w:sz w:val="24"/>
          <w:szCs w:val="24"/>
          <w:lang w:val="en-US" w:eastAsia="zh-CN"/>
        </w:rPr>
        <w:t>85</w:t>
      </w:r>
      <w:r>
        <w:rPr>
          <w:rFonts w:hint="eastAsia" w:ascii="宋体" w:hAnsi="宋体" w:eastAsia="宋体" w:cs="宋体"/>
          <w:bCs/>
          <w:color w:val="auto"/>
          <w:sz w:val="24"/>
          <w:szCs w:val="24"/>
        </w:rPr>
        <w:t>%，余款于</w:t>
      </w:r>
      <w:r>
        <w:rPr>
          <w:rFonts w:hint="eastAsia" w:ascii="宋体" w:hAnsi="宋体" w:eastAsia="宋体" w:cs="宋体"/>
          <w:bCs/>
          <w:color w:val="auto"/>
          <w:sz w:val="24"/>
          <w:szCs w:val="24"/>
          <w:lang w:val="en-US" w:eastAsia="zh-CN"/>
        </w:rPr>
        <w:t>结算</w:t>
      </w:r>
      <w:r>
        <w:rPr>
          <w:rFonts w:hint="eastAsia" w:ascii="宋体" w:hAnsi="宋体" w:eastAsia="宋体" w:cs="宋体"/>
          <w:bCs/>
          <w:color w:val="auto"/>
          <w:sz w:val="24"/>
          <w:szCs w:val="24"/>
        </w:rPr>
        <w:t>审计后支付。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项目结算审计后承包方先向发包方提供结算款1.5%的质保金银行保函或商业保险，保修期满</w:t>
      </w:r>
      <w:r>
        <w:rPr>
          <w:rFonts w:hint="eastAsia" w:ascii="宋体" w:hAnsi="宋体" w:eastAsia="宋体" w:cs="宋体"/>
          <w:bCs/>
          <w:color w:val="auto"/>
          <w:sz w:val="24"/>
          <w:szCs w:val="24"/>
          <w:lang w:val="en-US" w:eastAsia="zh-CN"/>
        </w:rPr>
        <w:t>1年</w:t>
      </w:r>
      <w:r>
        <w:rPr>
          <w:rFonts w:hint="eastAsia" w:ascii="宋体" w:hAnsi="宋体" w:eastAsia="宋体" w:cs="宋体"/>
          <w:bCs/>
          <w:color w:val="auto"/>
          <w:sz w:val="24"/>
          <w:szCs w:val="24"/>
          <w:lang w:eastAsia="zh-CN"/>
        </w:rPr>
        <w:t>后自动失效；发包方于承包方提供相应保函或保险15天内支付结算</w:t>
      </w:r>
      <w:r>
        <w:rPr>
          <w:rFonts w:hint="eastAsia" w:ascii="宋体" w:hAnsi="宋体" w:eastAsia="宋体" w:cs="宋体"/>
          <w:bCs/>
          <w:color w:val="auto"/>
          <w:sz w:val="24"/>
          <w:szCs w:val="24"/>
          <w:lang w:val="en-US" w:eastAsia="zh-CN"/>
        </w:rPr>
        <w:t>尾</w:t>
      </w:r>
      <w:r>
        <w:rPr>
          <w:rFonts w:hint="eastAsia" w:ascii="宋体" w:hAnsi="宋体" w:eastAsia="宋体" w:cs="宋体"/>
          <w:bCs/>
          <w:color w:val="auto"/>
          <w:sz w:val="24"/>
          <w:szCs w:val="24"/>
          <w:lang w:eastAsia="zh-CN"/>
        </w:rPr>
        <w:t>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七、保修期与保修金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本工程保修期为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年，自工程验收合格日起计算。</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本工程结算价的</w:t>
      </w:r>
      <w:r>
        <w:rPr>
          <w:rFonts w:hint="eastAsia" w:ascii="宋体" w:hAnsi="宋体" w:eastAsia="宋体" w:cs="宋体"/>
          <w:bCs/>
          <w:color w:val="auto"/>
          <w:sz w:val="24"/>
          <w:szCs w:val="24"/>
          <w:lang w:val="en-US" w:eastAsia="zh-CN"/>
        </w:rPr>
        <w:t>1.5</w:t>
      </w:r>
      <w:r>
        <w:rPr>
          <w:rFonts w:hint="eastAsia" w:ascii="宋体" w:hAnsi="宋体" w:eastAsia="宋体" w:cs="宋体"/>
          <w:bCs/>
          <w:color w:val="auto"/>
          <w:sz w:val="24"/>
          <w:szCs w:val="24"/>
        </w:rPr>
        <w:t>%为工程保修金。竣工验收合格之日起计质保期。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八、安全生产</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color w:val="auto"/>
          <w:sz w:val="24"/>
          <w:szCs w:val="24"/>
        </w:rPr>
        <w:t>3．承包人同时必须做好安全防范，保证学校师生、工作人员及其他外来人员的人身安全与财产安全；</w:t>
      </w:r>
      <w:r>
        <w:rPr>
          <w:rFonts w:hint="eastAsia" w:ascii="宋体" w:hAnsi="宋体" w:eastAsia="宋体" w:cs="宋体"/>
          <w:bCs/>
          <w:color w:val="auto"/>
          <w:sz w:val="24"/>
          <w:szCs w:val="24"/>
        </w:rPr>
        <w:t>保证施工人员不发生违反治安、触犯刑事之类事件。</w:t>
      </w:r>
      <w:r>
        <w:rPr>
          <w:rFonts w:hint="eastAsia" w:ascii="宋体" w:hAnsi="宋体" w:eastAsia="宋体" w:cs="宋体"/>
          <w:color w:val="auto"/>
          <w:sz w:val="24"/>
          <w:szCs w:val="24"/>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4.</w:t>
      </w:r>
      <w:r>
        <w:rPr>
          <w:rFonts w:hint="eastAsia" w:ascii="宋体" w:hAnsi="宋体" w:eastAsia="宋体" w:cs="宋体"/>
          <w:bCs/>
          <w:color w:val="auto"/>
          <w:sz w:val="24"/>
          <w:szCs w:val="24"/>
        </w:rPr>
        <w:t>承包人有保护现场建筑物、管线、道路、财产及人身安全等义务，合理安排施工方案和措施，其工作内容属项目措施内容。因承包人原因致使建筑物、管线、道路、财产、及人生安全受到损害所产生的一切费用（含赔偿费）均由承包人承担。工程半成品和完工工程成品未交付发包人使用前由承包人负责保护，保护期间如发生损坏等由承包人自费修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5.</w:t>
      </w:r>
      <w:r>
        <w:rPr>
          <w:rFonts w:hint="eastAsia" w:ascii="宋体" w:hAnsi="宋体" w:eastAsia="宋体" w:cs="宋体"/>
          <w:bCs/>
          <w:color w:val="auto"/>
          <w:sz w:val="24"/>
          <w:szCs w:val="24"/>
        </w:rPr>
        <w:t>承包人须服从发包人各行相关能部门单位管理；在施工中服从发包人指派人员管理与监督，不能影响学校正常的教学、科研与工作。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cs="宋体"/>
          <w:bCs/>
          <w:color w:val="auto"/>
          <w:sz w:val="24"/>
          <w:szCs w:val="24"/>
          <w:lang w:val="en-US" w:eastAsia="zh-CN"/>
        </w:rPr>
        <w:t>6.</w:t>
      </w:r>
      <w:r>
        <w:rPr>
          <w:rFonts w:hint="eastAsia" w:ascii="宋体" w:hAnsi="宋体" w:eastAsia="宋体" w:cs="宋体"/>
          <w:color w:val="auto"/>
          <w:sz w:val="24"/>
          <w:szCs w:val="24"/>
          <w:lang w:val="en-US" w:eastAsia="zh-CN"/>
        </w:rPr>
        <w:t>承包人</w:t>
      </w:r>
      <w:r>
        <w:rPr>
          <w:rFonts w:hint="eastAsia" w:ascii="宋体" w:hAnsi="宋体" w:eastAsia="宋体" w:cs="宋体"/>
          <w:color w:val="auto"/>
          <w:sz w:val="24"/>
          <w:szCs w:val="24"/>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处以合同总价1%的罚款，同时由</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承担全部直接和间接经济损失。情节严重的，发包人将向有关行政主管部门通报有关情况，由行政主管部门进行处罚，且发包</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有权单方面终止本合同。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7.因承包人原因使竣工日期延误，每延误1日的误期赔偿金额为1000元/天，累</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xml:space="preserve">计最高赔偿金额为合同协议书中的合同价格的3%。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承包人负责人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负责本工程建设任务与工程技术，在项目施工阶段须到岗上班，</w:t>
      </w:r>
      <w:r>
        <w:rPr>
          <w:rFonts w:hint="eastAsia" w:ascii="宋体" w:hAnsi="宋体" w:eastAsia="宋体" w:cs="宋体"/>
          <w:color w:val="auto"/>
          <w:sz w:val="24"/>
          <w:szCs w:val="24"/>
          <w:lang w:eastAsia="zh-CN"/>
        </w:rPr>
        <w:t>并须签到，</w:t>
      </w:r>
      <w:r>
        <w:rPr>
          <w:rFonts w:hint="eastAsia" w:ascii="宋体" w:hAnsi="宋体" w:eastAsia="宋体" w:cs="宋体"/>
          <w:color w:val="auto"/>
          <w:sz w:val="24"/>
          <w:szCs w:val="24"/>
        </w:rPr>
        <w:t>项目施工</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rPr>
        <w:t>项目负责人每周到岗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天以上</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Times New Roman"/>
          <w:bCs/>
          <w:color w:val="auto"/>
          <w:kern w:val="2"/>
          <w:sz w:val="24"/>
          <w:szCs w:val="24"/>
          <w:lang w:val="en-US" w:eastAsia="zh-CN" w:bidi="ar-SA"/>
        </w:rPr>
        <w:t>9.</w:t>
      </w:r>
      <w:r>
        <w:rPr>
          <w:rFonts w:hint="eastAsia" w:ascii="宋体" w:hAnsi="宋体" w:eastAsia="宋体" w:cs="Times New Roman"/>
          <w:bCs/>
          <w:color w:val="auto"/>
          <w:kern w:val="2"/>
          <w:sz w:val="24"/>
          <w:szCs w:val="24"/>
          <w:lang w:val="en-US" w:eastAsia="zh-CN" w:bidi="ar-SA"/>
        </w:rPr>
        <w:t>承包人应在工</w:t>
      </w:r>
      <w:r>
        <w:rPr>
          <w:rFonts w:hint="eastAsia" w:ascii="宋体" w:hAnsi="宋体" w:eastAsia="宋体" w:cs="Times New Roman"/>
          <w:color w:val="auto"/>
          <w:kern w:val="2"/>
          <w:sz w:val="24"/>
          <w:szCs w:val="24"/>
          <w:lang w:val="en-US" w:eastAsia="zh-CN" w:bidi="ar-SA"/>
        </w:rPr>
        <w:t>程竣工验收完成后28天内，向发包人递交竣工结算报告及完整的</w:t>
      </w:r>
      <w:r>
        <w:rPr>
          <w:rFonts w:hint="eastAsia" w:ascii="宋体" w:hAnsi="宋体" w:eastAsia="宋体" w:cs="Times New Roman"/>
          <w:bCs/>
          <w:color w:val="auto"/>
          <w:kern w:val="2"/>
          <w:sz w:val="24"/>
          <w:szCs w:val="24"/>
          <w:lang w:val="en-US" w:eastAsia="zh-CN" w:bidi="ar-SA"/>
        </w:rPr>
        <w:t>结算资料。经发包人催促后14日内仍未提供或没有明确答复，发包人有权根据已有资料进行审查，责任由承包人自负。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十、本协议如有未明事宜，发包人承包人另行协商解决。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十一、本协议一式六份，发包人执三份，承包人执三份，自双方签字盖章后生效，竣工验收合格结清价款后失效。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甲方：浙江海洋大学                        乙方：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地址：舟山临城街道海大南路1号            地址：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联系人：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电话：</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开户银行：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开户银行：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开户账号：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开户账号：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企业信用代码/税号 :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企业信用代码/税号：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法定（授权）代表人：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（盖章）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法定（授权）代表人：      （盖章）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签订日期：     年   月    日              签订日期：     年   月   </w:t>
      </w:r>
    </w:p>
    <w:p>
      <w:pPr>
        <w:spacing w:line="400" w:lineRule="exact"/>
        <w:ind w:firstLine="420" w:firstLineChars="200"/>
        <w:rPr>
          <w:rFonts w:hint="eastAsia" w:ascii="宋体" w:hAnsi="宋体" w:cs="Times New Roman"/>
          <w:bCs/>
          <w:color w:val="auto"/>
          <w:sz w:val="21"/>
          <w:szCs w:val="21"/>
        </w:rPr>
      </w:pPr>
    </w:p>
    <w:p>
      <w:pPr>
        <w:spacing w:line="360" w:lineRule="auto"/>
        <w:ind w:left="-420" w:leftChars="-200" w:right="-420" w:rightChars="-200" w:firstLine="480" w:firstLineChars="200"/>
        <w:rPr>
          <w:rFonts w:ascii="宋体" w:hAnsi="宋体" w:cs="宋体"/>
          <w:color w:val="auto"/>
          <w:sz w:val="24"/>
          <w:highlight w:val="none"/>
        </w:rPr>
      </w:pPr>
    </w:p>
    <w:p>
      <w:pPr>
        <w:spacing w:line="360" w:lineRule="auto"/>
        <w:ind w:firstLine="562" w:firstLineChars="200"/>
        <w:jc w:val="center"/>
        <w:rPr>
          <w:rFonts w:ascii="宋体" w:hAnsi="宋体"/>
          <w:b/>
          <w:color w:val="auto"/>
          <w:sz w:val="28"/>
          <w:szCs w:val="28"/>
          <w:highlight w:val="none"/>
        </w:rPr>
      </w:pPr>
    </w:p>
    <w:p>
      <w:pPr>
        <w:snapToGrid w:val="0"/>
        <w:spacing w:line="360" w:lineRule="auto"/>
        <w:jc w:val="center"/>
        <w:outlineLvl w:val="0"/>
        <w:rPr>
          <w:rFonts w:hint="eastAsia" w:ascii="宋体" w:hAnsi="宋体" w:cs="仿宋_GB2312"/>
          <w:b/>
          <w:color w:val="auto"/>
          <w:sz w:val="36"/>
          <w:szCs w:val="20"/>
          <w:highlight w:val="none"/>
        </w:rPr>
      </w:pPr>
    </w:p>
    <w:p>
      <w:pPr>
        <w:snapToGrid w:val="0"/>
        <w:spacing w:line="360" w:lineRule="auto"/>
        <w:jc w:val="center"/>
        <w:outlineLvl w:val="0"/>
        <w:rPr>
          <w:rFonts w:hint="eastAsia" w:ascii="宋体" w:hAnsi="宋体" w:cs="仿宋_GB2312"/>
          <w:b/>
          <w:color w:val="auto"/>
          <w:sz w:val="36"/>
          <w:szCs w:val="20"/>
          <w:highlight w:val="none"/>
        </w:rPr>
      </w:pPr>
    </w:p>
    <w:p>
      <w:pPr>
        <w:numPr>
          <w:ilvl w:val="0"/>
          <w:numId w:val="0"/>
        </w:numPr>
        <w:tabs>
          <w:tab w:val="clear" w:pos="432"/>
          <w:tab w:val="clear" w:pos="480"/>
          <w:tab w:val="clear" w:pos="840"/>
          <w:tab w:val="clear" w:pos="1440"/>
        </w:tabs>
        <w:spacing w:before="163" w:beforeLines="50" w:line="360" w:lineRule="auto"/>
        <w:jc w:val="center"/>
        <w:rPr>
          <w:rFonts w:hint="eastAsia" w:ascii="宋体" w:hAnsi="宋体"/>
          <w:b/>
          <w:snapToGrid w:val="0"/>
          <w:color w:val="auto"/>
          <w:sz w:val="32"/>
          <w:szCs w:val="32"/>
        </w:rPr>
      </w:pPr>
      <w:bookmarkStart w:id="83" w:name="_Toc18446"/>
      <w:r>
        <w:rPr>
          <w:rFonts w:hint="eastAsia" w:ascii="宋体" w:hAnsi="宋体"/>
          <w:b/>
          <w:snapToGrid w:val="0"/>
          <w:color w:val="auto"/>
          <w:sz w:val="32"/>
          <w:szCs w:val="32"/>
          <w:lang w:val="en-US" w:eastAsia="zh-CN"/>
        </w:rPr>
        <w:t>附件1：</w:t>
      </w:r>
      <w:r>
        <w:rPr>
          <w:rFonts w:hint="eastAsia" w:ascii="宋体" w:hAnsi="宋体"/>
          <w:b/>
          <w:snapToGrid w:val="0"/>
          <w:color w:val="auto"/>
          <w:sz w:val="32"/>
          <w:szCs w:val="32"/>
        </w:rPr>
        <w:t>工程廉政责任书</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color w:val="auto"/>
          <w:sz w:val="24"/>
          <w:szCs w:val="24"/>
          <w:lang w:bidi="ar-SA"/>
        </w:rPr>
      </w:pPr>
      <w:r>
        <w:rPr>
          <w:rFonts w:hint="eastAsia" w:ascii="宋体" w:hAnsi="宋体" w:eastAsia="宋体" w:cs="宋体"/>
          <w:snapToGrid w:val="0"/>
          <w:color w:val="auto"/>
          <w:sz w:val="24"/>
          <w:szCs w:val="24"/>
          <w:lang w:bidi="ar-SA"/>
        </w:rPr>
        <w:t>为加强工程建设中的廉政建设，保证工程建设高效优质完成，保证建设资金的安全和有效使用，</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法人</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color w:val="auto"/>
          <w:sz w:val="24"/>
          <w:szCs w:val="24"/>
          <w:u w:val="single"/>
          <w:lang w:bidi="ar-SA"/>
        </w:rPr>
        <w:t xml:space="preserve"> </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（以下称“甲方”）与承包商</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（以下称“乙方”），特订立如下责任书。</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第一条  甲乙双方的</w:t>
      </w:r>
      <w:r>
        <w:rPr>
          <w:rFonts w:hint="eastAsia" w:ascii="宋体" w:hAnsi="宋体" w:eastAsia="宋体" w:cs="宋体"/>
          <w:snapToGrid w:val="0"/>
          <w:color w:val="auto"/>
          <w:sz w:val="24"/>
          <w:szCs w:val="24"/>
          <w:lang w:val="en-US" w:eastAsia="zh-CN" w:bidi="ar-SA"/>
        </w:rPr>
        <w:t>职责</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严格遵守党和国家工程建设的有关法律法规及行业主管部门的有关规定。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严格执行</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的合同文件，自觉按合同办事。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双方的业务活动坚持公开、公平、公正、诚信、透明的原则（除法律认定的商业秘密和合同文件另有规定之外），不得损害国家和集体利益，违反工程建设管理规定。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建立健全廉政制度、监督制度和处罚制度，开展廉政教育，设立廉政告示牌，公布举报电话。</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cs="宋体"/>
          <w:snapToGrid w:val="0"/>
          <w:color w:val="auto"/>
          <w:sz w:val="24"/>
          <w:szCs w:val="24"/>
          <w:lang w:val="en-US" w:eastAsia="zh-CN" w:bidi="ar-SA"/>
        </w:rPr>
        <w:t>6.</w:t>
      </w:r>
      <w:r>
        <w:rPr>
          <w:rFonts w:hint="eastAsia" w:ascii="宋体" w:hAnsi="宋体" w:eastAsia="宋体" w:cs="宋体"/>
          <w:snapToGrid w:val="0"/>
          <w:color w:val="auto"/>
          <w:sz w:val="24"/>
          <w:szCs w:val="24"/>
          <w:lang w:bidi="ar-SA"/>
        </w:rPr>
        <w:t>发现对方严重违反本责任书义务条款的行为，有向其上级有关部门举报、建议给予处理并要求告知处理结果的权利。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第二条  甲方的义务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甲方及其工作人员不得索要或接受乙方的礼金、礼券、有价证券和物品，不得到乙方报销任何由甲方或个人支付的费用等。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甲方不得有意刁难、拖延承包商工程款，不得违反规定批拨工程建设费用等。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甲方工作人员不得参加乙方安排的宴请和娱乐活动；不得接受乙方提供的通讯工具、交通工具和高档办公用品等。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甲方及其工作人员不得要求或者接受乙方为其住房装修、操办婚丧嫁娶、安排配偶子女的工作以及出国出境、旅游等。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甲方工作人员的配偶、子女及下属单位不得从事与甲方工程有关的材料设备供应、工程分包、劳务等经济活动。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6</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甲方及其工作人员不得以任何理由向乙方推荐分包单位，不得要求乙方购买合同规定外的材料和设备。</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第三条  乙方义务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乙方不得以任何理由向甲方及其工作人员行贿或馈赠礼金、礼券、有价证券、礼品。</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乙方不得以任何名义为甲方及其工作人员报销应由甲方单位或个人支付的任何费用。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乙方不得要求甲方违反规定，批拨、追加工程建设费用等。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乙方不得以任何理由安排甲方工作人员参加宴请及娱乐活动。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乙方不得为甲方单位和个人购置或提供通讯工具、交通工具高档办公用品等。</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第四条  违约责任</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（一）甲方及其工作人员违反本责任书第一、二条，按管理权限，依据有关规定给予党纪、政纪或组织处理；涉嫌犯罪的，移送司法机关追究刑事责任；给乙方单位造成经济损失的，应予以赔偿。</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二）乙方及其工作人员违反本责任书第一、三条，按管理权限，依据有关规定，给予党纪、政纪、组织处理或停止承接业务处理；给甲方单位造成经济损失的，应予以赔偿；情节严重的，甲方建议有关工程建设主管部门给予乙方一至三年内不得参与工程建设项目投标的处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第五条  双方约定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本责任书由纪检监察机关负责监督执行。纪检监察机关对本责任书执行情况进行抽查</w:t>
      </w:r>
      <w:r>
        <w:rPr>
          <w:rFonts w:hint="eastAsia" w:ascii="宋体" w:hAnsi="宋体" w:eastAsia="宋体" w:cs="宋体"/>
          <w:snapToGrid w:val="0"/>
          <w:color w:val="auto"/>
          <w:sz w:val="24"/>
          <w:szCs w:val="24"/>
          <w:lang w:eastAsia="zh-CN" w:bidi="ar-SA"/>
        </w:rPr>
        <w:t>，</w:t>
      </w:r>
      <w:r>
        <w:rPr>
          <w:rFonts w:hint="eastAsia" w:ascii="宋体" w:hAnsi="宋体" w:eastAsia="宋体" w:cs="宋体"/>
          <w:snapToGrid w:val="0"/>
          <w:color w:val="auto"/>
          <w:sz w:val="24"/>
          <w:szCs w:val="24"/>
          <w:lang w:bidi="ar-SA"/>
        </w:rPr>
        <w:t>提出属于本责任书规定范围的处理意见。</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第六条  本责任书有效期</w:t>
      </w:r>
      <w:r>
        <w:rPr>
          <w:rFonts w:hint="eastAsia" w:ascii="宋体" w:hAnsi="宋体" w:eastAsia="宋体" w:cs="宋体"/>
          <w:snapToGrid w:val="0"/>
          <w:color w:val="auto"/>
          <w:sz w:val="24"/>
          <w:szCs w:val="24"/>
          <w:lang w:val="en-US" w:eastAsia="zh-CN" w:bidi="ar-SA"/>
        </w:rPr>
        <w:t>为本合同</w:t>
      </w:r>
      <w:r>
        <w:rPr>
          <w:rFonts w:hint="eastAsia" w:ascii="宋体" w:hAnsi="宋体" w:eastAsia="宋体" w:cs="宋体"/>
          <w:snapToGrid w:val="0"/>
          <w:color w:val="auto"/>
          <w:sz w:val="24"/>
          <w:szCs w:val="24"/>
          <w:lang w:bidi="ar-SA"/>
        </w:rPr>
        <w:t>签署之日起至该工程项目工程款支付完结时止。</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第七条  本责任书作为本工程施工承包合同的附件，与工程施工合同具有同等的法律效力，经甲、乙双方签署后生效。</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第八条  本责任书甲、乙双方各执</w:t>
      </w:r>
      <w:r>
        <w:rPr>
          <w:rFonts w:hint="eastAsia" w:ascii="宋体" w:hAnsi="宋体" w:eastAsia="宋体" w:cs="宋体"/>
          <w:snapToGrid w:val="0"/>
          <w:color w:val="auto"/>
          <w:sz w:val="24"/>
          <w:szCs w:val="24"/>
          <w:lang w:eastAsia="zh-CN" w:bidi="ar-SA"/>
        </w:rPr>
        <w:t>贰</w:t>
      </w:r>
      <w:r>
        <w:rPr>
          <w:rFonts w:hint="eastAsia" w:ascii="宋体" w:hAnsi="宋体" w:eastAsia="宋体" w:cs="宋体"/>
          <w:snapToGrid w:val="0"/>
          <w:color w:val="auto"/>
          <w:sz w:val="24"/>
          <w:szCs w:val="24"/>
          <w:lang w:bidi="ar-SA"/>
        </w:rPr>
        <w:t>份。</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甲方单位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乙方单位：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 xml:space="preserve">法定（授权）代表人：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法定（授权）代表人：</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napToGrid w:val="0"/>
        <w:spacing w:line="400" w:lineRule="exact"/>
        <w:ind w:firstLine="480" w:firstLineChars="200"/>
        <w:rPr>
          <w:rFonts w:hint="eastAsia" w:ascii="宋体" w:hAnsi="宋体" w:eastAsia="宋体" w:cs="宋体"/>
          <w:snapToGrid w:val="0"/>
          <w:color w:val="auto"/>
          <w:sz w:val="24"/>
          <w:szCs w:val="24"/>
          <w:u w:val="single"/>
          <w:lang w:val="en-US" w:eastAsia="zh-CN" w:bidi="ar-SA"/>
        </w:rPr>
      </w:pPr>
      <w:r>
        <w:rPr>
          <w:rFonts w:hint="eastAsia" w:ascii="宋体" w:hAnsi="宋体" w:eastAsia="宋体" w:cs="宋体"/>
          <w:snapToGrid w:val="0"/>
          <w:color w:val="auto"/>
          <w:sz w:val="24"/>
          <w:szCs w:val="24"/>
          <w:lang w:bidi="ar-SA"/>
        </w:rPr>
        <w:t>地址：</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地址：</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lang w:val="en-US" w:eastAsia="zh-CN"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en-US" w:bidi="ar-SA"/>
        </w:rPr>
        <w:sectPr>
          <w:headerReference r:id="rId3" w:type="default"/>
          <w:footerReference r:id="rId4" w:type="default"/>
          <w:pgSz w:w="11907" w:h="16840"/>
          <w:pgMar w:top="1440" w:right="1474" w:bottom="1440" w:left="1531" w:header="964" w:footer="964" w:gutter="0"/>
          <w:cols w:space="720" w:num="1"/>
          <w:docGrid w:linePitch="457" w:charSpace="2270"/>
        </w:sectPr>
      </w:pPr>
      <w:bookmarkStart w:id="84" w:name="_Toc55455449"/>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 xml:space="preserve">日   </w:t>
      </w:r>
      <w:r>
        <w:rPr>
          <w:rFonts w:hint="eastAsia" w:ascii="宋体" w:hAnsi="宋体" w:eastAsia="宋体" w:cs="宋体"/>
          <w:snapToGrid w:val="0"/>
          <w:color w:val="auto"/>
          <w:sz w:val="24"/>
          <w:szCs w:val="24"/>
          <w:lang w:bidi="ar-SA"/>
        </w:rPr>
        <w:t xml:space="preserve">    </w:t>
      </w:r>
      <w:bookmarkEnd w:id="84"/>
      <w:bookmarkStart w:id="85" w:name="_Toc370459082"/>
      <w:bookmarkStart w:id="86" w:name="_Toc362883306"/>
      <w:bookmarkStart w:id="87" w:name="_Toc381776175"/>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日</w:t>
      </w:r>
      <w:r>
        <w:rPr>
          <w:rFonts w:hint="eastAsia" w:ascii="宋体" w:hAnsi="宋体" w:eastAsia="宋体" w:cs="宋体"/>
          <w:snapToGrid w:val="0"/>
          <w:color w:val="auto"/>
          <w:sz w:val="24"/>
          <w:szCs w:val="24"/>
          <w:lang w:val="en-US" w:eastAsia="zh-CN" w:bidi="ar-SA"/>
        </w:rPr>
        <w:t xml:space="preserve"> </w:t>
      </w:r>
    </w:p>
    <w:bookmarkEnd w:id="85"/>
    <w:bookmarkEnd w:id="86"/>
    <w:bookmarkEnd w:id="87"/>
    <w:p>
      <w:pPr>
        <w:spacing w:line="360" w:lineRule="auto"/>
        <w:jc w:val="center"/>
        <w:rPr>
          <w:rFonts w:hint="eastAsia" w:eastAsia="宋体"/>
          <w:color w:val="auto"/>
          <w:lang w:val="en-US" w:eastAsia="zh-CN"/>
        </w:rPr>
      </w:pPr>
      <w:r>
        <w:rPr>
          <w:rFonts w:hint="eastAsia" w:ascii="宋体" w:hAnsi="宋体"/>
          <w:b/>
          <w:color w:val="auto"/>
          <w:sz w:val="32"/>
          <w:szCs w:val="32"/>
          <w:highlight w:val="none"/>
          <w:lang w:val="en-US" w:eastAsia="zh-CN"/>
        </w:rPr>
        <w:t>附件2：</w:t>
      </w:r>
      <w:r>
        <w:rPr>
          <w:rFonts w:hint="eastAsia" w:ascii="宋体" w:hAnsi="宋体"/>
          <w:b/>
          <w:color w:val="auto"/>
          <w:sz w:val="32"/>
          <w:szCs w:val="32"/>
          <w:highlight w:val="none"/>
        </w:rPr>
        <w:t>施工安全</w:t>
      </w:r>
      <w:r>
        <w:rPr>
          <w:rFonts w:hint="eastAsia" w:ascii="宋体" w:hAnsi="宋体"/>
          <w:b/>
          <w:color w:val="auto"/>
          <w:sz w:val="32"/>
          <w:szCs w:val="32"/>
          <w:highlight w:val="none"/>
          <w:lang w:val="en-US" w:eastAsia="zh-CN"/>
        </w:rPr>
        <w:t>承诺书</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auto"/>
          <w:szCs w:val="21"/>
          <w:highlight w:val="none"/>
          <w:u w:val="single"/>
          <w:lang w:val="en-US" w:eastAsia="zh-CN"/>
        </w:rPr>
      </w:pPr>
      <w:r>
        <w:rPr>
          <w:rFonts w:hint="eastAsia" w:ascii="宋体" w:hAnsi="宋体"/>
          <w:bCs/>
          <w:color w:val="auto"/>
          <w:szCs w:val="21"/>
          <w:highlight w:val="none"/>
          <w:u w:val="single"/>
          <w:lang w:val="en-US" w:eastAsia="zh-CN"/>
        </w:rPr>
        <w:t xml:space="preserve"> </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u w:val="single"/>
        </w:rPr>
      </w:pPr>
      <w:r>
        <w:rPr>
          <w:rFonts w:hint="eastAsia" w:ascii="宋体" w:hAnsi="宋体"/>
          <w:color w:val="auto"/>
          <w:szCs w:val="21"/>
          <w:highlight w:val="none"/>
          <w:lang w:val="en-US" w:eastAsia="zh-CN"/>
        </w:rPr>
        <w:t>承诺人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s="宋体"/>
          <w:bCs/>
          <w:color w:val="auto"/>
          <w:sz w:val="24"/>
          <w:szCs w:val="24"/>
          <w:u w:val="single"/>
          <w:lang w:val="en-US" w:eastAsia="zh-CN" w:bidi="ar-SA"/>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rPr>
      </w:pPr>
      <w:r>
        <w:rPr>
          <w:rFonts w:hint="eastAsia" w:ascii="宋体" w:hAnsi="宋体"/>
          <w:color w:val="auto"/>
          <w:szCs w:val="21"/>
          <w:highlight w:val="none"/>
        </w:rPr>
        <w:t>为了加强本工程的安全，防止火灾危害和发生治安事故事件，根据《中华人们共和国消防法》以及其它相关的法律、法规对建筑施工现场安全工作的有关规定，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（甲方）和</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eastAsia="宋体" w:cs="宋体"/>
          <w:bCs/>
          <w:color w:val="auto"/>
          <w:sz w:val="24"/>
          <w:szCs w:val="24"/>
          <w:u w:val="single"/>
          <w:lang w:val="en-US" w:eastAsia="zh-CN" w:bidi="ar-SA"/>
        </w:rPr>
        <w:t xml:space="preserve"> </w:t>
      </w:r>
      <w:r>
        <w:rPr>
          <w:rFonts w:hint="eastAsia" w:ascii="宋体" w:hAnsi="宋体"/>
          <w:color w:val="auto"/>
          <w:szCs w:val="21"/>
          <w:highlight w:val="none"/>
        </w:rPr>
        <w:t>（乙方）协商，制定如下安全</w:t>
      </w:r>
      <w:r>
        <w:rPr>
          <w:rFonts w:hint="eastAsia" w:ascii="宋体" w:hAnsi="宋体"/>
          <w:color w:val="auto"/>
          <w:szCs w:val="21"/>
          <w:highlight w:val="none"/>
          <w:lang w:val="en-US" w:eastAsia="zh-CN"/>
        </w:rPr>
        <w:t>承诺书</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一、施工现场的安全工作由乙方负责，甲方负责检查监督安全措施的落实和执行情况，甲、乙双方共同接受政府公安消防部门的指导和监督。乙方确定一名施工负责人为现场施工安全负责人，全面负责现场的安全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二、乙方应在施工中制定消防应急预案，确保施工安全。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三、施工现场应有明显防火宣传标志，乙方应对施工人员进行安全知识教育，施工作业应佩戴出入证，防止治安、伤害事故的发生。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四、进行电气焊、油漆粉刷或从事防水等危险作业时应严格按规定执行，做到有防火要求和措施，并对有关人员进行安全教育。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五、乙方应制定使用电气设备、易燃易爆物品的防火安全措施，在使用时，应严格按规定执行，并对有关人员进行安全教育。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六、从事电气设备安装和电气焊切割作业要持有操作证。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七、乙方应按要求在施工现场配备足够的灭火器等消防设备。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八、施工现场油漆、稀释剂等易燃品应存放在离火源远、阴凉、通风、安全的地方。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olor w:val="auto"/>
          <w:szCs w:val="21"/>
          <w:highlight w:val="none"/>
        </w:rPr>
        <w:t xml:space="preserve">    九、</w:t>
      </w:r>
      <w:r>
        <w:rPr>
          <w:rFonts w:hint="eastAsia" w:ascii="宋体" w:hAnsi="宋体" w:cs="Tahoma"/>
          <w:color w:val="auto"/>
          <w:kern w:val="0"/>
          <w:szCs w:val="21"/>
          <w:highlight w:val="none"/>
          <w:lang w:bidi="ar-SA"/>
        </w:rPr>
        <w:t>施工现场禁止吸烟。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十、施工现场不得使用电热器具。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十一、施工现场</w:t>
      </w:r>
      <w:r>
        <w:rPr>
          <w:rFonts w:hint="eastAsia" w:ascii="宋体" w:hAnsi="宋体"/>
          <w:color w:val="auto"/>
          <w:szCs w:val="21"/>
          <w:highlight w:val="none"/>
        </w:rPr>
        <w:t>不能动用明火。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十二、禁止在工作前或工作期间饮酒。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十三、所有施工人员不准在施工现场住宿。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w:t>
      </w: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四</w:t>
      </w:r>
      <w:r>
        <w:rPr>
          <w:rFonts w:hint="eastAsia" w:ascii="宋体" w:hAnsi="宋体"/>
          <w:color w:val="auto"/>
          <w:szCs w:val="21"/>
          <w:highlight w:val="none"/>
        </w:rPr>
        <w:t>、在现场施工时，应注意保护已完成的玻璃幕墙、铝窗等产品及其它已完成的设施。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w:t>
      </w:r>
      <w:r>
        <w:rPr>
          <w:rFonts w:hint="eastAsia" w:ascii="宋体" w:hAnsi="宋体" w:cs="Tahoma"/>
          <w:color w:val="auto"/>
          <w:kern w:val="0"/>
          <w:szCs w:val="21"/>
          <w:highlight w:val="none"/>
          <w:lang w:val="en-US" w:eastAsia="zh-CN" w:bidi="ar-SA"/>
        </w:rPr>
        <w:t>五</w:t>
      </w:r>
      <w:r>
        <w:rPr>
          <w:rFonts w:hint="eastAsia" w:ascii="宋体" w:hAnsi="宋体" w:cs="Tahoma"/>
          <w:color w:val="auto"/>
          <w:kern w:val="0"/>
          <w:szCs w:val="21"/>
          <w:highlight w:val="none"/>
          <w:lang w:bidi="ar-SA"/>
        </w:rPr>
        <w:t>、施工现场应有专职负责人，检查督促落实上述规定的执行情况。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六</w:t>
      </w:r>
      <w:r>
        <w:rPr>
          <w:rFonts w:hint="eastAsia" w:ascii="宋体" w:hAnsi="宋体"/>
          <w:color w:val="auto"/>
          <w:szCs w:val="21"/>
          <w:highlight w:val="none"/>
        </w:rPr>
        <w:t>、</w:t>
      </w:r>
      <w:r>
        <w:rPr>
          <w:rFonts w:hint="eastAsia" w:ascii="宋体" w:hAnsi="宋体" w:cs="Tahoma"/>
          <w:color w:val="auto"/>
          <w:kern w:val="0"/>
          <w:szCs w:val="21"/>
          <w:highlight w:val="none"/>
          <w:lang w:bidi="ar-SA"/>
        </w:rPr>
        <w:t>施工现场应及时清理垃圾、渣土，</w:t>
      </w:r>
      <w:r>
        <w:rPr>
          <w:rFonts w:hint="eastAsia" w:ascii="宋体" w:hAnsi="宋体"/>
          <w:color w:val="auto"/>
          <w:szCs w:val="21"/>
          <w:highlight w:val="none"/>
        </w:rPr>
        <w:t>清除木屑、漆垢、残渣等可燃物，</w:t>
      </w:r>
      <w:r>
        <w:rPr>
          <w:rFonts w:hint="eastAsia" w:ascii="宋体" w:hAnsi="宋体" w:cs="Tahoma"/>
          <w:color w:val="auto"/>
          <w:kern w:val="0"/>
          <w:szCs w:val="21"/>
          <w:highlight w:val="none"/>
          <w:lang w:bidi="ar-SA"/>
        </w:rPr>
        <w:t>消除安全隐患，禁止任何物品堵塞</w:t>
      </w:r>
      <w:r>
        <w:rPr>
          <w:rFonts w:hint="eastAsia" w:ascii="宋体" w:hAnsi="宋体" w:cs="Tahoma"/>
          <w:color w:val="auto"/>
          <w:kern w:val="0"/>
          <w:szCs w:val="21"/>
          <w:highlight w:val="none"/>
          <w:lang w:bidi="ar-SA"/>
        </w:rPr>
        <w:fldChar w:fldCharType="begin"/>
      </w:r>
      <w:r>
        <w:rPr>
          <w:rFonts w:hint="eastAsia" w:ascii="宋体" w:hAnsi="宋体" w:cs="Tahoma"/>
          <w:color w:val="auto"/>
          <w:kern w:val="0"/>
          <w:szCs w:val="21"/>
          <w:highlight w:val="none"/>
          <w:lang w:bidi="ar-SA"/>
        </w:rPr>
        <w:instrText xml:space="preserve">HYPERLINK "http://www.hbsafety.cn/article/65/"</w:instrText>
      </w:r>
      <w:r>
        <w:rPr>
          <w:rFonts w:hint="eastAsia" w:ascii="宋体" w:hAnsi="宋体" w:cs="Tahoma"/>
          <w:color w:val="auto"/>
          <w:kern w:val="0"/>
          <w:szCs w:val="21"/>
          <w:highlight w:val="none"/>
          <w:lang w:bidi="ar-SA"/>
        </w:rPr>
        <w:fldChar w:fldCharType="separate"/>
      </w:r>
      <w:r>
        <w:rPr>
          <w:rFonts w:hint="eastAsia" w:ascii="宋体" w:hAnsi="宋体" w:cs="Tahoma"/>
          <w:color w:val="auto"/>
          <w:kern w:val="0"/>
          <w:szCs w:val="21"/>
          <w:highlight w:val="none"/>
          <w:lang w:bidi="ar-SA"/>
        </w:rPr>
        <w:t>消防</w:t>
      </w:r>
      <w:r>
        <w:rPr>
          <w:rFonts w:hint="eastAsia" w:ascii="宋体" w:hAnsi="宋体" w:cs="Tahoma"/>
          <w:color w:val="auto"/>
          <w:kern w:val="0"/>
          <w:szCs w:val="21"/>
          <w:highlight w:val="none"/>
          <w:lang w:bidi="ar-SA"/>
        </w:rPr>
        <w:fldChar w:fldCharType="end"/>
      </w:r>
      <w:r>
        <w:rPr>
          <w:rFonts w:hint="eastAsia" w:ascii="宋体" w:hAnsi="宋体" w:cs="Tahoma"/>
          <w:color w:val="auto"/>
          <w:kern w:val="0"/>
          <w:szCs w:val="21"/>
          <w:highlight w:val="none"/>
          <w:lang w:bidi="ar-SA"/>
        </w:rPr>
        <w:t>通道。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七</w:t>
      </w:r>
      <w:r>
        <w:rPr>
          <w:rFonts w:hint="eastAsia" w:ascii="宋体" w:hAnsi="宋体"/>
          <w:color w:val="auto"/>
          <w:szCs w:val="21"/>
          <w:highlight w:val="none"/>
        </w:rPr>
        <w:t>、施工期间在施工现场发生火灾和治安、安全方面的事故，均有乙方负责。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八</w:t>
      </w:r>
      <w:r>
        <w:rPr>
          <w:rFonts w:hint="eastAsia" w:ascii="宋体" w:hAnsi="宋体"/>
          <w:color w:val="auto"/>
          <w:szCs w:val="21"/>
          <w:highlight w:val="none"/>
        </w:rPr>
        <w:t>、对违反上述有关规定的单位和个人,甲方视情节轻重给予批评、提出赔偿直至移交公安、消防机关处理。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此协议经甲乙双方同意，一式</w:t>
      </w:r>
      <w:r>
        <w:rPr>
          <w:rFonts w:hint="eastAsia" w:ascii="宋体" w:hAnsi="宋体"/>
          <w:color w:val="auto"/>
          <w:szCs w:val="21"/>
          <w:highlight w:val="none"/>
          <w:lang w:eastAsia="zh-CN"/>
        </w:rPr>
        <w:t>肆</w:t>
      </w:r>
      <w:r>
        <w:rPr>
          <w:rFonts w:hint="eastAsia" w:ascii="宋体" w:hAnsi="宋体"/>
          <w:color w:val="auto"/>
          <w:szCs w:val="21"/>
          <w:highlight w:val="none"/>
        </w:rPr>
        <w:t>份，由甲、乙双方各执</w:t>
      </w:r>
      <w:r>
        <w:rPr>
          <w:rFonts w:hint="eastAsia" w:ascii="宋体" w:hAnsi="宋体"/>
          <w:color w:val="auto"/>
          <w:szCs w:val="21"/>
          <w:highlight w:val="none"/>
          <w:lang w:eastAsia="zh-CN"/>
        </w:rPr>
        <w:t>贰</w:t>
      </w:r>
      <w:r>
        <w:rPr>
          <w:rFonts w:hint="eastAsia" w:ascii="宋体" w:hAnsi="宋体"/>
          <w:color w:val="auto"/>
          <w:szCs w:val="21"/>
          <w:highlight w:val="none"/>
        </w:rPr>
        <w:t>份，具有同等法律效力。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p>
    <w:p>
      <w:pPr>
        <w:spacing w:line="400" w:lineRule="exact"/>
        <w:rPr>
          <w:rFonts w:hint="eastAsia" w:ascii="宋体" w:hAnsi="宋体" w:eastAsia="宋体" w:cs="宋体"/>
          <w:color w:val="auto"/>
          <w:sz w:val="21"/>
          <w:szCs w:val="21"/>
          <w:highlight w:val="none"/>
          <w:lang w:bidi="ar-SA"/>
        </w:rPr>
      </w:pPr>
      <w:r>
        <w:rPr>
          <w:rFonts w:hint="eastAsia" w:ascii="宋体" w:hAnsi="宋体" w:eastAsia="宋体" w:cs="宋体"/>
          <w:color w:val="auto"/>
          <w:sz w:val="24"/>
          <w:szCs w:val="24"/>
          <w:highlight w:val="none"/>
          <w:lang w:bidi="ar-SA"/>
        </w:rPr>
        <w:t>甲方（盖章）：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乙方（盖章）：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p>
    <w:p>
      <w:pPr>
        <w:pStyle w:val="28"/>
        <w:keepNext w:val="0"/>
        <w:keepLines w:val="0"/>
        <w:pageBreakBefore w:val="0"/>
        <w:widowControl w:val="0"/>
        <w:kinsoku/>
        <w:wordWrap/>
        <w:overflowPunct/>
        <w:topLinePunct w:val="0"/>
        <w:bidi w:val="0"/>
        <w:spacing w:line="420" w:lineRule="exact"/>
        <w:ind w:left="0" w:leftChars="0" w:firstLine="0" w:firstLineChars="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bidi="ar-SA"/>
        </w:rPr>
        <w:t>法定（授权）代表人：</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法定（授权）代表人：</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hAnsi="宋体" w:eastAsia="宋体" w:cs="宋体"/>
          <w:color w:val="auto"/>
          <w:sz w:val="24"/>
          <w:szCs w:val="24"/>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签订日期：</w:t>
      </w:r>
      <w:r>
        <w:rPr>
          <w:rFonts w:hint="eastAsia" w:ascii="宋体" w:hAnsi="宋体" w:eastAsia="宋体" w:cs="宋体"/>
          <w:color w:val="auto"/>
          <w:sz w:val="24"/>
          <w:szCs w:val="24"/>
          <w:highlight w:val="none"/>
          <w:u w:val="single"/>
          <w:lang w:val="en-US" w:eastAsia="zh-CN" w:bidi="ar-SA"/>
        </w:rPr>
        <w:t>202</w:t>
      </w:r>
      <w:r>
        <w:rPr>
          <w:rFonts w:hint="eastAsia" w:ascii="宋体" w:hAnsi="宋体" w:cs="宋体"/>
          <w:color w:val="auto"/>
          <w:sz w:val="24"/>
          <w:szCs w:val="24"/>
          <w:highlight w:val="none"/>
          <w:u w:val="single"/>
          <w:lang w:val="en-US" w:eastAsia="zh-CN" w:bidi="ar-SA"/>
        </w:rPr>
        <w:t>5</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日</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签订日期：</w:t>
      </w:r>
      <w:r>
        <w:rPr>
          <w:rFonts w:hint="eastAsia" w:ascii="宋体" w:hAnsi="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日  </w:t>
      </w:r>
      <w:r>
        <w:rPr>
          <w:rFonts w:hint="eastAsia" w:ascii="宋体" w:hAnsi="宋体" w:eastAsia="宋体" w:cs="宋体"/>
          <w:color w:val="auto"/>
          <w:sz w:val="24"/>
          <w:szCs w:val="24"/>
          <w:highlight w:val="none"/>
          <w:lang w:bidi="ar-SA"/>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5040" w:hanging="5040" w:hangingChars="2100"/>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地址</w:t>
      </w:r>
      <w:r>
        <w:rPr>
          <w:rFonts w:hint="eastAsia" w:ascii="宋体" w:hAnsi="宋体" w:eastAsia="宋体" w:cs="宋体"/>
          <w:color w:val="auto"/>
          <w:sz w:val="24"/>
          <w:szCs w:val="24"/>
          <w:lang w:bidi="ar-SA"/>
        </w:rPr>
        <w:t>：</w:t>
      </w:r>
      <w:r>
        <w:rPr>
          <w:rFonts w:hint="eastAsia" w:ascii="宋体" w:hAnsi="宋体" w:eastAsia="宋体" w:cs="宋体"/>
          <w:color w:val="auto"/>
          <w:sz w:val="24"/>
          <w:szCs w:val="24"/>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地址：</w:t>
      </w:r>
      <w:r>
        <w:rPr>
          <w:rFonts w:hint="eastAsia" w:ascii="宋体" w:hAnsi="宋体" w:cs="Times New Roman"/>
          <w:bCs/>
          <w:color w:val="auto"/>
          <w:sz w:val="21"/>
          <w:szCs w:val="21"/>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Times New Roman"/>
          <w:bCs/>
          <w:color w:val="auto"/>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电话：</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 xml:space="preserve">   </w:t>
      </w:r>
      <w:r>
        <w:rPr>
          <w:rFonts w:hint="eastAsia" w:ascii="宋体" w:hAnsi="宋体" w:eastAsia="宋体" w:cs="宋体"/>
          <w:color w:val="auto"/>
          <w:sz w:val="24"/>
          <w:szCs w:val="24"/>
          <w:highlight w:val="none"/>
          <w:u w:val="single"/>
          <w:lang w:bidi="ar-SA"/>
        </w:rPr>
        <w:t>电话：</w:t>
      </w:r>
    </w:p>
    <w:p>
      <w:pPr>
        <w:rPr>
          <w:rStyle w:val="552"/>
          <w:rFonts w:hint="eastAsia"/>
          <w:color w:val="auto"/>
          <w:highlight w:val="none"/>
        </w:rPr>
      </w:pPr>
      <w:r>
        <w:rPr>
          <w:rStyle w:val="552"/>
          <w:rFonts w:hint="eastAsia"/>
          <w:color w:val="auto"/>
          <w:highlight w:val="none"/>
        </w:rPr>
        <w:br w:type="page"/>
      </w:r>
    </w:p>
    <w:p>
      <w:pPr>
        <w:adjustRightInd/>
        <w:spacing w:line="360" w:lineRule="auto"/>
        <w:jc w:val="center"/>
        <w:outlineLvl w:val="0"/>
        <w:rPr>
          <w:rStyle w:val="552"/>
          <w:color w:val="auto"/>
          <w:highlight w:val="none"/>
        </w:rPr>
      </w:pPr>
      <w:r>
        <w:rPr>
          <w:rStyle w:val="552"/>
          <w:rFonts w:hint="eastAsia"/>
          <w:color w:val="auto"/>
          <w:highlight w:val="none"/>
        </w:rPr>
        <w:t>第七部分</w:t>
      </w:r>
      <w:bookmarkEnd w:id="81"/>
      <w:r>
        <w:rPr>
          <w:rStyle w:val="552"/>
          <w:rFonts w:hint="eastAsia"/>
          <w:color w:val="auto"/>
          <w:highlight w:val="none"/>
        </w:rPr>
        <w:t xml:space="preserve">  </w:t>
      </w:r>
      <w:bookmarkEnd w:id="82"/>
      <w:r>
        <w:rPr>
          <w:rStyle w:val="552"/>
          <w:rFonts w:hint="eastAsia"/>
          <w:color w:val="auto"/>
          <w:highlight w:val="none"/>
        </w:rPr>
        <w:t>应提交的有关格式范例</w:t>
      </w:r>
      <w:bookmarkEnd w:id="83"/>
    </w:p>
    <w:p>
      <w:pPr>
        <w:snapToGrid w:val="0"/>
        <w:spacing w:before="120" w:beforeLines="50" w:after="50" w:line="360" w:lineRule="auto"/>
        <w:rPr>
          <w:rFonts w:ascii="宋体" w:hAnsi="宋体"/>
          <w:b/>
          <w:color w:val="auto"/>
          <w:sz w:val="24"/>
          <w:szCs w:val="20"/>
        </w:rPr>
      </w:pPr>
      <w:r>
        <w:rPr>
          <w:rFonts w:ascii="宋体" w:hAnsi="宋体"/>
          <w:b/>
          <w:color w:val="auto"/>
          <w:sz w:val="24"/>
        </w:rPr>
        <w:t>资格证明/商务技术/报价</w:t>
      </w:r>
      <w:r>
        <w:rPr>
          <w:rFonts w:ascii="宋体" w:hAnsi="宋体"/>
          <w:b/>
          <w:bCs/>
          <w:color w:val="auto"/>
          <w:sz w:val="24"/>
        </w:rPr>
        <w:t>文件</w:t>
      </w:r>
      <w:r>
        <w:rPr>
          <w:rFonts w:ascii="宋体" w:hAnsi="宋体"/>
          <w:b/>
          <w:color w:val="auto"/>
          <w:sz w:val="24"/>
        </w:rPr>
        <w:t>封面格式</w:t>
      </w:r>
    </w:p>
    <w:p>
      <w:pPr>
        <w:snapToGrid w:val="0"/>
        <w:spacing w:before="120" w:beforeLines="50" w:after="50" w:line="360" w:lineRule="auto"/>
        <w:jc w:val="center"/>
        <w:rPr>
          <w:rFonts w:ascii="宋体" w:hAnsi="宋体"/>
          <w:bCs/>
          <w:color w:val="auto"/>
          <w:sz w:val="24"/>
          <w:szCs w:val="20"/>
        </w:rPr>
      </w:pPr>
    </w:p>
    <w:p>
      <w:pPr>
        <w:snapToGrid w:val="0"/>
        <w:spacing w:before="120" w:beforeLines="50" w:after="50" w:line="360" w:lineRule="auto"/>
        <w:jc w:val="center"/>
        <w:rPr>
          <w:rFonts w:ascii="宋体" w:hAnsi="宋体"/>
          <w:b/>
          <w:bCs/>
          <w:color w:val="auto"/>
          <w:sz w:val="52"/>
          <w:szCs w:val="52"/>
        </w:rPr>
      </w:pPr>
      <w:r>
        <w:rPr>
          <w:rFonts w:ascii="宋体" w:hAnsi="宋体"/>
          <w:b/>
          <w:bCs/>
          <w:color w:val="auto"/>
          <w:sz w:val="52"/>
          <w:szCs w:val="52"/>
        </w:rPr>
        <w:t>资格证明</w:t>
      </w:r>
      <w:r>
        <w:rPr>
          <w:rFonts w:hint="eastAsia" w:ascii="宋体" w:hAnsi="宋体"/>
          <w:b/>
          <w:bCs/>
          <w:color w:val="auto"/>
          <w:sz w:val="52"/>
          <w:szCs w:val="52"/>
          <w:lang w:eastAsia="zh-CN"/>
        </w:rPr>
        <w:t>（</w:t>
      </w:r>
      <w:r>
        <w:rPr>
          <w:rFonts w:ascii="宋体" w:hAnsi="宋体"/>
          <w:b/>
          <w:bCs/>
          <w:color w:val="auto"/>
          <w:sz w:val="52"/>
          <w:szCs w:val="52"/>
        </w:rPr>
        <w:t>商务技术/报价</w:t>
      </w:r>
      <w:r>
        <w:rPr>
          <w:rFonts w:hint="eastAsia" w:ascii="宋体" w:hAnsi="宋体"/>
          <w:b/>
          <w:bCs/>
          <w:color w:val="auto"/>
          <w:sz w:val="52"/>
          <w:szCs w:val="52"/>
          <w:lang w:eastAsia="zh-CN"/>
        </w:rPr>
        <w:t>）</w:t>
      </w:r>
      <w:r>
        <w:rPr>
          <w:rFonts w:hint="eastAsia" w:ascii="宋体" w:hAnsi="宋体"/>
          <w:b/>
          <w:bCs/>
          <w:color w:val="auto"/>
          <w:sz w:val="52"/>
          <w:szCs w:val="52"/>
          <w:lang w:val="en-US" w:eastAsia="zh-CN"/>
        </w:rPr>
        <w:t>响应</w:t>
      </w:r>
      <w:r>
        <w:rPr>
          <w:rFonts w:ascii="宋体" w:hAnsi="宋体"/>
          <w:b/>
          <w:bCs/>
          <w:color w:val="auto"/>
          <w:sz w:val="52"/>
          <w:szCs w:val="52"/>
        </w:rPr>
        <w:t>文件</w:t>
      </w:r>
    </w:p>
    <w:p>
      <w:pPr>
        <w:snapToGrid w:val="0"/>
        <w:spacing w:before="120" w:beforeLines="50" w:after="50" w:line="360" w:lineRule="auto"/>
        <w:rPr>
          <w:rFonts w:ascii="宋体" w:hAnsi="宋体"/>
          <w:bCs/>
          <w:color w:val="auto"/>
          <w:sz w:val="24"/>
          <w:szCs w:val="20"/>
        </w:rPr>
      </w:pP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项目名称：</w:t>
      </w: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项目编号：</w:t>
      </w:r>
    </w:p>
    <w:p>
      <w:pPr>
        <w:snapToGrid w:val="0"/>
        <w:spacing w:before="120" w:beforeLines="50" w:after="50" w:line="360" w:lineRule="auto"/>
        <w:ind w:firstLine="1246" w:firstLineChars="445"/>
        <w:rPr>
          <w:rFonts w:ascii="宋体" w:hAnsi="宋体"/>
          <w:bCs/>
          <w:color w:val="auto"/>
          <w:sz w:val="28"/>
          <w:szCs w:val="28"/>
        </w:rPr>
      </w:pPr>
      <w:r>
        <w:rPr>
          <w:rFonts w:ascii="宋体" w:hAnsi="宋体"/>
          <w:bCs/>
          <w:color w:val="auto"/>
          <w:sz w:val="28"/>
          <w:szCs w:val="28"/>
        </w:rPr>
        <w:t>标项：</w:t>
      </w:r>
    </w:p>
    <w:p>
      <w:pPr>
        <w:snapToGrid w:val="0"/>
        <w:spacing w:before="120" w:beforeLines="50" w:after="50" w:line="360" w:lineRule="auto"/>
        <w:ind w:firstLine="1260" w:firstLineChars="450"/>
        <w:rPr>
          <w:rFonts w:ascii="宋体" w:hAnsi="宋体"/>
          <w:bCs/>
          <w:color w:val="auto"/>
          <w:sz w:val="28"/>
          <w:szCs w:val="28"/>
        </w:rPr>
      </w:pPr>
      <w:r>
        <w:rPr>
          <w:rFonts w:ascii="宋体" w:hAnsi="宋体"/>
          <w:bCs/>
          <w:color w:val="auto"/>
          <w:sz w:val="28"/>
          <w:szCs w:val="28"/>
        </w:rPr>
        <w:t>标项内容：</w:t>
      </w:r>
    </w:p>
    <w:p>
      <w:pPr>
        <w:pStyle w:val="22"/>
        <w:snapToGrid w:val="0"/>
        <w:spacing w:before="50" w:after="50" w:line="360" w:lineRule="auto"/>
        <w:ind w:firstLine="1260" w:firstLineChars="450"/>
        <w:rPr>
          <w:rFonts w:ascii="宋体" w:hAnsi="宋体"/>
          <w:bCs/>
          <w:color w:val="auto"/>
          <w:sz w:val="28"/>
          <w:szCs w:val="28"/>
        </w:rPr>
      </w:pPr>
    </w:p>
    <w:p>
      <w:pPr>
        <w:pStyle w:val="22"/>
        <w:snapToGrid w:val="0"/>
        <w:spacing w:before="50" w:after="50" w:line="360" w:lineRule="auto"/>
        <w:ind w:firstLine="1260" w:firstLineChars="450"/>
        <w:rPr>
          <w:rFonts w:ascii="宋体" w:hAnsi="宋体"/>
          <w:bCs/>
          <w:color w:val="auto"/>
          <w:sz w:val="28"/>
          <w:szCs w:val="28"/>
        </w:rPr>
      </w:pPr>
    </w:p>
    <w:p>
      <w:pPr>
        <w:pStyle w:val="22"/>
        <w:snapToGrid w:val="0"/>
        <w:spacing w:before="50" w:after="50" w:line="360" w:lineRule="auto"/>
        <w:ind w:firstLine="1260" w:firstLineChars="450"/>
        <w:rPr>
          <w:rFonts w:ascii="宋体" w:hAnsi="宋体"/>
          <w:bCs/>
          <w:color w:val="auto"/>
          <w:sz w:val="28"/>
          <w:szCs w:val="28"/>
        </w:rPr>
      </w:pPr>
    </w:p>
    <w:p>
      <w:pPr>
        <w:pStyle w:val="22"/>
        <w:snapToGrid w:val="0"/>
        <w:spacing w:before="50" w:after="50" w:line="360" w:lineRule="auto"/>
        <w:ind w:firstLine="1260" w:firstLineChars="450"/>
        <w:rPr>
          <w:rFonts w:ascii="宋体" w:hAnsi="宋体"/>
          <w:bCs/>
          <w:color w:val="auto"/>
          <w:sz w:val="28"/>
          <w:szCs w:val="28"/>
        </w:rPr>
      </w:pPr>
    </w:p>
    <w:p>
      <w:pPr>
        <w:pStyle w:val="22"/>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供应商名称：（盖章）</w:t>
      </w:r>
    </w:p>
    <w:p>
      <w:pPr>
        <w:pStyle w:val="22"/>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供应商地址：</w:t>
      </w:r>
    </w:p>
    <w:p>
      <w:pPr>
        <w:snapToGrid w:val="0"/>
        <w:spacing w:before="120" w:beforeLines="50" w:after="50" w:line="360" w:lineRule="auto"/>
        <w:ind w:firstLine="645"/>
        <w:jc w:val="center"/>
        <w:rPr>
          <w:rFonts w:ascii="宋体" w:hAnsi="宋体"/>
          <w:color w:val="auto"/>
          <w:sz w:val="28"/>
          <w:szCs w:val="28"/>
        </w:rPr>
      </w:pPr>
    </w:p>
    <w:p>
      <w:pPr>
        <w:snapToGrid w:val="0"/>
        <w:spacing w:before="120" w:beforeLines="50" w:after="50" w:line="360" w:lineRule="auto"/>
        <w:ind w:firstLine="645"/>
        <w:jc w:val="center"/>
        <w:rPr>
          <w:rFonts w:ascii="宋体" w:hAnsi="宋体"/>
          <w:color w:val="auto"/>
          <w:sz w:val="24"/>
          <w:szCs w:val="20"/>
        </w:rPr>
      </w:pPr>
      <w:r>
        <w:rPr>
          <w:rFonts w:ascii="宋体" w:hAnsi="宋体"/>
          <w:color w:val="auto"/>
          <w:sz w:val="28"/>
          <w:szCs w:val="28"/>
        </w:rPr>
        <w:t>年</w:t>
      </w:r>
      <w:r>
        <w:rPr>
          <w:rFonts w:hint="eastAsia" w:ascii="宋体" w:hAnsi="宋体"/>
          <w:color w:val="auto"/>
          <w:sz w:val="28"/>
          <w:szCs w:val="28"/>
        </w:rPr>
        <w:t xml:space="preserve">  </w:t>
      </w:r>
      <w:r>
        <w:rPr>
          <w:rFonts w:ascii="宋体" w:hAnsi="宋体"/>
          <w:color w:val="auto"/>
          <w:sz w:val="28"/>
          <w:szCs w:val="28"/>
        </w:rPr>
        <w:t>月</w:t>
      </w:r>
      <w:r>
        <w:rPr>
          <w:rFonts w:hint="eastAsia" w:ascii="宋体" w:hAnsi="宋体"/>
          <w:color w:val="auto"/>
          <w:sz w:val="28"/>
          <w:szCs w:val="28"/>
        </w:rPr>
        <w:t xml:space="preserve">  </w:t>
      </w:r>
      <w:r>
        <w:rPr>
          <w:rFonts w:ascii="宋体" w:hAnsi="宋体"/>
          <w:color w:val="auto"/>
          <w:sz w:val="28"/>
          <w:szCs w:val="28"/>
        </w:rPr>
        <w:t>日</w:t>
      </w:r>
    </w:p>
    <w:p>
      <w:pPr>
        <w:spacing w:line="360" w:lineRule="auto"/>
        <w:jc w:val="center"/>
        <w:rPr>
          <w:rFonts w:ascii="宋体" w:hAnsi="宋体" w:cs="仿宋_GB2312"/>
          <w:color w:val="auto"/>
          <w:sz w:val="36"/>
          <w:szCs w:val="36"/>
          <w:highlight w:val="none"/>
        </w:rPr>
      </w:pPr>
    </w:p>
    <w:p>
      <w:pPr>
        <w:spacing w:line="360" w:lineRule="auto"/>
        <w:ind w:right="420"/>
        <w:rPr>
          <w:rFonts w:ascii="宋体" w:hAnsi="宋体" w:cs="宋体"/>
          <w:color w:val="auto"/>
          <w:sz w:val="24"/>
          <w:highlight w:val="none"/>
        </w:rPr>
      </w:pPr>
      <w:r>
        <w:rPr>
          <w:rFonts w:hint="eastAsia" w:ascii="宋体" w:hAnsi="宋体" w:cs="仿宋_GB2312"/>
          <w:color w:val="auto"/>
          <w:sz w:val="36"/>
          <w:szCs w:val="36"/>
          <w:highlight w:val="none"/>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kern w:val="0"/>
          <w:sz w:val="32"/>
          <w:szCs w:val="32"/>
          <w:highlight w:val="none"/>
          <w:lang w:val="zh-CN"/>
        </w:rPr>
        <w:t>一、</w:t>
      </w:r>
      <w:r>
        <w:rPr>
          <w:rFonts w:hint="eastAsia" w:ascii="宋体" w:hAnsi="宋体" w:cs="宋体"/>
          <w:b/>
          <w:color w:val="auto"/>
          <w:kern w:val="0"/>
          <w:sz w:val="32"/>
          <w:szCs w:val="32"/>
          <w:highlight w:val="none"/>
        </w:rPr>
        <w:t>符合参加政府采购活动应当具备的一般条件的承诺函</w:t>
      </w:r>
    </w:p>
    <w:p>
      <w:pPr>
        <w:snapToGrid w:val="0"/>
        <w:spacing w:line="360" w:lineRule="auto"/>
        <w:rPr>
          <w:rFonts w:ascii="宋体" w:hAnsi="宋体" w:cs="宋体"/>
          <w:color w:val="auto"/>
          <w:sz w:val="24"/>
          <w:highlight w:val="none"/>
        </w:rPr>
      </w:pPr>
      <w:r>
        <w:rPr>
          <w:rFonts w:hint="eastAsia" w:ascii="宋体" w:hAnsi="宋体" w:cs="仿宋_GB2312"/>
          <w:color w:val="auto"/>
          <w:sz w:val="24"/>
          <w:highlight w:val="none"/>
        </w:rPr>
        <w:t>（采购人）、（采购代理机构）</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w:t>
      </w:r>
      <w:r>
        <w:rPr>
          <w:rFonts w:hint="eastAsia" w:ascii="宋体" w:hAnsi="宋体" w:cs="仿宋_GB2312"/>
          <w:color w:val="auto"/>
          <w:sz w:val="24"/>
          <w:highlight w:val="none"/>
        </w:rPr>
        <w:t>（项目名称）</w:t>
      </w:r>
      <w:r>
        <w:rPr>
          <w:rFonts w:hint="eastAsia" w:ascii="宋体" w:hAnsi="宋体" w:cs="仿宋_GB2312"/>
          <w:color w:val="auto"/>
          <w:kern w:val="0"/>
          <w:sz w:val="24"/>
          <w:highlight w:val="none"/>
          <w:lang w:val="zh-CN"/>
        </w:rPr>
        <w:t>【项目编号：（采购编号）】</w:t>
      </w:r>
      <w:r>
        <w:rPr>
          <w:rFonts w:hint="eastAsia" w:ascii="宋体" w:hAnsi="宋体" w:cs="宋体"/>
          <w:color w:val="auto"/>
          <w:sz w:val="24"/>
          <w:highlight w:val="none"/>
        </w:rPr>
        <w:t>政府采购活动，郑重承诺：</w:t>
      </w:r>
    </w:p>
    <w:p>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（三）不存在以下情况：</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sz w:val="32"/>
          <w:szCs w:val="32"/>
          <w:highlight w:val="none"/>
        </w:rPr>
        <w:t>二、</w:t>
      </w:r>
      <w:r>
        <w:rPr>
          <w:rFonts w:hint="eastAsia" w:ascii="宋体" w:hAnsi="宋体" w:cs="宋体"/>
          <w:b/>
          <w:color w:val="auto"/>
          <w:kern w:val="0"/>
          <w:sz w:val="32"/>
          <w:szCs w:val="32"/>
          <w:highlight w:val="none"/>
        </w:rPr>
        <w:t>落实政府采购政策需满足的资格要求</w:t>
      </w:r>
    </w:p>
    <w:p>
      <w:pPr>
        <w:spacing w:line="360" w:lineRule="auto"/>
        <w:rPr>
          <w:rFonts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b/>
          <w:bCs/>
          <w:color w:val="auto"/>
          <w:sz w:val="24"/>
          <w:highlight w:val="none"/>
        </w:rPr>
        <w:t>磋商文件第一部分竞争性磋商邀请公告中</w:t>
      </w:r>
      <w:r>
        <w:rPr>
          <w:rFonts w:hint="eastAsia" w:ascii="宋体" w:hAnsi="宋体" w:cs="宋体"/>
          <w:color w:val="auto"/>
          <w:sz w:val="24"/>
          <w:highlight w:val="none"/>
        </w:rPr>
        <w:t>落实政府采购政策需满足的资格要求选择提供相应的材料；未要求的，无需提供）</w:t>
      </w:r>
    </w:p>
    <w:p>
      <w:pPr>
        <w:snapToGrid w:val="0"/>
        <w:spacing w:before="50" w:after="50"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 xml:space="preserve">.专门面向中小企业，服务全部由符合政策要求的中小企业（或小微企业）承接的，提供相应的中小企业声明函（附件4）。 </w:t>
      </w:r>
    </w:p>
    <w:p>
      <w:pPr>
        <w:widowControl/>
        <w:spacing w:line="360" w:lineRule="auto"/>
        <w:ind w:firstLine="480"/>
        <w:jc w:val="left"/>
        <w:rPr>
          <w:rFonts w:ascii="宋体" w:hAnsi="宋体" w:cs="宋体"/>
          <w:color w:val="auto"/>
          <w:sz w:val="24"/>
          <w:highlight w:val="none"/>
        </w:rPr>
      </w:pPr>
    </w:p>
    <w:p>
      <w:pPr>
        <w:spacing w:line="360" w:lineRule="auto"/>
        <w:jc w:val="center"/>
        <w:rPr>
          <w:rFonts w:ascii="宋体" w:hAnsi="宋体" w:cs="仿宋_GB2312"/>
          <w:b/>
          <w:color w:val="auto"/>
          <w:sz w:val="32"/>
          <w:szCs w:val="32"/>
          <w:highlight w:val="none"/>
        </w:rPr>
      </w:pPr>
      <w:r>
        <w:rPr>
          <w:rFonts w:hint="eastAsia" w:ascii="宋体" w:hAnsi="宋体" w:cs="宋体"/>
          <w:b/>
          <w:color w:val="auto"/>
          <w:sz w:val="24"/>
          <w:highlight w:val="none"/>
        </w:rPr>
        <w:t>b.</w:t>
      </w:r>
      <w:r>
        <w:rPr>
          <w:rFonts w:hint="eastAsia" w:ascii="宋体" w:hAnsi="宋体" w:cs="仿宋_GB2312"/>
          <w:b/>
          <w:color w:val="auto"/>
          <w:sz w:val="32"/>
          <w:szCs w:val="32"/>
          <w:highlight w:val="none"/>
        </w:rPr>
        <w:t>符合特定资格条件要求的资质文件（复印件）</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（由供应商根据“磋商文件第一部分”中“合格的供应商应具备的特定资格要求”编制；如果本项目没有设置特定资格条件，则不需要提供）</w:t>
      </w:r>
    </w:p>
    <w:p>
      <w:pPr>
        <w:widowControl/>
        <w:spacing w:line="360" w:lineRule="auto"/>
        <w:ind w:firstLine="480" w:firstLineChars="200"/>
        <w:jc w:val="left"/>
        <w:rPr>
          <w:rFonts w:ascii="宋体" w:hAnsi="宋体" w:cs="仿宋_GB2312"/>
          <w:color w:val="auto"/>
          <w:sz w:val="24"/>
          <w:highlight w:val="none"/>
        </w:rPr>
      </w:pPr>
    </w:p>
    <w:p>
      <w:pPr>
        <w:snapToGrid w:val="0"/>
        <w:spacing w:line="360" w:lineRule="auto"/>
        <w:ind w:firstLine="5880" w:firstLineChars="2450"/>
        <w:rPr>
          <w:rFonts w:ascii="宋体" w:hAnsi="宋体" w:cs="仿宋_GB2312"/>
          <w:color w:val="auto"/>
          <w:kern w:val="0"/>
          <w:sz w:val="24"/>
          <w:highlight w:val="none"/>
        </w:rPr>
      </w:pPr>
      <w:r>
        <w:rPr>
          <w:rFonts w:hint="eastAsia" w:ascii="宋体" w:hAnsi="宋体" w:cs="仿宋_GB2312"/>
          <w:color w:val="auto"/>
          <w:kern w:val="0"/>
          <w:sz w:val="24"/>
          <w:highlight w:val="none"/>
          <w:lang w:val="zh-CN"/>
        </w:rPr>
        <w:t>供应商名称(盖章)：</w:t>
      </w:r>
    </w:p>
    <w:p>
      <w:pPr>
        <w:snapToGrid w:val="0"/>
        <w:spacing w:line="360" w:lineRule="auto"/>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 xml:space="preserve">                                                 签发日期：  年  月   日</w:t>
      </w:r>
    </w:p>
    <w:p>
      <w:pPr>
        <w:snapToGrid w:val="0"/>
        <w:spacing w:line="360" w:lineRule="auto"/>
        <w:rPr>
          <w:rFonts w:ascii="宋体" w:hAnsi="宋体" w:cs="仿宋_GB2312"/>
          <w:color w:val="auto"/>
          <w:kern w:val="0"/>
          <w:sz w:val="24"/>
          <w:highlight w:val="none"/>
          <w:lang w:val="zh-CN"/>
        </w:rPr>
      </w:pPr>
    </w:p>
    <w:p>
      <w:pPr>
        <w:snapToGrid w:val="0"/>
        <w:spacing w:line="360" w:lineRule="auto"/>
        <w:ind w:right="480"/>
        <w:jc w:val="center"/>
        <w:rPr>
          <w:rFonts w:ascii="宋体" w:hAnsi="宋体" w:cs="仿宋_GB2312"/>
          <w:b/>
          <w:color w:val="auto"/>
          <w:kern w:val="0"/>
          <w:sz w:val="32"/>
          <w:szCs w:val="32"/>
          <w:highlight w:val="none"/>
          <w:lang w:val="zh-CN"/>
        </w:rPr>
        <w:sectPr>
          <w:headerReference r:id="rId6" w:type="first"/>
          <w:footerReference r:id="rId9" w:type="first"/>
          <w:headerReference r:id="rId5" w:type="default"/>
          <w:footerReference r:id="rId7" w:type="default"/>
          <w:footerReference r:id="rId8" w:type="even"/>
          <w:pgSz w:w="11906" w:h="16838"/>
          <w:pgMar w:top="1247" w:right="1418" w:bottom="1276" w:left="1418" w:header="851" w:footer="992" w:gutter="0"/>
          <w:cols w:space="720" w:num="1"/>
          <w:titlePg/>
          <w:docGrid w:linePitch="312" w:charSpace="0"/>
        </w:sectPr>
      </w:pP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三、响应</w:t>
      </w:r>
      <w:r>
        <w:rPr>
          <w:rFonts w:hint="eastAsia" w:ascii="宋体" w:hAnsi="宋体" w:cs="仿宋_GB2312"/>
          <w:b/>
          <w:color w:val="auto"/>
          <w:sz w:val="32"/>
          <w:szCs w:val="32"/>
          <w:highlight w:val="none"/>
        </w:rPr>
        <w:t>函</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（采购人）、（采购代理机构）：</w:t>
      </w:r>
    </w:p>
    <w:p>
      <w:pPr>
        <w:spacing w:line="360" w:lineRule="auto"/>
        <w:rPr>
          <w:rFonts w:ascii="宋体" w:hAnsi="宋体" w:cs="仿宋_GB2312"/>
          <w:color w:val="auto"/>
          <w:sz w:val="24"/>
          <w:highlight w:val="none"/>
        </w:rPr>
      </w:pP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(供应商全称)授权</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(全权代表姓名)</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(职务、职称)为全权代表，参加贵方组织的（项目名称）【项目编号：（采购编号）】的有关活动，并对此项目进行响应。为此：</w:t>
      </w:r>
    </w:p>
    <w:p>
      <w:pPr>
        <w:pStyle w:val="110"/>
        <w:numPr>
          <w:ilvl w:val="0"/>
          <w:numId w:val="15"/>
        </w:numPr>
        <w:tabs>
          <w:tab w:val="left" w:pos="840"/>
        </w:tabs>
        <w:snapToGrid w:val="0"/>
        <w:ind w:firstLineChars="0"/>
        <w:rPr>
          <w:rFonts w:ascii="宋体" w:hAnsi="宋体" w:eastAsia="宋体" w:cs="仿宋_GB2312"/>
          <w:color w:val="auto"/>
          <w:highlight w:val="none"/>
        </w:rPr>
      </w:pPr>
      <w:r>
        <w:rPr>
          <w:rFonts w:hint="eastAsia" w:ascii="宋体" w:hAnsi="宋体" w:eastAsia="宋体" w:cs="仿宋_GB2312"/>
          <w:color w:val="auto"/>
          <w:highlight w:val="none"/>
        </w:rPr>
        <w:t>我方承诺响应有效期从提交响应文件的截止之日起</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rPr>
        <w:t>天，</w:t>
      </w:r>
      <w:r>
        <w:rPr>
          <w:rFonts w:hint="eastAsia" w:ascii="宋体" w:hAnsi="宋体" w:eastAsia="宋体" w:cs="宋体"/>
          <w:color w:val="auto"/>
          <w:highlight w:val="none"/>
        </w:rPr>
        <w:t>（不少于90天），</w:t>
      </w:r>
      <w:r>
        <w:rPr>
          <w:rFonts w:hint="eastAsia" w:ascii="宋体" w:hAnsi="宋体" w:eastAsia="宋体" w:cs="仿宋_GB2312"/>
          <w:color w:val="auto"/>
          <w:highlight w:val="none"/>
        </w:rPr>
        <w:t>本响应文件在响应有效期满之前均具有约束力。</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提供</w:t>
      </w:r>
      <w:r>
        <w:rPr>
          <w:rFonts w:hint="eastAsia" w:ascii="宋体" w:hAnsi="宋体" w:cs="仿宋_GB2312"/>
          <w:bCs/>
          <w:color w:val="auto"/>
          <w:kern w:val="44"/>
          <w:sz w:val="24"/>
          <w:highlight w:val="none"/>
        </w:rPr>
        <w:t>磋商文件中</w:t>
      </w:r>
      <w:r>
        <w:rPr>
          <w:rFonts w:hint="eastAsia" w:ascii="宋体" w:hAnsi="宋体" w:cs="仿宋_GB2312"/>
          <w:color w:val="auto"/>
          <w:sz w:val="24"/>
          <w:highlight w:val="none"/>
        </w:rPr>
        <w:t>规定的全部响应文件。</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我方承诺除响应文件列出的偏离外，我方响应磋商文件的全部要求。</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保证遵守磋商文件中的其他有关规定。</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我方愿意向贵方提供任何与该项目响应有关的数据、情况和技术资料。若贵方需要，我方愿意提供我方作出的一切承诺的证明材料。</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10、我方已详细阅读全部磋商文件，包括磋商文件“更正（延期）公告”（如果有）、参考资料及有关附件，确认无误。</w:t>
      </w:r>
    </w:p>
    <w:p>
      <w:pPr>
        <w:numPr>
          <w:ilvl w:val="0"/>
          <w:numId w:val="15"/>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如我方成交，我方承诺：</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4.3在合同约定的期限内完成合同规定的全部义务。 </w:t>
      </w:r>
    </w:p>
    <w:p>
      <w:pPr>
        <w:numPr>
          <w:ilvl w:val="0"/>
          <w:numId w:val="15"/>
        </w:numPr>
        <w:tabs>
          <w:tab w:val="left" w:pos="840"/>
        </w:tabs>
        <w:adjustRightInd/>
        <w:spacing w:line="360" w:lineRule="auto"/>
        <w:rPr>
          <w:rFonts w:ascii="宋体" w:hAnsi="宋体" w:cs="宋体"/>
          <w:color w:val="auto"/>
          <w:sz w:val="24"/>
          <w:highlight w:val="none"/>
        </w:rPr>
      </w:pPr>
      <w:r>
        <w:rPr>
          <w:rFonts w:hint="eastAsia" w:ascii="宋体" w:hAnsi="宋体" w:cs="宋体"/>
          <w:color w:val="auto"/>
          <w:sz w:val="24"/>
          <w:highlight w:val="none"/>
        </w:rPr>
        <w:t>其他补充说明:                                        。</w:t>
      </w:r>
    </w:p>
    <w:p>
      <w:pPr>
        <w:autoSpaceDE w:val="0"/>
        <w:autoSpaceDN w:val="0"/>
        <w:spacing w:line="360" w:lineRule="auto"/>
        <w:ind w:firstLine="3960" w:firstLineChars="1650"/>
        <w:rPr>
          <w:rFonts w:ascii="宋体" w:hAnsi="宋体" w:cs="仿宋_GB2312"/>
          <w:color w:val="auto"/>
          <w:kern w:val="0"/>
          <w:sz w:val="24"/>
          <w:highlight w:val="none"/>
          <w:lang w:val="zh-CN"/>
        </w:rPr>
      </w:pPr>
    </w:p>
    <w:p>
      <w:pPr>
        <w:spacing w:line="360" w:lineRule="auto"/>
        <w:ind w:firstLine="3600" w:firstLineChars="1500"/>
        <w:rPr>
          <w:rFonts w:ascii="宋体" w:hAnsi="宋体" w:cs="仿宋_GB2312"/>
          <w:color w:val="auto"/>
          <w:sz w:val="24"/>
          <w:highlight w:val="none"/>
        </w:rPr>
      </w:pPr>
      <w:r>
        <w:rPr>
          <w:rFonts w:hint="eastAsia" w:ascii="宋体" w:hAnsi="宋体" w:cs="仿宋_GB2312"/>
          <w:color w:val="auto"/>
          <w:sz w:val="24"/>
          <w:highlight w:val="none"/>
        </w:rPr>
        <w:t xml:space="preserve">供应商名称（盖章）：                          </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 xml:space="preserve">     日期：  年   月   日</w:t>
      </w:r>
    </w:p>
    <w:p>
      <w:pPr>
        <w:pStyle w:val="28"/>
        <w:rPr>
          <w:color w:val="auto"/>
          <w:highlight w:val="none"/>
        </w:rPr>
      </w:pPr>
      <w:r>
        <w:rPr>
          <w:rFonts w:hint="eastAsia" w:cs="宋体"/>
          <w:color w:val="auto"/>
          <w:highlight w:val="none"/>
        </w:rPr>
        <w:t>注：按本格式和要求提供。</w:t>
      </w:r>
    </w:p>
    <w:p>
      <w:pPr>
        <w:snapToGrid w:val="0"/>
        <w:spacing w:line="360" w:lineRule="auto"/>
        <w:ind w:right="480"/>
        <w:jc w:val="center"/>
        <w:rPr>
          <w:rFonts w:ascii="宋体" w:hAnsi="宋体" w:cs="仿宋_GB2312"/>
          <w:b/>
          <w:color w:val="auto"/>
          <w:kern w:val="0"/>
          <w:sz w:val="32"/>
          <w:szCs w:val="32"/>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widowControl/>
        <w:adjustRightInd/>
        <w:jc w:val="left"/>
        <w:rPr>
          <w:rFonts w:ascii="宋体" w:hAnsi="宋体" w:cs="仿宋_GB2312"/>
          <w:b/>
          <w:color w:val="auto"/>
          <w:sz w:val="32"/>
          <w:szCs w:val="32"/>
          <w:highlight w:val="none"/>
        </w:rPr>
      </w:pPr>
    </w:p>
    <w:p>
      <w:pPr>
        <w:jc w:val="center"/>
        <w:rPr>
          <w:rFonts w:ascii="宋体" w:hAnsi="宋体" w:cs="宋体"/>
          <w:b/>
          <w:color w:val="auto"/>
          <w:kern w:val="0"/>
          <w:sz w:val="32"/>
          <w:szCs w:val="32"/>
          <w:highlight w:val="none"/>
          <w:lang w:val="zh-CN"/>
        </w:rPr>
      </w:pPr>
      <w:r>
        <w:rPr>
          <w:rFonts w:hint="eastAsia" w:ascii="宋体" w:hAnsi="宋体" w:cs="仿宋_GB2312"/>
          <w:b/>
          <w:color w:val="auto"/>
          <w:kern w:val="0"/>
          <w:sz w:val="32"/>
          <w:szCs w:val="32"/>
          <w:highlight w:val="none"/>
          <w:lang w:val="zh-CN"/>
        </w:rPr>
        <w:t>四、</w:t>
      </w:r>
      <w:r>
        <w:rPr>
          <w:rFonts w:hint="eastAsia" w:ascii="宋体" w:hAnsi="宋体" w:cs="宋体"/>
          <w:b/>
          <w:color w:val="auto"/>
          <w:kern w:val="0"/>
          <w:sz w:val="32"/>
          <w:szCs w:val="32"/>
          <w:highlight w:val="none"/>
          <w:lang w:val="zh-CN"/>
        </w:rPr>
        <w:t>授权委托书或法定代表人（单位负责人、自然人本人）身份证明</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pPr>
        <w:spacing w:line="400" w:lineRule="exact"/>
        <w:ind w:firstLine="422"/>
        <w:jc w:val="center"/>
        <w:rPr>
          <w:rFonts w:ascii="宋体" w:hAnsi="宋体" w:cs="宋体"/>
          <w:b/>
          <w:color w:val="auto"/>
          <w:szCs w:val="21"/>
          <w:highlight w:val="none"/>
        </w:rPr>
      </w:pPr>
      <w:r>
        <w:rPr>
          <w:rFonts w:hint="eastAsia" w:ascii="宋体" w:hAnsi="宋体" w:cs="宋体"/>
          <w:b/>
          <w:color w:val="auto"/>
          <w:szCs w:val="21"/>
          <w:highlight w:val="none"/>
        </w:rPr>
        <w:t>法定代表人身份证明</w:t>
      </w:r>
    </w:p>
    <w:p>
      <w:pPr>
        <w:ind w:firstLine="422"/>
        <w:rPr>
          <w:rFonts w:ascii="宋体" w:hAnsi="宋体" w:cs="宋体"/>
          <w:b/>
          <w:color w:val="auto"/>
          <w:szCs w:val="21"/>
          <w:highlight w:val="none"/>
        </w:rPr>
      </w:pP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单位名称：</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地    址：</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姓    名： 性    别：</w:t>
      </w:r>
    </w:p>
    <w:p>
      <w:pPr>
        <w:spacing w:line="360" w:lineRule="auto"/>
        <w:ind w:firstLine="420"/>
        <w:rPr>
          <w:rFonts w:ascii="宋体" w:hAnsi="宋体" w:cs="宋体"/>
          <w:color w:val="auto"/>
          <w:sz w:val="24"/>
          <w:highlight w:val="none"/>
          <w:u w:val="single"/>
        </w:rPr>
      </w:pPr>
      <w:r>
        <w:rPr>
          <w:rFonts w:hint="eastAsia" w:ascii="宋体" w:hAnsi="宋体" w:cs="宋体"/>
          <w:color w:val="auto"/>
          <w:sz w:val="24"/>
          <w:highlight w:val="none"/>
        </w:rPr>
        <w:t>年    龄： 职    务：</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身份证号码：</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系</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的法定代表人，为</w:t>
      </w:r>
      <w:r>
        <w:rPr>
          <w:rFonts w:hint="eastAsia" w:ascii="宋体" w:hAnsi="宋体" w:cs="宋体"/>
          <w:color w:val="auto"/>
          <w:sz w:val="24"/>
          <w:highlight w:val="none"/>
          <w:u w:val="single"/>
        </w:rPr>
        <w:t xml:space="preserve">     （项目编号、项目名称）   </w:t>
      </w:r>
      <w:r>
        <w:rPr>
          <w:rFonts w:hint="eastAsia" w:ascii="宋体" w:hAnsi="宋体" w:cs="宋体"/>
          <w:color w:val="auto"/>
          <w:sz w:val="24"/>
          <w:highlight w:val="none"/>
        </w:rPr>
        <w:t>项目，签署上述项目的响应文件，进行合同谈判、签署合同和处理与之有关的一切事宜。</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特此证明。</w:t>
      </w:r>
    </w:p>
    <w:p>
      <w:pPr>
        <w:spacing w:line="360" w:lineRule="auto"/>
        <w:ind w:firstLine="420"/>
        <w:rPr>
          <w:rFonts w:ascii="宋体" w:hAnsi="宋体" w:cs="宋体"/>
          <w:color w:val="auto"/>
          <w:sz w:val="24"/>
          <w:highlight w:val="none"/>
        </w:rPr>
      </w:pP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后附法定代表人身份证正反面复印件，加盖供应商公章。</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3"/>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3"/>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3"/>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color w:val="auto"/>
          <w:sz w:val="30"/>
          <w:szCs w:val="30"/>
          <w:highlight w:val="none"/>
        </w:rPr>
      </w:pPr>
    </w:p>
    <w:p>
      <w:pPr>
        <w:snapToGrid w:val="0"/>
        <w:spacing w:line="360" w:lineRule="auto"/>
        <w:ind w:firstLine="576"/>
        <w:jc w:val="center"/>
        <w:rPr>
          <w:rFonts w:ascii="宋体" w:hAnsi="宋体" w:cs="仿宋_GB2312"/>
          <w:color w:val="auto"/>
          <w:sz w:val="28"/>
          <w:szCs w:val="28"/>
          <w:highlight w:val="none"/>
        </w:rPr>
      </w:pPr>
    </w:p>
    <w:p>
      <w:pPr>
        <w:snapToGrid w:val="0"/>
        <w:spacing w:line="360" w:lineRule="auto"/>
        <w:ind w:firstLine="2872" w:firstLineChars="894"/>
        <w:jc w:val="both"/>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法定代表人授权委托书</w:t>
      </w:r>
    </w:p>
    <w:p>
      <w:pPr>
        <w:snapToGrid w:val="0"/>
        <w:spacing w:line="360" w:lineRule="auto"/>
        <w:ind w:firstLine="0" w:firstLineChars="0"/>
        <w:jc w:val="center"/>
        <w:rPr>
          <w:rFonts w:ascii="宋体" w:hAnsi="宋体" w:cs="宋体"/>
          <w:b/>
          <w:i/>
          <w:iCs/>
          <w:color w:val="auto"/>
          <w:kern w:val="0"/>
          <w:sz w:val="24"/>
          <w:szCs w:val="24"/>
          <w:highlight w:val="none"/>
          <w:lang w:val="zh-CN"/>
        </w:rPr>
      </w:pPr>
      <w:r>
        <w:rPr>
          <w:rFonts w:hint="eastAsia" w:ascii="宋体" w:hAnsi="宋体" w:cs="宋体"/>
          <w:b/>
          <w:i/>
          <w:iCs/>
          <w:color w:val="auto"/>
          <w:kern w:val="0"/>
          <w:sz w:val="24"/>
          <w:szCs w:val="24"/>
          <w:highlight w:val="none"/>
          <w:lang w:val="zh-CN"/>
        </w:rPr>
        <w:t>（如法人参加磋商可不提供授权委托书）</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政府采购磋商的一切事项，其法律后果由我方承担。</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color w:val="auto"/>
          <w:sz w:val="24"/>
          <w:highlight w:val="none"/>
        </w:rPr>
      </w:pPr>
    </w:p>
    <w:p>
      <w:pPr>
        <w:snapToGrid w:val="0"/>
        <w:spacing w:line="360" w:lineRule="auto"/>
        <w:rPr>
          <w:rFonts w:ascii="宋体" w:hAnsi="宋体" w:cs="宋体"/>
          <w:color w:val="auto"/>
          <w:kern w:val="0"/>
          <w:sz w:val="24"/>
          <w:highlight w:val="none"/>
          <w:lang w:val="zh-CN"/>
        </w:rPr>
      </w:pPr>
      <w:r>
        <w:rPr>
          <w:rFonts w:hint="eastAsia" w:ascii="宋体" w:hAnsi="宋体" w:cs="宋体"/>
          <w:b/>
          <w:color w:val="auto"/>
          <w:kern w:val="0"/>
          <w:sz w:val="32"/>
          <w:szCs w:val="32"/>
          <w:highlight w:val="none"/>
          <w:lang w:val="zh-CN"/>
        </w:rPr>
        <w:t xml:space="preserve">      </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3"/>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3"/>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3"/>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bCs/>
          <w:color w:val="auto"/>
          <w:kern w:val="0"/>
          <w:sz w:val="32"/>
          <w:szCs w:val="32"/>
          <w:highlight w:val="none"/>
          <w:lang w:val="zh-CN"/>
        </w:rPr>
      </w:pPr>
      <w:r>
        <w:rPr>
          <w:rFonts w:hint="eastAsia" w:ascii="宋体" w:hAnsi="宋体" w:cs="宋体"/>
          <w:b/>
          <w:bCs/>
          <w:color w:val="auto"/>
          <w:sz w:val="24"/>
          <w:highlight w:val="none"/>
          <w:lang w:eastAsia="zh-CN"/>
        </w:rPr>
        <w:t>附：授权代表</w:t>
      </w:r>
      <w:r>
        <w:rPr>
          <w:rFonts w:hint="eastAsia" w:ascii="宋体" w:hAnsi="宋体" w:cs="宋体"/>
          <w:b/>
          <w:bCs/>
          <w:color w:val="auto"/>
          <w:sz w:val="24"/>
          <w:highlight w:val="none"/>
        </w:rPr>
        <w:t>近六个月任一月缴纳社保证明</w:t>
      </w:r>
    </w:p>
    <w:p>
      <w:pPr>
        <w:spacing w:line="360" w:lineRule="auto"/>
        <w:jc w:val="center"/>
        <w:rPr>
          <w:rFonts w:ascii="宋体" w:hAnsi="宋体" w:cs="仿宋_GB2312"/>
          <w:b/>
          <w:color w:val="auto"/>
          <w:kern w:val="0"/>
          <w:sz w:val="32"/>
          <w:szCs w:val="32"/>
          <w:highlight w:val="none"/>
        </w:rPr>
      </w:pPr>
    </w:p>
    <w:p>
      <w:pPr>
        <w:spacing w:line="360" w:lineRule="auto"/>
        <w:jc w:val="center"/>
        <w:rPr>
          <w:rFonts w:ascii="宋体" w:hAnsi="宋体" w:cs="仿宋_GB2312"/>
          <w:b/>
          <w:color w:val="auto"/>
          <w:kern w:val="0"/>
          <w:sz w:val="32"/>
          <w:szCs w:val="32"/>
          <w:highlight w:val="none"/>
        </w:rPr>
      </w:pPr>
      <w:r>
        <w:rPr>
          <w:rFonts w:hint="eastAsia" w:ascii="宋体" w:hAnsi="宋体" w:cs="仿宋_GB2312"/>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五</w:t>
      </w:r>
      <w:r>
        <w:rPr>
          <w:rFonts w:hint="eastAsia" w:ascii="宋体" w:hAnsi="宋体" w:cs="仿宋_GB2312"/>
          <w:b/>
          <w:bCs/>
          <w:color w:val="auto"/>
          <w:sz w:val="32"/>
          <w:szCs w:val="32"/>
          <w:highlight w:val="none"/>
        </w:rPr>
        <w:t>、</w:t>
      </w:r>
      <w:r>
        <w:rPr>
          <w:rFonts w:hint="eastAsia" w:ascii="宋体" w:hAnsi="宋体" w:cs="仿宋_GB2312"/>
          <w:b/>
          <w:color w:val="auto"/>
          <w:kern w:val="0"/>
          <w:sz w:val="32"/>
          <w:szCs w:val="32"/>
          <w:highlight w:val="none"/>
          <w:lang w:val="zh-CN"/>
        </w:rPr>
        <w:t>主要业绩证明</w:t>
      </w:r>
    </w:p>
    <w:p>
      <w:pPr>
        <w:autoSpaceDE w:val="0"/>
        <w:autoSpaceDN w:val="0"/>
        <w:spacing w:line="360" w:lineRule="auto"/>
        <w:ind w:firstLine="120"/>
        <w:rPr>
          <w:rFonts w:ascii="宋体" w:hAnsi="宋体" w:cs="仿宋_GB2312"/>
          <w:b/>
          <w:color w:val="auto"/>
          <w:sz w:val="24"/>
          <w:highlight w:val="none"/>
        </w:rPr>
      </w:pPr>
      <w:r>
        <w:rPr>
          <w:rFonts w:hint="eastAsia" w:ascii="宋体" w:hAnsi="宋体" w:cs="仿宋_GB2312"/>
          <w:b/>
          <w:color w:val="auto"/>
          <w:sz w:val="24"/>
          <w:highlight w:val="none"/>
        </w:rPr>
        <w:t>附表 :相关项目建设业绩一览表</w:t>
      </w:r>
    </w:p>
    <w:tbl>
      <w:tblPr>
        <w:tblStyle w:val="73"/>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Layout w:type="fixed"/>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投资</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项目地址与建设单位联系电话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所在页码</w:t>
            </w:r>
          </w:p>
        </w:tc>
      </w:tr>
      <w:tr>
        <w:tblPrEx>
          <w:tblLayout w:type="fixed"/>
          <w:tblCellMar>
            <w:top w:w="0" w:type="dxa"/>
            <w:left w:w="108" w:type="dxa"/>
            <w:bottom w:w="0" w:type="dxa"/>
            <w:right w:w="108" w:type="dxa"/>
          </w:tblCellMar>
        </w:tblPrEx>
        <w:trPr>
          <w:trHeight w:val="894"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0"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bl>
    <w:p>
      <w:pPr>
        <w:autoSpaceDE w:val="0"/>
        <w:autoSpaceDN w:val="0"/>
        <w:spacing w:line="360" w:lineRule="auto"/>
        <w:rPr>
          <w:rFonts w:ascii="宋体" w:hAnsi="宋体" w:cs="仿宋_GB2312"/>
          <w:color w:val="auto"/>
          <w:sz w:val="24"/>
          <w:highlight w:val="none"/>
        </w:rPr>
      </w:pPr>
      <w:r>
        <w:rPr>
          <w:rFonts w:hint="eastAsia" w:ascii="宋体" w:hAnsi="宋体" w:cs="仿宋_GB2312"/>
          <w:b/>
          <w:color w:val="auto"/>
          <w:sz w:val="24"/>
          <w:highlight w:val="none"/>
        </w:rPr>
        <w:t>注：供应商可按上述的格式自行编制，须随表提交相应的合同复印件和用户单位验收证明并注明所在文件页码。</w:t>
      </w:r>
    </w:p>
    <w:p>
      <w:pPr>
        <w:autoSpaceDE w:val="0"/>
        <w:autoSpaceDN w:val="0"/>
        <w:spacing w:line="360" w:lineRule="auto"/>
        <w:rPr>
          <w:rFonts w:ascii="宋体" w:hAnsi="宋体" w:cs="仿宋_GB2312"/>
          <w:color w:val="auto"/>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4560" w:firstLineChars="1900"/>
        <w:rPr>
          <w:rFonts w:ascii="宋体" w:hAnsi="宋体" w:cs="仿宋_GB2312"/>
          <w:color w:val="auto"/>
          <w:kern w:val="0"/>
          <w:sz w:val="24"/>
          <w:highlight w:val="none"/>
        </w:rPr>
      </w:pPr>
      <w:r>
        <w:rPr>
          <w:rFonts w:hint="eastAsia" w:ascii="宋体" w:hAnsi="宋体" w:cs="仿宋_GB2312"/>
          <w:color w:val="auto"/>
          <w:kern w:val="0"/>
          <w:sz w:val="24"/>
          <w:highlight w:val="none"/>
        </w:rPr>
        <w:t xml:space="preserve">供应商名称（盖章）：                       </w:t>
      </w:r>
    </w:p>
    <w:p>
      <w:pPr>
        <w:spacing w:line="360" w:lineRule="auto"/>
        <w:rPr>
          <w:rFonts w:ascii="宋体" w:hAnsi="宋体" w:cs="仿宋_GB2312"/>
          <w:b/>
          <w:bCs/>
          <w:color w:val="auto"/>
          <w:sz w:val="24"/>
          <w:highlight w:val="none"/>
        </w:rPr>
      </w:pPr>
      <w:r>
        <w:rPr>
          <w:rFonts w:hint="eastAsia" w:ascii="宋体" w:hAnsi="宋体" w:cs="仿宋_GB2312"/>
          <w:color w:val="auto"/>
          <w:kern w:val="0"/>
          <w:sz w:val="24"/>
          <w:highlight w:val="none"/>
        </w:rPr>
        <w:t xml:space="preserve">                                      日期：  年  月   日</w:t>
      </w:r>
    </w:p>
    <w:p>
      <w:pPr>
        <w:spacing w:line="360" w:lineRule="auto"/>
        <w:jc w:val="center"/>
        <w:rPr>
          <w:rFonts w:ascii="宋体" w:hAnsi="宋体" w:cs="仿宋_GB2312"/>
          <w:b/>
          <w:bCs/>
          <w:color w:val="auto"/>
          <w:sz w:val="32"/>
          <w:szCs w:val="32"/>
          <w:highlight w:val="none"/>
        </w:rPr>
      </w:pPr>
    </w:p>
    <w:p>
      <w:pPr>
        <w:pStyle w:val="379"/>
        <w:ind w:left="360" w:firstLine="643"/>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br w:type="page"/>
      </w:r>
    </w:p>
    <w:p>
      <w:pPr>
        <w:pStyle w:val="638"/>
        <w:ind w:left="0"/>
        <w:jc w:val="center"/>
        <w:rPr>
          <w:rFonts w:ascii="宋体" w:hAnsi="宋体" w:cs="宋体"/>
          <w:b/>
          <w:bCs/>
          <w:color w:val="auto"/>
          <w:sz w:val="32"/>
          <w:szCs w:val="28"/>
          <w:highlight w:val="none"/>
        </w:rPr>
      </w:pPr>
      <w:r>
        <w:rPr>
          <w:rFonts w:hint="eastAsia" w:ascii="宋体" w:hAnsi="宋体" w:cs="宋体"/>
          <w:b/>
          <w:bCs/>
          <w:color w:val="auto"/>
          <w:sz w:val="32"/>
          <w:szCs w:val="28"/>
          <w:highlight w:val="none"/>
        </w:rPr>
        <w:t>六、供应商股权信息表</w:t>
      </w:r>
    </w:p>
    <w:p>
      <w:pPr>
        <w:rPr>
          <w:rFonts w:ascii="宋体" w:hAnsi="宋体" w:cs="宋体"/>
          <w:color w:val="auto"/>
          <w:highlight w:val="none"/>
        </w:rPr>
      </w:pPr>
    </w:p>
    <w:tbl>
      <w:tblPr>
        <w:tblStyle w:val="73"/>
        <w:tblW w:w="10117" w:type="dxa"/>
        <w:tblInd w:w="93" w:type="dxa"/>
        <w:tblLayout w:type="fixed"/>
        <w:tblCellMar>
          <w:top w:w="0" w:type="dxa"/>
          <w:left w:w="108" w:type="dxa"/>
          <w:bottom w:w="0" w:type="dxa"/>
          <w:right w:w="108" w:type="dxa"/>
        </w:tblCellMar>
      </w:tblPr>
      <w:tblGrid>
        <w:gridCol w:w="1128"/>
        <w:gridCol w:w="1650"/>
        <w:gridCol w:w="1494"/>
        <w:gridCol w:w="2026"/>
        <w:gridCol w:w="1230"/>
        <w:gridCol w:w="1155"/>
        <w:gridCol w:w="1434"/>
      </w:tblGrid>
      <w:tr>
        <w:tblPrEx>
          <w:tblLayout w:type="fixed"/>
          <w:tblCellMar>
            <w:top w:w="0" w:type="dxa"/>
            <w:left w:w="108" w:type="dxa"/>
            <w:bottom w:w="0" w:type="dxa"/>
            <w:right w:w="108" w:type="dxa"/>
          </w:tblCellMar>
        </w:tblPrEx>
        <w:trPr>
          <w:trHeight w:val="49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24"/>
                <w:highlight w:val="none"/>
              </w:rPr>
              <w:t>供应商股权信息表</w:t>
            </w:r>
          </w:p>
        </w:tc>
      </w:tr>
      <w:tr>
        <w:tblPrEx>
          <w:tblLayout w:type="fixed"/>
          <w:tblCellMar>
            <w:top w:w="0" w:type="dxa"/>
            <w:left w:w="108" w:type="dxa"/>
            <w:bottom w:w="0" w:type="dxa"/>
            <w:right w:w="108" w:type="dxa"/>
          </w:tblCellMar>
        </w:tblPrEx>
        <w:trPr>
          <w:trHeight w:val="48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宋体"/>
                <w:color w:val="auto"/>
                <w:kern w:val="0"/>
                <w:sz w:val="24"/>
                <w:highlight w:val="none"/>
              </w:rPr>
              <w:t xml:space="preserve"> 项目编号：</w:t>
            </w:r>
          </w:p>
        </w:tc>
      </w:tr>
      <w:tr>
        <w:tblPrEx>
          <w:tblLayout w:type="fixed"/>
          <w:tblCellMar>
            <w:top w:w="0" w:type="dxa"/>
            <w:left w:w="108" w:type="dxa"/>
            <w:bottom w:w="0" w:type="dxa"/>
            <w:right w:w="108" w:type="dxa"/>
          </w:tblCellMar>
        </w:tblPrEx>
        <w:trPr>
          <w:trHeight w:val="52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auto"/>
                <w:sz w:val="24"/>
                <w:highlight w:val="none"/>
              </w:rPr>
            </w:pPr>
            <w:r>
              <w:rPr>
                <w:rFonts w:hint="eastAsia" w:ascii="宋体" w:hAnsi="宋体" w:cs="宋体"/>
                <w:color w:val="auto"/>
                <w:kern w:val="0"/>
                <w:sz w:val="24"/>
                <w:highlight w:val="none"/>
              </w:rPr>
              <w:t xml:space="preserve"> 项目名称：</w:t>
            </w:r>
          </w:p>
        </w:tc>
      </w:tr>
      <w:tr>
        <w:tblPrEx>
          <w:tblLayout w:type="fixed"/>
          <w:tblCellMar>
            <w:top w:w="0" w:type="dxa"/>
            <w:left w:w="108" w:type="dxa"/>
            <w:bottom w:w="0" w:type="dxa"/>
            <w:right w:w="108" w:type="dxa"/>
          </w:tblCellMar>
        </w:tblPrEx>
        <w:trPr>
          <w:trHeight w:val="285"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序号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供应商名称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法定代表人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highlight w:val="none"/>
              </w:rPr>
            </w:pPr>
            <w:r>
              <w:rPr>
                <w:rFonts w:hint="eastAsia" w:ascii="宋体" w:hAnsi="宋体" w:cs="宋体"/>
                <w:color w:val="auto"/>
                <w:kern w:val="0"/>
                <w:sz w:val="24"/>
                <w:highlight w:val="none"/>
              </w:rPr>
              <w:t>股东（股权比例）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董事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监事</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授权代表</w:t>
            </w:r>
          </w:p>
        </w:tc>
      </w:tr>
      <w:tr>
        <w:tblPrEx>
          <w:tblLayout w:type="fixed"/>
          <w:tblCellMar>
            <w:top w:w="0" w:type="dxa"/>
            <w:left w:w="108" w:type="dxa"/>
            <w:bottom w:w="0" w:type="dxa"/>
            <w:right w:w="108" w:type="dxa"/>
          </w:tblCellMar>
        </w:tblPrEx>
        <w:trPr>
          <w:trHeight w:val="531"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08" w:type="dxa"/>
          </w:tblCellMar>
        </w:tblPrEx>
        <w:trPr>
          <w:trHeight w:val="70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仿宋_GB2312"/>
                <w:color w:val="auto"/>
                <w:kern w:val="0"/>
                <w:sz w:val="24"/>
                <w:highlight w:val="none"/>
              </w:rPr>
              <w:t>供应商</w:t>
            </w:r>
            <w:r>
              <w:rPr>
                <w:rFonts w:hint="eastAsia" w:ascii="宋体" w:hAnsi="宋体" w:cs="宋体"/>
                <w:color w:val="auto"/>
                <w:kern w:val="0"/>
                <w:sz w:val="24"/>
                <w:highlight w:val="none"/>
                <w:lang w:val="zh-CN"/>
              </w:rPr>
              <w:t>名称(盖章)</w:t>
            </w:r>
            <w:r>
              <w:rPr>
                <w:rFonts w:hint="eastAsia" w:ascii="宋体" w:hAnsi="宋体" w:cs="宋体"/>
                <w:color w:val="auto"/>
                <w:kern w:val="0"/>
                <w:sz w:val="24"/>
                <w:highlight w:val="none"/>
              </w:rPr>
              <w:t>：</w:t>
            </w:r>
          </w:p>
        </w:tc>
      </w:tr>
    </w:tbl>
    <w:p>
      <w:pPr>
        <w:rPr>
          <w:rFonts w:ascii="宋体" w:hAnsi="宋体" w:cs="宋体"/>
          <w:b/>
          <w:bCs/>
          <w:color w:val="auto"/>
          <w:highlight w:val="none"/>
        </w:rPr>
      </w:pPr>
    </w:p>
    <w:p>
      <w:pPr>
        <w:snapToGrid w:val="0"/>
        <w:spacing w:line="360" w:lineRule="auto"/>
        <w:rPr>
          <w:rFonts w:ascii="宋体" w:hAnsi="宋体" w:cs="宋体"/>
          <w:b/>
          <w:color w:val="auto"/>
          <w:kern w:val="0"/>
          <w:sz w:val="32"/>
          <w:szCs w:val="32"/>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400" w:lineRule="exact"/>
        <w:ind w:firstLine="482"/>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lang w:eastAsia="zh-CN"/>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eastAsia="zh-CN"/>
        </w:rPr>
        <w:t>采购需求</w:t>
      </w:r>
      <w:r>
        <w:rPr>
          <w:rFonts w:hint="eastAsia" w:ascii="宋体" w:hAnsi="宋体" w:cs="宋体"/>
          <w:b/>
          <w:color w:val="auto"/>
          <w:kern w:val="0"/>
          <w:sz w:val="32"/>
          <w:szCs w:val="32"/>
          <w:highlight w:val="none"/>
        </w:rPr>
        <w:t>偏离表</w:t>
      </w:r>
    </w:p>
    <w:p>
      <w:pPr>
        <w:spacing w:line="400" w:lineRule="exact"/>
        <w:ind w:firstLine="480"/>
        <w:rPr>
          <w:rFonts w:ascii="宋体" w:hAnsi="宋体" w:cs="宋体"/>
          <w:color w:val="auto"/>
          <w:highlight w:val="none"/>
        </w:rPr>
      </w:pPr>
    </w:p>
    <w:p>
      <w:pPr>
        <w:spacing w:line="400" w:lineRule="exact"/>
        <w:ind w:firstLine="480"/>
        <w:rPr>
          <w:rFonts w:ascii="宋体" w:hAnsi="宋体" w:cs="宋体"/>
          <w:color w:val="auto"/>
          <w:highlight w:val="none"/>
        </w:rPr>
      </w:pPr>
      <w:r>
        <w:rPr>
          <w:rFonts w:hint="eastAsia" w:ascii="宋体" w:hAnsi="宋体" w:cs="宋体"/>
          <w:color w:val="auto"/>
          <w:highlight w:val="none"/>
        </w:rPr>
        <w:t xml:space="preserve">项目名称：                   项目编号：            </w:t>
      </w:r>
    </w:p>
    <w:tbl>
      <w:tblPr>
        <w:tblStyle w:val="73"/>
        <w:tblW w:w="7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262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序号</w:t>
            </w:r>
          </w:p>
        </w:tc>
        <w:tc>
          <w:tcPr>
            <w:tcW w:w="2100" w:type="dxa"/>
            <w:vAlign w:val="center"/>
          </w:tcPr>
          <w:p>
            <w:pPr>
              <w:spacing w:line="5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采购需求</w:t>
            </w:r>
          </w:p>
        </w:tc>
        <w:tc>
          <w:tcPr>
            <w:tcW w:w="2625"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响应</w:t>
            </w:r>
          </w:p>
        </w:tc>
        <w:tc>
          <w:tcPr>
            <w:tcW w:w="1890"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bl>
    <w:p>
      <w:pPr>
        <w:pStyle w:val="409"/>
        <w:ind w:firstLine="460"/>
        <w:rPr>
          <w:rFonts w:ascii="宋体" w:hAnsi="宋体" w:cs="宋体"/>
          <w:color w:val="auto"/>
          <w:highlight w:val="none"/>
        </w:rPr>
      </w:pPr>
      <w:r>
        <w:rPr>
          <w:rFonts w:hint="eastAsia" w:ascii="宋体" w:hAnsi="宋体" w:cs="仿宋_GB2312"/>
          <w:color w:val="auto"/>
          <w:highlight w:val="none"/>
        </w:rPr>
        <w:t>供应商</w:t>
      </w:r>
      <w:r>
        <w:rPr>
          <w:rFonts w:hint="eastAsia" w:ascii="宋体" w:hAnsi="宋体" w:cs="宋体"/>
          <w:color w:val="auto"/>
          <w:highlight w:val="none"/>
          <w:lang w:val="zh-CN"/>
        </w:rPr>
        <w:t>名称(盖章)</w:t>
      </w:r>
      <w:r>
        <w:rPr>
          <w:rFonts w:hint="eastAsia" w:ascii="宋体" w:hAnsi="宋体" w:cs="宋体"/>
          <w:color w:val="auto"/>
          <w:highlight w:val="none"/>
        </w:rPr>
        <w:t>：</w:t>
      </w:r>
    </w:p>
    <w:p>
      <w:pPr>
        <w:pStyle w:val="409"/>
        <w:ind w:firstLine="460"/>
        <w:rPr>
          <w:rFonts w:ascii="宋体" w:hAnsi="宋体" w:cs="宋体"/>
          <w:color w:val="auto"/>
          <w:highlight w:val="none"/>
        </w:rPr>
      </w:pPr>
    </w:p>
    <w:p>
      <w:pPr>
        <w:pStyle w:val="409"/>
        <w:ind w:firstLine="460"/>
        <w:rPr>
          <w:rFonts w:ascii="宋体" w:hAnsi="宋体" w:cs="宋体"/>
          <w:color w:val="auto"/>
          <w:highlight w:val="none"/>
        </w:rPr>
      </w:pPr>
    </w:p>
    <w:p>
      <w:pPr>
        <w:pStyle w:val="409"/>
        <w:ind w:firstLine="460"/>
        <w:rPr>
          <w:rFonts w:ascii="宋体" w:hAnsi="宋体" w:cs="宋体"/>
          <w:color w:val="auto"/>
          <w:highlight w:val="none"/>
        </w:rPr>
      </w:pPr>
      <w:r>
        <w:rPr>
          <w:rFonts w:hint="eastAsia" w:ascii="宋体" w:hAnsi="宋体" w:cs="宋体"/>
          <w:color w:val="auto"/>
          <w:highlight w:val="none"/>
        </w:rPr>
        <w:t>日期：</w:t>
      </w:r>
    </w:p>
    <w:p>
      <w:pPr>
        <w:pStyle w:val="16"/>
        <w:rPr>
          <w:rFonts w:hAnsi="宋体" w:cs="宋体"/>
          <w:color w:val="auto"/>
          <w:highlight w:val="none"/>
        </w:rPr>
      </w:pPr>
    </w:p>
    <w:p>
      <w:pPr>
        <w:pStyle w:val="639"/>
        <w:rPr>
          <w:rFonts w:ascii="宋体" w:hAnsi="宋体" w:cs="宋体"/>
          <w:color w:val="auto"/>
          <w:highlight w:val="none"/>
        </w:rPr>
      </w:pPr>
    </w:p>
    <w:p>
      <w:pPr>
        <w:pStyle w:val="639"/>
        <w:rPr>
          <w:rFonts w:ascii="宋体" w:hAnsi="宋体" w:cs="宋体"/>
          <w:color w:val="auto"/>
          <w:highlight w:val="none"/>
        </w:rPr>
      </w:pPr>
    </w:p>
    <w:p>
      <w:pPr>
        <w:spacing w:line="500" w:lineRule="exact"/>
        <w:ind w:firstLine="480"/>
        <w:rPr>
          <w:rFonts w:ascii="宋体" w:hAnsi="宋体" w:cs="宋体"/>
          <w:color w:val="auto"/>
          <w:highlight w:val="none"/>
        </w:rPr>
      </w:pPr>
    </w:p>
    <w:p>
      <w:pPr>
        <w:spacing w:line="500" w:lineRule="exact"/>
        <w:ind w:firstLine="480"/>
        <w:rPr>
          <w:rFonts w:ascii="宋体" w:hAnsi="宋体" w:cs="宋体"/>
          <w:color w:val="auto"/>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lang w:eastAsia="zh-CN"/>
        </w:rPr>
        <w:t>九</w:t>
      </w:r>
      <w:r>
        <w:rPr>
          <w:rFonts w:hint="eastAsia" w:ascii="宋体" w:hAnsi="宋体" w:cs="仿宋_GB2312"/>
          <w:b/>
          <w:bCs/>
          <w:color w:val="auto"/>
          <w:sz w:val="32"/>
          <w:szCs w:val="32"/>
          <w:highlight w:val="none"/>
        </w:rPr>
        <w:t>、报价一览表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tbl>
      <w:tblPr>
        <w:tblStyle w:val="73"/>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247"/>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序号</w:t>
            </w:r>
          </w:p>
        </w:tc>
        <w:tc>
          <w:tcPr>
            <w:tcW w:w="3247" w:type="dxa"/>
            <w:vAlign w:val="center"/>
          </w:tcPr>
          <w:p>
            <w:pPr>
              <w:jc w:val="center"/>
              <w:rPr>
                <w:rFonts w:ascii="宋体" w:hAnsi="宋体"/>
                <w:color w:val="auto"/>
                <w:sz w:val="24"/>
                <w:highlight w:val="none"/>
              </w:rPr>
            </w:pPr>
            <w:r>
              <w:rPr>
                <w:rFonts w:hint="eastAsia" w:ascii="宋体" w:hAnsi="宋体"/>
                <w:color w:val="auto"/>
                <w:sz w:val="24"/>
                <w:highlight w:val="none"/>
                <w:lang w:eastAsia="zh-CN"/>
              </w:rPr>
              <w:t>项目</w:t>
            </w:r>
            <w:r>
              <w:rPr>
                <w:rFonts w:hint="eastAsia" w:ascii="宋体" w:hAnsi="宋体"/>
                <w:color w:val="auto"/>
                <w:sz w:val="24"/>
                <w:highlight w:val="none"/>
              </w:rPr>
              <w:t>名称</w:t>
            </w:r>
          </w:p>
        </w:tc>
        <w:tc>
          <w:tcPr>
            <w:tcW w:w="5213"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1</w:t>
            </w:r>
          </w:p>
        </w:tc>
        <w:tc>
          <w:tcPr>
            <w:tcW w:w="3247" w:type="dxa"/>
            <w:vAlign w:val="center"/>
          </w:tcPr>
          <w:p>
            <w:pPr>
              <w:jc w:val="center"/>
              <w:rPr>
                <w:rFonts w:ascii="宋体" w:hAnsi="宋体"/>
                <w:color w:val="auto"/>
                <w:sz w:val="24"/>
                <w:highlight w:val="none"/>
              </w:rPr>
            </w:pPr>
          </w:p>
        </w:tc>
        <w:tc>
          <w:tcPr>
            <w:tcW w:w="521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8" w:hRule="atLeast"/>
        </w:trPr>
        <w:tc>
          <w:tcPr>
            <w:tcW w:w="1080"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响</w:t>
            </w:r>
          </w:p>
          <w:p>
            <w:pPr>
              <w:spacing w:line="360" w:lineRule="auto"/>
              <w:jc w:val="center"/>
              <w:rPr>
                <w:rFonts w:ascii="宋体" w:hAnsi="宋体"/>
                <w:color w:val="auto"/>
                <w:sz w:val="24"/>
                <w:highlight w:val="none"/>
              </w:rPr>
            </w:pPr>
            <w:r>
              <w:rPr>
                <w:rFonts w:hint="eastAsia" w:ascii="宋体" w:hAnsi="宋体"/>
                <w:color w:val="auto"/>
                <w:sz w:val="24"/>
                <w:highlight w:val="none"/>
              </w:rPr>
              <w:t>应</w:t>
            </w:r>
          </w:p>
          <w:p>
            <w:pPr>
              <w:spacing w:line="360" w:lineRule="auto"/>
              <w:jc w:val="center"/>
              <w:rPr>
                <w:rFonts w:ascii="宋体" w:hAnsi="宋体"/>
                <w:color w:val="auto"/>
                <w:sz w:val="24"/>
                <w:highlight w:val="none"/>
              </w:rPr>
            </w:pPr>
            <w:r>
              <w:rPr>
                <w:rFonts w:hint="eastAsia" w:ascii="宋体" w:hAnsi="宋体"/>
                <w:color w:val="auto"/>
                <w:sz w:val="24"/>
                <w:highlight w:val="none"/>
              </w:rPr>
              <w:t>人</w:t>
            </w:r>
          </w:p>
          <w:p>
            <w:pPr>
              <w:spacing w:line="360" w:lineRule="auto"/>
              <w:jc w:val="center"/>
              <w:rPr>
                <w:rFonts w:ascii="宋体" w:hAnsi="宋体"/>
                <w:color w:val="auto"/>
                <w:sz w:val="24"/>
                <w:highlight w:val="none"/>
              </w:rPr>
            </w:pPr>
            <w:r>
              <w:rPr>
                <w:rFonts w:hint="eastAsia" w:ascii="宋体" w:hAnsi="宋体"/>
                <w:color w:val="auto"/>
                <w:sz w:val="24"/>
                <w:highlight w:val="none"/>
              </w:rPr>
              <w:t>声</w:t>
            </w:r>
          </w:p>
          <w:p>
            <w:pPr>
              <w:spacing w:line="360" w:lineRule="auto"/>
              <w:jc w:val="center"/>
              <w:rPr>
                <w:rFonts w:ascii="宋体" w:hAnsi="宋体"/>
                <w:color w:val="auto"/>
                <w:sz w:val="24"/>
                <w:highlight w:val="none"/>
              </w:rPr>
            </w:pPr>
            <w:r>
              <w:rPr>
                <w:rFonts w:hint="eastAsia" w:ascii="宋体" w:hAnsi="宋体"/>
                <w:color w:val="auto"/>
                <w:sz w:val="24"/>
                <w:highlight w:val="none"/>
              </w:rPr>
              <w:t>明</w:t>
            </w:r>
          </w:p>
        </w:tc>
        <w:tc>
          <w:tcPr>
            <w:tcW w:w="8460" w:type="dxa"/>
            <w:gridSpan w:val="2"/>
          </w:tcPr>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tc>
      </w:tr>
    </w:tbl>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ascii="宋体" w:hAnsi="宋体" w:cs="仿宋_GB2312"/>
          <w:b/>
          <w:bCs/>
          <w:color w:val="auto"/>
          <w:sz w:val="32"/>
          <w:szCs w:val="32"/>
          <w:highlight w:val="none"/>
        </w:rPr>
        <w:sectPr>
          <w:headerReference r:id="rId10" w:type="default"/>
          <w:footerReference r:id="rId11" w:type="default"/>
          <w:pgSz w:w="11906" w:h="16838"/>
          <w:pgMar w:top="779" w:right="1418" w:bottom="468" w:left="1418" w:header="851" w:footer="992" w:gutter="0"/>
          <w:cols w:space="720" w:num="1"/>
          <w:titlePg/>
          <w:docGrid w:linePitch="312" w:charSpace="0"/>
        </w:sect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bookmarkStart w:id="88" w:name="_Toc465665161"/>
      <w:bookmarkStart w:id="89" w:name="_Toc16330"/>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t>十、分项报价明细表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lang w:eastAsia="zh-CN"/>
        </w:rPr>
      </w:pPr>
    </w:p>
    <w:p>
      <w:pPr>
        <w:autoSpaceDE w:val="0"/>
        <w:autoSpaceDN w:val="0"/>
        <w:spacing w:line="360" w:lineRule="auto"/>
        <w:ind w:right="1120"/>
        <w:jc w:val="left"/>
        <w:rPr>
          <w:rFonts w:hint="eastAsia" w:ascii="宋体" w:hAnsi="宋体" w:eastAsia="宋体" w:cs="仿宋_GB2312"/>
          <w:color w:val="auto"/>
          <w:kern w:val="0"/>
          <w:sz w:val="24"/>
          <w:highlight w:val="none"/>
          <w:lang w:eastAsia="zh-CN"/>
        </w:rPr>
      </w:pPr>
      <w:r>
        <w:rPr>
          <w:rFonts w:hint="eastAsia" w:ascii="宋体" w:hAnsi="宋体" w:cs="仿宋_GB2312"/>
          <w:color w:val="auto"/>
          <w:kern w:val="0"/>
          <w:sz w:val="24"/>
          <w:highlight w:val="none"/>
          <w:lang w:eastAsia="zh-CN"/>
        </w:rPr>
        <w:t>以招标工程量清单为准</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hint="eastAsia" w:ascii="宋体" w:hAnsi="宋体" w:cs="仿宋_GB2312"/>
          <w:color w:val="auto"/>
          <w:highlight w:val="none"/>
        </w:r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p>
    <w:p>
      <w:pPr>
        <w:pStyle w:val="3"/>
        <w:keepNext w:val="0"/>
        <w:keepLines w:val="0"/>
        <w:pageBreakBefore/>
        <w:widowControl/>
        <w:numPr>
          <w:ilvl w:val="0"/>
          <w:numId w:val="0"/>
        </w:numPr>
        <w:tabs>
          <w:tab w:val="clear" w:pos="480"/>
          <w:tab w:val="clear" w:pos="840"/>
          <w:tab w:val="clear" w:pos="1440"/>
        </w:tabs>
        <w:adjustRightInd/>
        <w:spacing w:before="100" w:beforeAutospacing="1" w:after="100" w:afterAutospacing="1" w:line="240" w:lineRule="auto"/>
        <w:ind w:left="1290" w:firstLine="3092" w:firstLineChars="700"/>
        <w:rPr>
          <w:rFonts w:ascii="宋体" w:hAnsi="宋体" w:cs="仿宋_GB2312"/>
          <w:color w:val="auto"/>
          <w:highlight w:val="none"/>
        </w:rPr>
      </w:pPr>
      <w:r>
        <w:rPr>
          <w:rFonts w:hint="eastAsia" w:ascii="宋体" w:hAnsi="宋体" w:cs="仿宋_GB2312"/>
          <w:color w:val="auto"/>
          <w:highlight w:val="none"/>
        </w:rPr>
        <w:t>附件</w:t>
      </w:r>
      <w:bookmarkEnd w:id="88"/>
      <w:bookmarkEnd w:id="89"/>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附件1：质疑函范本及制作说明</w:t>
      </w: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质疑函范本</w:t>
      </w:r>
    </w:p>
    <w:p>
      <w:pPr>
        <w:snapToGrid w:val="0"/>
        <w:spacing w:before="240" w:beforeLines="100" w:line="360" w:lineRule="auto"/>
        <w:rPr>
          <w:rFonts w:ascii="宋体" w:hAnsi="宋体" w:cs="仿宋_GB2312"/>
          <w:bCs/>
          <w:color w:val="auto"/>
          <w:sz w:val="24"/>
          <w:highlight w:val="none"/>
        </w:rPr>
      </w:pPr>
      <w:r>
        <w:rPr>
          <w:rFonts w:hint="eastAsia" w:ascii="宋体" w:hAnsi="宋体" w:cs="仿宋_GB2312"/>
          <w:bCs/>
          <w:color w:val="auto"/>
          <w:sz w:val="24"/>
          <w:highlight w:val="none"/>
        </w:rPr>
        <w:t>一、质疑供应商基本信息</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质疑供应商：</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地址：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地址： </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二、质疑项目基本情况</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采购文件获取日期：</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三、质疑事项具体内容</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质疑事项1：</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质疑事项2</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四、与质疑事项相关的质疑请求</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质疑函制作说明：</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1.供应商提出质疑时，应提交质疑函和必要的证明材料。</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2.质疑供应商若委托代理人进行质疑的，质疑函应按要求列明“授权代表”的有关内容，并在附件中提交由质疑</w:t>
      </w:r>
      <w:r>
        <w:rPr>
          <w:rFonts w:hint="eastAsia" w:ascii="宋体" w:hAnsi="宋体" w:cs="仿宋_GB2312"/>
          <w:color w:val="auto"/>
          <w:kern w:val="0"/>
          <w:sz w:val="24"/>
          <w:highlight w:val="none"/>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3.质疑供应商若对项目的某一分包进行质疑，质疑函中应列明具体分包号。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4.质疑函的质疑事项应具体、明确，并有必要的事实依据和法律依据。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5.质疑函的质疑请求应与质疑事项相关。</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仿宋_GB2312"/>
          <w:color w:val="auto"/>
          <w:sz w:val="30"/>
          <w:szCs w:val="30"/>
          <w:highlight w:val="none"/>
        </w:rPr>
      </w:pPr>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z w:val="24"/>
          <w:highlight w:val="none"/>
        </w:rPr>
        <w:br w:type="page"/>
      </w:r>
      <w:r>
        <w:rPr>
          <w:rFonts w:hint="eastAsia" w:ascii="宋体" w:hAnsi="宋体" w:cs="仿宋_GB2312"/>
          <w:b/>
          <w:color w:val="auto"/>
          <w:spacing w:val="6"/>
          <w:sz w:val="32"/>
          <w:szCs w:val="32"/>
          <w:highlight w:val="none"/>
        </w:rPr>
        <w:t>附件2：投诉书范本及制作说明</w:t>
      </w:r>
    </w:p>
    <w:p>
      <w:pPr>
        <w:spacing w:line="360" w:lineRule="auto"/>
        <w:jc w:val="center"/>
        <w:rPr>
          <w:rFonts w:ascii="宋体" w:hAnsi="宋体" w:cs="仿宋_GB2312"/>
          <w:b/>
          <w:color w:val="auto"/>
          <w:sz w:val="24"/>
          <w:highlight w:val="none"/>
        </w:rPr>
      </w:pP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投诉书范本</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一、投诉相关主体基本情况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投诉人：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tabs>
          <w:tab w:val="left" w:pos="6510"/>
        </w:tabs>
        <w:spacing w:line="360" w:lineRule="auto"/>
        <w:jc w:val="left"/>
        <w:rPr>
          <w:rFonts w:ascii="宋体" w:hAnsi="宋体" w:cs="仿宋_GB2312"/>
          <w:color w:val="auto"/>
          <w:sz w:val="24"/>
          <w:highlight w:val="none"/>
        </w:rPr>
      </w:pPr>
      <w:r>
        <w:rPr>
          <w:rFonts w:hint="eastAsia" w:ascii="宋体" w:hAnsi="宋体" w:cs="仿宋_GB2312"/>
          <w:color w:val="auto"/>
          <w:sz w:val="24"/>
          <w:highlight w:val="none"/>
        </w:rPr>
        <w:t>法定代表人/主要负责人：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tabs>
          <w:tab w:val="left" w:pos="6510"/>
        </w:tabs>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被投诉人1：</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被投诉人2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相关供应商：</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二、投诉项目基本情况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采购项目名称：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采购项目编号：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代理机构名称：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采购文件公告: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采购结果公告: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三、质疑基本情况</w:t>
      </w:r>
    </w:p>
    <w:p>
      <w:pPr>
        <w:spacing w:line="360" w:lineRule="auto"/>
        <w:ind w:firstLine="480" w:firstLineChars="200"/>
        <w:rPr>
          <w:rFonts w:ascii="宋体" w:hAnsi="宋体" w:cs="仿宋_GB2312"/>
          <w:color w:val="auto"/>
          <w:sz w:val="24"/>
          <w:highlight w:val="none"/>
          <w:u w:val="dotted"/>
        </w:rPr>
      </w:pPr>
      <w:r>
        <w:rPr>
          <w:rFonts w:hint="eastAsia" w:ascii="宋体" w:hAnsi="宋体" w:cs="仿宋_GB2312"/>
          <w:color w:val="auto"/>
          <w:sz w:val="24"/>
          <w:highlight w:val="none"/>
        </w:rPr>
        <w:t>投诉人于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日,向</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提出质疑，质疑事项为：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ind w:firstLine="360" w:firstLineChars="150"/>
        <w:rPr>
          <w:rFonts w:ascii="宋体" w:hAnsi="宋体" w:cs="仿宋_GB2312"/>
          <w:color w:val="auto"/>
          <w:sz w:val="24"/>
          <w:highlight w:val="none"/>
        </w:rPr>
      </w:pPr>
      <w:r>
        <w:rPr>
          <w:rFonts w:hint="eastAsia" w:ascii="宋体" w:hAnsi="宋体" w:cs="仿宋_GB2312"/>
          <w:color w:val="auto"/>
          <w:sz w:val="24"/>
          <w:highlight w:val="none"/>
          <w:u w:val="dotted"/>
        </w:rPr>
        <w:t>采购人/代理机构</w:t>
      </w:r>
      <w:r>
        <w:rPr>
          <w:rFonts w:hint="eastAsia" w:ascii="宋体" w:hAnsi="宋体" w:cs="仿宋_GB2312"/>
          <w:color w:val="auto"/>
          <w:sz w:val="24"/>
          <w:highlight w:val="none"/>
        </w:rPr>
        <w:t>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日,就质疑事项作出了答复/没有在法定期限内作出答复。</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四、投诉事项具体内容</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投诉事项 1：</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投诉事项2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五、与投诉事项相关的投诉请求</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投诉书制作说明：</w:t>
      </w:r>
    </w:p>
    <w:p>
      <w:pPr>
        <w:widowControl/>
        <w:spacing w:line="360" w:lineRule="auto"/>
        <w:ind w:firstLine="480" w:firstLineChars="200"/>
        <w:rPr>
          <w:rFonts w:ascii="宋体" w:hAnsi="宋体" w:cs="仿宋_GB2312"/>
          <w:color w:val="auto"/>
          <w:kern w:val="0"/>
          <w:sz w:val="24"/>
          <w:highlight w:val="none"/>
        </w:rPr>
      </w:pPr>
      <w:r>
        <w:rPr>
          <w:rFonts w:hint="eastAsia" w:ascii="宋体" w:hAnsi="宋体" w:cs="仿宋_GB2312"/>
          <w:color w:val="auto"/>
          <w:sz w:val="24"/>
          <w:highlight w:val="none"/>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2.投诉人若委托代理人进行投诉的，投诉书应按照要求列明“授权代表”的有关内容，并在附件中提交由</w:t>
      </w:r>
      <w:r>
        <w:rPr>
          <w:rFonts w:hint="eastAsia" w:ascii="宋体" w:hAnsi="宋体" w:cs="仿宋_GB2312"/>
          <w:color w:val="auto"/>
          <w:kern w:val="0"/>
          <w:sz w:val="24"/>
          <w:highlight w:val="none"/>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3.投诉人若对项目的某一分包进行投诉，投诉书应列明具体分包号。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4.投诉书应简要列明质疑事项，质疑函、质疑答复等作为附件材料提供。</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5.投诉书的投诉事项应具体、明确，并有必要的事实依据和法律依据。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6.投诉书的投诉请求应与投诉事项相关。</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7.投诉人为自然人的，投诉书应当由本人签字；投诉人为法人或者其他组织的，投诉书应当由法定代表人、主要负责人，或者其授权代表签字或者盖章，并加盖公章。</w:t>
      </w:r>
    </w:p>
    <w:p>
      <w:pPr>
        <w:rPr>
          <w:rFonts w:ascii="宋体" w:hAnsi="宋体" w:cs="仿宋_GB2312"/>
          <w:b/>
          <w:color w:val="auto"/>
          <w:sz w:val="24"/>
          <w:highlight w:val="none"/>
        </w:rPr>
      </w:pPr>
    </w:p>
    <w:p>
      <w:pPr>
        <w:widowControl/>
        <w:adjustRightInd/>
        <w:jc w:val="left"/>
        <w:rPr>
          <w:rFonts w:ascii="宋体" w:hAnsi="宋体" w:cs="仿宋_GB2312"/>
          <w:b/>
          <w:color w:val="auto"/>
          <w:sz w:val="24"/>
          <w:highlight w:val="none"/>
        </w:rPr>
      </w:pPr>
      <w:r>
        <w:rPr>
          <w:rFonts w:hint="eastAsia" w:ascii="宋体" w:hAnsi="宋体" w:cs="仿宋_GB2312"/>
          <w:b/>
          <w:color w:val="auto"/>
          <w:sz w:val="24"/>
          <w:highlight w:val="none"/>
        </w:rPr>
        <w:br w:type="page"/>
      </w:r>
    </w:p>
    <w:p>
      <w:pPr>
        <w:spacing w:line="360" w:lineRule="auto"/>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附件3：</w:t>
      </w:r>
    </w:p>
    <w:p>
      <w:pPr>
        <w:spacing w:line="360" w:lineRule="auto"/>
        <w:rPr>
          <w:rFonts w:ascii="宋体" w:hAnsi="宋体"/>
          <w:b/>
          <w:color w:val="auto"/>
          <w:spacing w:val="6"/>
          <w:sz w:val="32"/>
          <w:szCs w:val="32"/>
          <w:highlight w:val="none"/>
        </w:rPr>
      </w:pPr>
    </w:p>
    <w:p>
      <w:pPr>
        <w:spacing w:line="360" w:lineRule="auto"/>
        <w:jc w:val="center"/>
        <w:rPr>
          <w:rFonts w:ascii="宋体" w:hAnsi="宋体"/>
          <w:b/>
          <w:color w:val="auto"/>
          <w:spacing w:val="6"/>
          <w:sz w:val="32"/>
          <w:szCs w:val="32"/>
          <w:highlight w:val="none"/>
        </w:rPr>
      </w:pPr>
      <w:r>
        <w:rPr>
          <w:rFonts w:hint="eastAsia" w:ascii="宋体" w:hAnsi="宋体"/>
          <w:b/>
          <w:color w:val="auto"/>
          <w:spacing w:val="6"/>
          <w:sz w:val="32"/>
          <w:szCs w:val="32"/>
          <w:highlight w:val="none"/>
        </w:rPr>
        <w:t>残疾人福利性单位声明函</w:t>
      </w:r>
    </w:p>
    <w:p>
      <w:pPr>
        <w:spacing w:line="360" w:lineRule="auto"/>
        <w:rPr>
          <w:rFonts w:ascii="宋体" w:hAnsi="宋体"/>
          <w:b/>
          <w:color w:val="auto"/>
          <w:spacing w:val="6"/>
          <w:sz w:val="30"/>
          <w:szCs w:val="30"/>
          <w:highlight w:val="none"/>
        </w:rPr>
      </w:pP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仿宋_GB2312"/>
          <w:color w:val="auto"/>
          <w:sz w:val="24"/>
          <w:highlight w:val="none"/>
          <w:u w:val="single"/>
        </w:rPr>
        <w:t xml:space="preserve">   （采购人）    </w:t>
      </w:r>
      <w:r>
        <w:rPr>
          <w:rFonts w:hint="eastAsia" w:ascii="宋体" w:hAnsi="宋体" w:cs="仿宋_GB2312"/>
          <w:color w:val="auto"/>
          <w:sz w:val="24"/>
          <w:highlight w:val="none"/>
        </w:rPr>
        <w:t>单位的</w:t>
      </w:r>
      <w:r>
        <w:rPr>
          <w:rFonts w:hint="eastAsia" w:ascii="宋体" w:hAnsi="宋体" w:cs="仿宋_GB2312"/>
          <w:color w:val="auto"/>
          <w:sz w:val="24"/>
          <w:highlight w:val="none"/>
          <w:u w:val="single"/>
        </w:rPr>
        <w:t xml:space="preserve">     （项目名称）    </w:t>
      </w:r>
      <w:r>
        <w:rPr>
          <w:rFonts w:hint="eastAsia" w:ascii="宋体" w:hAnsi="宋体" w:cs="仿宋_GB2312"/>
          <w:color w:val="auto"/>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本单位对上述声明的真实性负责。如有虚假，将依法承担相应责任。</w:t>
      </w:r>
    </w:p>
    <w:p>
      <w:pPr>
        <w:spacing w:line="360" w:lineRule="auto"/>
        <w:ind w:firstLine="480" w:firstLineChars="200"/>
        <w:rPr>
          <w:rFonts w:ascii="宋体" w:hAnsi="宋体" w:cs="仿宋_GB2312"/>
          <w:color w:val="auto"/>
          <w:sz w:val="24"/>
          <w:highlight w:val="none"/>
        </w:rPr>
      </w:pPr>
    </w:p>
    <w:p>
      <w:pPr>
        <w:spacing w:line="360" w:lineRule="auto"/>
        <w:ind w:firstLine="480" w:firstLineChars="200"/>
        <w:rPr>
          <w:rFonts w:ascii="宋体" w:hAnsi="宋体" w:cs="仿宋_GB2312"/>
          <w:color w:val="auto"/>
          <w:sz w:val="24"/>
          <w:highlight w:val="none"/>
        </w:rPr>
      </w:pP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单位名称（盖章）：</w:t>
      </w: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日  期：</w:t>
      </w:r>
    </w:p>
    <w:p>
      <w:pPr>
        <w:spacing w:line="360" w:lineRule="auto"/>
        <w:ind w:firstLine="480" w:firstLineChars="200"/>
        <w:rPr>
          <w:rFonts w:ascii="宋体" w:hAnsi="宋体" w:cs="仿宋_GB2312"/>
          <w:color w:val="auto"/>
          <w:sz w:val="24"/>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附件4：</w:t>
      </w: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w:t>
      </w:r>
      <w:r>
        <w:rPr>
          <w:rFonts w:hint="eastAsia" w:ascii="宋体" w:hAnsi="宋体" w:cs="宋体"/>
          <w:b/>
          <w:color w:val="auto"/>
          <w:sz w:val="32"/>
          <w:szCs w:val="32"/>
          <w:highlight w:val="none"/>
          <w:lang w:val="en-US" w:eastAsia="zh-CN"/>
        </w:rPr>
        <w:t>工程</w:t>
      </w:r>
      <w:r>
        <w:rPr>
          <w:rFonts w:hint="eastAsia" w:ascii="宋体" w:hAnsi="宋体" w:cs="宋体"/>
          <w:b/>
          <w:color w:val="auto"/>
          <w:sz w:val="32"/>
          <w:szCs w:val="32"/>
          <w:highlight w:val="none"/>
        </w:rPr>
        <w:t>）</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 </w:t>
      </w:r>
    </w:p>
    <w:p>
      <w:pPr>
        <w:pStyle w:val="17"/>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
          <w:bCs/>
          <w:color w:val="auto"/>
          <w:sz w:val="24"/>
          <w:szCs w:val="24"/>
          <w:highlight w:val="none"/>
          <w:u w:val="single"/>
          <w:lang w:eastAsia="zh-CN"/>
        </w:rPr>
        <w:t>新建学生宿舍工程变配电扩容改造项目</w:t>
      </w:r>
      <w:r>
        <w:rPr>
          <w:rFonts w:hint="eastAsia" w:ascii="宋体" w:hAnsi="宋体" w:eastAsia="宋体" w:cs="宋体"/>
          <w:color w:val="auto"/>
          <w:sz w:val="24"/>
          <w:szCs w:val="24"/>
          <w:highlight w:val="none"/>
        </w:rPr>
        <w:t>，属于</w:t>
      </w:r>
      <w:r>
        <w:rPr>
          <w:rFonts w:hint="eastAsia" w:ascii="宋体" w:hAnsi="宋体" w:eastAsia="宋体" w:cs="宋体"/>
          <w:b/>
          <w:bCs/>
          <w:color w:val="auto"/>
          <w:sz w:val="24"/>
          <w:szCs w:val="24"/>
          <w:highlight w:val="none"/>
          <w:u w:val="single"/>
          <w:lang w:eastAsia="zh-CN"/>
        </w:rPr>
        <w:t>建筑业</w:t>
      </w:r>
      <w:r>
        <w:rPr>
          <w:rFonts w:hint="eastAsia" w:ascii="宋体" w:hAnsi="宋体" w:eastAsia="宋体" w:cs="宋体"/>
          <w:color w:val="auto"/>
          <w:sz w:val="24"/>
          <w:szCs w:val="24"/>
          <w:highlight w:val="none"/>
        </w:rPr>
        <w:t>行业；承接企业为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vertAlign w:val="superscript"/>
        </w:rPr>
        <w:t>1</w:t>
      </w:r>
      <w:r>
        <w:rPr>
          <w:rFonts w:hint="eastAsia" w:ascii="宋体" w:hAnsi="宋体" w:eastAsia="宋体" w:cs="宋体"/>
          <w:color w:val="auto"/>
          <w:sz w:val="24"/>
          <w:szCs w:val="24"/>
          <w:highlight w:val="none"/>
        </w:rPr>
        <w:t>，属于（中型企业、小型企业、微型企业）；</w:t>
      </w:r>
    </w:p>
    <w:p>
      <w:pPr>
        <w:pStyle w:val="61"/>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color w:val="auto"/>
          <w:sz w:val="24"/>
          <w:szCs w:val="24"/>
          <w:highlight w:val="none"/>
        </w:rPr>
      </w:pPr>
      <w:r>
        <w:rPr>
          <w:rFonts w:hint="eastAsia"/>
          <w:color w:val="auto"/>
          <w:sz w:val="24"/>
          <w:szCs w:val="24"/>
          <w:highlight w:val="none"/>
        </w:rPr>
        <w:t>以上企业，不属于大企业的分支机构，不存在控股股东为大企业的情形，也不存在与大企业的负责人为同一人的情形。</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ascii="宋体" w:hAnsi="宋体" w:cs="宋体"/>
          <w:color w:val="auto"/>
          <w:sz w:val="24"/>
          <w:szCs w:val="24"/>
          <w:highlight w:val="none"/>
        </w:rPr>
      </w:pPr>
      <w:r>
        <w:rPr>
          <w:rFonts w:hint="eastAsia" w:ascii="宋体" w:hAnsi="宋体" w:cs="宋体"/>
          <w:color w:val="auto"/>
          <w:sz w:val="24"/>
          <w:szCs w:val="24"/>
          <w:highlight w:val="none"/>
        </w:rPr>
        <w:t>本企业对上述声明内容的真实性负责。如有虚假，将依法承担相应责任。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zh-CN"/>
        </w:rPr>
        <w:t>供应商名称(盖章)：</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textAlignment w:val="auto"/>
        <w:outlineLvl w:val="9"/>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zh-CN"/>
        </w:rPr>
        <w:t xml:space="preserve">                                           日期</w:t>
      </w:r>
      <w:r>
        <w:rPr>
          <w:rFonts w:hint="eastAsia" w:ascii="宋体" w:hAnsi="宋体" w:cs="宋体"/>
          <w:color w:val="auto"/>
          <w:kern w:val="0"/>
          <w:sz w:val="24"/>
          <w:szCs w:val="24"/>
          <w:highlight w:val="none"/>
        </w:rPr>
        <w:t xml:space="preserve">：  年  </w:t>
      </w:r>
      <w:r>
        <w:rPr>
          <w:rFonts w:hint="eastAsia" w:ascii="宋体" w:hAnsi="宋体" w:cs="宋体"/>
          <w:color w:val="auto"/>
          <w:kern w:val="0"/>
          <w:sz w:val="24"/>
          <w:szCs w:val="24"/>
          <w:highlight w:val="none"/>
          <w:lang w:val="zh-CN"/>
        </w:rPr>
        <w:t>月</w:t>
      </w:r>
      <w:r>
        <w:rPr>
          <w:rFonts w:hint="eastAsia" w:ascii="宋体" w:hAnsi="宋体" w:cs="宋体"/>
          <w:color w:val="auto"/>
          <w:kern w:val="0"/>
          <w:sz w:val="24"/>
          <w:szCs w:val="24"/>
          <w:highlight w:val="none"/>
        </w:rPr>
        <w:t xml:space="preserve">   </w:t>
      </w:r>
      <w:r>
        <w:rPr>
          <w:rFonts w:hint="eastAsia" w:ascii="宋体" w:hAnsi="宋体" w:cs="宋体"/>
          <w:color w:val="auto"/>
          <w:kern w:val="0"/>
          <w:sz w:val="24"/>
          <w:szCs w:val="24"/>
          <w:highlight w:val="none"/>
          <w:lang w:val="zh-CN"/>
        </w:rPr>
        <w:t>日</w:t>
      </w:r>
    </w:p>
    <w:p>
      <w:pPr>
        <w:spacing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从业人员、营业收入、资产总额填报上一年度数据，无上一年度数据的新成立企业可不填报。</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注：</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1、填写要求：①“标的名称”、“采购文件中明确的所属行业”依据招标文件第二部分</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提供由省级以上监狱管理局、戒毒管理局（含新疆生产建设兵团）出具的属于监狱企业证明文件的，视同为小型和微型企业。</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附件5：</w:t>
      </w:r>
    </w:p>
    <w:p>
      <w:pPr>
        <w:jc w:val="center"/>
        <w:rPr>
          <w:b/>
          <w:bCs/>
          <w:color w:val="auto"/>
          <w:sz w:val="36"/>
          <w:szCs w:val="36"/>
          <w:highlight w:val="none"/>
        </w:rPr>
      </w:pPr>
      <w:r>
        <w:rPr>
          <w:rFonts w:hint="eastAsia"/>
          <w:b/>
          <w:bCs/>
          <w:color w:val="auto"/>
          <w:sz w:val="36"/>
          <w:szCs w:val="36"/>
          <w:highlight w:val="none"/>
        </w:rPr>
        <w:t>政府采购活动现场确认声明书</w:t>
      </w:r>
    </w:p>
    <w:p>
      <w:pPr>
        <w:spacing w:line="312" w:lineRule="auto"/>
        <w:rPr>
          <w:rFonts w:cs="宋体"/>
          <w:b/>
          <w:color w:val="auto"/>
          <w:sz w:val="24"/>
          <w:highlight w:val="none"/>
        </w:rPr>
      </w:pPr>
      <w:r>
        <w:rPr>
          <w:rFonts w:hint="eastAsia" w:cs="宋体"/>
          <w:color w:val="auto"/>
          <w:sz w:val="24"/>
          <w:highlight w:val="none"/>
        </w:rPr>
        <w:t>浙江五石中正工程咨询有限公司：</w:t>
      </w:r>
    </w:p>
    <w:p>
      <w:pPr>
        <w:spacing w:line="312"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本人经由</w:t>
      </w:r>
      <w:r>
        <w:rPr>
          <w:rFonts w:hint="eastAsia" w:ascii="宋体" w:hAnsi="宋体" w:cs="宋体"/>
          <w:color w:val="auto"/>
          <w:spacing w:val="6"/>
          <w:sz w:val="24"/>
          <w:highlight w:val="none"/>
          <w:u w:val="single"/>
        </w:rPr>
        <w:t xml:space="preserve">             （单位）</w:t>
      </w:r>
      <w:r>
        <w:rPr>
          <w:rFonts w:hint="eastAsia" w:ascii="宋体" w:hAnsi="宋体" w:cs="宋体"/>
          <w:color w:val="auto"/>
          <w:spacing w:val="6"/>
          <w:sz w:val="24"/>
          <w:highlight w:val="none"/>
        </w:rPr>
        <w:t>负责人</w:t>
      </w:r>
      <w:r>
        <w:rPr>
          <w:rFonts w:hint="eastAsia" w:ascii="宋体" w:hAnsi="宋体" w:cs="宋体"/>
          <w:color w:val="auto"/>
          <w:spacing w:val="6"/>
          <w:sz w:val="24"/>
          <w:highlight w:val="none"/>
          <w:u w:val="single"/>
        </w:rPr>
        <w:t xml:space="preserve">    （法定代表人）</w:t>
      </w:r>
      <w:r>
        <w:rPr>
          <w:rFonts w:hint="eastAsia" w:ascii="宋体" w:hAnsi="宋体" w:cs="宋体"/>
          <w:color w:val="auto"/>
          <w:spacing w:val="6"/>
          <w:sz w:val="24"/>
          <w:highlight w:val="none"/>
        </w:rPr>
        <w:t>合法授权参加</w:t>
      </w:r>
      <w:r>
        <w:rPr>
          <w:rFonts w:hint="eastAsia" w:ascii="宋体" w:hAnsi="宋体" w:cs="宋体"/>
          <w:color w:val="auto"/>
          <w:spacing w:val="6"/>
          <w:sz w:val="24"/>
          <w:highlight w:val="none"/>
          <w:u w:val="single"/>
        </w:rPr>
        <w:t>浙江海洋大学</w:t>
      </w:r>
      <w:r>
        <w:rPr>
          <w:rFonts w:hint="eastAsia" w:ascii="宋体" w:hAnsi="宋体" w:cs="宋体"/>
          <w:color w:val="auto"/>
          <w:spacing w:val="6"/>
          <w:sz w:val="24"/>
          <w:highlight w:val="none"/>
          <w:u w:val="single"/>
          <w:lang w:eastAsia="zh-CN"/>
        </w:rPr>
        <w:t>新建学生宿舍工程变配电扩容改造项目</w:t>
      </w:r>
      <w:r>
        <w:rPr>
          <w:rFonts w:hint="eastAsia" w:ascii="宋体" w:hAnsi="宋体" w:cs="宋体"/>
          <w:color w:val="auto"/>
          <w:spacing w:val="6"/>
          <w:sz w:val="24"/>
          <w:highlight w:val="none"/>
        </w:rPr>
        <w:t>（编号：</w:t>
      </w:r>
      <w:r>
        <w:rPr>
          <w:rFonts w:hint="eastAsia" w:ascii="宋体" w:hAnsi="宋体" w:cs="宋体"/>
          <w:color w:val="auto"/>
          <w:spacing w:val="6"/>
          <w:sz w:val="24"/>
          <w:highlight w:val="none"/>
          <w:u w:val="single"/>
          <w:lang w:eastAsia="zh-CN"/>
        </w:rPr>
        <w:t>ZJWS-20250022GC</w:t>
      </w:r>
      <w:r>
        <w:rPr>
          <w:rFonts w:hint="eastAsia" w:ascii="宋体" w:hAnsi="宋体" w:cs="宋体"/>
          <w:color w:val="auto"/>
          <w:spacing w:val="6"/>
          <w:sz w:val="24"/>
          <w:highlight w:val="none"/>
        </w:rPr>
        <w:t xml:space="preserve">）采购活动，经与本单位法人代表（负责人）联系确认，现就有关公平竞争事项郑重声明如下： </w:t>
      </w:r>
    </w:p>
    <w:p>
      <w:pPr>
        <w:spacing w:line="312" w:lineRule="auto"/>
        <w:ind w:firstLine="480"/>
        <w:rPr>
          <w:rFonts w:cs="宋体"/>
          <w:color w:val="auto"/>
          <w:sz w:val="24"/>
          <w:highlight w:val="none"/>
        </w:rPr>
      </w:pPr>
      <w:r>
        <w:rPr>
          <w:rFonts w:hint="eastAsia" w:cs="宋体"/>
          <w:color w:val="auto"/>
          <w:sz w:val="24"/>
          <w:highlight w:val="none"/>
        </w:rPr>
        <w:t xml:space="preserve">一、本单位与采购人之间 </w:t>
      </w:r>
    </w:p>
    <w:p>
      <w:pPr>
        <w:spacing w:line="312" w:lineRule="auto"/>
        <w:ind w:firstLine="480"/>
        <w:rPr>
          <w:rFonts w:cs="宋体"/>
          <w:color w:val="auto"/>
          <w:sz w:val="24"/>
          <w:highlight w:val="none"/>
        </w:rPr>
      </w:pPr>
      <w:r>
        <w:rPr>
          <w:rFonts w:hint="eastAsia" w:cs="宋体"/>
          <w:color w:val="auto"/>
          <w:sz w:val="24"/>
          <w:highlight w:val="none"/>
        </w:rPr>
        <w:t>□不存在利害关系</w:t>
      </w:r>
    </w:p>
    <w:p>
      <w:pPr>
        <w:spacing w:line="312" w:lineRule="auto"/>
        <w:ind w:firstLine="480"/>
        <w:rPr>
          <w:rFonts w:cs="宋体"/>
          <w:color w:val="auto"/>
          <w:sz w:val="24"/>
          <w:highlight w:val="none"/>
        </w:rPr>
      </w:pPr>
      <w:r>
        <w:rPr>
          <w:rFonts w:hint="eastAsia" w:cs="宋体"/>
          <w:color w:val="auto"/>
          <w:sz w:val="24"/>
          <w:highlight w:val="none"/>
        </w:rPr>
        <w:t>□存在下列利害关系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A.投资关系  B.行政隶属关系  C.业务指导关系 D.其他可能影响采购公正的利害关系</w:t>
      </w:r>
      <w:r>
        <w:rPr>
          <w:rFonts w:hint="eastAsia" w:cs="宋体"/>
          <w:color w:val="auto"/>
          <w:sz w:val="24"/>
          <w:highlight w:val="none"/>
          <w:u w:val="single"/>
        </w:rPr>
        <w:t xml:space="preserve">（如有，请如实说明）                                </w:t>
      </w:r>
      <w:r>
        <w:rPr>
          <w:rFonts w:hint="eastAsia" w:cs="宋体"/>
          <w:color w:val="auto"/>
          <w:sz w:val="24"/>
          <w:highlight w:val="none"/>
        </w:rPr>
        <w:t>。</w:t>
      </w:r>
    </w:p>
    <w:p>
      <w:pPr>
        <w:spacing w:line="312" w:lineRule="auto"/>
        <w:ind w:firstLine="504"/>
        <w:rPr>
          <w:rFonts w:cs="宋体"/>
          <w:color w:val="auto"/>
          <w:sz w:val="24"/>
          <w:highlight w:val="none"/>
        </w:rPr>
      </w:pPr>
      <w:r>
        <w:rPr>
          <w:rFonts w:hint="eastAsia" w:cs="宋体"/>
          <w:color w:val="auto"/>
          <w:spacing w:val="6"/>
          <w:sz w:val="24"/>
          <w:highlight w:val="none"/>
        </w:rPr>
        <w:t>二、</w:t>
      </w:r>
      <w:r>
        <w:rPr>
          <w:rFonts w:hint="eastAsia" w:cs="宋体"/>
          <w:color w:val="auto"/>
          <w:sz w:val="24"/>
          <w:highlight w:val="none"/>
        </w:rPr>
        <w:t>现已清楚知道参加本项目采购活动的其他所有供应商名称，本单位</w:t>
      </w:r>
    </w:p>
    <w:p>
      <w:pPr>
        <w:spacing w:line="312" w:lineRule="auto"/>
        <w:ind w:firstLine="480"/>
        <w:rPr>
          <w:rFonts w:cs="宋体"/>
          <w:color w:val="auto"/>
          <w:sz w:val="24"/>
          <w:highlight w:val="none"/>
        </w:rPr>
      </w:pPr>
      <w:r>
        <w:rPr>
          <w:rFonts w:hint="eastAsia" w:cs="宋体"/>
          <w:color w:val="auto"/>
          <w:sz w:val="24"/>
          <w:highlight w:val="none"/>
        </w:rPr>
        <w:t>□与其他所有供应商之间均不存在利害关系</w:t>
      </w:r>
    </w:p>
    <w:p>
      <w:pPr>
        <w:spacing w:line="312" w:lineRule="auto"/>
        <w:ind w:firstLine="480"/>
        <w:rPr>
          <w:rFonts w:cs="宋体"/>
          <w:color w:val="auto"/>
          <w:sz w:val="24"/>
          <w:highlight w:val="none"/>
        </w:rPr>
      </w:pPr>
      <w:r>
        <w:rPr>
          <w:rFonts w:hint="eastAsia" w:cs="宋体"/>
          <w:color w:val="auto"/>
          <w:sz w:val="24"/>
          <w:highlight w:val="none"/>
        </w:rPr>
        <w:t>□与</w:t>
      </w:r>
      <w:r>
        <w:rPr>
          <w:rFonts w:hint="eastAsia" w:cs="宋体"/>
          <w:color w:val="auto"/>
          <w:sz w:val="24"/>
          <w:highlight w:val="none"/>
          <w:u w:val="single"/>
        </w:rPr>
        <w:t xml:space="preserve">           （供应商名称）</w:t>
      </w:r>
      <w:r>
        <w:rPr>
          <w:rFonts w:hint="eastAsia" w:cs="宋体"/>
          <w:color w:val="auto"/>
          <w:sz w:val="24"/>
          <w:highlight w:val="none"/>
        </w:rPr>
        <w:t>之间存在下列利害关系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A.法定代表人或负责人或实际控制人是同一人</w:t>
      </w:r>
    </w:p>
    <w:p>
      <w:pPr>
        <w:spacing w:line="312" w:lineRule="auto"/>
        <w:ind w:firstLine="480"/>
        <w:rPr>
          <w:rFonts w:cs="宋体"/>
          <w:color w:val="auto"/>
          <w:spacing w:val="6"/>
          <w:sz w:val="24"/>
          <w:highlight w:val="none"/>
        </w:rPr>
      </w:pPr>
      <w:r>
        <w:rPr>
          <w:rFonts w:hint="eastAsia" w:cs="宋体"/>
          <w:color w:val="auto"/>
          <w:sz w:val="24"/>
          <w:highlight w:val="none"/>
        </w:rPr>
        <w:t>B.法定代表人或负责人或实际控制人是夫妻关系</w:t>
      </w:r>
    </w:p>
    <w:p>
      <w:pPr>
        <w:spacing w:line="312" w:lineRule="auto"/>
        <w:ind w:firstLine="480"/>
        <w:rPr>
          <w:rFonts w:cs="宋体"/>
          <w:color w:val="auto"/>
          <w:spacing w:val="6"/>
          <w:sz w:val="24"/>
          <w:highlight w:val="none"/>
        </w:rPr>
      </w:pPr>
      <w:r>
        <w:rPr>
          <w:rFonts w:hint="eastAsia" w:cs="宋体"/>
          <w:color w:val="auto"/>
          <w:sz w:val="24"/>
          <w:highlight w:val="none"/>
        </w:rPr>
        <w:t>C.法定代表人或负责人或实际控制人是直系血亲关系</w:t>
      </w:r>
    </w:p>
    <w:p>
      <w:pPr>
        <w:spacing w:line="312" w:lineRule="auto"/>
        <w:ind w:firstLine="480"/>
        <w:rPr>
          <w:rFonts w:cs="宋体"/>
          <w:color w:val="auto"/>
          <w:spacing w:val="6"/>
          <w:sz w:val="24"/>
          <w:highlight w:val="none"/>
        </w:rPr>
      </w:pPr>
      <w:r>
        <w:rPr>
          <w:rFonts w:hint="eastAsia" w:cs="宋体"/>
          <w:color w:val="auto"/>
          <w:sz w:val="24"/>
          <w:highlight w:val="none"/>
        </w:rPr>
        <w:t>D.法定代表人或负责人或实际控制人存在三代以内旁系血亲关系</w:t>
      </w:r>
    </w:p>
    <w:p>
      <w:pPr>
        <w:spacing w:line="312" w:lineRule="auto"/>
        <w:ind w:firstLine="480"/>
        <w:rPr>
          <w:rFonts w:cs="宋体"/>
          <w:color w:val="auto"/>
          <w:sz w:val="24"/>
          <w:highlight w:val="none"/>
        </w:rPr>
      </w:pPr>
      <w:r>
        <w:rPr>
          <w:rFonts w:hint="eastAsia" w:cs="宋体"/>
          <w:color w:val="auto"/>
          <w:sz w:val="24"/>
          <w:highlight w:val="none"/>
        </w:rPr>
        <w:t>E.法定代表人或负责人或实际控制人存在近姻亲关系</w:t>
      </w:r>
    </w:p>
    <w:p>
      <w:pPr>
        <w:spacing w:line="312" w:lineRule="auto"/>
        <w:ind w:firstLine="480"/>
        <w:rPr>
          <w:rFonts w:cs="宋体"/>
          <w:color w:val="auto"/>
          <w:sz w:val="24"/>
          <w:highlight w:val="none"/>
        </w:rPr>
      </w:pPr>
      <w:r>
        <w:rPr>
          <w:rFonts w:hint="eastAsia" w:cs="宋体"/>
          <w:color w:val="auto"/>
          <w:sz w:val="24"/>
          <w:highlight w:val="none"/>
        </w:rPr>
        <w:t>F.法定代表人或负责人或实际控制人存在股份控制或实际控制关系</w:t>
      </w:r>
    </w:p>
    <w:p>
      <w:pPr>
        <w:spacing w:line="312" w:lineRule="auto"/>
        <w:ind w:firstLine="480"/>
        <w:rPr>
          <w:rFonts w:cs="宋体"/>
          <w:color w:val="auto"/>
          <w:sz w:val="24"/>
          <w:highlight w:val="none"/>
        </w:rPr>
      </w:pPr>
      <w:r>
        <w:rPr>
          <w:rFonts w:hint="eastAsia" w:cs="宋体"/>
          <w:color w:val="auto"/>
          <w:sz w:val="24"/>
          <w:highlight w:val="none"/>
        </w:rPr>
        <w:t>G.存在共同直接或间接投资设立子公司、联营企业和合营企业情况</w:t>
      </w:r>
    </w:p>
    <w:p>
      <w:pPr>
        <w:spacing w:line="312" w:lineRule="auto"/>
        <w:ind w:firstLine="480"/>
        <w:rPr>
          <w:rFonts w:cs="宋体"/>
          <w:color w:val="auto"/>
          <w:sz w:val="24"/>
          <w:highlight w:val="none"/>
        </w:rPr>
      </w:pPr>
      <w:r>
        <w:rPr>
          <w:rFonts w:hint="eastAsia" w:cs="宋体"/>
          <w:color w:val="auto"/>
          <w:sz w:val="24"/>
          <w:highlight w:val="none"/>
        </w:rPr>
        <w:t>H.存在分级代理或代销关系、同一生产制造商关系、管理关系、重要业务（占主营业务收入50%以上）或重要财务往来关系（如融资）等其他实质性控制关系</w:t>
      </w:r>
    </w:p>
    <w:p>
      <w:pPr>
        <w:spacing w:line="312" w:lineRule="auto"/>
        <w:ind w:firstLine="480"/>
        <w:rPr>
          <w:rFonts w:cs="宋体"/>
          <w:color w:val="auto"/>
          <w:spacing w:val="6"/>
          <w:sz w:val="24"/>
          <w:highlight w:val="none"/>
        </w:rPr>
      </w:pPr>
      <w:r>
        <w:rPr>
          <w:rFonts w:hint="eastAsia" w:cs="宋体"/>
          <w:color w:val="auto"/>
          <w:sz w:val="24"/>
          <w:highlight w:val="none"/>
        </w:rPr>
        <w:t>I.其他利害关系情况</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现已清楚知道并严格遵守政府采购法律法规和现场纪律。</w:t>
      </w:r>
    </w:p>
    <w:p>
      <w:pPr>
        <w:spacing w:line="312" w:lineRule="auto"/>
        <w:ind w:firstLine="480"/>
        <w:rPr>
          <w:rFonts w:cs="宋体"/>
          <w:color w:val="auto"/>
          <w:sz w:val="24"/>
          <w:highlight w:val="none"/>
        </w:rPr>
      </w:pPr>
      <w:r>
        <w:rPr>
          <w:rFonts w:hint="eastAsia" w:cs="宋体"/>
          <w:color w:val="auto"/>
          <w:sz w:val="24"/>
          <w:highlight w:val="none"/>
        </w:rPr>
        <w:t>我发现</w:t>
      </w:r>
      <w:r>
        <w:rPr>
          <w:rFonts w:hint="eastAsia" w:cs="宋体"/>
          <w:color w:val="auto"/>
          <w:sz w:val="24"/>
          <w:highlight w:val="none"/>
          <w:u w:val="single"/>
        </w:rPr>
        <w:t xml:space="preserve">                    </w:t>
      </w:r>
      <w:r>
        <w:rPr>
          <w:rFonts w:hint="eastAsia" w:cs="宋体"/>
          <w:color w:val="auto"/>
          <w:sz w:val="24"/>
          <w:highlight w:val="none"/>
        </w:rPr>
        <w:t>供应商之间存在或可能存在上述第二条第</w:t>
      </w:r>
      <w:r>
        <w:rPr>
          <w:rFonts w:hint="eastAsia" w:cs="宋体"/>
          <w:color w:val="auto"/>
          <w:sz w:val="24"/>
          <w:highlight w:val="none"/>
          <w:u w:val="single"/>
        </w:rPr>
        <w:t xml:space="preserve">        </w:t>
      </w:r>
      <w:r>
        <w:rPr>
          <w:rFonts w:hint="eastAsia" w:cs="宋体"/>
          <w:color w:val="auto"/>
          <w:sz w:val="24"/>
          <w:highlight w:val="none"/>
        </w:rPr>
        <w:t>项利害关系。</w:t>
      </w:r>
    </w:p>
    <w:p>
      <w:pPr>
        <w:spacing w:line="312" w:lineRule="auto"/>
        <w:ind w:firstLine="480"/>
        <w:rPr>
          <w:rFonts w:cs="宋体"/>
          <w:color w:val="auto"/>
          <w:sz w:val="24"/>
          <w:highlight w:val="none"/>
        </w:rPr>
      </w:pPr>
      <w:r>
        <w:rPr>
          <w:rFonts w:hint="eastAsia" w:cs="宋体"/>
          <w:color w:val="auto"/>
          <w:sz w:val="24"/>
          <w:highlight w:val="none"/>
        </w:rPr>
        <w:t>供应商代表签名：</w:t>
      </w:r>
    </w:p>
    <w:p>
      <w:pPr>
        <w:spacing w:line="312" w:lineRule="auto"/>
        <w:ind w:firstLine="480"/>
        <w:rPr>
          <w:rFonts w:cs="宋体"/>
          <w:color w:val="auto"/>
          <w:sz w:val="24"/>
          <w:highlight w:val="none"/>
        </w:rPr>
      </w:pPr>
      <w:r>
        <w:rPr>
          <w:rFonts w:hint="eastAsia" w:cs="宋体"/>
          <w:color w:val="auto"/>
          <w:sz w:val="24"/>
          <w:highlight w:val="none"/>
          <w:lang w:eastAsia="zh-CN"/>
        </w:rPr>
        <w:t>2025</w:t>
      </w:r>
      <w:r>
        <w:rPr>
          <w:rFonts w:hint="eastAsia" w:cs="宋体"/>
          <w:color w:val="auto"/>
          <w:sz w:val="24"/>
          <w:highlight w:val="none"/>
        </w:rPr>
        <w:t>年 月  日</w:t>
      </w:r>
    </w:p>
    <w:p>
      <w:pPr>
        <w:spacing w:line="312" w:lineRule="auto"/>
        <w:ind w:firstLine="480"/>
        <w:rPr>
          <w:rFonts w:ascii="宋体" w:hAnsi="宋体" w:cs="宋体"/>
          <w:bCs/>
          <w:color w:val="auto"/>
          <w:sz w:val="24"/>
          <w:highlight w:val="none"/>
        </w:rPr>
      </w:pPr>
      <w:r>
        <w:rPr>
          <w:rFonts w:hint="eastAsia" w:cs="宋体"/>
          <w:i/>
          <w:iCs/>
          <w:color w:val="auto"/>
          <w:sz w:val="24"/>
          <w:highlight w:val="none"/>
        </w:rPr>
        <w:t>注：响应文件解密结束，各供应商签署《政府采购活动现场确认声明书》，签署完成后，扫描发送至邮箱：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cs="宋体"/>
          <w:i/>
          <w:iCs/>
          <w:color w:val="auto"/>
          <w:sz w:val="24"/>
          <w:highlight w:val="none"/>
        </w:rPr>
        <w:t>253656196@qq.com；</w:t>
      </w:r>
      <w:r>
        <w:rPr>
          <w:rFonts w:hint="eastAsia" w:cs="宋体"/>
          <w:i/>
          <w:iCs/>
          <w:color w:val="auto"/>
          <w:sz w:val="24"/>
          <w:highlight w:val="none"/>
        </w:rPr>
        <w:fldChar w:fldCharType="end"/>
      </w:r>
    </w:p>
    <w:p>
      <w:pPr>
        <w:pStyle w:val="15"/>
        <w:rPr>
          <w:color w:val="auto"/>
          <w:highlight w:val="none"/>
          <w:lang w:val="en-US"/>
        </w:rPr>
      </w:pPr>
    </w:p>
    <w:p>
      <w:pPr>
        <w:spacing w:line="360" w:lineRule="auto"/>
        <w:rPr>
          <w:rFonts w:ascii="宋体" w:hAnsi="宋体" w:cs="仿宋_GB2312"/>
          <w:b/>
          <w:color w:val="auto"/>
          <w:sz w:val="24"/>
          <w:highlight w:val="none"/>
        </w:rPr>
      </w:pPr>
    </w:p>
    <w:p>
      <w:pPr>
        <w:spacing w:line="360" w:lineRule="auto"/>
        <w:ind w:firstLine="482" w:firstLineChars="200"/>
        <w:rPr>
          <w:rFonts w:ascii="宋体" w:hAnsi="宋体" w:cs="仿宋_GB2312"/>
          <w:b/>
          <w:color w:val="auto"/>
          <w:sz w:val="24"/>
          <w:highlight w:val="none"/>
        </w:rPr>
      </w:pPr>
    </w:p>
    <w:sectPr>
      <w:pgSz w:w="11906" w:h="16838"/>
      <w:pgMar w:top="779" w:right="1418" w:bottom="46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Lucida Sans">
    <w:altName w:val="Lucida Sans Unicode"/>
    <w:panose1 w:val="020B0602030504020204"/>
    <w:charset w:val="00"/>
    <w:family w:val="swiss"/>
    <w:pitch w:val="default"/>
    <w:sig w:usb0="00000000" w:usb1="00000000" w:usb2="00000000" w:usb3="00000000" w:csb0="2000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Futura Hv">
    <w:altName w:val="Segoe Print"/>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NumberOnly"/>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NumberOnly">
    <w:panose1 w:val="020B0500000000000000"/>
    <w:charset w:val="00"/>
    <w:family w:val="auto"/>
    <w:pitch w:val="default"/>
    <w:sig w:usb0="8000002F" w:usb1="10000048" w:usb2="00000000" w:usb3="00000000" w:csb0="00000111" w:csb1="40000000"/>
  </w:font>
  <w:font w:name="Meiryo UI">
    <w:panose1 w:val="020B0604030504040204"/>
    <w:charset w:val="0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76200" cy="306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2"/>
                            <w:rPr>
                              <w:rStyle w:val="65"/>
                            </w:rPr>
                          </w:pPr>
                          <w:r>
                            <w:fldChar w:fldCharType="begin"/>
                          </w:r>
                          <w:r>
                            <w:rPr>
                              <w:rStyle w:val="65"/>
                            </w:rPr>
                            <w:instrText xml:space="preserve">PAGE  </w:instrText>
                          </w:r>
                          <w:r>
                            <w:fldChar w:fldCharType="separate"/>
                          </w:r>
                          <w:r>
                            <w:rPr>
                              <w:rStyle w:val="65"/>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2816;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LCK8n+y&#10;AQAASAMAAA4AAAAAAAAAAQAgAAAAHwEAAGRycy9lMm9Eb2MueG1sUEsFBgAAAAAGAAYAWQEAAEMF&#10;AAAAAA==&#10;">
              <v:fill on="f" focussize="0,0"/>
              <v:stroke on="f"/>
              <v:imagedata o:title=""/>
              <o:lock v:ext="edit" aspectratio="f"/>
              <v:textbox inset="0mm,0mm,0mm,0mm" style="mso-fit-shape-to-text:t;">
                <w:txbxContent>
                  <w:p>
                    <w:pPr>
                      <w:pStyle w:val="42"/>
                      <w:rPr>
                        <w:rStyle w:val="65"/>
                      </w:rPr>
                    </w:pPr>
                    <w:r>
                      <w:fldChar w:fldCharType="begin"/>
                    </w:r>
                    <w:r>
                      <w:rPr>
                        <w:rStyle w:val="65"/>
                      </w:rPr>
                      <w:instrText xml:space="preserve">PAGE  </w:instrText>
                    </w:r>
                    <w:r>
                      <w:fldChar w:fldCharType="separate"/>
                    </w:r>
                    <w:r>
                      <w:rPr>
                        <w:rStyle w:val="65"/>
                      </w:rPr>
                      <w:t>3</w:t>
                    </w:r>
                    <w:r>
                      <w:fldChar w:fldCharType="end"/>
                    </w:r>
                  </w:p>
                  <w:p>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framePr w:wrap="around" w:vAnchor="text" w:hAnchor="margin" w:xAlign="right" w:y="1"/>
      <w:rPr>
        <w:rStyle w:val="65"/>
      </w:rPr>
    </w:pPr>
    <w:r>
      <w:fldChar w:fldCharType="begin"/>
    </w:r>
    <w:r>
      <w:rPr>
        <w:rStyle w:val="65"/>
      </w:rPr>
      <w:instrText xml:space="preserve">PAGE  </w:instrText>
    </w:r>
    <w:r>
      <w:fldChar w:fldCharType="end"/>
    </w:r>
  </w:p>
  <w:p>
    <w:pPr>
      <w:pStyle w:val="4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76200" cy="306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2"/>
                            <w:rPr>
                              <w:rStyle w:val="65"/>
                            </w:rPr>
                          </w:pPr>
                          <w:r>
                            <w:fldChar w:fldCharType="begin"/>
                          </w:r>
                          <w:r>
                            <w:rPr>
                              <w:rStyle w:val="65"/>
                            </w:rPr>
                            <w:instrText xml:space="preserve">PAGE  </w:instrText>
                          </w:r>
                          <w:r>
                            <w:fldChar w:fldCharType="separate"/>
                          </w:r>
                          <w:r>
                            <w:rPr>
                              <w:rStyle w:val="65"/>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1792;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HGXGfSy&#10;AQAASAMAAA4AAAAAAAAAAQAgAAAAHwEAAGRycy9lMm9Eb2MueG1sUEsFBgAAAAAGAAYAWQEAAEMF&#10;AAAAAA==&#10;">
              <v:fill on="f" focussize="0,0"/>
              <v:stroke on="f"/>
              <v:imagedata o:title=""/>
              <o:lock v:ext="edit" aspectratio="f"/>
              <v:textbox inset="0mm,0mm,0mm,0mm" style="mso-fit-shape-to-text:t;">
                <w:txbxContent>
                  <w:p>
                    <w:pPr>
                      <w:pStyle w:val="42"/>
                      <w:rPr>
                        <w:rStyle w:val="65"/>
                      </w:rPr>
                    </w:pPr>
                    <w:r>
                      <w:fldChar w:fldCharType="begin"/>
                    </w:r>
                    <w:r>
                      <w:rPr>
                        <w:rStyle w:val="65"/>
                      </w:rPr>
                      <w:instrText xml:space="preserve">PAGE  </w:instrText>
                    </w:r>
                    <w:r>
                      <w:fldChar w:fldCharType="separate"/>
                    </w:r>
                    <w:r>
                      <w:rPr>
                        <w:rStyle w:val="65"/>
                      </w:rPr>
                      <w:t>3</w:t>
                    </w:r>
                    <w:r>
                      <w:fldChar w:fldCharType="end"/>
                    </w:r>
                  </w:p>
                  <w:p>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ind w:firstLine="180" w:firstLineChars="100"/>
      <w:jc w:val="both"/>
      <w:rPr>
        <w:rFonts w:ascii="仿宋_GB2312" w:eastAsia="仿宋_GB2312"/>
        <w:b w:val="0"/>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jc w:val="right"/>
      <w:rPr>
        <w:rFonts w:eastAsia="仿宋_GB23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singleLevel"/>
    <w:tmpl w:val="00000001"/>
    <w:lvl w:ilvl="0" w:tentative="1">
      <w:start w:val="1"/>
      <w:numFmt w:val="bullet"/>
      <w:pStyle w:val="20"/>
      <w:lvlText w:val=""/>
      <w:lvlJc w:val="left"/>
      <w:pPr>
        <w:tabs>
          <w:tab w:val="left" w:pos="1440"/>
        </w:tabs>
        <w:ind w:left="1440" w:hanging="360"/>
      </w:pPr>
      <w:rPr>
        <w:rFonts w:hint="default" w:ascii="Symbol" w:hAnsi="Symbol" w:eastAsia="Symbol"/>
      </w:rPr>
    </w:lvl>
  </w:abstractNum>
  <w:abstractNum w:abstractNumId="2">
    <w:nsid w:val="00000002"/>
    <w:multiLevelType w:val="multilevel"/>
    <w:tmpl w:val="00000002"/>
    <w:lvl w:ilvl="0" w:tentative="1">
      <w:start w:val="1"/>
      <w:numFmt w:val="bullet"/>
      <w:pStyle w:val="413"/>
      <w:lvlText w:val=""/>
      <w:lvlJc w:val="left"/>
      <w:pPr>
        <w:tabs>
          <w:tab w:val="left" w:pos="840"/>
        </w:tabs>
        <w:ind w:left="840" w:hanging="420"/>
      </w:pPr>
      <w:rPr>
        <w:rFonts w:hint="default" w:ascii="Wingdings" w:hAnsi="Wingdings"/>
      </w:rPr>
    </w:lvl>
    <w:lvl w:ilvl="1" w:tentative="1">
      <w:start w:val="1"/>
      <w:numFmt w:val="bullet"/>
      <w:pStyle w:val="89"/>
      <w:lvlText w:val=""/>
      <w:lvlJc w:val="left"/>
      <w:pPr>
        <w:tabs>
          <w:tab w:val="left" w:pos="1260"/>
        </w:tabs>
        <w:ind w:left="1260" w:hanging="420"/>
      </w:pPr>
      <w:rPr>
        <w:rFonts w:hint="default" w:ascii="Wingdings" w:hAnsi="Wingdings"/>
      </w:rPr>
    </w:lvl>
    <w:lvl w:ilvl="2" w:tentative="1">
      <w:start w:val="1"/>
      <w:numFmt w:val="bullet"/>
      <w:lvlText w:val=""/>
      <w:lvlJc w:val="left"/>
      <w:pPr>
        <w:tabs>
          <w:tab w:val="left" w:pos="1680"/>
        </w:tabs>
        <w:ind w:left="1680" w:hanging="420"/>
      </w:pPr>
      <w:rPr>
        <w:rFonts w:hint="default" w:ascii="Wingdings" w:hAnsi="Wingdings"/>
      </w:rPr>
    </w:lvl>
    <w:lvl w:ilvl="3" w:tentative="1">
      <w:start w:val="1"/>
      <w:numFmt w:val="bullet"/>
      <w:pStyle w:val="178"/>
      <w:lvlText w:val=""/>
      <w:lvlJc w:val="left"/>
      <w:pPr>
        <w:tabs>
          <w:tab w:val="left" w:pos="2100"/>
        </w:tabs>
        <w:ind w:left="2100" w:hanging="420"/>
      </w:pPr>
      <w:rPr>
        <w:rFonts w:hint="default" w:ascii="Wingdings" w:hAnsi="Wingdings"/>
      </w:rPr>
    </w:lvl>
    <w:lvl w:ilvl="4" w:tentative="1">
      <w:start w:val="1"/>
      <w:numFmt w:val="bullet"/>
      <w:lvlText w:val=""/>
      <w:lvlJc w:val="left"/>
      <w:pPr>
        <w:tabs>
          <w:tab w:val="left" w:pos="2520"/>
        </w:tabs>
        <w:ind w:left="2520" w:hanging="420"/>
      </w:pPr>
      <w:rPr>
        <w:rFonts w:hint="default" w:ascii="Wingdings" w:hAnsi="Wingdings"/>
      </w:rPr>
    </w:lvl>
    <w:lvl w:ilvl="5" w:tentative="1">
      <w:start w:val="1"/>
      <w:numFmt w:val="bullet"/>
      <w:pStyle w:val="176"/>
      <w:lvlText w:val=""/>
      <w:lvlJc w:val="left"/>
      <w:pPr>
        <w:tabs>
          <w:tab w:val="left" w:pos="2940"/>
        </w:tabs>
        <w:ind w:left="2940" w:hanging="420"/>
      </w:pPr>
      <w:rPr>
        <w:rFonts w:hint="default" w:ascii="Wingdings" w:hAnsi="Wingdings"/>
      </w:rPr>
    </w:lvl>
    <w:lvl w:ilvl="6" w:tentative="1">
      <w:start w:val="1"/>
      <w:numFmt w:val="bullet"/>
      <w:lvlText w:val=""/>
      <w:lvlJc w:val="left"/>
      <w:pPr>
        <w:tabs>
          <w:tab w:val="left" w:pos="3360"/>
        </w:tabs>
        <w:ind w:left="3360" w:hanging="420"/>
      </w:pPr>
      <w:rPr>
        <w:rFonts w:hint="default" w:ascii="Wingdings" w:hAnsi="Wingdings"/>
      </w:rPr>
    </w:lvl>
    <w:lvl w:ilvl="7" w:tentative="1">
      <w:start w:val="1"/>
      <w:numFmt w:val="bullet"/>
      <w:pStyle w:val="282"/>
      <w:lvlText w:val=""/>
      <w:lvlJc w:val="left"/>
      <w:pPr>
        <w:tabs>
          <w:tab w:val="left" w:pos="3780"/>
        </w:tabs>
        <w:ind w:left="3780" w:hanging="420"/>
      </w:pPr>
      <w:rPr>
        <w:rFonts w:hint="default" w:ascii="Wingdings" w:hAnsi="Wingdings"/>
      </w:rPr>
    </w:lvl>
    <w:lvl w:ilvl="8" w:tentative="1">
      <w:start w:val="1"/>
      <w:numFmt w:val="bullet"/>
      <w:pStyle w:val="375"/>
      <w:lvlText w:val=""/>
      <w:lvlJc w:val="left"/>
      <w:pPr>
        <w:tabs>
          <w:tab w:val="left" w:pos="4200"/>
        </w:tabs>
        <w:ind w:left="4200" w:hanging="420"/>
      </w:pPr>
      <w:rPr>
        <w:rFonts w:hint="default" w:ascii="Wingdings" w:hAnsi="Wingdings"/>
      </w:rPr>
    </w:lvl>
  </w:abstractNum>
  <w:abstractNum w:abstractNumId="3">
    <w:nsid w:val="00000003"/>
    <w:multiLevelType w:val="multilevel"/>
    <w:tmpl w:val="00000003"/>
    <w:lvl w:ilvl="0" w:tentative="1">
      <w:start w:val="1"/>
      <w:numFmt w:val="decimal"/>
      <w:pStyle w:val="4"/>
      <w:lvlText w:val="%1"/>
      <w:lvlJc w:val="left"/>
      <w:pPr>
        <w:tabs>
          <w:tab w:val="left" w:pos="432"/>
        </w:tabs>
        <w:ind w:left="432" w:hanging="432"/>
      </w:pPr>
      <w:rPr>
        <w:lang w:val="en-US"/>
      </w:rPr>
    </w:lvl>
    <w:lvl w:ilvl="1" w:tentative="1">
      <w:start w:val="1"/>
      <w:numFmt w:val="decimal"/>
      <w:lvlText w:val="%1.%2"/>
      <w:lvlJc w:val="left"/>
      <w:pPr>
        <w:tabs>
          <w:tab w:val="left" w:pos="860"/>
        </w:tabs>
        <w:ind w:left="860" w:hanging="576"/>
      </w:pPr>
    </w:lvl>
    <w:lvl w:ilvl="2" w:tentative="1">
      <w:start w:val="1"/>
      <w:numFmt w:val="decimal"/>
      <w:lvlText w:val="%1.%2.%3"/>
      <w:lvlJc w:val="left"/>
      <w:pPr>
        <w:tabs>
          <w:tab w:val="left" w:pos="720"/>
        </w:tabs>
        <w:ind w:left="720" w:hanging="720"/>
      </w:pPr>
    </w:lvl>
    <w:lvl w:ilvl="3" w:tentative="1">
      <w:start w:val="1"/>
      <w:numFmt w:val="decimal"/>
      <w:lvlText w:val="%1.%2.%3.%4"/>
      <w:lvlJc w:val="left"/>
      <w:pPr>
        <w:tabs>
          <w:tab w:val="left" w:pos="864"/>
        </w:tabs>
        <w:ind w:left="864" w:hanging="864"/>
      </w:pPr>
    </w:lvl>
    <w:lvl w:ilvl="4" w:tentative="1">
      <w:start w:val="1"/>
      <w:numFmt w:val="decimal"/>
      <w:lvlText w:val="%1.%2.%3.%4.%5"/>
      <w:lvlJc w:val="left"/>
      <w:pPr>
        <w:tabs>
          <w:tab w:val="left" w:pos="1008"/>
        </w:tabs>
        <w:ind w:left="1008" w:hanging="1008"/>
      </w:pPr>
    </w:lvl>
    <w:lvl w:ilvl="5" w:tentative="1">
      <w:start w:val="1"/>
      <w:numFmt w:val="decimal"/>
      <w:lvlText w:val="%1.%2.%3.%4.%5.%6"/>
      <w:lvlJc w:val="left"/>
      <w:pPr>
        <w:tabs>
          <w:tab w:val="left" w:pos="1152"/>
        </w:tabs>
        <w:ind w:left="1152" w:hanging="1152"/>
      </w:pPr>
    </w:lvl>
    <w:lvl w:ilvl="6" w:tentative="1">
      <w:start w:val="1"/>
      <w:numFmt w:val="decimal"/>
      <w:lvlText w:val="%1.%2.%3.%4.%5.%6.%7"/>
      <w:lvlJc w:val="left"/>
      <w:pPr>
        <w:tabs>
          <w:tab w:val="left" w:pos="1296"/>
        </w:tabs>
        <w:ind w:left="1296" w:hanging="1296"/>
      </w:pPr>
    </w:lvl>
    <w:lvl w:ilvl="7" w:tentative="1">
      <w:start w:val="1"/>
      <w:numFmt w:val="decimal"/>
      <w:lvlText w:val="%1.%2.%3.%4.%5.%6.%7.%8"/>
      <w:lvlJc w:val="left"/>
      <w:pPr>
        <w:tabs>
          <w:tab w:val="left" w:pos="1440"/>
        </w:tabs>
        <w:ind w:left="1440" w:hanging="1440"/>
      </w:pPr>
    </w:lvl>
    <w:lvl w:ilvl="8" w:tentative="1">
      <w:start w:val="1"/>
      <w:numFmt w:val="decimal"/>
      <w:lvlText w:val="%1.%2.%3.%4.%5.%6.%7.%8.%9"/>
      <w:lvlJc w:val="left"/>
      <w:pPr>
        <w:tabs>
          <w:tab w:val="left" w:pos="1584"/>
        </w:tabs>
        <w:ind w:left="1584" w:hanging="1584"/>
      </w:pPr>
    </w:lvl>
  </w:abstractNum>
  <w:abstractNum w:abstractNumId="5">
    <w:nsid w:val="00000005"/>
    <w:multiLevelType w:val="multilevel"/>
    <w:tmpl w:val="00000005"/>
    <w:lvl w:ilvl="0" w:tentative="1">
      <w:start w:val="1"/>
      <w:numFmt w:val="decimal"/>
      <w:pStyle w:val="3"/>
      <w:lvlText w:val="%1"/>
      <w:lvlJc w:val="left"/>
      <w:pPr>
        <w:tabs>
          <w:tab w:val="left" w:pos="432"/>
        </w:tabs>
        <w:ind w:left="432" w:hanging="432"/>
      </w:pPr>
    </w:lvl>
    <w:lvl w:ilvl="1" w:tentative="1">
      <w:start w:val="1"/>
      <w:numFmt w:val="decimal"/>
      <w:lvlText w:val="%1.%2"/>
      <w:lvlJc w:val="left"/>
      <w:pPr>
        <w:tabs>
          <w:tab w:val="left" w:pos="576"/>
        </w:tabs>
        <w:ind w:left="576" w:hanging="576"/>
      </w:pPr>
    </w:lvl>
    <w:lvl w:ilvl="2" w:tentative="1">
      <w:start w:val="1"/>
      <w:numFmt w:val="decimal"/>
      <w:pStyle w:val="5"/>
      <w:lvlText w:val="%1.%2.%3"/>
      <w:lvlJc w:val="left"/>
      <w:pPr>
        <w:tabs>
          <w:tab w:val="left" w:pos="900"/>
        </w:tabs>
        <w:ind w:left="900" w:hanging="720"/>
      </w:pPr>
    </w:lvl>
    <w:lvl w:ilvl="3" w:tentative="1">
      <w:start w:val="1"/>
      <w:numFmt w:val="decimal"/>
      <w:pStyle w:val="6"/>
      <w:lvlText w:val="%1.%2.%3.%4"/>
      <w:lvlJc w:val="left"/>
      <w:pPr>
        <w:tabs>
          <w:tab w:val="left" w:pos="864"/>
        </w:tabs>
        <w:ind w:left="864" w:hanging="864"/>
      </w:pPr>
    </w:lvl>
    <w:lvl w:ilvl="4" w:tentative="1">
      <w:start w:val="1"/>
      <w:numFmt w:val="decimal"/>
      <w:pStyle w:val="7"/>
      <w:lvlText w:val="%1.%2.%3.%4.%5"/>
      <w:lvlJc w:val="left"/>
      <w:pPr>
        <w:tabs>
          <w:tab w:val="left" w:pos="1008"/>
        </w:tabs>
        <w:ind w:left="1008" w:hanging="1008"/>
      </w:pPr>
    </w:lvl>
    <w:lvl w:ilvl="5" w:tentative="1">
      <w:start w:val="1"/>
      <w:numFmt w:val="decimal"/>
      <w:pStyle w:val="8"/>
      <w:lvlText w:val="%1.%2.%3.%4.%5.%6"/>
      <w:lvlJc w:val="left"/>
      <w:pPr>
        <w:tabs>
          <w:tab w:val="left" w:pos="1152"/>
        </w:tabs>
        <w:ind w:left="1152" w:hanging="1152"/>
      </w:pPr>
    </w:lvl>
    <w:lvl w:ilvl="6" w:tentative="1">
      <w:start w:val="1"/>
      <w:numFmt w:val="decimal"/>
      <w:pStyle w:val="9"/>
      <w:lvlText w:val="%1.%2.%3.%4.%5.%6.%7"/>
      <w:lvlJc w:val="left"/>
      <w:pPr>
        <w:tabs>
          <w:tab w:val="left" w:pos="1296"/>
        </w:tabs>
        <w:ind w:left="1296" w:hanging="1296"/>
      </w:pPr>
    </w:lvl>
    <w:lvl w:ilvl="7" w:tentative="1">
      <w:start w:val="1"/>
      <w:numFmt w:val="decimal"/>
      <w:pStyle w:val="10"/>
      <w:lvlText w:val="%1.%2.%3.%4.%5.%6.%7.%8"/>
      <w:lvlJc w:val="left"/>
      <w:pPr>
        <w:tabs>
          <w:tab w:val="left" w:pos="1440"/>
        </w:tabs>
        <w:ind w:left="1440" w:hanging="1440"/>
      </w:pPr>
    </w:lvl>
    <w:lvl w:ilvl="8" w:tentative="1">
      <w:start w:val="1"/>
      <w:numFmt w:val="decimal"/>
      <w:pStyle w:val="11"/>
      <w:lvlText w:val="%1.%2.%3.%4.%5.%6.%7.%8.%9"/>
      <w:lvlJc w:val="left"/>
      <w:pPr>
        <w:tabs>
          <w:tab w:val="left" w:pos="1584"/>
        </w:tabs>
        <w:ind w:left="1584" w:hanging="1584"/>
      </w:pPr>
    </w:lvl>
  </w:abstractNum>
  <w:abstractNum w:abstractNumId="15">
    <w:nsid w:val="0000000F"/>
    <w:multiLevelType w:val="multilevel"/>
    <w:tmpl w:val="0000000F"/>
    <w:lvl w:ilvl="0" w:tentative="1">
      <w:start w:val="1"/>
      <w:numFmt w:val="bullet"/>
      <w:pStyle w:val="323"/>
      <w:lvlText w:val=""/>
      <w:lvlJc w:val="left"/>
      <w:pPr>
        <w:ind w:left="900" w:hanging="420"/>
      </w:pPr>
      <w:rPr>
        <w:rFonts w:hint="default" w:ascii="Symbol" w:hAnsi="Symbol"/>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9">
    <w:nsid w:val="00000009"/>
    <w:multiLevelType w:val="multilevel"/>
    <w:tmpl w:val="00000009"/>
    <w:lvl w:ilvl="0" w:tentative="1">
      <w:start w:val="1"/>
      <w:numFmt w:val="decimal"/>
      <w:pStyle w:val="416"/>
      <w:lvlText w:val="%1"/>
      <w:lvlJc w:val="left"/>
      <w:pPr>
        <w:tabs>
          <w:tab w:val="left" w:pos="480"/>
        </w:tabs>
        <w:ind w:left="480" w:hanging="480"/>
      </w:pPr>
      <w:rPr>
        <w:rFonts w:hint="eastAsia"/>
        <w:sz w:val="44"/>
        <w:szCs w:val="44"/>
      </w:rPr>
    </w:lvl>
    <w:lvl w:ilvl="1" w:tentative="1">
      <w:start w:val="1"/>
      <w:numFmt w:val="decimal"/>
      <w:pStyle w:val="337"/>
      <w:lvlText w:val="%1.%2"/>
      <w:lvlJc w:val="left"/>
      <w:pPr>
        <w:tabs>
          <w:tab w:val="left" w:pos="480"/>
        </w:tabs>
        <w:ind w:left="480" w:hanging="480"/>
      </w:pPr>
      <w:rPr>
        <w:rFonts w:hint="default"/>
        <w:sz w:val="32"/>
        <w:szCs w:val="32"/>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1620"/>
        </w:tabs>
        <w:ind w:left="1620" w:hanging="720"/>
      </w:pPr>
      <w:rPr>
        <w:rFonts w:hint="default"/>
      </w:rPr>
    </w:lvl>
    <w:lvl w:ilvl="4" w:tentative="1">
      <w:start w:val="1"/>
      <w:numFmt w:val="decimal"/>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17">
    <w:nsid w:val="00000011"/>
    <w:multiLevelType w:val="multilevel"/>
    <w:tmpl w:val="00000011"/>
    <w:lvl w:ilvl="0" w:tentative="1">
      <w:start w:val="1"/>
      <w:numFmt w:val="bullet"/>
      <w:lvlText w:val=""/>
      <w:lvlJc w:val="left"/>
      <w:pPr>
        <w:ind w:left="900" w:hanging="420"/>
      </w:pPr>
      <w:rPr>
        <w:rFonts w:hint="default" w:ascii="Wingdings" w:hAnsi="Wingdings"/>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12">
    <w:nsid w:val="0000000C"/>
    <w:multiLevelType w:val="singleLevel"/>
    <w:tmpl w:val="0000000C"/>
    <w:lvl w:ilvl="0" w:tentative="1">
      <w:start w:val="1"/>
      <w:numFmt w:val="decimalEnclosedCircleChinese"/>
      <w:suff w:val="nothing"/>
      <w:lvlText w:val="%1　"/>
      <w:lvlJc w:val="left"/>
      <w:pPr>
        <w:ind w:left="0" w:firstLine="400"/>
      </w:pPr>
      <w:rPr>
        <w:rFonts w:hint="eastAsia"/>
      </w:rPr>
    </w:lvl>
  </w:abstractNum>
  <w:abstractNum w:abstractNumId="14">
    <w:nsid w:val="0000000E"/>
    <w:multiLevelType w:val="singleLevel"/>
    <w:tmpl w:val="0000000E"/>
    <w:lvl w:ilvl="0" w:tentative="1">
      <w:start w:val="1"/>
      <w:numFmt w:val="decimalEnclosedCircleChinese"/>
      <w:suff w:val="nothing"/>
      <w:lvlText w:val="%1　"/>
      <w:lvlJc w:val="left"/>
      <w:pPr>
        <w:ind w:left="0" w:firstLine="400"/>
      </w:pPr>
      <w:rPr>
        <w:rFonts w:hint="eastAsia"/>
      </w:rPr>
    </w:lvl>
  </w:abstractNum>
  <w:abstractNum w:abstractNumId="13">
    <w:nsid w:val="0000000D"/>
    <w:multiLevelType w:val="singleLevel"/>
    <w:tmpl w:val="0000000D"/>
    <w:lvl w:ilvl="0" w:tentative="1">
      <w:start w:val="1"/>
      <w:numFmt w:val="decimalEnclosedCircleChinese"/>
      <w:suff w:val="nothing"/>
      <w:lvlText w:val="%1　"/>
      <w:lvlJc w:val="left"/>
      <w:pPr>
        <w:ind w:left="0" w:firstLine="400"/>
      </w:pPr>
      <w:rPr>
        <w:rFonts w:hint="eastAsia"/>
      </w:rPr>
    </w:lvl>
  </w:abstractNum>
  <w:abstractNum w:abstractNumId="3300078463">
    <w:nsid w:val="C4B3337F"/>
    <w:multiLevelType w:val="singleLevel"/>
    <w:tmpl w:val="C4B3337F"/>
    <w:lvl w:ilvl="0" w:tentative="1">
      <w:start w:val="3"/>
      <w:numFmt w:val="decimal"/>
      <w:suff w:val="nothing"/>
      <w:lvlText w:val="（%1）"/>
      <w:lvlJc w:val="left"/>
    </w:lvl>
  </w:abstractNum>
  <w:abstractNum w:abstractNumId="7">
    <w:nsid w:val="00000007"/>
    <w:multiLevelType w:val="multilevel"/>
    <w:tmpl w:val="00000007"/>
    <w:lvl w:ilvl="0" w:tentative="1">
      <w:start w:val="1"/>
      <w:numFmt w:val="bullet"/>
      <w:lvlText w:val=""/>
      <w:lvlJc w:val="left"/>
      <w:pPr>
        <w:ind w:left="1140" w:hanging="420"/>
      </w:pPr>
      <w:rPr>
        <w:rFonts w:hint="default" w:ascii="Wingdings" w:hAnsi="Wingdings"/>
      </w:rPr>
    </w:lvl>
    <w:lvl w:ilvl="1" w:tentative="1">
      <w:start w:val="1"/>
      <w:numFmt w:val="bullet"/>
      <w:lvlText w:val=""/>
      <w:lvlJc w:val="left"/>
      <w:pPr>
        <w:ind w:left="1560" w:hanging="420"/>
      </w:pPr>
      <w:rPr>
        <w:rFonts w:hint="default" w:ascii="Wingdings" w:hAnsi="Wingdings"/>
      </w:rPr>
    </w:lvl>
    <w:lvl w:ilvl="2" w:tentative="1">
      <w:start w:val="1"/>
      <w:numFmt w:val="bullet"/>
      <w:lvlText w:val=""/>
      <w:lvlJc w:val="left"/>
      <w:pPr>
        <w:ind w:left="1980" w:hanging="420"/>
      </w:pPr>
      <w:rPr>
        <w:rFonts w:hint="default" w:ascii="Wingdings" w:hAnsi="Wingdings"/>
      </w:rPr>
    </w:lvl>
    <w:lvl w:ilvl="3" w:tentative="1">
      <w:start w:val="1"/>
      <w:numFmt w:val="bullet"/>
      <w:lvlText w:val=""/>
      <w:lvlJc w:val="left"/>
      <w:pPr>
        <w:ind w:left="2400" w:hanging="420"/>
      </w:pPr>
      <w:rPr>
        <w:rFonts w:hint="default" w:ascii="Wingdings" w:hAnsi="Wingdings"/>
      </w:rPr>
    </w:lvl>
    <w:lvl w:ilvl="4" w:tentative="1">
      <w:start w:val="1"/>
      <w:numFmt w:val="bullet"/>
      <w:lvlText w:val=""/>
      <w:lvlJc w:val="left"/>
      <w:pPr>
        <w:ind w:left="2820" w:hanging="420"/>
      </w:pPr>
      <w:rPr>
        <w:rFonts w:hint="default" w:ascii="Wingdings" w:hAnsi="Wingdings"/>
      </w:rPr>
    </w:lvl>
    <w:lvl w:ilvl="5" w:tentative="1">
      <w:start w:val="1"/>
      <w:numFmt w:val="bullet"/>
      <w:lvlText w:val=""/>
      <w:lvlJc w:val="left"/>
      <w:pPr>
        <w:ind w:left="3240" w:hanging="420"/>
      </w:pPr>
      <w:rPr>
        <w:rFonts w:hint="default" w:ascii="Wingdings" w:hAnsi="Wingdings"/>
      </w:rPr>
    </w:lvl>
    <w:lvl w:ilvl="6" w:tentative="1">
      <w:start w:val="1"/>
      <w:numFmt w:val="bullet"/>
      <w:lvlText w:val=""/>
      <w:lvlJc w:val="left"/>
      <w:pPr>
        <w:ind w:left="3660" w:hanging="420"/>
      </w:pPr>
      <w:rPr>
        <w:rFonts w:hint="default" w:ascii="Wingdings" w:hAnsi="Wingdings"/>
      </w:rPr>
    </w:lvl>
    <w:lvl w:ilvl="7" w:tentative="1">
      <w:start w:val="1"/>
      <w:numFmt w:val="bullet"/>
      <w:lvlText w:val=""/>
      <w:lvlJc w:val="left"/>
      <w:pPr>
        <w:ind w:left="4080" w:hanging="420"/>
      </w:pPr>
      <w:rPr>
        <w:rFonts w:hint="default" w:ascii="Wingdings" w:hAnsi="Wingdings"/>
      </w:rPr>
    </w:lvl>
    <w:lvl w:ilvl="8" w:tentative="1">
      <w:start w:val="1"/>
      <w:numFmt w:val="bullet"/>
      <w:lvlText w:val=""/>
      <w:lvlJc w:val="left"/>
      <w:pPr>
        <w:ind w:left="4500" w:hanging="420"/>
      </w:pPr>
      <w:rPr>
        <w:rFonts w:hint="default" w:ascii="Wingdings" w:hAnsi="Wingdings"/>
      </w:rPr>
    </w:lvl>
  </w:abstractNum>
  <w:abstractNum w:abstractNumId="10">
    <w:nsid w:val="0000000A"/>
    <w:multiLevelType w:val="multilevel"/>
    <w:tmpl w:val="0000000A"/>
    <w:lvl w:ilvl="0" w:tentative="1">
      <w:start w:val="1"/>
      <w:numFmt w:val="bullet"/>
      <w:lvlText w:val=""/>
      <w:lvlJc w:val="left"/>
      <w:pPr>
        <w:ind w:left="1260" w:hanging="420"/>
      </w:pPr>
      <w:rPr>
        <w:rFonts w:hint="default" w:ascii="Wingdings" w:hAnsi="Wingdings"/>
      </w:rPr>
    </w:lvl>
    <w:lvl w:ilvl="1" w:tentative="1">
      <w:start w:val="1"/>
      <w:numFmt w:val="bullet"/>
      <w:lvlText w:val=""/>
      <w:lvlJc w:val="left"/>
      <w:pPr>
        <w:ind w:left="1680" w:hanging="420"/>
      </w:pPr>
      <w:rPr>
        <w:rFonts w:hint="default" w:ascii="Wingdings" w:hAnsi="Wingdings"/>
      </w:rPr>
    </w:lvl>
    <w:lvl w:ilvl="2" w:tentative="1">
      <w:start w:val="1"/>
      <w:numFmt w:val="bullet"/>
      <w:lvlText w:val=""/>
      <w:lvlJc w:val="left"/>
      <w:pPr>
        <w:ind w:left="2100" w:hanging="420"/>
      </w:pPr>
      <w:rPr>
        <w:rFonts w:hint="default" w:ascii="Wingdings" w:hAnsi="Wingdings"/>
      </w:rPr>
    </w:lvl>
    <w:lvl w:ilvl="3" w:tentative="1">
      <w:start w:val="1"/>
      <w:numFmt w:val="bullet"/>
      <w:lvlText w:val=""/>
      <w:lvlJc w:val="left"/>
      <w:pPr>
        <w:ind w:left="2520" w:hanging="420"/>
      </w:pPr>
      <w:rPr>
        <w:rFonts w:hint="default" w:ascii="Wingdings" w:hAnsi="Wingdings"/>
      </w:rPr>
    </w:lvl>
    <w:lvl w:ilvl="4" w:tentative="1">
      <w:start w:val="1"/>
      <w:numFmt w:val="bullet"/>
      <w:lvlText w:val=""/>
      <w:lvlJc w:val="left"/>
      <w:pPr>
        <w:ind w:left="2940" w:hanging="420"/>
      </w:pPr>
      <w:rPr>
        <w:rFonts w:hint="default" w:ascii="Wingdings" w:hAnsi="Wingdings"/>
      </w:rPr>
    </w:lvl>
    <w:lvl w:ilvl="5" w:tentative="1">
      <w:start w:val="1"/>
      <w:numFmt w:val="bullet"/>
      <w:lvlText w:val=""/>
      <w:lvlJc w:val="left"/>
      <w:pPr>
        <w:ind w:left="3360" w:hanging="420"/>
      </w:pPr>
      <w:rPr>
        <w:rFonts w:hint="default" w:ascii="Wingdings" w:hAnsi="Wingdings"/>
      </w:rPr>
    </w:lvl>
    <w:lvl w:ilvl="6" w:tentative="1">
      <w:start w:val="1"/>
      <w:numFmt w:val="bullet"/>
      <w:lvlText w:val=""/>
      <w:lvlJc w:val="left"/>
      <w:pPr>
        <w:ind w:left="3780" w:hanging="420"/>
      </w:pPr>
      <w:rPr>
        <w:rFonts w:hint="default" w:ascii="Wingdings" w:hAnsi="Wingdings"/>
      </w:rPr>
    </w:lvl>
    <w:lvl w:ilvl="7" w:tentative="1">
      <w:start w:val="1"/>
      <w:numFmt w:val="bullet"/>
      <w:lvlText w:val=""/>
      <w:lvlJc w:val="left"/>
      <w:pPr>
        <w:ind w:left="4200" w:hanging="420"/>
      </w:pPr>
      <w:rPr>
        <w:rFonts w:hint="default" w:ascii="Wingdings" w:hAnsi="Wingdings"/>
      </w:rPr>
    </w:lvl>
    <w:lvl w:ilvl="8" w:tentative="1">
      <w:start w:val="1"/>
      <w:numFmt w:val="bullet"/>
      <w:lvlText w:val=""/>
      <w:lvlJc w:val="left"/>
      <w:pPr>
        <w:ind w:left="4620" w:hanging="420"/>
      </w:pPr>
      <w:rPr>
        <w:rFonts w:hint="default" w:ascii="Wingdings" w:hAnsi="Wingdings"/>
      </w:rPr>
    </w:lvl>
  </w:abstractNum>
  <w:abstractNum w:abstractNumId="1488336219">
    <w:nsid w:val="58B6355B"/>
    <w:multiLevelType w:val="singleLevel"/>
    <w:tmpl w:val="58B6355B"/>
    <w:lvl w:ilvl="0" w:tentative="1">
      <w:start w:val="2"/>
      <w:numFmt w:val="decimal"/>
      <w:suff w:val="nothing"/>
      <w:lvlText w:val="%1、"/>
      <w:lvlJc w:val="left"/>
    </w:lvl>
  </w:abstractNum>
  <w:abstractNum w:abstractNumId="8">
    <w:nsid w:val="00000008"/>
    <w:multiLevelType w:val="singleLevel"/>
    <w:tmpl w:val="00000008"/>
    <w:lvl w:ilvl="0" w:tentative="1">
      <w:start w:val="1"/>
      <w:numFmt w:val="decimal"/>
      <w:lvlText w:val="%1、"/>
      <w:lvlJc w:val="left"/>
      <w:pPr>
        <w:tabs>
          <w:tab w:val="left" w:pos="840"/>
        </w:tabs>
        <w:ind w:left="840" w:hanging="360"/>
      </w:pPr>
      <w:rPr>
        <w:rFonts w:hint="default"/>
      </w:rPr>
    </w:lvl>
  </w:abstractNum>
  <w:num w:numId="1">
    <w:abstractNumId w:val="5"/>
  </w:num>
  <w:num w:numId="2">
    <w:abstractNumId w:val="3"/>
  </w:num>
  <w:num w:numId="3">
    <w:abstractNumId w:val="1"/>
  </w:num>
  <w:num w:numId="4">
    <w:abstractNumId w:val="2"/>
  </w:num>
  <w:num w:numId="5">
    <w:abstractNumId w:val="15"/>
  </w:num>
  <w:num w:numId="6">
    <w:abstractNumId w:val="9"/>
  </w:num>
  <w:num w:numId="7">
    <w:abstractNumId w:val="17"/>
  </w:num>
  <w:num w:numId="8">
    <w:abstractNumId w:val="12"/>
  </w:num>
  <w:num w:numId="9">
    <w:abstractNumId w:val="14"/>
  </w:num>
  <w:num w:numId="10">
    <w:abstractNumId w:val="13"/>
  </w:num>
  <w:num w:numId="11">
    <w:abstractNumId w:val="3300078463"/>
  </w:num>
  <w:num w:numId="12">
    <w:abstractNumId w:val="7"/>
  </w:num>
  <w:num w:numId="13">
    <w:abstractNumId w:val="10"/>
  </w:num>
  <w:num w:numId="14">
    <w:abstractNumId w:val="148833621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jgxY2E4YjI5M2E4NDUzY2JmNDlhMWZkZDFkNGUifQ=="/>
  </w:docVars>
  <w:rsids>
    <w:rsidRoot w:val="00E875A6"/>
    <w:rsid w:val="003A6F44"/>
    <w:rsid w:val="003E5247"/>
    <w:rsid w:val="00850809"/>
    <w:rsid w:val="009A0F78"/>
    <w:rsid w:val="00B070FD"/>
    <w:rsid w:val="00E875A6"/>
    <w:rsid w:val="012B21BD"/>
    <w:rsid w:val="01724451"/>
    <w:rsid w:val="01882507"/>
    <w:rsid w:val="06BE13D6"/>
    <w:rsid w:val="07127592"/>
    <w:rsid w:val="08FF64F5"/>
    <w:rsid w:val="0A8211A6"/>
    <w:rsid w:val="0B513CB0"/>
    <w:rsid w:val="0D3A7E2E"/>
    <w:rsid w:val="0E036852"/>
    <w:rsid w:val="0E4B1576"/>
    <w:rsid w:val="0ECC42AE"/>
    <w:rsid w:val="0EE7194D"/>
    <w:rsid w:val="0EF66BA7"/>
    <w:rsid w:val="0FB12275"/>
    <w:rsid w:val="102A5390"/>
    <w:rsid w:val="105B6408"/>
    <w:rsid w:val="110D0E4A"/>
    <w:rsid w:val="1169679B"/>
    <w:rsid w:val="13250FB0"/>
    <w:rsid w:val="134262D3"/>
    <w:rsid w:val="165B591F"/>
    <w:rsid w:val="167E5CA1"/>
    <w:rsid w:val="179D7CAF"/>
    <w:rsid w:val="184603C1"/>
    <w:rsid w:val="18D55226"/>
    <w:rsid w:val="1A0A2393"/>
    <w:rsid w:val="1B162A3A"/>
    <w:rsid w:val="1CF57C45"/>
    <w:rsid w:val="1D1558EC"/>
    <w:rsid w:val="213107EC"/>
    <w:rsid w:val="21C23AED"/>
    <w:rsid w:val="234607C4"/>
    <w:rsid w:val="243D50F3"/>
    <w:rsid w:val="258E0C37"/>
    <w:rsid w:val="25D75DE1"/>
    <w:rsid w:val="27665953"/>
    <w:rsid w:val="27964A60"/>
    <w:rsid w:val="27A550CB"/>
    <w:rsid w:val="27DC1ED9"/>
    <w:rsid w:val="28502CE7"/>
    <w:rsid w:val="2A0D24AD"/>
    <w:rsid w:val="2CEB3966"/>
    <w:rsid w:val="2D561549"/>
    <w:rsid w:val="2F9E0E5A"/>
    <w:rsid w:val="30F863FE"/>
    <w:rsid w:val="32232889"/>
    <w:rsid w:val="35E52AF5"/>
    <w:rsid w:val="369364C5"/>
    <w:rsid w:val="37D15504"/>
    <w:rsid w:val="38025617"/>
    <w:rsid w:val="38C53694"/>
    <w:rsid w:val="3AE76BEF"/>
    <w:rsid w:val="3B9D3042"/>
    <w:rsid w:val="3C7207B9"/>
    <w:rsid w:val="3CB85474"/>
    <w:rsid w:val="3D3720A9"/>
    <w:rsid w:val="3E063E39"/>
    <w:rsid w:val="41552119"/>
    <w:rsid w:val="42446115"/>
    <w:rsid w:val="42DC79DA"/>
    <w:rsid w:val="42FF135E"/>
    <w:rsid w:val="431D58CE"/>
    <w:rsid w:val="45372B54"/>
    <w:rsid w:val="47FA07D3"/>
    <w:rsid w:val="48776FBB"/>
    <w:rsid w:val="49544431"/>
    <w:rsid w:val="49C2361A"/>
    <w:rsid w:val="4B50040A"/>
    <w:rsid w:val="4CDB41AF"/>
    <w:rsid w:val="4E6D76D3"/>
    <w:rsid w:val="51317043"/>
    <w:rsid w:val="52036017"/>
    <w:rsid w:val="52CA592B"/>
    <w:rsid w:val="5479043F"/>
    <w:rsid w:val="54E44262"/>
    <w:rsid w:val="57171E24"/>
    <w:rsid w:val="572A1F6C"/>
    <w:rsid w:val="59393AEB"/>
    <w:rsid w:val="593C1947"/>
    <w:rsid w:val="5A3143C9"/>
    <w:rsid w:val="5D7D0A4B"/>
    <w:rsid w:val="600451EB"/>
    <w:rsid w:val="61B6665A"/>
    <w:rsid w:val="65D91852"/>
    <w:rsid w:val="66694883"/>
    <w:rsid w:val="69053C33"/>
    <w:rsid w:val="6C335F91"/>
    <w:rsid w:val="6DFA0515"/>
    <w:rsid w:val="7014555C"/>
    <w:rsid w:val="702F0E51"/>
    <w:rsid w:val="705D5EB8"/>
    <w:rsid w:val="723F7F88"/>
    <w:rsid w:val="73787E25"/>
    <w:rsid w:val="74AA43DB"/>
    <w:rsid w:val="75F3407F"/>
    <w:rsid w:val="7645046A"/>
    <w:rsid w:val="772B62C7"/>
    <w:rsid w:val="7813628C"/>
    <w:rsid w:val="7AA81FB1"/>
    <w:rsid w:val="7B426214"/>
    <w:rsid w:val="7BB87919"/>
    <w:rsid w:val="7F963AE5"/>
    <w:rsid w:val="7FED37C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52"/>
    <w:qFormat/>
    <w:uiPriority w:val="0"/>
    <w:pPr>
      <w:keepNext/>
      <w:keepLines/>
      <w:numPr>
        <w:ilvl w:val="0"/>
        <w:numId w:val="1"/>
      </w:numPr>
      <w:tabs>
        <w:tab w:val="left" w:pos="432"/>
      </w:tabs>
      <w:spacing w:before="340" w:after="330" w:line="578" w:lineRule="auto"/>
      <w:outlineLvl w:val="0"/>
    </w:pPr>
    <w:rPr>
      <w:b/>
      <w:bCs/>
      <w:kern w:val="44"/>
      <w:sz w:val="44"/>
      <w:szCs w:val="44"/>
    </w:rPr>
  </w:style>
  <w:style w:type="paragraph" w:styleId="4">
    <w:name w:val="heading 2"/>
    <w:basedOn w:val="1"/>
    <w:next w:val="1"/>
    <w:qFormat/>
    <w:uiPriority w:val="9"/>
    <w:pPr>
      <w:keepNext/>
      <w:keepLines/>
      <w:numPr>
        <w:ilvl w:val="0"/>
        <w:numId w:val="2"/>
      </w:numPr>
      <w:tabs>
        <w:tab w:val="left" w:pos="432"/>
      </w:tabs>
      <w:adjustRightInd/>
      <w:spacing w:line="360" w:lineRule="auto"/>
      <w:jc w:val="left"/>
      <w:outlineLvl w:val="1"/>
    </w:pPr>
    <w:rPr>
      <w:rFonts w:ascii="仿宋_GB2312" w:hAnsi="仿宋" w:eastAsia="仿宋_GB2312"/>
      <w:b/>
      <w:bCs/>
      <w:sz w:val="32"/>
      <w:szCs w:val="32"/>
      <w:lang w:val="zh-CN"/>
    </w:rPr>
  </w:style>
  <w:style w:type="paragraph" w:styleId="5">
    <w:name w:val="heading 3"/>
    <w:basedOn w:val="1"/>
    <w:next w:val="1"/>
    <w:qFormat/>
    <w:uiPriority w:val="0"/>
    <w:pPr>
      <w:keepNext/>
      <w:keepLines/>
      <w:numPr>
        <w:ilvl w:val="2"/>
        <w:numId w:val="1"/>
      </w:numPr>
      <w:tabs>
        <w:tab w:val="left" w:pos="900"/>
      </w:tabs>
      <w:spacing w:before="260" w:after="260" w:line="416" w:lineRule="auto"/>
      <w:outlineLvl w:val="2"/>
    </w:pPr>
    <w:rPr>
      <w:b/>
      <w:bCs/>
      <w:sz w:val="32"/>
      <w:szCs w:val="32"/>
    </w:rPr>
  </w:style>
  <w:style w:type="paragraph" w:styleId="6">
    <w:name w:val="heading 4"/>
    <w:basedOn w:val="1"/>
    <w:next w:val="1"/>
    <w:link w:val="602"/>
    <w:qFormat/>
    <w:uiPriority w:val="0"/>
    <w:pPr>
      <w:keepNext/>
      <w:keepLines/>
      <w:numPr>
        <w:ilvl w:val="3"/>
        <w:numId w:val="1"/>
      </w:numPr>
      <w:tabs>
        <w:tab w:val="left" w:pos="864"/>
      </w:tabs>
      <w:spacing w:before="280" w:after="290" w:line="376" w:lineRule="auto"/>
      <w:outlineLvl w:val="3"/>
    </w:pPr>
    <w:rPr>
      <w:rFonts w:ascii="Arial" w:hAnsi="Arial" w:eastAsia="黑体"/>
      <w:b/>
      <w:bCs/>
      <w:sz w:val="28"/>
      <w:szCs w:val="28"/>
      <w:lang w:val="zh-CN"/>
    </w:rPr>
  </w:style>
  <w:style w:type="paragraph" w:styleId="7">
    <w:name w:val="heading 5"/>
    <w:basedOn w:val="1"/>
    <w:next w:val="1"/>
    <w:link w:val="576"/>
    <w:qFormat/>
    <w:uiPriority w:val="0"/>
    <w:pPr>
      <w:keepNext/>
      <w:keepLines/>
      <w:numPr>
        <w:ilvl w:val="4"/>
        <w:numId w:val="1"/>
      </w:numPr>
      <w:tabs>
        <w:tab w:val="left" w:pos="1008"/>
      </w:tabs>
      <w:spacing w:before="280" w:after="290" w:line="376" w:lineRule="auto"/>
      <w:outlineLvl w:val="4"/>
    </w:pPr>
    <w:rPr>
      <w:b/>
      <w:bCs/>
      <w:sz w:val="28"/>
      <w:szCs w:val="28"/>
    </w:rPr>
  </w:style>
  <w:style w:type="paragraph" w:styleId="8">
    <w:name w:val="heading 6"/>
    <w:basedOn w:val="1"/>
    <w:next w:val="1"/>
    <w:link w:val="615"/>
    <w:qFormat/>
    <w:uiPriority w:val="0"/>
    <w:pPr>
      <w:keepNext/>
      <w:keepLines/>
      <w:numPr>
        <w:ilvl w:val="5"/>
        <w:numId w:val="1"/>
      </w:numPr>
      <w:tabs>
        <w:tab w:val="left" w:pos="1152"/>
      </w:tabs>
      <w:spacing w:before="240" w:after="64" w:line="320" w:lineRule="auto"/>
      <w:outlineLvl w:val="5"/>
    </w:pPr>
    <w:rPr>
      <w:rFonts w:ascii="Arial" w:hAnsi="Arial" w:eastAsia="黑体"/>
      <w:b/>
      <w:bCs/>
      <w:sz w:val="24"/>
    </w:rPr>
  </w:style>
  <w:style w:type="paragraph" w:styleId="9">
    <w:name w:val="heading 7"/>
    <w:basedOn w:val="1"/>
    <w:next w:val="1"/>
    <w:link w:val="484"/>
    <w:qFormat/>
    <w:uiPriority w:val="0"/>
    <w:pPr>
      <w:keepNext/>
      <w:keepLines/>
      <w:numPr>
        <w:ilvl w:val="6"/>
        <w:numId w:val="1"/>
      </w:numPr>
      <w:tabs>
        <w:tab w:val="left" w:pos="1296"/>
      </w:tabs>
      <w:spacing w:before="240" w:after="64" w:line="320" w:lineRule="auto"/>
      <w:outlineLvl w:val="6"/>
    </w:pPr>
    <w:rPr>
      <w:b/>
      <w:bCs/>
      <w:sz w:val="24"/>
    </w:rPr>
  </w:style>
  <w:style w:type="paragraph" w:styleId="10">
    <w:name w:val="heading 8"/>
    <w:basedOn w:val="1"/>
    <w:next w:val="1"/>
    <w:link w:val="474"/>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1">
    <w:name w:val="heading 9"/>
    <w:basedOn w:val="1"/>
    <w:next w:val="1"/>
    <w:link w:val="522"/>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63">
    <w:name w:val="Default Paragraph Font"/>
    <w:unhideWhenUsed/>
    <w:qFormat/>
    <w:uiPriority w:val="1"/>
  </w:style>
  <w:style w:type="table" w:default="1" w:styleId="73">
    <w:name w:val="Normal Table"/>
    <w:unhideWhenUsed/>
    <w:qFormat/>
    <w:uiPriority w:val="99"/>
    <w:tblPr>
      <w:tblLayout w:type="fixed"/>
      <w:tblCellMar>
        <w:top w:w="0" w:type="dxa"/>
        <w:left w:w="108" w:type="dxa"/>
        <w:bottom w:w="0" w:type="dxa"/>
        <w:right w:w="108" w:type="dxa"/>
      </w:tblCellMar>
    </w:tblPr>
  </w:style>
  <w:style w:type="paragraph" w:styleId="2">
    <w:name w:val="toa heading"/>
    <w:basedOn w:val="1"/>
    <w:next w:val="1"/>
    <w:qFormat/>
    <w:uiPriority w:val="99"/>
    <w:pPr>
      <w:adjustRightInd w:val="0"/>
      <w:spacing w:before="200" w:line="360" w:lineRule="atLeast"/>
      <w:jc w:val="center"/>
      <w:textAlignment w:val="baseline"/>
    </w:pPr>
    <w:rPr>
      <w:rFonts w:ascii="Arial" w:hAnsi="Arial" w:eastAsia="黑体"/>
      <w:kern w:val="0"/>
      <w:sz w:val="44"/>
      <w:szCs w:val="20"/>
    </w:rPr>
  </w:style>
  <w:style w:type="paragraph" w:styleId="12">
    <w:name w:val="annotation subject"/>
    <w:basedOn w:val="13"/>
    <w:next w:val="13"/>
    <w:qFormat/>
    <w:uiPriority w:val="0"/>
    <w:rPr>
      <w:b/>
      <w:bCs/>
    </w:rPr>
  </w:style>
  <w:style w:type="paragraph" w:styleId="13">
    <w:name w:val="annotation text"/>
    <w:basedOn w:val="1"/>
    <w:link w:val="617"/>
    <w:qFormat/>
    <w:uiPriority w:val="99"/>
    <w:pPr>
      <w:jc w:val="left"/>
    </w:pPr>
  </w:style>
  <w:style w:type="paragraph" w:styleId="14">
    <w:name w:val="toc 7"/>
    <w:basedOn w:val="1"/>
    <w:next w:val="1"/>
    <w:qFormat/>
    <w:uiPriority w:val="0"/>
    <w:pPr>
      <w:ind w:left="2520" w:leftChars="1200"/>
    </w:pPr>
  </w:style>
  <w:style w:type="paragraph" w:styleId="15">
    <w:name w:val="Body Text First Indent"/>
    <w:basedOn w:val="16"/>
    <w:next w:val="1"/>
    <w:link w:val="548"/>
    <w:qFormat/>
    <w:uiPriority w:val="0"/>
    <w:pPr>
      <w:ind w:firstLine="420"/>
    </w:pPr>
    <w:rPr>
      <w:szCs w:val="20"/>
    </w:rPr>
  </w:style>
  <w:style w:type="paragraph" w:styleId="16">
    <w:name w:val="Body Text"/>
    <w:basedOn w:val="1"/>
    <w:next w:val="17"/>
    <w:link w:val="515"/>
    <w:qFormat/>
    <w:uiPriority w:val="0"/>
    <w:pPr>
      <w:autoSpaceDE w:val="0"/>
      <w:autoSpaceDN w:val="0"/>
      <w:spacing w:line="360" w:lineRule="auto"/>
    </w:pPr>
    <w:rPr>
      <w:rFonts w:ascii="宋体"/>
      <w:sz w:val="24"/>
      <w:szCs w:val="21"/>
      <w:lang w:val="zh-CN"/>
    </w:rPr>
  </w:style>
  <w:style w:type="paragraph" w:customStyle="1" w:styleId="17">
    <w:name w:val="Default"/>
    <w:next w:val="18"/>
    <w:link w:val="63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8">
    <w:name w:val="目录 71"/>
    <w:next w:val="1"/>
    <w:qFormat/>
    <w:uiPriority w:val="0"/>
    <w:pPr>
      <w:wordWrap w:val="0"/>
      <w:ind w:left="2550"/>
      <w:jc w:val="both"/>
    </w:pPr>
    <w:rPr>
      <w:rFonts w:ascii="Calibri" w:hAnsi="Calibri" w:eastAsia="宋体" w:cs="Times New Roman"/>
      <w:sz w:val="21"/>
      <w:szCs w:val="22"/>
      <w:lang w:val="en-US" w:eastAsia="zh-CN" w:bidi="ar-SA"/>
    </w:rPr>
  </w:style>
  <w:style w:type="paragraph" w:styleId="19">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20">
    <w:name w:val="List Bullet 4"/>
    <w:basedOn w:val="1"/>
    <w:qFormat/>
    <w:uiPriority w:val="99"/>
    <w:pPr>
      <w:widowControl/>
      <w:numPr>
        <w:ilvl w:val="0"/>
        <w:numId w:val="3"/>
      </w:numPr>
      <w:tabs>
        <w:tab w:val="left" w:pos="432"/>
        <w:tab w:val="left"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21">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22">
    <w:name w:val="Normal Indent"/>
    <w:basedOn w:val="1"/>
    <w:link w:val="616"/>
    <w:qFormat/>
    <w:uiPriority w:val="0"/>
    <w:pPr>
      <w:widowControl/>
      <w:snapToGrid w:val="0"/>
      <w:spacing w:line="480" w:lineRule="exact"/>
      <w:ind w:firstLine="567"/>
    </w:pPr>
    <w:rPr>
      <w:rFonts w:ascii="宋体"/>
      <w:snapToGrid w:val="0"/>
      <w:color w:val="000000"/>
      <w:kern w:val="28"/>
      <w:sz w:val="28"/>
      <w:szCs w:val="20"/>
    </w:rPr>
  </w:style>
  <w:style w:type="paragraph" w:styleId="23">
    <w:name w:val="caption"/>
    <w:basedOn w:val="1"/>
    <w:next w:val="1"/>
    <w:qFormat/>
    <w:uiPriority w:val="0"/>
    <w:rPr>
      <w:b/>
      <w:sz w:val="28"/>
      <w:szCs w:val="20"/>
    </w:rPr>
  </w:style>
  <w:style w:type="paragraph" w:styleId="24">
    <w:name w:val="index 5"/>
    <w:basedOn w:val="1"/>
    <w:next w:val="1"/>
    <w:qFormat/>
    <w:uiPriority w:val="0"/>
    <w:pPr>
      <w:adjustRightInd/>
      <w:ind w:left="800" w:leftChars="800" w:firstLine="200" w:firstLineChars="200"/>
    </w:pPr>
  </w:style>
  <w:style w:type="paragraph" w:styleId="25">
    <w:name w:val="Document Map"/>
    <w:basedOn w:val="1"/>
    <w:qFormat/>
    <w:uiPriority w:val="0"/>
    <w:pPr>
      <w:shd w:val="clear" w:color="auto" w:fill="000080"/>
    </w:pPr>
  </w:style>
  <w:style w:type="paragraph" w:styleId="26">
    <w:name w:val="Salutation"/>
    <w:basedOn w:val="1"/>
    <w:next w:val="1"/>
    <w:link w:val="485"/>
    <w:qFormat/>
    <w:uiPriority w:val="0"/>
    <w:rPr>
      <w:rFonts w:ascii="仿宋_GB2312" w:eastAsia="仿宋_GB2312"/>
      <w:sz w:val="28"/>
      <w:szCs w:val="20"/>
    </w:rPr>
  </w:style>
  <w:style w:type="paragraph" w:styleId="27">
    <w:name w:val="Body Text 3"/>
    <w:basedOn w:val="1"/>
    <w:link w:val="584"/>
    <w:qFormat/>
    <w:uiPriority w:val="0"/>
    <w:pPr>
      <w:jc w:val="center"/>
    </w:pPr>
    <w:rPr>
      <w:szCs w:val="20"/>
    </w:rPr>
  </w:style>
  <w:style w:type="paragraph" w:styleId="28">
    <w:name w:val="Body Text Indent"/>
    <w:basedOn w:val="1"/>
    <w:next w:val="1"/>
    <w:link w:val="478"/>
    <w:qFormat/>
    <w:uiPriority w:val="0"/>
    <w:pPr>
      <w:spacing w:line="480" w:lineRule="exact"/>
      <w:ind w:firstLine="480" w:firstLineChars="200"/>
    </w:pPr>
    <w:rPr>
      <w:rFonts w:ascii="宋体" w:hAnsi="宋体"/>
      <w:sz w:val="24"/>
    </w:rPr>
  </w:style>
  <w:style w:type="paragraph" w:styleId="29">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30">
    <w:name w:val="List 2"/>
    <w:basedOn w:val="1"/>
    <w:qFormat/>
    <w:uiPriority w:val="0"/>
    <w:pPr>
      <w:adjustRightInd/>
      <w:spacing w:line="360" w:lineRule="auto"/>
      <w:ind w:left="100" w:leftChars="200" w:hanging="200" w:hangingChars="200"/>
    </w:pPr>
    <w:rPr>
      <w:rFonts w:eastAsia="微软雅黑"/>
    </w:rPr>
  </w:style>
  <w:style w:type="paragraph" w:styleId="31">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2">
    <w:name w:val="List Bullet 2"/>
    <w:basedOn w:val="1"/>
    <w:qFormat/>
    <w:uiPriority w:val="0"/>
    <w:pPr>
      <w:autoSpaceDE w:val="0"/>
      <w:autoSpaceDN w:val="0"/>
      <w:ind w:left="420"/>
      <w:jc w:val="left"/>
    </w:pPr>
    <w:rPr>
      <w:rFonts w:ascii="宋体" w:hAnsi="宋体"/>
      <w:color w:val="000000"/>
      <w:kern w:val="0"/>
      <w:sz w:val="24"/>
      <w:szCs w:val="20"/>
    </w:rPr>
  </w:style>
  <w:style w:type="paragraph" w:styleId="33">
    <w:name w:val="HTML Address"/>
    <w:basedOn w:val="1"/>
    <w:link w:val="574"/>
    <w:qFormat/>
    <w:uiPriority w:val="0"/>
    <w:pPr>
      <w:widowControl/>
      <w:adjustRightInd/>
      <w:ind w:firstLine="200" w:firstLineChars="200"/>
      <w:jc w:val="left"/>
    </w:pPr>
    <w:rPr>
      <w:rFonts w:ascii="宋体" w:hAnsi="宋体"/>
      <w:i/>
      <w:iCs/>
      <w:kern w:val="0"/>
      <w:sz w:val="24"/>
    </w:rPr>
  </w:style>
  <w:style w:type="paragraph" w:styleId="34">
    <w:name w:val="toc 5"/>
    <w:basedOn w:val="1"/>
    <w:next w:val="1"/>
    <w:qFormat/>
    <w:uiPriority w:val="0"/>
    <w:pPr>
      <w:ind w:left="1680" w:leftChars="800"/>
    </w:pPr>
  </w:style>
  <w:style w:type="paragraph" w:styleId="35">
    <w:name w:val="toc 3"/>
    <w:basedOn w:val="1"/>
    <w:next w:val="1"/>
    <w:qFormat/>
    <w:uiPriority w:val="0"/>
    <w:pPr>
      <w:ind w:left="840" w:leftChars="400"/>
    </w:pPr>
  </w:style>
  <w:style w:type="paragraph" w:styleId="36">
    <w:name w:val="Plain Text"/>
    <w:basedOn w:val="1"/>
    <w:next w:val="1"/>
    <w:link w:val="492"/>
    <w:qFormat/>
    <w:uiPriority w:val="0"/>
    <w:rPr>
      <w:rFonts w:ascii="宋体" w:hAnsi="Courier New"/>
      <w:szCs w:val="20"/>
    </w:rPr>
  </w:style>
  <w:style w:type="paragraph" w:styleId="37">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8">
    <w:name w:val="toc 8"/>
    <w:basedOn w:val="1"/>
    <w:next w:val="1"/>
    <w:qFormat/>
    <w:uiPriority w:val="0"/>
    <w:pPr>
      <w:ind w:left="2940" w:leftChars="1400"/>
    </w:pPr>
  </w:style>
  <w:style w:type="paragraph" w:styleId="39">
    <w:name w:val="Date"/>
    <w:basedOn w:val="1"/>
    <w:next w:val="1"/>
    <w:link w:val="601"/>
    <w:qFormat/>
    <w:uiPriority w:val="0"/>
    <w:pPr>
      <w:ind w:left="100" w:leftChars="2500"/>
    </w:pPr>
    <w:rPr>
      <w:rFonts w:ascii="宋体"/>
      <w:sz w:val="24"/>
      <w:szCs w:val="21"/>
      <w:lang w:val="zh-CN"/>
    </w:rPr>
  </w:style>
  <w:style w:type="paragraph" w:styleId="40">
    <w:name w:val="Body Text Indent 2"/>
    <w:basedOn w:val="1"/>
    <w:link w:val="506"/>
    <w:qFormat/>
    <w:uiPriority w:val="0"/>
    <w:pPr>
      <w:spacing w:line="360" w:lineRule="auto"/>
      <w:ind w:firstLine="601"/>
      <w:textAlignment w:val="baseline"/>
    </w:pPr>
    <w:rPr>
      <w:rFonts w:ascii="宋体"/>
      <w:kern w:val="0"/>
      <w:sz w:val="28"/>
      <w:szCs w:val="20"/>
    </w:rPr>
  </w:style>
  <w:style w:type="paragraph" w:styleId="41">
    <w:name w:val="Balloon Text"/>
    <w:basedOn w:val="1"/>
    <w:link w:val="618"/>
    <w:qFormat/>
    <w:uiPriority w:val="0"/>
    <w:rPr>
      <w:sz w:val="18"/>
      <w:szCs w:val="18"/>
    </w:rPr>
  </w:style>
  <w:style w:type="paragraph" w:styleId="42">
    <w:name w:val="footer"/>
    <w:basedOn w:val="1"/>
    <w:qFormat/>
    <w:uiPriority w:val="0"/>
    <w:pPr>
      <w:tabs>
        <w:tab w:val="center" w:pos="4153"/>
        <w:tab w:val="right" w:pos="8306"/>
      </w:tabs>
      <w:snapToGrid w:val="0"/>
      <w:jc w:val="left"/>
    </w:pPr>
    <w:rPr>
      <w:sz w:val="18"/>
      <w:szCs w:val="18"/>
    </w:rPr>
  </w:style>
  <w:style w:type="paragraph" w:styleId="43">
    <w:name w:val="Body Text First Indent 2"/>
    <w:basedOn w:val="28"/>
    <w:next w:val="15"/>
    <w:link w:val="505"/>
    <w:qFormat/>
    <w:uiPriority w:val="0"/>
    <w:pPr>
      <w:adjustRightInd/>
      <w:spacing w:after="120" w:line="240" w:lineRule="auto"/>
      <w:ind w:left="420" w:leftChars="200" w:firstLine="210"/>
    </w:pPr>
    <w:rPr>
      <w:sz w:val="21"/>
    </w:rPr>
  </w:style>
  <w:style w:type="paragraph" w:styleId="4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5">
    <w:name w:val="Signature"/>
    <w:basedOn w:val="1"/>
    <w:link w:val="438"/>
    <w:qFormat/>
    <w:uiPriority w:val="0"/>
    <w:pPr>
      <w:spacing w:after="600" w:line="312" w:lineRule="atLeast"/>
      <w:jc w:val="center"/>
      <w:textAlignment w:val="baseline"/>
    </w:pPr>
    <w:rPr>
      <w:rFonts w:eastAsia="仿宋_GB2312"/>
      <w:kern w:val="0"/>
      <w:sz w:val="24"/>
      <w:szCs w:val="20"/>
    </w:rPr>
  </w:style>
  <w:style w:type="paragraph" w:styleId="46">
    <w:name w:val="toc 1"/>
    <w:basedOn w:val="1"/>
    <w:next w:val="1"/>
    <w:qFormat/>
    <w:uiPriority w:val="0"/>
  </w:style>
  <w:style w:type="paragraph" w:styleId="47">
    <w:name w:val="toc 4"/>
    <w:basedOn w:val="1"/>
    <w:next w:val="1"/>
    <w:qFormat/>
    <w:uiPriority w:val="0"/>
    <w:pPr>
      <w:ind w:left="1260" w:leftChars="600"/>
    </w:pPr>
  </w:style>
  <w:style w:type="paragraph" w:styleId="48">
    <w:name w:val="index heading"/>
    <w:basedOn w:val="1"/>
    <w:next w:val="49"/>
    <w:qFormat/>
    <w:uiPriority w:val="0"/>
    <w:pPr>
      <w:adjustRightInd/>
      <w:ind w:firstLine="200" w:firstLineChars="200"/>
    </w:pPr>
  </w:style>
  <w:style w:type="paragraph" w:styleId="49">
    <w:name w:val="index 1"/>
    <w:basedOn w:val="1"/>
    <w:next w:val="1"/>
    <w:qFormat/>
    <w:uiPriority w:val="0"/>
    <w:pPr>
      <w:adjustRightInd/>
      <w:spacing w:line="360" w:lineRule="auto"/>
      <w:ind w:firstLine="200" w:firstLineChars="200"/>
      <w:jc w:val="center"/>
    </w:pPr>
    <w:rPr>
      <w:sz w:val="24"/>
      <w:szCs w:val="20"/>
    </w:rPr>
  </w:style>
  <w:style w:type="paragraph" w:styleId="50">
    <w:name w:val="Subtitle"/>
    <w:link w:val="491"/>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1">
    <w:name w:val="List Number 5"/>
    <w:basedOn w:val="1"/>
    <w:qFormat/>
    <w:uiPriority w:val="0"/>
    <w:pPr>
      <w:tabs>
        <w:tab w:val="left" w:pos="902"/>
      </w:tabs>
      <w:adjustRightInd/>
      <w:spacing w:line="400" w:lineRule="exact"/>
      <w:ind w:left="902" w:hanging="420"/>
    </w:pPr>
    <w:rPr>
      <w:sz w:val="24"/>
      <w:szCs w:val="20"/>
    </w:rPr>
  </w:style>
  <w:style w:type="paragraph" w:styleId="52">
    <w:name w:val="List"/>
    <w:basedOn w:val="1"/>
    <w:qFormat/>
    <w:uiPriority w:val="0"/>
    <w:pPr>
      <w:ind w:left="200" w:hanging="200" w:hangingChars="200"/>
    </w:pPr>
  </w:style>
  <w:style w:type="paragraph" w:styleId="53">
    <w:name w:val="footnote text"/>
    <w:basedOn w:val="22"/>
    <w:link w:val="476"/>
    <w:qFormat/>
    <w:uiPriority w:val="0"/>
    <w:pPr>
      <w:adjustRightInd/>
      <w:snapToGrid/>
      <w:spacing w:before="60" w:after="60" w:line="300" w:lineRule="exact"/>
      <w:ind w:firstLine="0"/>
    </w:pPr>
    <w:rPr>
      <w:rFonts w:ascii="Times New Roman"/>
      <w:snapToGrid/>
      <w:color w:val="0000FF"/>
      <w:kern w:val="0"/>
      <w:sz w:val="21"/>
    </w:rPr>
  </w:style>
  <w:style w:type="paragraph" w:styleId="54">
    <w:name w:val="toc 6"/>
    <w:basedOn w:val="1"/>
    <w:next w:val="1"/>
    <w:qFormat/>
    <w:uiPriority w:val="0"/>
    <w:pPr>
      <w:ind w:left="2100" w:leftChars="1000"/>
    </w:pPr>
  </w:style>
  <w:style w:type="paragraph" w:styleId="55">
    <w:name w:val="List 5"/>
    <w:basedOn w:val="1"/>
    <w:qFormat/>
    <w:uiPriority w:val="0"/>
    <w:pPr>
      <w:adjustRightInd/>
      <w:ind w:left="100" w:leftChars="800" w:hanging="200" w:hangingChars="200"/>
    </w:pPr>
  </w:style>
  <w:style w:type="paragraph" w:styleId="56">
    <w:name w:val="Body Text Indent 3"/>
    <w:basedOn w:val="1"/>
    <w:link w:val="591"/>
    <w:qFormat/>
    <w:uiPriority w:val="0"/>
    <w:pPr>
      <w:spacing w:line="360" w:lineRule="auto"/>
      <w:ind w:firstLine="420"/>
    </w:pPr>
    <w:rPr>
      <w:sz w:val="24"/>
      <w:szCs w:val="20"/>
    </w:rPr>
  </w:style>
  <w:style w:type="paragraph" w:styleId="57">
    <w:name w:val="toc 2"/>
    <w:basedOn w:val="1"/>
    <w:next w:val="1"/>
    <w:qFormat/>
    <w:uiPriority w:val="0"/>
    <w:pPr>
      <w:ind w:left="420" w:leftChars="200"/>
    </w:pPr>
  </w:style>
  <w:style w:type="paragraph" w:styleId="58">
    <w:name w:val="toc 9"/>
    <w:basedOn w:val="1"/>
    <w:next w:val="1"/>
    <w:qFormat/>
    <w:uiPriority w:val="0"/>
    <w:pPr>
      <w:ind w:left="3360" w:leftChars="1600"/>
    </w:pPr>
  </w:style>
  <w:style w:type="paragraph" w:styleId="59">
    <w:name w:val="Body Text 2"/>
    <w:basedOn w:val="1"/>
    <w:qFormat/>
    <w:uiPriority w:val="0"/>
    <w:pPr>
      <w:spacing w:after="120" w:line="480" w:lineRule="auto"/>
    </w:pPr>
  </w:style>
  <w:style w:type="paragraph" w:styleId="60">
    <w:name w:val="HTML Preformatted"/>
    <w:basedOn w:val="1"/>
    <w:link w:val="54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1">
    <w:name w:val="Normal (Web)"/>
    <w:basedOn w:val="1"/>
    <w:qFormat/>
    <w:uiPriority w:val="99"/>
    <w:pPr>
      <w:widowControl/>
      <w:spacing w:before="100" w:beforeAutospacing="1" w:after="100" w:afterAutospacing="1"/>
      <w:jc w:val="left"/>
    </w:pPr>
    <w:rPr>
      <w:rFonts w:ascii="宋体" w:hAnsi="宋体"/>
      <w:kern w:val="0"/>
      <w:sz w:val="24"/>
    </w:rPr>
  </w:style>
  <w:style w:type="paragraph" w:styleId="62">
    <w:name w:val="Title"/>
    <w:basedOn w:val="1"/>
    <w:next w:val="1"/>
    <w:qFormat/>
    <w:uiPriority w:val="0"/>
    <w:pPr>
      <w:widowControl/>
      <w:overflowPunct w:val="0"/>
      <w:autoSpaceDE w:val="0"/>
      <w:autoSpaceDN w:val="0"/>
      <w:jc w:val="center"/>
      <w:textAlignment w:val="baseline"/>
    </w:pPr>
    <w:rPr>
      <w:b/>
      <w:kern w:val="0"/>
      <w:sz w:val="24"/>
      <w:szCs w:val="20"/>
      <w:lang w:val="en-GB"/>
    </w:rPr>
  </w:style>
  <w:style w:type="character" w:styleId="64">
    <w:name w:val="Strong"/>
    <w:qFormat/>
    <w:uiPriority w:val="22"/>
    <w:rPr>
      <w:b/>
      <w:bCs/>
    </w:rPr>
  </w:style>
  <w:style w:type="character" w:styleId="65">
    <w:name w:val="page number"/>
    <w:basedOn w:val="63"/>
    <w:qFormat/>
    <w:uiPriority w:val="0"/>
  </w:style>
  <w:style w:type="character" w:styleId="66">
    <w:name w:val="FollowedHyperlink"/>
    <w:qFormat/>
    <w:uiPriority w:val="0"/>
    <w:rPr>
      <w:rFonts w:ascii="Arial" w:hAnsi="Arial" w:eastAsia="黑体" w:cs="Arial"/>
      <w:snapToGrid w:val="0"/>
      <w:color w:val="000000"/>
      <w:kern w:val="0"/>
      <w:sz w:val="18"/>
      <w:szCs w:val="18"/>
      <w:u w:val="none"/>
    </w:rPr>
  </w:style>
  <w:style w:type="character" w:styleId="67">
    <w:name w:val="Emphasis"/>
    <w:qFormat/>
    <w:uiPriority w:val="0"/>
    <w:rPr>
      <w:color w:val="CC0033"/>
    </w:rPr>
  </w:style>
  <w:style w:type="character" w:styleId="68">
    <w:name w:val="line number"/>
    <w:basedOn w:val="63"/>
    <w:qFormat/>
    <w:uiPriority w:val="0"/>
  </w:style>
  <w:style w:type="character" w:styleId="69">
    <w:name w:val="Hyperlink"/>
    <w:qFormat/>
    <w:uiPriority w:val="0"/>
    <w:rPr>
      <w:rFonts w:ascii="Arial" w:hAnsi="Arial" w:eastAsia="黑体" w:cs="Arial"/>
      <w:snapToGrid w:val="0"/>
      <w:color w:val="000000"/>
      <w:kern w:val="0"/>
      <w:sz w:val="18"/>
      <w:szCs w:val="18"/>
      <w:u w:val="none"/>
    </w:rPr>
  </w:style>
  <w:style w:type="character" w:styleId="70">
    <w:name w:val="HTML Code"/>
    <w:qFormat/>
    <w:uiPriority w:val="0"/>
    <w:rPr>
      <w:rFonts w:ascii="黑体" w:hAnsi="Courier New" w:eastAsia="黑体" w:cs="楷体_GB2312"/>
      <w:sz w:val="20"/>
      <w:szCs w:val="20"/>
    </w:rPr>
  </w:style>
  <w:style w:type="character" w:styleId="71">
    <w:name w:val="annotation reference"/>
    <w:qFormat/>
    <w:uiPriority w:val="99"/>
    <w:rPr>
      <w:sz w:val="21"/>
      <w:szCs w:val="21"/>
    </w:rPr>
  </w:style>
  <w:style w:type="character" w:styleId="72">
    <w:name w:val="HTML Sample"/>
    <w:basedOn w:val="63"/>
    <w:qFormat/>
    <w:uiPriority w:val="0"/>
    <w:rPr>
      <w:rFonts w:ascii="Courier New" w:hAnsi="Courier New"/>
    </w:rPr>
  </w:style>
  <w:style w:type="table" w:styleId="74">
    <w:name w:val="Table Grid"/>
    <w:basedOn w:val="7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5">
    <w:name w:val="TOC 标题1"/>
    <w:basedOn w:val="3"/>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76">
    <w:name w:val="DAS正文"/>
    <w:basedOn w:val="1"/>
    <w:qFormat/>
    <w:uiPriority w:val="0"/>
    <w:pPr>
      <w:spacing w:line="360" w:lineRule="auto"/>
      <w:ind w:right="181" w:firstLine="480" w:firstLineChars="200"/>
    </w:pPr>
    <w:rPr>
      <w:rFonts w:ascii="Verdana" w:hAnsi="Verdana"/>
      <w:sz w:val="24"/>
    </w:rPr>
  </w:style>
  <w:style w:type="paragraph" w:customStyle="1" w:styleId="77">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78">
    <w:name w:val="冯"/>
    <w:basedOn w:val="1"/>
    <w:link w:val="519"/>
    <w:qFormat/>
    <w:uiPriority w:val="0"/>
    <w:pPr>
      <w:widowControl/>
      <w:adjustRightInd/>
      <w:spacing w:line="360" w:lineRule="auto"/>
      <w:ind w:firstLine="480" w:firstLineChars="200"/>
    </w:pPr>
    <w:rPr>
      <w:rFonts w:ascii="宋体" w:hAnsi="宋体"/>
      <w:color w:val="000000"/>
      <w:kern w:val="0"/>
      <w:sz w:val="24"/>
    </w:rPr>
  </w:style>
  <w:style w:type="paragraph" w:customStyle="1" w:styleId="79">
    <w:name w:val="样式3"/>
    <w:basedOn w:val="80"/>
    <w:qFormat/>
    <w:uiPriority w:val="0"/>
    <w:pPr>
      <w:tabs>
        <w:tab w:val="left" w:pos="2790"/>
        <w:tab w:val="left" w:pos="4230"/>
      </w:tabs>
      <w:spacing w:before="312" w:beforeLines="100"/>
      <w:jc w:val="left"/>
    </w:pPr>
  </w:style>
  <w:style w:type="paragraph" w:customStyle="1" w:styleId="80">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1">
    <w:name w:val="P1"/>
    <w:basedOn w:val="1"/>
    <w:qFormat/>
    <w:uiPriority w:val="0"/>
    <w:pPr>
      <w:adjustRightInd/>
      <w:spacing w:line="288" w:lineRule="auto"/>
      <w:ind w:firstLine="425" w:firstLineChars="200"/>
    </w:pPr>
  </w:style>
  <w:style w:type="paragraph" w:customStyle="1" w:styleId="82">
    <w:name w:val="Char1 Char Char Char"/>
    <w:basedOn w:val="1"/>
    <w:qFormat/>
    <w:uiPriority w:val="0"/>
    <w:rPr>
      <w:rFonts w:ascii="Tahoma" w:hAnsi="Tahoma"/>
      <w:sz w:val="24"/>
      <w:szCs w:val="20"/>
    </w:rPr>
  </w:style>
  <w:style w:type="paragraph" w:customStyle="1" w:styleId="83">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84">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85">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86">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7">
    <w:name w:val="样式7"/>
    <w:basedOn w:val="88"/>
    <w:next w:val="1"/>
    <w:qFormat/>
    <w:uiPriority w:val="0"/>
    <w:pPr>
      <w:spacing w:after="156" w:afterLines="50"/>
      <w:jc w:val="left"/>
      <w:outlineLvl w:val="3"/>
    </w:pPr>
    <w:rPr>
      <w:sz w:val="24"/>
      <w:szCs w:val="24"/>
    </w:rPr>
  </w:style>
  <w:style w:type="paragraph" w:customStyle="1" w:styleId="88">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89">
    <w:name w:val="Bulleted List"/>
    <w:basedOn w:val="1"/>
    <w:qFormat/>
    <w:uiPriority w:val="0"/>
    <w:pPr>
      <w:numPr>
        <w:ilvl w:val="1"/>
        <w:numId w:val="4"/>
      </w:numPr>
      <w:tabs>
        <w:tab w:val="left" w:pos="1260"/>
      </w:tabs>
      <w:adjustRightInd/>
    </w:pPr>
  </w:style>
  <w:style w:type="paragraph" w:customStyle="1" w:styleId="90">
    <w:name w:val="Char3"/>
    <w:basedOn w:val="1"/>
    <w:qFormat/>
    <w:uiPriority w:val="0"/>
    <w:pPr>
      <w:adjustRightInd/>
    </w:pPr>
    <w:rPr>
      <w:rFonts w:ascii="仿宋_GB2312" w:eastAsia="仿宋_GB2312"/>
      <w:b/>
      <w:sz w:val="32"/>
      <w:szCs w:val="32"/>
    </w:rPr>
  </w:style>
  <w:style w:type="paragraph" w:customStyle="1" w:styleId="91">
    <w:name w:val="Char Char1 Char Char Char Char Char Char"/>
    <w:basedOn w:val="1"/>
    <w:qFormat/>
    <w:uiPriority w:val="0"/>
    <w:rPr>
      <w:rFonts w:ascii="仿宋_GB2312" w:eastAsia="仿宋_GB2312"/>
      <w:b/>
      <w:sz w:val="32"/>
      <w:szCs w:val="20"/>
    </w:rPr>
  </w:style>
  <w:style w:type="paragraph" w:customStyle="1" w:styleId="92">
    <w:name w:val="文本正文 Char"/>
    <w:basedOn w:val="1"/>
    <w:qFormat/>
    <w:uiPriority w:val="0"/>
    <w:pPr>
      <w:spacing w:line="360" w:lineRule="auto"/>
      <w:ind w:firstLine="200" w:firstLineChars="200"/>
    </w:pPr>
    <w:rPr>
      <w:kern w:val="0"/>
      <w:sz w:val="24"/>
      <w:szCs w:val="20"/>
    </w:rPr>
  </w:style>
  <w:style w:type="paragraph" w:customStyle="1" w:styleId="93">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94">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95">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96">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97">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8">
    <w:name w:val="样式 标题 22h2L1 Heading 2H2sect 1.2H21sect 1.21H22sect 1.2..."/>
    <w:basedOn w:val="4"/>
    <w:next w:val="1"/>
    <w:qFormat/>
    <w:uiPriority w:val="0"/>
    <w:pPr>
      <w:numPr>
        <w:numId w:val="0"/>
      </w:numPr>
      <w:tabs>
        <w:tab w:val="clear" w:pos="432"/>
      </w:tabs>
      <w:spacing w:before="260" w:after="260" w:line="415" w:lineRule="auto"/>
      <w:ind w:left="425" w:hanging="425"/>
    </w:pPr>
    <w:rPr>
      <w:rFonts w:ascii="微软雅黑" w:hAnsi="微软雅黑" w:eastAsia="微软雅黑"/>
      <w:lang w:val="en-US"/>
    </w:rPr>
  </w:style>
  <w:style w:type="paragraph" w:customStyle="1" w:styleId="99">
    <w:name w:val="正文首行缩进1"/>
    <w:basedOn w:val="16"/>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100">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01">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2">
    <w:name w:val="Char1"/>
    <w:basedOn w:val="1"/>
    <w:qFormat/>
    <w:uiPriority w:val="0"/>
    <w:rPr>
      <w:rFonts w:ascii="仿宋_GB2312" w:eastAsia="仿宋_GB2312"/>
      <w:b/>
      <w:sz w:val="32"/>
      <w:szCs w:val="32"/>
    </w:rPr>
  </w:style>
  <w:style w:type="paragraph" w:customStyle="1" w:styleId="103">
    <w:name w:val="CM14"/>
    <w:basedOn w:val="17"/>
    <w:next w:val="17"/>
    <w:qFormat/>
    <w:uiPriority w:val="0"/>
    <w:pPr>
      <w:spacing w:after="68"/>
    </w:pPr>
    <w:rPr>
      <w:rFonts w:ascii="FHLHE E+ Futura Bk" w:eastAsia="FHLHE E+ Futura Bk" w:cs="Times New Roman"/>
      <w:color w:val="auto"/>
    </w:rPr>
  </w:style>
  <w:style w:type="paragraph" w:customStyle="1" w:styleId="104">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5">
    <w:name w:val="正文文字缩进2字"/>
    <w:basedOn w:val="16"/>
    <w:qFormat/>
    <w:uiPriority w:val="0"/>
    <w:pPr>
      <w:autoSpaceDE/>
      <w:autoSpaceDN/>
      <w:adjustRightInd/>
      <w:spacing w:before="60" w:after="60"/>
      <w:ind w:firstLine="200" w:firstLineChars="200"/>
    </w:pPr>
    <w:rPr>
      <w:rFonts w:ascii="Times New Roman"/>
      <w:szCs w:val="20"/>
      <w:lang w:val="en-US"/>
    </w:rPr>
  </w:style>
  <w:style w:type="paragraph" w:customStyle="1" w:styleId="106">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107">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08">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9">
    <w:name w:val="标书标题4"/>
    <w:basedOn w:val="6"/>
    <w:qFormat/>
    <w:uiPriority w:val="0"/>
    <w:pPr>
      <w:keepLines w:val="0"/>
      <w:numPr>
        <w:ilvl w:val="0"/>
        <w:numId w:val="0"/>
      </w:numPr>
      <w:tabs>
        <w:tab w:val="clear" w:pos="432"/>
        <w:tab w:val="clear" w:pos="840"/>
        <w:tab w:val="clear" w:pos="1440"/>
      </w:tabs>
      <w:snapToGrid w:val="0"/>
      <w:spacing w:before="0" w:after="0" w:line="300" w:lineRule="auto"/>
    </w:pPr>
    <w:rPr>
      <w:rFonts w:ascii="Arial Narrow" w:hAnsi="Arial Narrow" w:eastAsia="仿宋_GB2312"/>
      <w:bCs w:val="0"/>
      <w:color w:val="000000"/>
      <w:kern w:val="0"/>
      <w:szCs w:val="32"/>
      <w:lang w:val="en-US"/>
    </w:rPr>
  </w:style>
  <w:style w:type="paragraph" w:customStyle="1" w:styleId="110">
    <w:name w:val="列表段落1"/>
    <w:basedOn w:val="1"/>
    <w:qFormat/>
    <w:uiPriority w:val="0"/>
    <w:pPr>
      <w:spacing w:line="360" w:lineRule="auto"/>
      <w:ind w:firstLine="200" w:firstLineChars="200"/>
    </w:pPr>
    <w:rPr>
      <w:rFonts w:eastAsia="楷体_GB2312" w:cs="Lucida Sans"/>
      <w:sz w:val="24"/>
    </w:rPr>
  </w:style>
  <w:style w:type="paragraph" w:customStyle="1" w:styleId="111">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112">
    <w:name w:val="Char2 Char Char Char"/>
    <w:basedOn w:val="1"/>
    <w:qFormat/>
    <w:uiPriority w:val="0"/>
    <w:rPr>
      <w:rFonts w:ascii="仿宋_GB2312" w:eastAsia="仿宋_GB2312"/>
      <w:b/>
      <w:sz w:val="32"/>
      <w:szCs w:val="32"/>
    </w:rPr>
  </w:style>
  <w:style w:type="paragraph" w:customStyle="1" w:styleId="113">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4">
    <w:name w:val="样式 正文文本缩进 + 左侧:  2 字符 首行缩进:  2 字符"/>
    <w:basedOn w:val="28"/>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115">
    <w:name w:val="Char Char Char"/>
    <w:basedOn w:val="1"/>
    <w:qFormat/>
    <w:uiPriority w:val="0"/>
    <w:rPr>
      <w:rFonts w:ascii="Tahoma" w:hAnsi="Tahoma"/>
      <w:sz w:val="24"/>
      <w:szCs w:val="20"/>
    </w:rPr>
  </w:style>
  <w:style w:type="paragraph" w:customStyle="1" w:styleId="116">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17">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18">
    <w:name w:val="样式 正文缩进 + 首行缩进:  2 字符"/>
    <w:basedOn w:val="22"/>
    <w:qFormat/>
    <w:uiPriority w:val="0"/>
    <w:pPr>
      <w:widowControl w:val="0"/>
      <w:adjustRightInd/>
      <w:snapToGrid/>
      <w:spacing w:line="360" w:lineRule="auto"/>
      <w:ind w:firstLine="200" w:firstLineChars="200"/>
    </w:pPr>
    <w:rPr>
      <w:rFonts w:ascii="Times New Roman" w:cs="宋体"/>
      <w:snapToGrid/>
      <w:color w:val="auto"/>
      <w:kern w:val="2"/>
      <w:sz w:val="24"/>
    </w:rPr>
  </w:style>
  <w:style w:type="paragraph" w:customStyle="1" w:styleId="119">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20">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1">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2">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123">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124">
    <w:name w:val="FA正文"/>
    <w:basedOn w:val="1"/>
    <w:qFormat/>
    <w:uiPriority w:val="0"/>
    <w:pPr>
      <w:spacing w:line="360" w:lineRule="auto"/>
      <w:ind w:firstLine="480" w:firstLineChars="200"/>
    </w:pPr>
    <w:rPr>
      <w:rFonts w:hAnsi="宋体"/>
      <w:sz w:val="24"/>
      <w:szCs w:val="20"/>
    </w:rPr>
  </w:style>
  <w:style w:type="paragraph" w:customStyle="1" w:styleId="125">
    <w:name w:val="MM Topic 4"/>
    <w:basedOn w:val="6"/>
    <w:qFormat/>
    <w:uiPriority w:val="0"/>
    <w:pPr>
      <w:numPr>
        <w:ilvl w:val="0"/>
        <w:numId w:val="0"/>
      </w:numPr>
      <w:tabs>
        <w:tab w:val="clear" w:pos="432"/>
        <w:tab w:val="clear" w:pos="840"/>
        <w:tab w:val="clear" w:pos="1440"/>
        <w:tab w:val="clear" w:pos="864"/>
      </w:tabs>
      <w:adjustRightInd/>
      <w:ind w:left="2100" w:hanging="420"/>
    </w:pPr>
    <w:rPr>
      <w:lang w:val="en-US"/>
    </w:rPr>
  </w:style>
  <w:style w:type="paragraph" w:customStyle="1" w:styleId="126">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127">
    <w:name w:val="有符号正文"/>
    <w:basedOn w:val="1"/>
    <w:qFormat/>
    <w:uiPriority w:val="0"/>
    <w:pPr>
      <w:adjustRightInd/>
      <w:spacing w:line="400" w:lineRule="exact"/>
      <w:ind w:firstLine="200" w:firstLineChars="200"/>
    </w:pPr>
    <w:rPr>
      <w:rFonts w:ascii="Arial" w:hAnsi="Arial"/>
    </w:rPr>
  </w:style>
  <w:style w:type="paragraph" w:customStyle="1" w:styleId="128">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29">
    <w:name w:val="默认段落字体 Para Char"/>
    <w:basedOn w:val="1"/>
    <w:qFormat/>
    <w:uiPriority w:val="0"/>
    <w:rPr>
      <w:rFonts w:ascii="Tahoma" w:hAnsi="Tahoma"/>
      <w:sz w:val="24"/>
      <w:szCs w:val="20"/>
    </w:rPr>
  </w:style>
  <w:style w:type="paragraph" w:customStyle="1" w:styleId="130">
    <w:name w:val="Char1 Char Char Char2"/>
    <w:basedOn w:val="1"/>
    <w:qFormat/>
    <w:uiPriority w:val="0"/>
    <w:pPr>
      <w:adjustRightInd/>
      <w:ind w:firstLine="200" w:firstLineChars="200"/>
    </w:pPr>
    <w:rPr>
      <w:rFonts w:ascii="Tahoma" w:hAnsi="Tahoma"/>
      <w:sz w:val="24"/>
      <w:szCs w:val="20"/>
    </w:rPr>
  </w:style>
  <w:style w:type="paragraph" w:customStyle="1" w:styleId="131">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2">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133">
    <w:name w:val="注释"/>
    <w:basedOn w:val="1"/>
    <w:qFormat/>
    <w:uiPriority w:val="0"/>
    <w:pPr>
      <w:adjustRightInd/>
      <w:spacing w:line="360" w:lineRule="auto"/>
      <w:ind w:firstLine="480"/>
    </w:pPr>
    <w:rPr>
      <w:sz w:val="24"/>
    </w:rPr>
  </w:style>
  <w:style w:type="paragraph" w:customStyle="1" w:styleId="134">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135">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36">
    <w:name w:val="trademark"/>
    <w:qFormat/>
    <w:uiPriority w:val="0"/>
    <w:pPr>
      <w:spacing w:after="60"/>
    </w:pPr>
    <w:rPr>
      <w:rFonts w:ascii="Futura Bk" w:hAnsi="Futura Bk" w:eastAsia="宋体" w:cs="Times New Roman"/>
      <w:sz w:val="15"/>
      <w:lang w:val="en-US" w:eastAsia="en-US" w:bidi="ar-SA"/>
    </w:rPr>
  </w:style>
  <w:style w:type="paragraph" w:customStyle="1" w:styleId="137">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138">
    <w:name w:val="EB_表格"/>
    <w:basedOn w:val="1"/>
    <w:qFormat/>
    <w:uiPriority w:val="0"/>
    <w:pPr>
      <w:adjustRightInd/>
      <w:spacing w:line="300" w:lineRule="auto"/>
      <w:jc w:val="center"/>
    </w:pPr>
  </w:style>
  <w:style w:type="paragraph" w:customStyle="1" w:styleId="139">
    <w:name w:val="Char Char Char1 Char"/>
    <w:basedOn w:val="1"/>
    <w:qFormat/>
    <w:uiPriority w:val="0"/>
    <w:rPr>
      <w:szCs w:val="20"/>
    </w:rPr>
  </w:style>
  <w:style w:type="paragraph" w:customStyle="1" w:styleId="140">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1">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2">
    <w:name w:val="章标题"/>
    <w:next w:val="143"/>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4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145">
    <w:name w:val="标准有序列表（L1）"/>
    <w:basedOn w:val="22"/>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46">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47">
    <w:name w:val="表文字"/>
    <w:qFormat/>
    <w:uiPriority w:val="0"/>
    <w:rPr>
      <w:rFonts w:ascii="宋体" w:hAnsi="Times New Roman" w:eastAsia="宋体" w:cs="Times New Roman"/>
      <w:kern w:val="2"/>
      <w:lang w:val="en-US" w:eastAsia="zh-CN" w:bidi="ar-SA"/>
    </w:rPr>
  </w:style>
  <w:style w:type="paragraph" w:customStyle="1" w:styleId="148">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14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50">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1">
    <w:name w:val="列表内容"/>
    <w:basedOn w:val="1"/>
    <w:next w:val="1"/>
    <w:qFormat/>
    <w:uiPriority w:val="0"/>
    <w:pPr>
      <w:widowControl/>
      <w:tabs>
        <w:tab w:val="left" w:pos="840"/>
      </w:tabs>
      <w:ind w:left="840" w:hanging="420"/>
      <w:jc w:val="left"/>
    </w:pPr>
    <w:rPr>
      <w:kern w:val="0"/>
      <w:sz w:val="18"/>
    </w:rPr>
  </w:style>
  <w:style w:type="paragraph" w:customStyle="1" w:styleId="152">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3">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4">
    <w:name w:val="body text bold"/>
    <w:basedOn w:val="16"/>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155">
    <w:name w:val="Char2 Char Char"/>
    <w:basedOn w:val="1"/>
    <w:qFormat/>
    <w:uiPriority w:val="0"/>
    <w:pPr>
      <w:adjustRightInd/>
    </w:pPr>
    <w:rPr>
      <w:rFonts w:ascii="Tahoma" w:hAnsi="Tahoma"/>
      <w:sz w:val="24"/>
      <w:szCs w:val="20"/>
    </w:rPr>
  </w:style>
  <w:style w:type="paragraph" w:customStyle="1" w:styleId="156">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157">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58">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59">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60">
    <w:name w:val="Char Char1 Char Char Char"/>
    <w:basedOn w:val="1"/>
    <w:qFormat/>
    <w:uiPriority w:val="0"/>
    <w:rPr>
      <w:rFonts w:ascii="仿宋_GB2312" w:eastAsia="仿宋_GB2312"/>
      <w:b/>
      <w:sz w:val="32"/>
      <w:szCs w:val="20"/>
    </w:rPr>
  </w:style>
  <w:style w:type="paragraph" w:customStyle="1" w:styleId="161">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162">
    <w:name w:val="WW-正文文字缩进 2"/>
    <w:basedOn w:val="1"/>
    <w:qFormat/>
    <w:uiPriority w:val="0"/>
    <w:pPr>
      <w:suppressAutoHyphens/>
      <w:adjustRightInd/>
      <w:ind w:firstLine="420"/>
    </w:pPr>
    <w:rPr>
      <w:kern w:val="1"/>
      <w:szCs w:val="20"/>
    </w:rPr>
  </w:style>
  <w:style w:type="paragraph" w:customStyle="1" w:styleId="163">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164">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165">
    <w:name w:val="默认段落字体 Para Char Char Char Char"/>
    <w:basedOn w:val="1"/>
    <w:qFormat/>
    <w:uiPriority w:val="0"/>
    <w:pPr>
      <w:spacing w:line="360" w:lineRule="auto"/>
    </w:pPr>
    <w:rPr>
      <w:szCs w:val="20"/>
    </w:rPr>
  </w:style>
  <w:style w:type="paragraph" w:customStyle="1" w:styleId="166">
    <w:name w:val="Char Char11 Char Char Char"/>
    <w:basedOn w:val="1"/>
    <w:qFormat/>
    <w:uiPriority w:val="0"/>
    <w:pPr>
      <w:spacing w:line="360" w:lineRule="auto"/>
    </w:pPr>
    <w:rPr>
      <w:szCs w:val="20"/>
    </w:rPr>
  </w:style>
  <w:style w:type="paragraph" w:customStyle="1" w:styleId="167">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68">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169">
    <w:name w:val="左对齐表格文字"/>
    <w:basedOn w:val="1"/>
    <w:qFormat/>
    <w:uiPriority w:val="0"/>
    <w:pPr>
      <w:adjustRightInd/>
      <w:ind w:firstLine="200" w:firstLineChars="200"/>
      <w:jc w:val="right"/>
    </w:pPr>
  </w:style>
  <w:style w:type="paragraph" w:customStyle="1" w:styleId="170">
    <w:name w:val="Picture"/>
    <w:basedOn w:val="1"/>
    <w:next w:val="23"/>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1">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172">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173">
    <w:name w:val="无间隔1"/>
    <w:link w:val="534"/>
    <w:qFormat/>
    <w:uiPriority w:val="1"/>
    <w:rPr>
      <w:rFonts w:ascii="Calibri" w:hAnsi="Calibri" w:eastAsia="宋体" w:cs="Times New Roman"/>
      <w:sz w:val="22"/>
      <w:szCs w:val="22"/>
      <w:lang w:val="en-US" w:eastAsia="zh-CN" w:bidi="ar-SA"/>
    </w:rPr>
  </w:style>
  <w:style w:type="paragraph" w:customStyle="1" w:styleId="174">
    <w:name w:val="样式 样式 标题 4h4H4Fab-4T5Ref Heading 1rh1Heading sqlsect 1.2.3.... +..."/>
    <w:basedOn w:val="175"/>
    <w:link w:val="612"/>
    <w:qFormat/>
    <w:uiPriority w:val="0"/>
    <w:pPr>
      <w:tabs>
        <w:tab w:val="left" w:pos="2356"/>
      </w:tabs>
    </w:pPr>
  </w:style>
  <w:style w:type="paragraph" w:customStyle="1" w:styleId="175">
    <w:name w:val="样式 标题 4h4H4Fab-4T5Ref Heading 1rh1Heading sqlsect 1.2.3...."/>
    <w:basedOn w:val="6"/>
    <w:link w:val="562"/>
    <w:qFormat/>
    <w:uiPriority w:val="0"/>
    <w:pPr>
      <w:numPr>
        <w:ilvl w:val="0"/>
        <w:numId w:val="0"/>
      </w:numPr>
      <w:tabs>
        <w:tab w:val="clear" w:pos="432"/>
        <w:tab w:val="clear" w:pos="840"/>
        <w:tab w:val="clear" w:pos="1440"/>
        <w:tab w:val="clear" w:pos="864"/>
      </w:tabs>
      <w:adjustRightInd/>
      <w:spacing w:line="360" w:lineRule="auto"/>
      <w:ind w:left="1984" w:leftChars="75" w:hanging="708" w:firstLineChars="200"/>
    </w:pPr>
    <w:rPr>
      <w:rFonts w:ascii="微软雅黑" w:hAnsi="微软雅黑" w:eastAsia="微软雅黑"/>
      <w:sz w:val="24"/>
    </w:rPr>
  </w:style>
  <w:style w:type="paragraph" w:customStyle="1" w:styleId="176">
    <w:name w:val="四级条标题"/>
    <w:basedOn w:val="177"/>
    <w:next w:val="143"/>
    <w:qFormat/>
    <w:uiPriority w:val="0"/>
    <w:pPr>
      <w:numPr>
        <w:ilvl w:val="5"/>
        <w:numId w:val="4"/>
      </w:numPr>
      <w:tabs>
        <w:tab w:val="left" w:pos="1680"/>
        <w:tab w:val="left" w:pos="2100"/>
        <w:tab w:val="left" w:pos="2520"/>
        <w:tab w:val="left" w:pos="2940"/>
      </w:tabs>
      <w:outlineLvl w:val="5"/>
    </w:pPr>
  </w:style>
  <w:style w:type="paragraph" w:customStyle="1" w:styleId="177">
    <w:name w:val="三级条标题"/>
    <w:basedOn w:val="178"/>
    <w:next w:val="143"/>
    <w:qFormat/>
    <w:uiPriority w:val="0"/>
    <w:pPr>
      <w:numPr>
        <w:ilvl w:val="0"/>
        <w:numId w:val="0"/>
      </w:numPr>
      <w:tabs>
        <w:tab w:val="left" w:pos="1680"/>
        <w:tab w:val="left" w:pos="2100"/>
        <w:tab w:val="left" w:pos="2520"/>
        <w:tab w:val="clear" w:pos="432"/>
        <w:tab w:val="clear" w:pos="840"/>
        <w:tab w:val="clear" w:pos="1440"/>
      </w:tabs>
      <w:ind w:left="2520" w:hanging="420"/>
      <w:outlineLvl w:val="4"/>
    </w:pPr>
  </w:style>
  <w:style w:type="paragraph" w:customStyle="1" w:styleId="178">
    <w:name w:val="二级条标题"/>
    <w:basedOn w:val="179"/>
    <w:next w:val="143"/>
    <w:qFormat/>
    <w:uiPriority w:val="0"/>
    <w:pPr>
      <w:numPr>
        <w:ilvl w:val="3"/>
        <w:numId w:val="4"/>
      </w:numPr>
      <w:tabs>
        <w:tab w:val="left" w:pos="1680"/>
        <w:tab w:val="left" w:pos="2100"/>
      </w:tabs>
      <w:ind w:left="0"/>
      <w:outlineLvl w:val="3"/>
    </w:pPr>
  </w:style>
  <w:style w:type="paragraph" w:customStyle="1" w:styleId="179">
    <w:name w:val="一级条标题"/>
    <w:basedOn w:val="142"/>
    <w:next w:val="143"/>
    <w:qFormat/>
    <w:uiPriority w:val="0"/>
    <w:pPr>
      <w:tabs>
        <w:tab w:val="clear" w:pos="1260"/>
      </w:tabs>
      <w:spacing w:before="0" w:after="0"/>
      <w:ind w:left="1680"/>
      <w:outlineLvl w:val="2"/>
    </w:pPr>
  </w:style>
  <w:style w:type="paragraph" w:customStyle="1" w:styleId="180">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1">
    <w:name w:val="标准小四"/>
    <w:basedOn w:val="1"/>
    <w:qFormat/>
    <w:uiPriority w:val="0"/>
    <w:pPr>
      <w:spacing w:line="360" w:lineRule="auto"/>
      <w:ind w:firstLine="480" w:firstLineChars="200"/>
    </w:pPr>
    <w:rPr>
      <w:rFonts w:ascii="Arial" w:hAnsi="Arial"/>
      <w:sz w:val="24"/>
      <w:szCs w:val="21"/>
    </w:rPr>
  </w:style>
  <w:style w:type="paragraph" w:customStyle="1" w:styleId="182">
    <w:name w:val="表格"/>
    <w:basedOn w:val="1"/>
    <w:qFormat/>
    <w:uiPriority w:val="0"/>
    <w:pPr>
      <w:snapToGrid w:val="0"/>
      <w:ind w:firstLine="42" w:firstLineChars="21"/>
    </w:pPr>
    <w:rPr>
      <w:rFonts w:ascii="宋体" w:hAnsi="宋体"/>
      <w:kern w:val="0"/>
      <w:sz w:val="20"/>
      <w:szCs w:val="20"/>
    </w:rPr>
  </w:style>
  <w:style w:type="paragraph" w:customStyle="1" w:styleId="183">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4">
    <w:name w:val="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5">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86">
    <w:name w:val="封面公司名"/>
    <w:qFormat/>
    <w:uiPriority w:val="0"/>
    <w:pPr>
      <w:jc w:val="center"/>
    </w:pPr>
    <w:rPr>
      <w:rFonts w:ascii="Arial" w:hAnsi="Arial" w:eastAsia="楷体_GB2312" w:cs="宋体"/>
      <w:bCs/>
      <w:kern w:val="2"/>
      <w:sz w:val="28"/>
      <w:lang w:val="en-US" w:eastAsia="zh-CN" w:bidi="ar-SA"/>
    </w:rPr>
  </w:style>
  <w:style w:type="paragraph" w:customStyle="1" w:styleId="187">
    <w:name w:val="Char2 Char Char Char1"/>
    <w:basedOn w:val="1"/>
    <w:qFormat/>
    <w:uiPriority w:val="0"/>
    <w:rPr>
      <w:rFonts w:ascii="仿宋_GB2312" w:eastAsia="仿宋_GB2312"/>
      <w:b/>
      <w:sz w:val="32"/>
      <w:szCs w:val="32"/>
    </w:rPr>
  </w:style>
  <w:style w:type="paragraph" w:customStyle="1" w:styleId="188">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189">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190">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191">
    <w:name w:val="Char2"/>
    <w:basedOn w:val="1"/>
    <w:qFormat/>
    <w:uiPriority w:val="0"/>
    <w:rPr>
      <w:rFonts w:ascii="仿宋_GB2312" w:eastAsia="仿宋_GB2312"/>
      <w:b/>
      <w:sz w:val="32"/>
      <w:szCs w:val="32"/>
    </w:rPr>
  </w:style>
  <w:style w:type="paragraph" w:customStyle="1" w:styleId="192">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3">
    <w:name w:val="小节"/>
    <w:basedOn w:val="5"/>
    <w:qFormat/>
    <w:uiPriority w:val="0"/>
    <w:pPr>
      <w:numPr>
        <w:ilvl w:val="0"/>
        <w:numId w:val="0"/>
      </w:numPr>
      <w:tabs>
        <w:tab w:val="clear" w:pos="432"/>
        <w:tab w:val="clear" w:pos="840"/>
        <w:tab w:val="clear" w:pos="1440"/>
      </w:tabs>
      <w:adjustRightInd/>
      <w:spacing w:before="200" w:after="200" w:line="560" w:lineRule="exact"/>
      <w:jc w:val="left"/>
    </w:pPr>
    <w:rPr>
      <w:rFonts w:ascii="宋体" w:hAnsi="宋体"/>
      <w:bCs w:val="0"/>
      <w:color w:val="000000"/>
      <w:spacing w:val="10"/>
      <w:kern w:val="24"/>
      <w:sz w:val="28"/>
    </w:rPr>
  </w:style>
  <w:style w:type="paragraph" w:customStyle="1" w:styleId="194">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95">
    <w:name w:val="Char Char Char Char Char Char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96">
    <w:name w:val="!大节"/>
    <w:basedOn w:val="4"/>
    <w:qFormat/>
    <w:uiPriority w:val="0"/>
    <w:pPr>
      <w:numPr>
        <w:numId w:val="0"/>
      </w:numPr>
      <w:spacing w:before="260" w:after="260" w:line="415" w:lineRule="auto"/>
      <w:ind w:left="420" w:hanging="420"/>
    </w:pPr>
    <w:rPr>
      <w:rFonts w:ascii="Arial" w:hAnsi="Arial" w:eastAsia="微软雅黑"/>
      <w:lang w:val="en-US"/>
    </w:rPr>
  </w:style>
  <w:style w:type="paragraph" w:customStyle="1" w:styleId="197">
    <w:name w:val="Char Char4 Char Char"/>
    <w:basedOn w:val="1"/>
    <w:qFormat/>
    <w:uiPriority w:val="0"/>
    <w:pPr>
      <w:widowControl/>
      <w:adjustRightInd/>
      <w:spacing w:after="160" w:line="240" w:lineRule="exact"/>
      <w:jc w:val="left"/>
    </w:pPr>
  </w:style>
  <w:style w:type="paragraph" w:customStyle="1" w:styleId="198">
    <w:name w:val="Char2 Char Char1"/>
    <w:basedOn w:val="1"/>
    <w:qFormat/>
    <w:uiPriority w:val="0"/>
    <w:pPr>
      <w:adjustRightInd/>
    </w:pPr>
    <w:rPr>
      <w:rFonts w:ascii="Tahoma" w:hAnsi="Tahoma"/>
      <w:sz w:val="24"/>
      <w:szCs w:val="20"/>
    </w:rPr>
  </w:style>
  <w:style w:type="paragraph" w:customStyle="1" w:styleId="199">
    <w:name w:val="默认段落字体 Para Char Char Char Char Char Char Char"/>
    <w:basedOn w:val="1"/>
    <w:qFormat/>
    <w:uiPriority w:val="0"/>
    <w:rPr>
      <w:rFonts w:eastAsia="仿宋_GB2312"/>
      <w:sz w:val="28"/>
      <w:szCs w:val="20"/>
    </w:rPr>
  </w:style>
  <w:style w:type="paragraph" w:customStyle="1" w:styleId="200">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1">
    <w:name w:val="正文21"/>
    <w:basedOn w:val="1"/>
    <w:qFormat/>
    <w:uiPriority w:val="0"/>
    <w:pPr>
      <w:adjustRightInd/>
      <w:spacing w:before="156" w:line="360" w:lineRule="auto"/>
      <w:ind w:firstLine="510" w:firstLineChars="200"/>
    </w:pPr>
    <w:rPr>
      <w:sz w:val="24"/>
      <w:szCs w:val="20"/>
    </w:rPr>
  </w:style>
  <w:style w:type="paragraph" w:customStyle="1" w:styleId="202">
    <w:name w:val="标题4_自定义"/>
    <w:basedOn w:val="6"/>
    <w:qFormat/>
    <w:uiPriority w:val="0"/>
    <w:pPr>
      <w:numPr>
        <w:ilvl w:val="0"/>
        <w:numId w:val="0"/>
      </w:numPr>
      <w:tabs>
        <w:tab w:val="clear" w:pos="432"/>
        <w:tab w:val="clear" w:pos="840"/>
        <w:tab w:val="clear" w:pos="1440"/>
      </w:tabs>
      <w:adjustRightInd/>
      <w:spacing w:before="0" w:after="0" w:line="360" w:lineRule="auto"/>
    </w:pPr>
    <w:rPr>
      <w:rFonts w:ascii="Verdana" w:eastAsia="Verdana"/>
      <w:sz w:val="21"/>
      <w:lang w:val="en-US"/>
    </w:rPr>
  </w:style>
  <w:style w:type="paragraph" w:customStyle="1" w:styleId="203">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204">
    <w:name w:val="标题五"/>
    <w:basedOn w:val="1"/>
    <w:qFormat/>
    <w:uiPriority w:val="0"/>
    <w:pPr>
      <w:adjustRightInd/>
      <w:spacing w:before="156" w:beforeLines="50" w:line="360" w:lineRule="auto"/>
    </w:pPr>
    <w:rPr>
      <w:b/>
      <w:sz w:val="24"/>
    </w:rPr>
  </w:style>
  <w:style w:type="paragraph" w:customStyle="1" w:styleId="205">
    <w:name w:val="样式 标题 3H3 + 两端对齐"/>
    <w:basedOn w:val="5"/>
    <w:qFormat/>
    <w:uiPriority w:val="0"/>
    <w:pPr>
      <w:keepLines w:val="0"/>
      <w:numPr>
        <w:ilvl w:val="0"/>
        <w:numId w:val="0"/>
      </w:numPr>
      <w:tabs>
        <w:tab w:val="clear" w:pos="432"/>
        <w:tab w:val="clear" w:pos="840"/>
        <w:tab w:val="clear" w:pos="1440"/>
      </w:tabs>
      <w:spacing w:before="0" w:after="0" w:line="240" w:lineRule="auto"/>
      <w:jc w:val="left"/>
    </w:pPr>
    <w:rPr>
      <w:rFonts w:cs="宋体"/>
      <w:sz w:val="21"/>
      <w:szCs w:val="20"/>
    </w:rPr>
  </w:style>
  <w:style w:type="paragraph" w:customStyle="1" w:styleId="206">
    <w:name w:val="Char Char11"/>
    <w:basedOn w:val="1"/>
    <w:qFormat/>
    <w:uiPriority w:val="0"/>
    <w:pPr>
      <w:spacing w:line="360" w:lineRule="auto"/>
    </w:pPr>
    <w:rPr>
      <w:szCs w:val="20"/>
    </w:rPr>
  </w:style>
  <w:style w:type="paragraph" w:customStyle="1" w:styleId="207">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08">
    <w:name w:val="样式6"/>
    <w:basedOn w:val="36"/>
    <w:qFormat/>
    <w:uiPriority w:val="0"/>
    <w:pPr>
      <w:spacing w:line="460" w:lineRule="exact"/>
      <w:outlineLvl w:val="2"/>
    </w:pPr>
    <w:rPr>
      <w:rFonts w:ascii="仿宋_GB2312" w:hAnsi="宋体" w:eastAsia="仿宋_GB2312"/>
      <w:b/>
      <w:bCs/>
      <w:sz w:val="24"/>
      <w:szCs w:val="24"/>
    </w:rPr>
  </w:style>
  <w:style w:type="paragraph" w:customStyle="1" w:styleId="209">
    <w:name w:val="样式 标题 1章节第一层h1H"/>
    <w:basedOn w:val="3"/>
    <w:qFormat/>
    <w:uiPriority w:val="0"/>
    <w:pPr>
      <w:keepNext w:val="0"/>
      <w:keepLines w:val="0"/>
      <w:numPr>
        <w:numId w:val="0"/>
      </w:numPr>
      <w:autoSpaceDE w:val="0"/>
      <w:autoSpaceDN w:val="0"/>
      <w:spacing w:before="0" w:after="0" w:line="240" w:lineRule="auto"/>
      <w:jc w:val="left"/>
      <w:outlineLvl w:val="9"/>
    </w:pPr>
    <w:rPr>
      <w:kern w:val="0"/>
      <w:sz w:val="52"/>
      <w:szCs w:val="52"/>
      <w:lang w:val="zh-CN"/>
    </w:rPr>
  </w:style>
  <w:style w:type="paragraph" w:customStyle="1" w:styleId="210">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1">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2">
    <w:name w:val="Char Char11 Char Char Char Char Char Char Char Char Char"/>
    <w:basedOn w:val="1"/>
    <w:qFormat/>
    <w:uiPriority w:val="0"/>
    <w:pPr>
      <w:spacing w:line="360" w:lineRule="auto"/>
    </w:pPr>
    <w:rPr>
      <w:szCs w:val="20"/>
    </w:rPr>
  </w:style>
  <w:style w:type="paragraph" w:customStyle="1" w:styleId="213">
    <w:name w:val="Char Char1 Char Char Char1"/>
    <w:basedOn w:val="1"/>
    <w:qFormat/>
    <w:uiPriority w:val="0"/>
    <w:rPr>
      <w:rFonts w:ascii="仿宋_GB2312" w:eastAsia="仿宋_GB2312"/>
      <w:b/>
      <w:sz w:val="32"/>
      <w:szCs w:val="32"/>
    </w:rPr>
  </w:style>
  <w:style w:type="paragraph" w:customStyle="1" w:styleId="214">
    <w:name w:val="样式 标题 4PIM 4H4h4bulletblbbH41H42H43H44H45H46H47H48...1"/>
    <w:basedOn w:val="6"/>
    <w:qFormat/>
    <w:uiPriority w:val="0"/>
    <w:pPr>
      <w:widowControl/>
      <w:jc w:val="left"/>
    </w:pPr>
    <w:rPr>
      <w:rFonts w:cs="宋体"/>
      <w:sz w:val="24"/>
      <w:szCs w:val="20"/>
    </w:rPr>
  </w:style>
  <w:style w:type="paragraph" w:customStyle="1" w:styleId="215">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216">
    <w:name w:val="表格标题2"/>
    <w:basedOn w:val="217"/>
    <w:qFormat/>
    <w:uiPriority w:val="0"/>
    <w:rPr>
      <w:b/>
    </w:rPr>
  </w:style>
  <w:style w:type="paragraph" w:customStyle="1" w:styleId="217">
    <w:name w:val="表格内文"/>
    <w:basedOn w:val="1"/>
    <w:qFormat/>
    <w:uiPriority w:val="0"/>
    <w:pPr>
      <w:adjustRightInd/>
      <w:spacing w:line="360" w:lineRule="auto"/>
    </w:pPr>
    <w:rPr>
      <w:rFonts w:ascii="宋体" w:hAnsi="宋体" w:cs="宋体"/>
      <w:color w:val="000000"/>
      <w:szCs w:val="20"/>
    </w:rPr>
  </w:style>
  <w:style w:type="paragraph" w:customStyle="1" w:styleId="218">
    <w:name w:val="Char Char Char Char Char Char Char"/>
    <w:basedOn w:val="1"/>
    <w:qFormat/>
    <w:uiPriority w:val="0"/>
    <w:rPr>
      <w:rFonts w:ascii="仿宋_GB2312" w:eastAsia="仿宋_GB2312"/>
      <w:b/>
      <w:sz w:val="32"/>
      <w:szCs w:val="32"/>
    </w:rPr>
  </w:style>
  <w:style w:type="paragraph" w:customStyle="1" w:styleId="219">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20">
    <w:name w:val="数字标题6"/>
    <w:basedOn w:val="8"/>
    <w:next w:val="1"/>
    <w:qFormat/>
    <w:uiPriority w:val="0"/>
    <w:pPr>
      <w:numPr>
        <w:ilvl w:val="0"/>
        <w:numId w:val="0"/>
      </w:numPr>
      <w:tabs>
        <w:tab w:val="left" w:pos="480"/>
        <w:tab w:val="clear" w:pos="432"/>
        <w:tab w:val="clear" w:pos="840"/>
        <w:tab w:val="clear" w:pos="1440"/>
        <w:tab w:val="clear" w:pos="1152"/>
      </w:tabs>
      <w:ind w:left="480" w:hanging="480"/>
    </w:pPr>
    <w:rPr>
      <w:rFonts w:ascii="Times New Roman" w:hAnsi="Times New Roman" w:eastAsia="宋体"/>
      <w:i/>
    </w:rPr>
  </w:style>
  <w:style w:type="paragraph" w:customStyle="1" w:styleId="221">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222">
    <w:name w:val="列出段落2"/>
    <w:basedOn w:val="1"/>
    <w:qFormat/>
    <w:uiPriority w:val="0"/>
    <w:pPr>
      <w:adjustRightInd/>
      <w:ind w:firstLine="420" w:firstLineChars="200"/>
    </w:pPr>
    <w:rPr>
      <w:rFonts w:ascii="宋体" w:hAnsi="宋体"/>
      <w:sz w:val="24"/>
    </w:rPr>
  </w:style>
  <w:style w:type="paragraph" w:customStyle="1" w:styleId="223">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224">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225">
    <w:name w:val="正文 首行缩进:  2 字符 Char"/>
    <w:basedOn w:val="1"/>
    <w:qFormat/>
    <w:uiPriority w:val="0"/>
    <w:pPr>
      <w:adjustRightInd/>
      <w:spacing w:line="360" w:lineRule="auto"/>
      <w:ind w:firstLine="480"/>
    </w:pPr>
    <w:rPr>
      <w:rFonts w:cs="宋体"/>
      <w:sz w:val="24"/>
      <w:szCs w:val="20"/>
    </w:rPr>
  </w:style>
  <w:style w:type="paragraph" w:customStyle="1" w:styleId="226">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227">
    <w:name w:val="Table Text"/>
    <w:basedOn w:val="1"/>
    <w:qFormat/>
    <w:uiPriority w:val="0"/>
    <w:pPr>
      <w:widowControl/>
      <w:spacing w:before="60" w:after="60"/>
      <w:jc w:val="left"/>
    </w:pPr>
    <w:rPr>
      <w:kern w:val="0"/>
      <w:sz w:val="24"/>
    </w:rPr>
  </w:style>
  <w:style w:type="paragraph" w:customStyle="1" w:styleId="228">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229">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30">
    <w:name w:val="Char Char Char Char Char Char Char Char Char Char"/>
    <w:basedOn w:val="1"/>
    <w:qFormat/>
    <w:uiPriority w:val="0"/>
    <w:rPr>
      <w:rFonts w:ascii="仿宋_GB2312" w:eastAsia="仿宋_GB2312"/>
      <w:b/>
      <w:sz w:val="32"/>
      <w:szCs w:val="32"/>
    </w:rPr>
  </w:style>
  <w:style w:type="paragraph" w:customStyle="1" w:styleId="231">
    <w:name w:val="MM Title"/>
    <w:basedOn w:val="62"/>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2">
    <w:name w:val="正文文字表格居中"/>
    <w:basedOn w:val="1"/>
    <w:next w:val="59"/>
    <w:qFormat/>
    <w:uiPriority w:val="0"/>
    <w:pPr>
      <w:snapToGrid w:val="0"/>
      <w:spacing w:line="360" w:lineRule="auto"/>
    </w:pPr>
    <w:rPr>
      <w:rFonts w:ascii="宋体"/>
      <w:b/>
      <w:sz w:val="24"/>
      <w:szCs w:val="20"/>
    </w:rPr>
  </w:style>
  <w:style w:type="paragraph" w:customStyle="1" w:styleId="233">
    <w:name w:val="模板普通正文"/>
    <w:basedOn w:val="28"/>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234">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35">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36">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37">
    <w:name w:val="Char"/>
    <w:basedOn w:val="1"/>
    <w:qFormat/>
    <w:uiPriority w:val="0"/>
    <w:rPr>
      <w:rFonts w:ascii="仿宋_GB2312" w:eastAsia="仿宋_GB2312"/>
      <w:b/>
      <w:sz w:val="32"/>
      <w:szCs w:val="32"/>
    </w:rPr>
  </w:style>
  <w:style w:type="paragraph" w:customStyle="1" w:styleId="238">
    <w:name w:val="冯广丽"/>
    <w:basedOn w:val="1"/>
    <w:link w:val="475"/>
    <w:qFormat/>
    <w:uiPriority w:val="0"/>
    <w:pPr>
      <w:adjustRightInd/>
      <w:spacing w:line="360" w:lineRule="auto"/>
      <w:ind w:firstLine="480" w:firstLineChars="200"/>
    </w:pPr>
    <w:rPr>
      <w:rFonts w:ascii="宋体" w:hAnsi="宋体"/>
      <w:sz w:val="24"/>
      <w:szCs w:val="22"/>
    </w:rPr>
  </w:style>
  <w:style w:type="paragraph" w:customStyle="1" w:styleId="239">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240">
    <w:name w:val="Char31"/>
    <w:basedOn w:val="1"/>
    <w:qFormat/>
    <w:uiPriority w:val="0"/>
    <w:pPr>
      <w:adjustRightInd/>
      <w:ind w:firstLine="200" w:firstLineChars="200"/>
    </w:pPr>
    <w:rPr>
      <w:rFonts w:ascii="Tahoma" w:hAnsi="Tahoma"/>
      <w:sz w:val="24"/>
      <w:szCs w:val="20"/>
    </w:rPr>
  </w:style>
  <w:style w:type="paragraph" w:customStyle="1" w:styleId="241">
    <w:name w:val="Char Char11 Char Char Char1"/>
    <w:basedOn w:val="1"/>
    <w:qFormat/>
    <w:uiPriority w:val="0"/>
    <w:pPr>
      <w:spacing w:line="360" w:lineRule="auto"/>
    </w:pPr>
    <w:rPr>
      <w:szCs w:val="20"/>
    </w:rPr>
  </w:style>
  <w:style w:type="paragraph" w:customStyle="1" w:styleId="242">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3">
    <w:name w:val="_Style 236"/>
    <w:qFormat/>
    <w:uiPriority w:val="0"/>
    <w:rPr>
      <w:rFonts w:ascii="Times New Roman" w:hAnsi="Times New Roman" w:eastAsia="宋体" w:cs="Times New Roman"/>
      <w:kern w:val="2"/>
      <w:sz w:val="21"/>
      <w:lang w:val="en-US" w:eastAsia="zh-CN" w:bidi="ar-SA"/>
    </w:rPr>
  </w:style>
  <w:style w:type="paragraph" w:customStyle="1" w:styleId="244">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245">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246">
    <w:name w:val="正文文字缩进项目"/>
    <w:basedOn w:val="28"/>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47">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48">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49">
    <w:name w:val="文章标题"/>
    <w:next w:val="186"/>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250">
    <w:name w:val="4"/>
    <w:basedOn w:val="1"/>
    <w:next w:val="40"/>
    <w:qFormat/>
    <w:uiPriority w:val="0"/>
    <w:pPr>
      <w:spacing w:after="120" w:line="480" w:lineRule="auto"/>
      <w:ind w:left="420" w:leftChars="200"/>
    </w:pPr>
    <w:rPr>
      <w:sz w:val="24"/>
      <w:szCs w:val="20"/>
    </w:rPr>
  </w:style>
  <w:style w:type="paragraph" w:customStyle="1" w:styleId="251">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252">
    <w:name w:val="Char Char Char Char Char Char Char Char Char Char Char1 Char"/>
    <w:basedOn w:val="1"/>
    <w:qFormat/>
    <w:uiPriority w:val="0"/>
    <w:pPr>
      <w:adjustRightInd/>
    </w:pPr>
    <w:rPr>
      <w:rFonts w:ascii="Tahoma" w:hAnsi="Tahoma"/>
      <w:sz w:val="24"/>
    </w:rPr>
  </w:style>
  <w:style w:type="paragraph" w:customStyle="1" w:styleId="253">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254">
    <w:name w:val="标书表格字体格式"/>
    <w:next w:val="159"/>
    <w:qFormat/>
    <w:uiPriority w:val="0"/>
    <w:rPr>
      <w:rFonts w:ascii="Times New Roman" w:hAnsi="Times New Roman" w:eastAsia="宋体" w:cs="Times New Roman"/>
      <w:kern w:val="2"/>
      <w:sz w:val="21"/>
      <w:szCs w:val="24"/>
      <w:lang w:val="en-US" w:eastAsia="zh-CN" w:bidi="ar-SA"/>
    </w:rPr>
  </w:style>
  <w:style w:type="paragraph" w:customStyle="1" w:styleId="255">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256">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57">
    <w:name w:val="正文1"/>
    <w:basedOn w:val="35"/>
    <w:qFormat/>
    <w:uiPriority w:val="0"/>
    <w:pPr>
      <w:tabs>
        <w:tab w:val="right" w:leader="dot" w:pos="8268"/>
      </w:tabs>
      <w:ind w:left="0" w:leftChars="0" w:firstLine="480" w:firstLineChars="200"/>
    </w:pPr>
    <w:rPr>
      <w:rFonts w:ascii="仿宋_GB2312" w:hAnsi="Courier New" w:eastAsia="仿宋_GB2312"/>
      <w:kern w:val="28"/>
      <w:sz w:val="24"/>
    </w:rPr>
  </w:style>
  <w:style w:type="paragraph" w:customStyle="1" w:styleId="258">
    <w:name w:val="带编号样式"/>
    <w:basedOn w:val="92"/>
    <w:qFormat/>
    <w:uiPriority w:val="0"/>
    <w:pPr>
      <w:tabs>
        <w:tab w:val="left" w:pos="840"/>
      </w:tabs>
      <w:snapToGrid w:val="0"/>
      <w:ind w:left="840" w:firstLine="0" w:firstLineChars="0"/>
    </w:pPr>
    <w:rPr>
      <w:rFonts w:ascii="仿宋_GB2312" w:eastAsia="仿宋_GB2312"/>
      <w:color w:val="000000"/>
    </w:rPr>
  </w:style>
  <w:style w:type="paragraph" w:customStyle="1" w:styleId="259">
    <w:name w:val="正文文字 2"/>
    <w:basedOn w:val="17"/>
    <w:next w:val="17"/>
    <w:qFormat/>
    <w:uiPriority w:val="0"/>
    <w:rPr>
      <w:rFonts w:ascii="宋体" w:eastAsia="宋体" w:cs="Times New Roman"/>
      <w:color w:val="auto"/>
    </w:rPr>
  </w:style>
  <w:style w:type="paragraph" w:customStyle="1" w:styleId="260">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1">
    <w:name w:val="样式 标题 3h33rd level3Heading 3 - oldH3l3CTheading 3Headin..."/>
    <w:basedOn w:val="5"/>
    <w:qFormat/>
    <w:uiPriority w:val="0"/>
    <w:pPr>
      <w:snapToGrid w:val="0"/>
      <w:ind w:left="0" w:firstLine="0"/>
      <w:jc w:val="left"/>
    </w:pPr>
    <w:rPr>
      <w:rFonts w:eastAsia="黑体" w:cs="宋体"/>
      <w:sz w:val="28"/>
      <w:szCs w:val="20"/>
    </w:rPr>
  </w:style>
  <w:style w:type="paragraph" w:customStyle="1" w:styleId="262">
    <w:name w:val="Char5"/>
    <w:basedOn w:val="1"/>
    <w:qFormat/>
    <w:uiPriority w:val="0"/>
    <w:rPr>
      <w:rFonts w:ascii="仿宋_GB2312" w:eastAsia="仿宋_GB2312"/>
      <w:b/>
      <w:sz w:val="32"/>
      <w:szCs w:val="32"/>
    </w:rPr>
  </w:style>
  <w:style w:type="paragraph" w:customStyle="1" w:styleId="263">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64">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65">
    <w:name w:val="Item List"/>
    <w:link w:val="480"/>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paragraph" w:customStyle="1" w:styleId="266">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67">
    <w:name w:val="样式 正文文本缩进 2 + 仿宋_GB2312 黑色 行距: 1.5 倍行距"/>
    <w:basedOn w:val="40"/>
    <w:qFormat/>
    <w:uiPriority w:val="0"/>
    <w:pPr>
      <w:adjustRightInd/>
      <w:ind w:firstLine="560" w:firstLineChars="200"/>
      <w:textAlignment w:val="auto"/>
    </w:pPr>
    <w:rPr>
      <w:rFonts w:hAnsi="宋体" w:cs="宋体"/>
      <w:color w:val="000000"/>
      <w:kern w:val="2"/>
      <w:sz w:val="24"/>
    </w:rPr>
  </w:style>
  <w:style w:type="paragraph" w:customStyle="1" w:styleId="268">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69">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270">
    <w:name w:val="Char Char1 Char Char Char Char Char Char1"/>
    <w:basedOn w:val="1"/>
    <w:qFormat/>
    <w:uiPriority w:val="0"/>
    <w:rPr>
      <w:rFonts w:ascii="仿宋_GB2312" w:eastAsia="仿宋_GB2312"/>
      <w:b/>
      <w:sz w:val="32"/>
      <w:szCs w:val="20"/>
    </w:rPr>
  </w:style>
  <w:style w:type="paragraph" w:customStyle="1" w:styleId="271">
    <w:name w:val="Char Char Char Char Char Char Char Char Char Char Char Char1 Char"/>
    <w:basedOn w:val="1"/>
    <w:qFormat/>
    <w:uiPriority w:val="0"/>
    <w:rPr>
      <w:rFonts w:ascii="Tahoma" w:hAnsi="Tahoma" w:cs="仿宋_GB2312"/>
      <w:sz w:val="24"/>
      <w:szCs w:val="20"/>
    </w:rPr>
  </w:style>
  <w:style w:type="paragraph" w:customStyle="1" w:styleId="272">
    <w:name w:val="表格项目符号 2"/>
    <w:basedOn w:val="32"/>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273">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74">
    <w:name w:val="样式 标题 2标题2H2Heading 2 HiddenHeading 2 CCBSheading 22nd lev..."/>
    <w:basedOn w:val="4"/>
    <w:qFormat/>
    <w:uiPriority w:val="0"/>
    <w:pPr>
      <w:widowControl/>
      <w:spacing w:before="260" w:after="260" w:line="416" w:lineRule="auto"/>
      <w:ind w:left="0" w:firstLine="0"/>
    </w:pPr>
    <w:rPr>
      <w:rFonts w:ascii="Arial" w:hAnsi="Arial" w:eastAsia="黑体"/>
      <w:sz w:val="30"/>
      <w:szCs w:val="21"/>
    </w:rPr>
  </w:style>
  <w:style w:type="paragraph" w:customStyle="1" w:styleId="275">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76">
    <w:name w:val="样式 正文文本缩进 + 段前: 2 字符"/>
    <w:basedOn w:val="1"/>
    <w:qFormat/>
    <w:uiPriority w:val="0"/>
    <w:pPr>
      <w:adjustRightInd/>
      <w:ind w:left="420" w:leftChars="200"/>
      <w:jc w:val="left"/>
    </w:pPr>
    <w:rPr>
      <w:sz w:val="28"/>
      <w:szCs w:val="20"/>
      <w:lang w:eastAsia="zh-TW"/>
    </w:rPr>
  </w:style>
  <w:style w:type="paragraph" w:customStyle="1" w:styleId="277">
    <w:name w:val="Char1 Char Char Char3"/>
    <w:basedOn w:val="1"/>
    <w:qFormat/>
    <w:uiPriority w:val="0"/>
    <w:pPr>
      <w:adjustRightInd/>
      <w:ind w:firstLine="200" w:firstLineChars="200"/>
    </w:pPr>
    <w:rPr>
      <w:rFonts w:ascii="Tahoma" w:hAnsi="Tahoma"/>
      <w:sz w:val="24"/>
      <w:szCs w:val="20"/>
    </w:rPr>
  </w:style>
  <w:style w:type="paragraph" w:customStyle="1" w:styleId="278">
    <w:name w:val="_Style 271"/>
    <w:basedOn w:val="3"/>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279">
    <w:name w:val="Char Char Char Char Char Char Char Char Char Char Char Char1 Char1"/>
    <w:basedOn w:val="1"/>
    <w:qFormat/>
    <w:uiPriority w:val="0"/>
    <w:rPr>
      <w:rFonts w:ascii="Tahoma" w:hAnsi="Tahoma" w:cs="仿宋_GB2312"/>
      <w:sz w:val="24"/>
      <w:szCs w:val="20"/>
    </w:rPr>
  </w:style>
  <w:style w:type="paragraph" w:customStyle="1" w:styleId="280">
    <w:name w:val="Char Char1 Char1"/>
    <w:basedOn w:val="1"/>
    <w:qFormat/>
    <w:uiPriority w:val="0"/>
    <w:rPr>
      <w:rFonts w:ascii="仿宋_GB2312" w:eastAsia="仿宋_GB2312"/>
      <w:b/>
      <w:sz w:val="32"/>
      <w:szCs w:val="32"/>
    </w:rPr>
  </w:style>
  <w:style w:type="paragraph" w:customStyle="1" w:styleId="281">
    <w:name w:val="List Paragraph11"/>
    <w:basedOn w:val="1"/>
    <w:qFormat/>
    <w:uiPriority w:val="0"/>
    <w:pPr>
      <w:adjustRightInd/>
      <w:spacing w:line="360" w:lineRule="auto"/>
      <w:ind w:firstLine="420" w:firstLineChars="200"/>
    </w:pPr>
    <w:rPr>
      <w:rFonts w:ascii="Calibri" w:hAnsi="Calibri"/>
      <w:sz w:val="24"/>
      <w:szCs w:val="22"/>
    </w:rPr>
  </w:style>
  <w:style w:type="paragraph" w:customStyle="1" w:styleId="282">
    <w:name w:val="插图题注"/>
    <w:next w:val="1"/>
    <w:qFormat/>
    <w:uiPriority w:val="0"/>
    <w:pPr>
      <w:numPr>
        <w:ilvl w:val="7"/>
        <w:numId w:val="4"/>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283">
    <w:name w:val="Bulleting First Indent 1"/>
    <w:basedOn w:val="15"/>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84">
    <w:name w:val="Char Char1"/>
    <w:basedOn w:val="1"/>
    <w:qFormat/>
    <w:uiPriority w:val="0"/>
    <w:pPr>
      <w:widowControl/>
      <w:spacing w:after="160" w:line="240" w:lineRule="exact"/>
      <w:jc w:val="left"/>
    </w:pPr>
    <w:rPr>
      <w:rFonts w:eastAsia="仿宋_GB2312"/>
      <w:sz w:val="28"/>
    </w:rPr>
  </w:style>
  <w:style w:type="paragraph" w:customStyle="1" w:styleId="285">
    <w:name w:val="单元格居中"/>
    <w:basedOn w:val="1"/>
    <w:qFormat/>
    <w:uiPriority w:val="0"/>
    <w:pPr>
      <w:adjustRightInd/>
      <w:spacing w:line="360" w:lineRule="auto"/>
      <w:jc w:val="center"/>
    </w:pPr>
    <w:rPr>
      <w:sz w:val="24"/>
    </w:rPr>
  </w:style>
  <w:style w:type="paragraph" w:customStyle="1" w:styleId="286">
    <w:name w:val="正文缩进1"/>
    <w:basedOn w:val="1"/>
    <w:next w:val="28"/>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7">
    <w:name w:val="样式 标题 1Level 1 HeadPIM 1Section Headh1l11Heading 0Datash..."/>
    <w:basedOn w:val="3"/>
    <w:qFormat/>
    <w:uiPriority w:val="0"/>
    <w:pPr>
      <w:keepNext w:val="0"/>
      <w:keepLines w:val="0"/>
      <w:widowControl/>
      <w:numPr>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88">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89">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290">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291">
    <w:name w:val="MM Empty"/>
    <w:basedOn w:val="1"/>
    <w:qFormat/>
    <w:uiPriority w:val="0"/>
    <w:pPr>
      <w:adjustRightInd/>
    </w:pPr>
  </w:style>
  <w:style w:type="paragraph" w:customStyle="1" w:styleId="292">
    <w:name w:val="文档正文"/>
    <w:basedOn w:val="1"/>
    <w:qFormat/>
    <w:uiPriority w:val="0"/>
    <w:pPr>
      <w:spacing w:line="480" w:lineRule="atLeast"/>
      <w:ind w:firstLine="567"/>
      <w:textAlignment w:val="baseline"/>
    </w:pPr>
    <w:rPr>
      <w:kern w:val="0"/>
      <w:sz w:val="24"/>
      <w:szCs w:val="20"/>
    </w:rPr>
  </w:style>
  <w:style w:type="paragraph" w:customStyle="1" w:styleId="293">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94">
    <w:name w:val="Char Char1 Char Char1 Char Char1"/>
    <w:basedOn w:val="1"/>
    <w:qFormat/>
    <w:uiPriority w:val="0"/>
    <w:pPr>
      <w:tabs>
        <w:tab w:val="left" w:pos="840"/>
      </w:tabs>
      <w:ind w:left="840" w:hanging="420"/>
    </w:pPr>
    <w:rPr>
      <w:rFonts w:ascii="Tahoma" w:hAnsi="Tahoma"/>
      <w:sz w:val="24"/>
    </w:rPr>
  </w:style>
  <w:style w:type="paragraph" w:customStyle="1" w:styleId="295">
    <w:name w:val="样式 标题 2H2h2Underrubrik1prop2l2Chapter Titlesect 1.2DO NO..."/>
    <w:basedOn w:val="4"/>
    <w:qFormat/>
    <w:uiPriority w:val="0"/>
    <w:pPr>
      <w:numPr>
        <w:numId w:val="0"/>
      </w:numPr>
      <w:spacing w:before="120" w:after="120"/>
      <w:ind w:left="425" w:hanging="425"/>
    </w:pPr>
    <w:rPr>
      <w:rFonts w:ascii="微软雅黑" w:hAnsi="微软雅黑" w:eastAsia="微软雅黑" w:cs="宋体"/>
      <w:szCs w:val="20"/>
      <w:lang w:val="en-US"/>
    </w:rPr>
  </w:style>
  <w:style w:type="paragraph" w:customStyle="1" w:styleId="296">
    <w:name w:val="Char Char Char Char Char Char Char Char Char Char1"/>
    <w:basedOn w:val="1"/>
    <w:qFormat/>
    <w:uiPriority w:val="0"/>
    <w:rPr>
      <w:rFonts w:ascii="仿宋_GB2312" w:eastAsia="仿宋_GB2312"/>
      <w:b/>
      <w:sz w:val="32"/>
      <w:szCs w:val="32"/>
    </w:rPr>
  </w:style>
  <w:style w:type="paragraph" w:customStyle="1" w:styleId="297">
    <w:name w:val="gf正文1"/>
    <w:basedOn w:val="1"/>
    <w:qFormat/>
    <w:uiPriority w:val="0"/>
    <w:pPr>
      <w:tabs>
        <w:tab w:val="left" w:pos="3240"/>
        <w:tab w:val="left" w:pos="3960"/>
      </w:tabs>
      <w:snapToGrid w:val="0"/>
      <w:spacing w:line="360" w:lineRule="auto"/>
      <w:ind w:firstLine="480" w:firstLineChars="200"/>
    </w:pPr>
    <w:rPr>
      <w:rFonts w:ascii="宋体" w:hAnsi="宋体" w:cs="宋体"/>
      <w:sz w:val="24"/>
    </w:rPr>
  </w:style>
  <w:style w:type="paragraph" w:customStyle="1" w:styleId="298">
    <w:name w:val="默认段落字体 Para Char Char Char1 Char"/>
    <w:basedOn w:val="1"/>
    <w:qFormat/>
    <w:uiPriority w:val="0"/>
    <w:pPr>
      <w:spacing w:line="240" w:lineRule="atLeast"/>
      <w:ind w:left="420" w:firstLine="420"/>
    </w:pPr>
    <w:rPr>
      <w:sz w:val="24"/>
    </w:rPr>
  </w:style>
  <w:style w:type="paragraph" w:customStyle="1" w:styleId="299">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0">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1">
    <w:name w:val="Char1 Char Char Char5"/>
    <w:basedOn w:val="1"/>
    <w:qFormat/>
    <w:uiPriority w:val="0"/>
    <w:pPr>
      <w:adjustRightInd/>
      <w:ind w:firstLine="200" w:firstLineChars="200"/>
    </w:pPr>
    <w:rPr>
      <w:rFonts w:ascii="Tahoma" w:hAnsi="Tahoma"/>
      <w:sz w:val="24"/>
      <w:szCs w:val="20"/>
    </w:rPr>
  </w:style>
  <w:style w:type="paragraph" w:customStyle="1" w:styleId="302">
    <w:name w:val="Char Char Char Char Char Char Char1"/>
    <w:basedOn w:val="1"/>
    <w:qFormat/>
    <w:uiPriority w:val="0"/>
    <w:rPr>
      <w:rFonts w:ascii="仿宋_GB2312" w:eastAsia="仿宋_GB2312"/>
      <w:b/>
      <w:sz w:val="32"/>
      <w:szCs w:val="32"/>
    </w:rPr>
  </w:style>
  <w:style w:type="paragraph" w:customStyle="1" w:styleId="303">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04">
    <w:name w:val="正文表标题"/>
    <w:next w:val="143"/>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305">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306">
    <w:name w:val="四号　首行缩进"/>
    <w:basedOn w:val="1"/>
    <w:qFormat/>
    <w:uiPriority w:val="0"/>
    <w:pPr>
      <w:adjustRightInd/>
      <w:spacing w:line="360" w:lineRule="auto"/>
    </w:pPr>
    <w:rPr>
      <w:rFonts w:ascii="宋体" w:hAnsi="宋体"/>
      <w:szCs w:val="20"/>
    </w:rPr>
  </w:style>
  <w:style w:type="paragraph" w:customStyle="1" w:styleId="307">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308">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09">
    <w:name w:val="首行缩进"/>
    <w:basedOn w:val="1"/>
    <w:qFormat/>
    <w:uiPriority w:val="0"/>
    <w:pPr>
      <w:spacing w:line="360" w:lineRule="auto"/>
      <w:ind w:firstLine="480" w:firstLineChars="200"/>
    </w:pPr>
    <w:rPr>
      <w:rFonts w:ascii="宋体"/>
      <w:sz w:val="24"/>
      <w:szCs w:val="20"/>
    </w:rPr>
  </w:style>
  <w:style w:type="paragraph" w:customStyle="1" w:styleId="310">
    <w:name w:val="Char1 Char Char Char1"/>
    <w:basedOn w:val="1"/>
    <w:qFormat/>
    <w:uiPriority w:val="0"/>
    <w:pPr>
      <w:adjustRightInd/>
      <w:ind w:firstLine="200" w:firstLineChars="200"/>
    </w:pPr>
    <w:rPr>
      <w:rFonts w:ascii="Tahoma" w:hAnsi="Tahoma"/>
      <w:sz w:val="24"/>
      <w:szCs w:val="20"/>
    </w:rPr>
  </w:style>
  <w:style w:type="paragraph" w:customStyle="1" w:styleId="311">
    <w:name w:val="MM Topic 2"/>
    <w:basedOn w:val="4"/>
    <w:qFormat/>
    <w:uiPriority w:val="0"/>
    <w:pPr>
      <w:numPr>
        <w:numId w:val="0"/>
      </w:numPr>
      <w:tabs>
        <w:tab w:val="clear" w:pos="432"/>
      </w:tabs>
      <w:ind w:left="1260" w:hanging="420"/>
    </w:pPr>
    <w:rPr>
      <w:rFonts w:ascii="Arial" w:hAnsi="Arial" w:eastAsia="黑体"/>
      <w:lang w:val="en-US"/>
    </w:rPr>
  </w:style>
  <w:style w:type="paragraph" w:customStyle="1" w:styleId="312">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3">
    <w:name w:val="样式 样式2 + 左侧:  1 字符 右侧:  1 字符"/>
    <w:basedOn w:val="80"/>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14">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315">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316">
    <w:name w:val="哈哈正文"/>
    <w:basedOn w:val="1"/>
    <w:link w:val="500"/>
    <w:qFormat/>
    <w:uiPriority w:val="0"/>
    <w:pPr>
      <w:adjustRightInd/>
      <w:spacing w:line="360" w:lineRule="auto"/>
      <w:ind w:firstLine="200" w:firstLineChars="200"/>
    </w:pPr>
    <w:rPr>
      <w:rFonts w:ascii="宋体" w:hAnsi="宋体"/>
      <w:sz w:val="24"/>
      <w:szCs w:val="20"/>
    </w:rPr>
  </w:style>
  <w:style w:type="paragraph" w:customStyle="1" w:styleId="317">
    <w:name w:val="List Paragraph1"/>
    <w:basedOn w:val="1"/>
    <w:qFormat/>
    <w:uiPriority w:val="34"/>
    <w:pPr>
      <w:spacing w:line="360" w:lineRule="auto"/>
      <w:ind w:firstLine="200" w:firstLineChars="200"/>
    </w:pPr>
    <w:rPr>
      <w:rFonts w:eastAsia="楷体_GB2312" w:cs="Lucida Sans"/>
      <w:sz w:val="24"/>
    </w:rPr>
  </w:style>
  <w:style w:type="paragraph" w:customStyle="1" w:styleId="318">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19">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20">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321">
    <w:name w:val="Char Char11 Char Char Char Char Char Char Char Char Char1"/>
    <w:basedOn w:val="1"/>
    <w:qFormat/>
    <w:uiPriority w:val="0"/>
    <w:pPr>
      <w:spacing w:line="360" w:lineRule="auto"/>
    </w:pPr>
    <w:rPr>
      <w:szCs w:val="20"/>
    </w:rPr>
  </w:style>
  <w:style w:type="paragraph" w:customStyle="1" w:styleId="322">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3">
    <w:name w:val="正文 项目2"/>
    <w:basedOn w:val="324"/>
    <w:qFormat/>
    <w:uiPriority w:val="0"/>
    <w:pPr>
      <w:numPr>
        <w:ilvl w:val="0"/>
        <w:numId w:val="5"/>
      </w:numPr>
      <w:tabs>
        <w:tab w:val="left" w:pos="840"/>
      </w:tabs>
      <w:spacing w:after="0"/>
    </w:pPr>
  </w:style>
  <w:style w:type="paragraph" w:customStyle="1" w:styleId="324">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25">
    <w:name w:val="Char Char Char1 Char1"/>
    <w:basedOn w:val="1"/>
    <w:qFormat/>
    <w:uiPriority w:val="0"/>
    <w:rPr>
      <w:szCs w:val="20"/>
    </w:rPr>
  </w:style>
  <w:style w:type="paragraph" w:customStyle="1" w:styleId="326">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327">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328">
    <w:name w:val="封面"/>
    <w:basedOn w:val="1"/>
    <w:qFormat/>
    <w:uiPriority w:val="0"/>
    <w:pPr>
      <w:spacing w:line="360" w:lineRule="atLeast"/>
      <w:jc w:val="right"/>
      <w:textAlignment w:val="baseline"/>
    </w:pPr>
    <w:rPr>
      <w:rFonts w:ascii="Symbol" w:hAnsi="Symbol"/>
      <w:kern w:val="0"/>
      <w:szCs w:val="20"/>
    </w:rPr>
  </w:style>
  <w:style w:type="paragraph" w:customStyle="1" w:styleId="329">
    <w:name w:val="正文（缩进2汉字）"/>
    <w:basedOn w:val="1"/>
    <w:link w:val="589"/>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paragraph" w:customStyle="1" w:styleId="330">
    <w:name w:val="数字标题3"/>
    <w:basedOn w:val="5"/>
    <w:next w:val="1"/>
    <w:qFormat/>
    <w:uiPriority w:val="0"/>
    <w:pPr>
      <w:numPr>
        <w:ilvl w:val="0"/>
        <w:numId w:val="0"/>
      </w:numPr>
      <w:tabs>
        <w:tab w:val="clear" w:pos="432"/>
        <w:tab w:val="clear" w:pos="840"/>
        <w:tab w:val="clear" w:pos="1440"/>
      </w:tabs>
      <w:spacing w:line="240" w:lineRule="auto"/>
    </w:pPr>
    <w:rPr>
      <w:sz w:val="28"/>
      <w:szCs w:val="28"/>
    </w:rPr>
  </w:style>
  <w:style w:type="paragraph" w:customStyle="1" w:styleId="331">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2">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333">
    <w:name w:val="正文（首行缩进2字符）"/>
    <w:basedOn w:val="1"/>
    <w:qFormat/>
    <w:uiPriority w:val="0"/>
    <w:pPr>
      <w:adjustRightInd/>
      <w:spacing w:line="360" w:lineRule="auto"/>
      <w:ind w:firstLine="480" w:firstLineChars="200"/>
    </w:pPr>
    <w:rPr>
      <w:sz w:val="24"/>
      <w:szCs w:val="20"/>
    </w:rPr>
  </w:style>
  <w:style w:type="paragraph" w:customStyle="1" w:styleId="334">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35">
    <w:name w:val="正文段"/>
    <w:basedOn w:val="1"/>
    <w:qFormat/>
    <w:uiPriority w:val="0"/>
    <w:pPr>
      <w:widowControl/>
      <w:snapToGrid w:val="0"/>
      <w:spacing w:after="156" w:afterLines="50"/>
      <w:ind w:firstLine="200" w:firstLineChars="200"/>
    </w:pPr>
    <w:rPr>
      <w:kern w:val="0"/>
      <w:sz w:val="24"/>
      <w:szCs w:val="20"/>
    </w:rPr>
  </w:style>
  <w:style w:type="paragraph" w:customStyle="1" w:styleId="336">
    <w:name w:val="Test2"/>
    <w:basedOn w:val="4"/>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37">
    <w:name w:val="数字标题2"/>
    <w:basedOn w:val="4"/>
    <w:next w:val="1"/>
    <w:qFormat/>
    <w:uiPriority w:val="0"/>
    <w:pPr>
      <w:numPr>
        <w:ilvl w:val="1"/>
        <w:numId w:val="6"/>
      </w:numPr>
      <w:tabs>
        <w:tab w:val="left" w:pos="480"/>
        <w:tab w:val="clear" w:pos="432"/>
      </w:tabs>
    </w:pPr>
    <w:rPr>
      <w:rFonts w:ascii="Times New Roman" w:eastAsia="宋体"/>
      <w:i/>
      <w:sz w:val="36"/>
      <w:szCs w:val="36"/>
      <w:lang w:val="en-US"/>
    </w:rPr>
  </w:style>
  <w:style w:type="paragraph" w:customStyle="1" w:styleId="338">
    <w:name w:val="彩色列表 - 强调文字颜色 11"/>
    <w:basedOn w:val="1"/>
    <w:qFormat/>
    <w:uiPriority w:val="0"/>
    <w:pPr>
      <w:adjustRightInd/>
      <w:ind w:firstLine="420" w:firstLineChars="200"/>
    </w:pPr>
    <w:rPr>
      <w:rFonts w:ascii="Calibri" w:hAnsi="Calibri"/>
      <w:szCs w:val="22"/>
    </w:rPr>
  </w:style>
  <w:style w:type="paragraph" w:customStyle="1" w:styleId="339">
    <w:name w:val="数字标题4"/>
    <w:basedOn w:val="6"/>
    <w:qFormat/>
    <w:uiPriority w:val="0"/>
    <w:pPr>
      <w:numPr>
        <w:ilvl w:val="0"/>
        <w:numId w:val="0"/>
      </w:numPr>
      <w:tabs>
        <w:tab w:val="clear" w:pos="432"/>
        <w:tab w:val="clear" w:pos="480"/>
        <w:tab w:val="clear" w:pos="840"/>
        <w:tab w:val="clear" w:pos="144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40">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341">
    <w:name w:val="样式1 + (中宋体"/>
    <w:basedOn w:val="164"/>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342">
    <w:name w:val="仿宋正文"/>
    <w:basedOn w:val="1"/>
    <w:link w:val="465"/>
    <w:qFormat/>
    <w:uiPriority w:val="0"/>
    <w:pPr>
      <w:adjustRightInd/>
      <w:spacing w:line="360" w:lineRule="auto"/>
      <w:ind w:firstLine="480" w:firstLineChars="200"/>
    </w:pPr>
    <w:rPr>
      <w:rFonts w:ascii="仿宋_GB2312" w:eastAsia="仿宋_GB2312"/>
      <w:sz w:val="24"/>
      <w:szCs w:val="20"/>
    </w:rPr>
  </w:style>
  <w:style w:type="paragraph" w:customStyle="1" w:styleId="343">
    <w:name w:val="正文（标题三）"/>
    <w:basedOn w:val="1"/>
    <w:qFormat/>
    <w:uiPriority w:val="0"/>
    <w:pPr>
      <w:spacing w:line="360" w:lineRule="auto"/>
      <w:ind w:firstLine="200" w:firstLineChars="200"/>
    </w:pPr>
    <w:rPr>
      <w:sz w:val="24"/>
    </w:rPr>
  </w:style>
  <w:style w:type="paragraph" w:customStyle="1" w:styleId="344">
    <w:name w:val="MM Topic 3"/>
    <w:basedOn w:val="5"/>
    <w:qFormat/>
    <w:uiPriority w:val="0"/>
    <w:pPr>
      <w:numPr>
        <w:ilvl w:val="0"/>
        <w:numId w:val="0"/>
      </w:numPr>
      <w:tabs>
        <w:tab w:val="clear" w:pos="432"/>
        <w:tab w:val="clear" w:pos="480"/>
        <w:tab w:val="clear" w:pos="840"/>
        <w:tab w:val="clear" w:pos="1440"/>
        <w:tab w:val="clear" w:pos="900"/>
      </w:tabs>
      <w:adjustRightInd/>
      <w:ind w:left="840" w:hanging="420"/>
    </w:pPr>
  </w:style>
  <w:style w:type="paragraph" w:customStyle="1" w:styleId="345">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46">
    <w:name w:val="图中文字"/>
    <w:basedOn w:val="1"/>
    <w:qFormat/>
    <w:uiPriority w:val="0"/>
    <w:pPr>
      <w:snapToGrid w:val="0"/>
      <w:spacing w:line="0" w:lineRule="atLeast"/>
      <w:ind w:firstLine="200" w:firstLineChars="200"/>
      <w:jc w:val="center"/>
    </w:pPr>
    <w:rPr>
      <w:sz w:val="24"/>
      <w:szCs w:val="20"/>
    </w:rPr>
  </w:style>
  <w:style w:type="paragraph" w:customStyle="1" w:styleId="347">
    <w:name w:val="正文－恩普"/>
    <w:basedOn w:val="22"/>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348">
    <w:name w:val="Char21"/>
    <w:basedOn w:val="1"/>
    <w:qFormat/>
    <w:uiPriority w:val="0"/>
    <w:pPr>
      <w:adjustRightInd/>
      <w:ind w:firstLine="200" w:firstLineChars="200"/>
    </w:pPr>
    <w:rPr>
      <w:rFonts w:ascii="仿宋_GB2312" w:eastAsia="仿宋_GB2312"/>
      <w:b/>
      <w:sz w:val="32"/>
      <w:szCs w:val="32"/>
    </w:rPr>
  </w:style>
  <w:style w:type="paragraph" w:customStyle="1" w:styleId="349">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50">
    <w:name w:val="标题4-dyf"/>
    <w:basedOn w:val="6"/>
    <w:link w:val="555"/>
    <w:qFormat/>
    <w:uiPriority w:val="0"/>
    <w:pPr>
      <w:numPr>
        <w:ilvl w:val="0"/>
        <w:numId w:val="0"/>
      </w:numPr>
      <w:tabs>
        <w:tab w:val="clear" w:pos="432"/>
        <w:tab w:val="clear" w:pos="480"/>
        <w:tab w:val="clear" w:pos="840"/>
        <w:tab w:val="clear" w:pos="1440"/>
        <w:tab w:val="clear" w:pos="864"/>
      </w:tabs>
      <w:adjustRightInd/>
      <w:spacing w:line="376" w:lineRule="atLeast"/>
      <w:ind w:left="851" w:hanging="851"/>
    </w:pPr>
    <w:rPr>
      <w:rFonts w:ascii="Cambria" w:hAnsi="Cambria" w:eastAsia="宋体"/>
      <w:color w:val="000000"/>
      <w:sz w:val="21"/>
      <w:szCs w:val="21"/>
    </w:rPr>
  </w:style>
  <w:style w:type="paragraph" w:customStyle="1" w:styleId="351">
    <w:name w:val="Char1 Char Char Char4"/>
    <w:basedOn w:val="1"/>
    <w:qFormat/>
    <w:uiPriority w:val="0"/>
    <w:pPr>
      <w:adjustRightInd/>
      <w:ind w:firstLine="200" w:firstLineChars="200"/>
    </w:pPr>
    <w:rPr>
      <w:rFonts w:ascii="Tahoma" w:hAnsi="Tahoma"/>
      <w:sz w:val="24"/>
      <w:szCs w:val="20"/>
    </w:rPr>
  </w:style>
  <w:style w:type="paragraph" w:customStyle="1" w:styleId="352">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3">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354">
    <w:name w:val="Char23"/>
    <w:basedOn w:val="1"/>
    <w:qFormat/>
    <w:uiPriority w:val="0"/>
    <w:rPr>
      <w:rFonts w:ascii="仿宋_GB2312" w:eastAsia="仿宋_GB2312"/>
      <w:b/>
      <w:sz w:val="32"/>
      <w:szCs w:val="32"/>
    </w:rPr>
  </w:style>
  <w:style w:type="paragraph" w:customStyle="1" w:styleId="355">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56">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357">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58">
    <w:name w:val="此正文"/>
    <w:basedOn w:val="1"/>
    <w:link w:val="443"/>
    <w:qFormat/>
    <w:uiPriority w:val="0"/>
    <w:pPr>
      <w:adjustRightInd/>
      <w:spacing w:line="360" w:lineRule="auto"/>
      <w:ind w:firstLine="200" w:firstLineChars="200"/>
    </w:pPr>
    <w:rPr>
      <w:sz w:val="24"/>
    </w:rPr>
  </w:style>
  <w:style w:type="paragraph" w:customStyle="1" w:styleId="359">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60">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361">
    <w:name w:val="Char3 Char Char Char"/>
    <w:basedOn w:val="1"/>
    <w:qFormat/>
    <w:uiPriority w:val="0"/>
    <w:pPr>
      <w:widowControl/>
      <w:adjustRightInd/>
      <w:spacing w:after="160" w:line="240" w:lineRule="exact"/>
      <w:jc w:val="left"/>
    </w:pPr>
    <w:rPr>
      <w:szCs w:val="20"/>
    </w:rPr>
  </w:style>
  <w:style w:type="paragraph" w:customStyle="1" w:styleId="362">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363">
    <w:name w:val="Normal0"/>
    <w:qFormat/>
    <w:uiPriority w:val="0"/>
    <w:rPr>
      <w:rFonts w:ascii="Times New Roman" w:hAnsi="Times New Roman" w:eastAsia="宋体" w:cs="Times New Roman"/>
      <w:lang w:val="en-US" w:eastAsia="en-US" w:bidi="ar-SA"/>
    </w:rPr>
  </w:style>
  <w:style w:type="paragraph" w:customStyle="1" w:styleId="364">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365">
    <w:name w:val="a1"/>
    <w:basedOn w:val="1"/>
    <w:qFormat/>
    <w:uiPriority w:val="0"/>
    <w:pPr>
      <w:widowControl/>
      <w:spacing w:line="300" w:lineRule="atLeast"/>
      <w:jc w:val="left"/>
    </w:pPr>
    <w:rPr>
      <w:rFonts w:ascii="宋体" w:hAnsi="宋体"/>
      <w:kern w:val="0"/>
      <w:sz w:val="18"/>
      <w:szCs w:val="20"/>
    </w:rPr>
  </w:style>
  <w:style w:type="paragraph" w:customStyle="1" w:styleId="366">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67">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68">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69">
    <w:name w:val="Thf"/>
    <w:basedOn w:val="95"/>
    <w:qFormat/>
    <w:uiPriority w:val="0"/>
    <w:pPr>
      <w:ind w:left="0"/>
    </w:pPr>
  </w:style>
  <w:style w:type="paragraph" w:customStyle="1" w:styleId="370">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1">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372">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3">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74">
    <w:name w:val="_Style 12"/>
    <w:basedOn w:val="25"/>
    <w:qFormat/>
    <w:uiPriority w:val="0"/>
    <w:pPr>
      <w:snapToGrid w:val="0"/>
      <w:spacing w:line="360" w:lineRule="auto"/>
    </w:pPr>
  </w:style>
  <w:style w:type="paragraph" w:customStyle="1" w:styleId="375">
    <w:name w:val="表格题注"/>
    <w:next w:val="1"/>
    <w:qFormat/>
    <w:uiPriority w:val="0"/>
    <w:pPr>
      <w:keepLines/>
      <w:numPr>
        <w:ilvl w:val="8"/>
        <w:numId w:val="4"/>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376">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377">
    <w:name w:val="标书标题2"/>
    <w:basedOn w:val="4"/>
    <w:qFormat/>
    <w:uiPriority w:val="0"/>
    <w:pPr>
      <w:keepLines w:val="0"/>
      <w:widowControl/>
      <w:numPr>
        <w:numId w:val="0"/>
      </w:numPr>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378">
    <w:name w:val="Char Char"/>
    <w:basedOn w:val="1"/>
    <w:qFormat/>
    <w:uiPriority w:val="0"/>
    <w:pPr>
      <w:spacing w:line="360" w:lineRule="auto"/>
    </w:pPr>
    <w:rPr>
      <w:rFonts w:ascii="Tahoma" w:hAnsi="Tahoma"/>
      <w:sz w:val="24"/>
      <w:szCs w:val="20"/>
    </w:rPr>
  </w:style>
  <w:style w:type="paragraph" w:customStyle="1" w:styleId="379">
    <w:name w:val="列出段落1"/>
    <w:basedOn w:val="1"/>
    <w:qFormat/>
    <w:uiPriority w:val="34"/>
    <w:pPr>
      <w:adjustRightInd/>
      <w:spacing w:line="360" w:lineRule="auto"/>
      <w:ind w:firstLine="420" w:firstLineChars="200"/>
    </w:pPr>
    <w:rPr>
      <w:rFonts w:ascii="Calibri" w:hAnsi="Calibri"/>
      <w:sz w:val="24"/>
      <w:szCs w:val="22"/>
    </w:rPr>
  </w:style>
  <w:style w:type="paragraph" w:customStyle="1" w:styleId="380">
    <w:name w:val="样式 标题 1 + 黑色 段前: 0.5 行 段后: 0.5 行1"/>
    <w:basedOn w:val="3"/>
    <w:qFormat/>
    <w:uiPriority w:val="0"/>
    <w:pPr>
      <w:keepLines w:val="0"/>
      <w:pageBreakBefore/>
      <w:numPr>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1">
    <w:name w:val="彩色列表 - 强调文字颜色 12"/>
    <w:basedOn w:val="1"/>
    <w:qFormat/>
    <w:uiPriority w:val="0"/>
    <w:pPr>
      <w:adjustRightInd/>
      <w:ind w:firstLine="420" w:firstLineChars="200"/>
    </w:pPr>
    <w:rPr>
      <w:rFonts w:ascii="Calibri" w:hAnsi="Calibri"/>
      <w:szCs w:val="22"/>
    </w:rPr>
  </w:style>
  <w:style w:type="paragraph" w:customStyle="1" w:styleId="382">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383">
    <w:name w:val="Char19"/>
    <w:basedOn w:val="1"/>
    <w:qFormat/>
    <w:uiPriority w:val="0"/>
    <w:pPr>
      <w:adjustRightInd/>
    </w:pPr>
    <w:rPr>
      <w:szCs w:val="20"/>
    </w:rPr>
  </w:style>
  <w:style w:type="paragraph" w:customStyle="1" w:styleId="384">
    <w:name w:val="CSS1级正文 Char"/>
    <w:basedOn w:val="16"/>
    <w:qFormat/>
    <w:uiPriority w:val="0"/>
    <w:pPr>
      <w:autoSpaceDE/>
      <w:autoSpaceDN/>
      <w:snapToGrid w:val="0"/>
      <w:ind w:firstLine="480" w:firstLineChars="200"/>
    </w:pPr>
    <w:rPr>
      <w:rFonts w:ascii="Times New Roman"/>
      <w:szCs w:val="24"/>
      <w:lang w:val="en-US"/>
    </w:rPr>
  </w:style>
  <w:style w:type="paragraph" w:customStyle="1" w:styleId="385">
    <w:name w:val="正文（首行缩进）"/>
    <w:basedOn w:val="28"/>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386">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387">
    <w:name w:val="表格（小）"/>
    <w:basedOn w:val="1"/>
    <w:qFormat/>
    <w:uiPriority w:val="0"/>
    <w:pPr>
      <w:adjustRightInd/>
      <w:snapToGrid w:val="0"/>
      <w:spacing w:line="300" w:lineRule="auto"/>
    </w:pPr>
    <w:rPr>
      <w:rFonts w:eastAsia="仿宋"/>
      <w:szCs w:val="21"/>
    </w:rPr>
  </w:style>
  <w:style w:type="paragraph" w:customStyle="1" w:styleId="388">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89">
    <w:name w:val="Char3 Char Char1"/>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390">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1">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2">
    <w:name w:val="Char Char Char Char2"/>
    <w:basedOn w:val="1"/>
    <w:qFormat/>
    <w:uiPriority w:val="0"/>
    <w:rPr>
      <w:rFonts w:ascii="Tahoma" w:hAnsi="Tahoma"/>
      <w:sz w:val="24"/>
      <w:szCs w:val="20"/>
    </w:rPr>
  </w:style>
  <w:style w:type="paragraph" w:customStyle="1" w:styleId="393">
    <w:name w:val="p0"/>
    <w:basedOn w:val="1"/>
    <w:qFormat/>
    <w:uiPriority w:val="0"/>
    <w:pPr>
      <w:widowControl/>
      <w:adjustRightInd/>
    </w:pPr>
    <w:rPr>
      <w:kern w:val="0"/>
      <w:szCs w:val="21"/>
    </w:rPr>
  </w:style>
  <w:style w:type="paragraph" w:customStyle="1" w:styleId="394">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395">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396">
    <w:name w:val="默认段落样式"/>
    <w:basedOn w:val="397"/>
    <w:qFormat/>
    <w:uiPriority w:val="0"/>
    <w:pPr>
      <w:spacing w:before="0"/>
      <w:ind w:firstLine="480"/>
      <w:outlineLvl w:val="2"/>
    </w:pPr>
    <w:rPr>
      <w:rFonts w:ascii="仿宋_GB2312" w:hAnsi="宋体" w:eastAsia="仿宋_GB2312"/>
      <w:color w:val="000000"/>
      <w:szCs w:val="24"/>
    </w:rPr>
  </w:style>
  <w:style w:type="paragraph" w:customStyle="1" w:styleId="397">
    <w:name w:val="正文2"/>
    <w:basedOn w:val="1"/>
    <w:link w:val="450"/>
    <w:qFormat/>
    <w:uiPriority w:val="0"/>
    <w:pPr>
      <w:spacing w:before="156" w:line="360" w:lineRule="auto"/>
      <w:ind w:firstLine="510" w:firstLineChars="200"/>
    </w:pPr>
    <w:rPr>
      <w:sz w:val="24"/>
      <w:szCs w:val="20"/>
    </w:rPr>
  </w:style>
  <w:style w:type="paragraph" w:customStyle="1" w:styleId="398">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399">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400">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01">
    <w:name w:val="bullet"/>
    <w:basedOn w:val="1"/>
    <w:qFormat/>
    <w:uiPriority w:val="0"/>
    <w:pPr>
      <w:tabs>
        <w:tab w:val="left" w:pos="840"/>
      </w:tabs>
      <w:adjustRightInd/>
      <w:ind w:left="840" w:hanging="420"/>
    </w:pPr>
  </w:style>
  <w:style w:type="paragraph" w:customStyle="1" w:styleId="402">
    <w:name w:val="五级条标题"/>
    <w:basedOn w:val="176"/>
    <w:next w:val="143"/>
    <w:qFormat/>
    <w:uiPriority w:val="0"/>
    <w:pPr>
      <w:numPr>
        <w:ilvl w:val="6"/>
        <w:numId w:val="0"/>
      </w:numPr>
      <w:tabs>
        <w:tab w:val="clear" w:pos="1296"/>
        <w:tab w:val="clear" w:pos="1440"/>
        <w:tab w:val="clear" w:pos="3360"/>
        <w:tab w:val="clear" w:pos="2940"/>
      </w:tabs>
      <w:outlineLvl w:val="6"/>
    </w:pPr>
  </w:style>
  <w:style w:type="paragraph" w:customStyle="1" w:styleId="403">
    <w:name w:val="Char Char Char Char Char Char Char Char"/>
    <w:basedOn w:val="1"/>
    <w:qFormat/>
    <w:uiPriority w:val="0"/>
    <w:pPr>
      <w:tabs>
        <w:tab w:val="left" w:pos="360"/>
      </w:tabs>
    </w:pPr>
    <w:rPr>
      <w:sz w:val="24"/>
      <w:szCs w:val="20"/>
    </w:rPr>
  </w:style>
  <w:style w:type="paragraph" w:customStyle="1" w:styleId="404">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405">
    <w:name w:val="数字标题5"/>
    <w:basedOn w:val="7"/>
    <w:next w:val="1"/>
    <w:qFormat/>
    <w:uiPriority w:val="0"/>
    <w:pPr>
      <w:numPr>
        <w:ilvl w:val="0"/>
        <w:numId w:val="0"/>
      </w:numPr>
      <w:tabs>
        <w:tab w:val="clear" w:pos="432"/>
        <w:tab w:val="clear" w:pos="480"/>
        <w:tab w:val="clear" w:pos="840"/>
        <w:tab w:val="clear" w:pos="1440"/>
        <w:tab w:val="clear" w:pos="1008"/>
      </w:tabs>
      <w:ind w:left="480" w:hanging="480"/>
    </w:pPr>
  </w:style>
  <w:style w:type="paragraph" w:customStyle="1" w:styleId="406">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407">
    <w:name w:val="公文正文"/>
    <w:basedOn w:val="1"/>
    <w:qFormat/>
    <w:uiPriority w:val="0"/>
    <w:pPr>
      <w:adjustRightInd/>
      <w:spacing w:before="156" w:line="360" w:lineRule="auto"/>
      <w:ind w:firstLine="360" w:firstLineChars="200"/>
    </w:pPr>
    <w:rPr>
      <w:rFonts w:ascii="仿宋_GB2312" w:eastAsia="仿宋_GB2312"/>
      <w:sz w:val="24"/>
    </w:rPr>
  </w:style>
  <w:style w:type="paragraph" w:customStyle="1" w:styleId="408">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409">
    <w:name w:val="表格文字"/>
    <w:basedOn w:val="1"/>
    <w:next w:val="22"/>
    <w:qFormat/>
    <w:uiPriority w:val="0"/>
    <w:pPr>
      <w:adjustRightInd/>
      <w:ind w:firstLine="200" w:firstLineChars="200"/>
    </w:pPr>
    <w:rPr>
      <w:rFonts w:ascii="Arial" w:hAnsi="Arial"/>
      <w:spacing w:val="-5"/>
      <w:kern w:val="0"/>
      <w:sz w:val="24"/>
      <w:szCs w:val="20"/>
    </w:rPr>
  </w:style>
  <w:style w:type="paragraph" w:customStyle="1" w:styleId="410">
    <w:name w:val="0"/>
    <w:basedOn w:val="1"/>
    <w:qFormat/>
    <w:uiPriority w:val="0"/>
    <w:pPr>
      <w:widowControl/>
    </w:pPr>
    <w:rPr>
      <w:kern w:val="0"/>
      <w:sz w:val="24"/>
      <w:szCs w:val="20"/>
    </w:rPr>
  </w:style>
  <w:style w:type="paragraph" w:customStyle="1" w:styleId="411">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12">
    <w:name w:val="b11_01b"/>
    <w:basedOn w:val="1"/>
    <w:next w:val="1"/>
    <w:link w:val="554"/>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3">
    <w:name w:val="MM Topic 5"/>
    <w:basedOn w:val="7"/>
    <w:qFormat/>
    <w:uiPriority w:val="0"/>
    <w:pPr>
      <w:numPr>
        <w:ilvl w:val="0"/>
        <w:numId w:val="4"/>
      </w:numPr>
      <w:tabs>
        <w:tab w:val="left" w:pos="840"/>
        <w:tab w:val="clear" w:pos="1008"/>
      </w:tabs>
      <w:adjustRightInd/>
    </w:pPr>
  </w:style>
  <w:style w:type="paragraph" w:customStyle="1" w:styleId="414">
    <w:name w:val="样式 标题 3标题 3 Char第二层条h33Bold Headbh章标题1小标题level_3PIM 3..."/>
    <w:basedOn w:val="5"/>
    <w:qFormat/>
    <w:uiPriority w:val="0"/>
    <w:pPr>
      <w:numPr>
        <w:ilvl w:val="0"/>
        <w:numId w:val="0"/>
      </w:numPr>
      <w:tabs>
        <w:tab w:val="clear" w:pos="432"/>
        <w:tab w:val="clear" w:pos="480"/>
        <w:tab w:val="clear" w:pos="840"/>
        <w:tab w:val="clear" w:pos="1440"/>
      </w:tabs>
      <w:snapToGrid w:val="0"/>
      <w:spacing w:before="0" w:after="0" w:line="360" w:lineRule="auto"/>
    </w:pPr>
    <w:rPr>
      <w:rFonts w:ascii="黑体" w:hAnsi="宋体" w:eastAsia="黑体" w:cs="宋体"/>
      <w:b w:val="0"/>
      <w:bCs w:val="0"/>
      <w:color w:val="000000"/>
      <w:kern w:val="0"/>
      <w:sz w:val="28"/>
      <w:szCs w:val="20"/>
    </w:rPr>
  </w:style>
  <w:style w:type="paragraph" w:customStyle="1" w:styleId="415">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416">
    <w:name w:val="数字标题1"/>
    <w:basedOn w:val="3"/>
    <w:next w:val="1"/>
    <w:qFormat/>
    <w:uiPriority w:val="0"/>
    <w:pPr>
      <w:numPr>
        <w:numId w:val="6"/>
      </w:numPr>
      <w:tabs>
        <w:tab w:val="left" w:pos="480"/>
        <w:tab w:val="clear" w:pos="432"/>
      </w:tabs>
    </w:pPr>
  </w:style>
  <w:style w:type="paragraph" w:customStyle="1" w:styleId="417">
    <w:name w:val="Char1 Char Char Char6"/>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418">
    <w:name w:val="标书标题3"/>
    <w:basedOn w:val="5"/>
    <w:qFormat/>
    <w:uiPriority w:val="0"/>
    <w:pPr>
      <w:keepLines w:val="0"/>
      <w:widowControl/>
      <w:numPr>
        <w:ilvl w:val="0"/>
        <w:numId w:val="0"/>
      </w:numPr>
      <w:tabs>
        <w:tab w:val="clear" w:pos="432"/>
        <w:tab w:val="clear" w:pos="480"/>
        <w:tab w:val="clear" w:pos="840"/>
        <w:tab w:val="clear" w:pos="1440"/>
      </w:tabs>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19">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20">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1">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2">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3">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424">
    <w:name w:val="MM Topic 1"/>
    <w:basedOn w:val="3"/>
    <w:qFormat/>
    <w:uiPriority w:val="0"/>
    <w:pPr>
      <w:numPr>
        <w:numId w:val="0"/>
      </w:numPr>
      <w:tabs>
        <w:tab w:val="clear" w:pos="432"/>
      </w:tabs>
      <w:adjustRightInd/>
      <w:ind w:left="840" w:hanging="420"/>
    </w:pPr>
  </w:style>
  <w:style w:type="paragraph" w:customStyle="1" w:styleId="425">
    <w:name w:val="Char Char Char Char Char Char Char Char1"/>
    <w:basedOn w:val="1"/>
    <w:qFormat/>
    <w:uiPriority w:val="0"/>
    <w:pPr>
      <w:tabs>
        <w:tab w:val="left" w:pos="360"/>
      </w:tabs>
    </w:pPr>
    <w:rPr>
      <w:sz w:val="24"/>
      <w:szCs w:val="20"/>
    </w:rPr>
  </w:style>
  <w:style w:type="paragraph" w:customStyle="1" w:styleId="426">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427">
    <w:name w:val="Char3 Char Char Char1"/>
    <w:basedOn w:val="1"/>
    <w:qFormat/>
    <w:uiPriority w:val="0"/>
    <w:pPr>
      <w:widowControl/>
      <w:adjustRightInd/>
      <w:spacing w:after="160" w:line="240" w:lineRule="exact"/>
      <w:jc w:val="left"/>
    </w:pPr>
    <w:rPr>
      <w:szCs w:val="20"/>
    </w:rPr>
  </w:style>
  <w:style w:type="paragraph" w:customStyle="1" w:styleId="428">
    <w:name w:val="Char Char12"/>
    <w:basedOn w:val="1"/>
    <w:qFormat/>
    <w:uiPriority w:val="0"/>
    <w:pPr>
      <w:widowControl/>
      <w:spacing w:after="160" w:line="240" w:lineRule="exact"/>
      <w:jc w:val="left"/>
    </w:pPr>
    <w:rPr>
      <w:rFonts w:eastAsia="仿宋_GB2312"/>
      <w:sz w:val="28"/>
    </w:rPr>
  </w:style>
  <w:style w:type="paragraph" w:customStyle="1" w:styleId="429">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30">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1">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2">
    <w:name w:val="单元格左对齐"/>
    <w:basedOn w:val="1"/>
    <w:qFormat/>
    <w:uiPriority w:val="0"/>
    <w:pPr>
      <w:adjustRightInd/>
      <w:spacing w:line="360" w:lineRule="auto"/>
    </w:pPr>
    <w:rPr>
      <w:sz w:val="24"/>
    </w:rPr>
  </w:style>
  <w:style w:type="paragraph" w:customStyle="1" w:styleId="433">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434">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35">
    <w:name w:val="正文文本 Char"/>
    <w:qFormat/>
    <w:uiPriority w:val="0"/>
    <w:rPr>
      <w:rFonts w:eastAsia="宋体"/>
      <w:kern w:val="2"/>
      <w:sz w:val="24"/>
      <w:szCs w:val="24"/>
      <w:lang w:val="en-US" w:eastAsia="zh-CN" w:bidi="ar-SA"/>
    </w:rPr>
  </w:style>
  <w:style w:type="character" w:customStyle="1" w:styleId="436">
    <w:name w:val="myp1111"/>
    <w:qFormat/>
    <w:uiPriority w:val="0"/>
    <w:rPr>
      <w:rFonts w:hint="default" w:ascii="ˎ̥" w:hAnsi="ˎ̥"/>
      <w:color w:val="000000"/>
      <w:sz w:val="20"/>
      <w:szCs w:val="20"/>
      <w:u w:val="none"/>
    </w:rPr>
  </w:style>
  <w:style w:type="character" w:customStyle="1" w:styleId="437">
    <w:name w:val="mdeck"/>
    <w:qFormat/>
    <w:uiPriority w:val="0"/>
    <w:rPr>
      <w:rFonts w:ascii="仿宋_GB2312" w:eastAsia="微软雅黑"/>
      <w:b/>
      <w:kern w:val="2"/>
      <w:sz w:val="32"/>
      <w:szCs w:val="32"/>
      <w:lang w:val="en-US" w:eastAsia="zh-CN" w:bidi="ar-SA"/>
    </w:rPr>
  </w:style>
  <w:style w:type="character" w:customStyle="1" w:styleId="438">
    <w:name w:val="签名 Char"/>
    <w:link w:val="45"/>
    <w:qFormat/>
    <w:uiPriority w:val="0"/>
    <w:rPr>
      <w:rFonts w:eastAsia="仿宋_GB2312"/>
      <w:sz w:val="24"/>
    </w:rPr>
  </w:style>
  <w:style w:type="character" w:customStyle="1" w:styleId="439">
    <w:name w:val="tw4winMark"/>
    <w:qFormat/>
    <w:uiPriority w:val="0"/>
    <w:rPr>
      <w:rFonts w:ascii="Courier New" w:hAnsi="Courier New" w:cs="Courier New"/>
      <w:vanish/>
      <w:color w:val="800080"/>
      <w:sz w:val="24"/>
      <w:szCs w:val="24"/>
      <w:vertAlign w:val="subscript"/>
    </w:rPr>
  </w:style>
  <w:style w:type="character" w:customStyle="1" w:styleId="440">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1">
    <w:name w:val="Balloon Text Char"/>
    <w:qFormat/>
    <w:uiPriority w:val="0"/>
    <w:rPr>
      <w:rFonts w:eastAsia="宋体"/>
      <w:kern w:val="2"/>
      <w:sz w:val="18"/>
      <w:szCs w:val="18"/>
      <w:lang w:val="en-US" w:eastAsia="zh-CN" w:bidi="ar-SA"/>
    </w:rPr>
  </w:style>
  <w:style w:type="character" w:customStyle="1" w:styleId="442">
    <w:name w:val="正文非缩进 Char"/>
    <w:qFormat/>
    <w:uiPriority w:val="0"/>
    <w:rPr>
      <w:rFonts w:ascii="宋体" w:eastAsia="宋体"/>
      <w:snapToGrid w:val="0"/>
      <w:color w:val="000000"/>
      <w:kern w:val="28"/>
      <w:sz w:val="28"/>
      <w:lang w:val="en-US" w:eastAsia="zh-CN" w:bidi="ar-SA"/>
    </w:rPr>
  </w:style>
  <w:style w:type="character" w:customStyle="1" w:styleId="443">
    <w:name w:val="此正文 Char"/>
    <w:link w:val="358"/>
    <w:qFormat/>
    <w:uiPriority w:val="0"/>
    <w:rPr>
      <w:kern w:val="2"/>
      <w:sz w:val="24"/>
      <w:szCs w:val="24"/>
    </w:rPr>
  </w:style>
  <w:style w:type="character" w:customStyle="1" w:styleId="444">
    <w:name w:val="Ò³Ã¼ Char Char"/>
    <w:qFormat/>
    <w:uiPriority w:val="0"/>
    <w:rPr>
      <w:rFonts w:eastAsia="宋体"/>
      <w:kern w:val="2"/>
      <w:sz w:val="18"/>
      <w:lang w:val="en-US" w:eastAsia="zh-CN" w:bidi="ar-SA"/>
    </w:rPr>
  </w:style>
  <w:style w:type="character" w:customStyle="1" w:styleId="445">
    <w:name w:val="style91"/>
    <w:qFormat/>
    <w:uiPriority w:val="0"/>
    <w:rPr>
      <w:color w:val="333333"/>
    </w:rPr>
  </w:style>
  <w:style w:type="character" w:customStyle="1" w:styleId="446">
    <w:name w:val="标书1 Char"/>
    <w:qFormat/>
    <w:uiPriority w:val="0"/>
    <w:rPr>
      <w:rFonts w:eastAsia="宋体"/>
      <w:b/>
      <w:bCs/>
      <w:kern w:val="44"/>
      <w:sz w:val="44"/>
      <w:szCs w:val="44"/>
      <w:lang w:val="en-US" w:eastAsia="zh-CN" w:bidi="ar-SA"/>
    </w:rPr>
  </w:style>
  <w:style w:type="character" w:customStyle="1" w:styleId="447">
    <w:name w:val="ca-131"/>
    <w:qFormat/>
    <w:uiPriority w:val="0"/>
    <w:rPr>
      <w:rFonts w:hint="eastAsia" w:ascii="仿宋_GB2312" w:eastAsia="仿宋_GB2312"/>
      <w:b/>
      <w:bCs/>
      <w:color w:val="000000"/>
      <w:spacing w:val="-20"/>
      <w:sz w:val="24"/>
      <w:szCs w:val="24"/>
    </w:rPr>
  </w:style>
  <w:style w:type="character" w:customStyle="1" w:styleId="448">
    <w:name w:val="标书正文格式 Char"/>
    <w:qFormat/>
    <w:uiPriority w:val="0"/>
    <w:rPr>
      <w:rFonts w:eastAsia="楷体_GB2312"/>
      <w:kern w:val="2"/>
      <w:sz w:val="24"/>
      <w:szCs w:val="24"/>
      <w:lang w:bidi="ar-SA"/>
    </w:rPr>
  </w:style>
  <w:style w:type="character" w:customStyle="1" w:styleId="449">
    <w:name w:val="Char Char6"/>
    <w:qFormat/>
    <w:uiPriority w:val="0"/>
    <w:rPr>
      <w:rFonts w:eastAsia="宋体"/>
      <w:kern w:val="2"/>
      <w:sz w:val="21"/>
      <w:szCs w:val="24"/>
      <w:lang w:val="en-US" w:eastAsia="zh-CN" w:bidi="ar-SA"/>
    </w:rPr>
  </w:style>
  <w:style w:type="character" w:customStyle="1" w:styleId="450">
    <w:name w:val="正文2 Char Char"/>
    <w:link w:val="397"/>
    <w:qFormat/>
    <w:uiPriority w:val="0"/>
    <w:rPr>
      <w:rFonts w:eastAsia="宋体"/>
      <w:kern w:val="2"/>
      <w:sz w:val="24"/>
      <w:lang w:val="en-US" w:eastAsia="zh-CN" w:bidi="ar-SA"/>
    </w:rPr>
  </w:style>
  <w:style w:type="character" w:customStyle="1" w:styleId="451">
    <w:name w:val="content"/>
    <w:qFormat/>
    <w:uiPriority w:val="0"/>
  </w:style>
  <w:style w:type="character" w:customStyle="1" w:styleId="452">
    <w:name w:val="正文文本 2 Char"/>
    <w:qFormat/>
    <w:uiPriority w:val="0"/>
    <w:rPr>
      <w:rFonts w:eastAsia="宋体"/>
      <w:kern w:val="2"/>
      <w:sz w:val="21"/>
      <w:szCs w:val="24"/>
      <w:lang w:val="en-US" w:eastAsia="zh-CN" w:bidi="ar-SA"/>
    </w:rPr>
  </w:style>
  <w:style w:type="character" w:customStyle="1" w:styleId="453">
    <w:name w:val="Heading 2 Hidden Char"/>
    <w:qFormat/>
    <w:uiPriority w:val="0"/>
    <w:rPr>
      <w:rFonts w:ascii="仿宋_GB2312" w:eastAsia="仿宋_GB2312"/>
      <w:b/>
      <w:bCs/>
      <w:kern w:val="2"/>
      <w:sz w:val="24"/>
      <w:szCs w:val="24"/>
      <w:lang w:val="zh-CN" w:eastAsia="zh-CN" w:bidi="ar-SA"/>
    </w:rPr>
  </w:style>
  <w:style w:type="character" w:customStyle="1" w:styleId="454">
    <w:name w:val="首行缩进 Char"/>
    <w:qFormat/>
    <w:uiPriority w:val="0"/>
    <w:rPr>
      <w:rFonts w:ascii="宋体" w:eastAsia="宋体"/>
      <w:kern w:val="2"/>
      <w:sz w:val="24"/>
      <w:lang w:val="en-US" w:eastAsia="zh-CN" w:bidi="ar-SA"/>
    </w:rPr>
  </w:style>
  <w:style w:type="character" w:customStyle="1" w:styleId="455">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6">
    <w:name w:val="普通文字 Char Char1"/>
    <w:qFormat/>
    <w:uiPriority w:val="0"/>
    <w:rPr>
      <w:rFonts w:ascii="宋体" w:hAnsi="Courier New"/>
      <w:kern w:val="2"/>
      <w:sz w:val="21"/>
    </w:rPr>
  </w:style>
  <w:style w:type="character" w:customStyle="1" w:styleId="457">
    <w:name w:val="Footer-Even Char"/>
    <w:qFormat/>
    <w:uiPriority w:val="0"/>
    <w:rPr>
      <w:rFonts w:eastAsia="宋体"/>
      <w:kern w:val="2"/>
      <w:sz w:val="18"/>
      <w:lang w:val="en-US" w:eastAsia="zh-CN" w:bidi="ar-SA"/>
    </w:rPr>
  </w:style>
  <w:style w:type="character" w:customStyle="1" w:styleId="458">
    <w:name w:val="dandyren_title1"/>
    <w:qFormat/>
    <w:uiPriority w:val="0"/>
    <w:rPr>
      <w:b/>
      <w:bCs/>
      <w:color w:val="FF6633"/>
      <w:sz w:val="18"/>
      <w:szCs w:val="18"/>
    </w:rPr>
  </w:style>
  <w:style w:type="character" w:customStyle="1" w:styleId="459">
    <w:name w:val="标题 3 Char2"/>
    <w:qFormat/>
    <w:uiPriority w:val="0"/>
    <w:rPr>
      <w:rFonts w:eastAsia="宋体"/>
      <w:b/>
      <w:bCs/>
      <w:kern w:val="2"/>
      <w:sz w:val="32"/>
      <w:szCs w:val="32"/>
      <w:lang w:val="en-US" w:eastAsia="zh-CN" w:bidi="ar-SA"/>
    </w:rPr>
  </w:style>
  <w:style w:type="character" w:customStyle="1" w:styleId="460">
    <w:name w:val="gray6"/>
    <w:basedOn w:val="63"/>
    <w:qFormat/>
    <w:uiPriority w:val="0"/>
  </w:style>
  <w:style w:type="character" w:customStyle="1" w:styleId="461">
    <w:name w:val="标准正文格式 Char"/>
    <w:qFormat/>
    <w:uiPriority w:val="0"/>
    <w:rPr>
      <w:rFonts w:ascii="宋体" w:eastAsia="仿宋_GB2312" w:cs="宋体"/>
      <w:color w:val="000000"/>
      <w:sz w:val="24"/>
      <w:lang w:val="en-US" w:eastAsia="zh-CN" w:bidi="ar-SA"/>
    </w:rPr>
  </w:style>
  <w:style w:type="character" w:customStyle="1" w:styleId="462">
    <w:name w:val="Char Char3"/>
    <w:qFormat/>
    <w:uiPriority w:val="0"/>
    <w:rPr>
      <w:rFonts w:eastAsia="宋体"/>
      <w:kern w:val="2"/>
      <w:sz w:val="21"/>
      <w:szCs w:val="24"/>
      <w:lang w:val="en-US" w:eastAsia="zh-CN" w:bidi="ar-SA"/>
    </w:rPr>
  </w:style>
  <w:style w:type="character" w:customStyle="1" w:styleId="463">
    <w:name w:val="px14"/>
    <w:qFormat/>
    <w:uiPriority w:val="0"/>
    <w:rPr>
      <w:rFonts w:ascii="仿宋_GB2312" w:eastAsia="微软雅黑" w:cs="Times New Roman"/>
      <w:b/>
      <w:kern w:val="2"/>
      <w:sz w:val="32"/>
      <w:szCs w:val="32"/>
      <w:lang w:val="en-US" w:eastAsia="zh-CN" w:bidi="ar-SA"/>
    </w:rPr>
  </w:style>
  <w:style w:type="character" w:customStyle="1" w:styleId="464">
    <w:name w:val="txt"/>
    <w:qFormat/>
    <w:uiPriority w:val="0"/>
    <w:rPr>
      <w:rFonts w:ascii="仿宋_GB2312" w:eastAsia="微软雅黑"/>
      <w:b/>
      <w:kern w:val="2"/>
      <w:sz w:val="32"/>
      <w:szCs w:val="32"/>
      <w:lang w:val="en-US" w:eastAsia="zh-CN" w:bidi="ar-SA"/>
    </w:rPr>
  </w:style>
  <w:style w:type="character" w:customStyle="1" w:styleId="465">
    <w:name w:val="仿宋正文 Char"/>
    <w:link w:val="342"/>
    <w:qFormat/>
    <w:uiPriority w:val="0"/>
    <w:rPr>
      <w:rFonts w:ascii="仿宋_GB2312" w:eastAsia="仿宋_GB2312"/>
      <w:kern w:val="2"/>
      <w:sz w:val="24"/>
      <w:lang w:val="en-US" w:eastAsia="zh-CN" w:bidi="ar-SA"/>
    </w:rPr>
  </w:style>
  <w:style w:type="character" w:customStyle="1" w:styleId="466">
    <w:name w:val="Comment Text Char"/>
    <w:qFormat/>
    <w:uiPriority w:val="0"/>
    <w:rPr>
      <w:rFonts w:ascii="宋体" w:hAnsi="宋体" w:eastAsia="宋体"/>
      <w:kern w:val="2"/>
      <w:sz w:val="24"/>
      <w:lang w:val="en-US" w:eastAsia="zh-CN" w:bidi="ar-SA"/>
    </w:rPr>
  </w:style>
  <w:style w:type="character" w:customStyle="1" w:styleId="467">
    <w:name w:val="tw4winExternal"/>
    <w:qFormat/>
    <w:uiPriority w:val="0"/>
    <w:rPr>
      <w:rFonts w:ascii="Courier New" w:hAnsi="Courier New" w:cs="Courier New"/>
      <w:color w:val="808080"/>
    </w:rPr>
  </w:style>
  <w:style w:type="character" w:customStyle="1" w:styleId="468">
    <w:name w:val="Char Char10"/>
    <w:qFormat/>
    <w:uiPriority w:val="0"/>
    <w:rPr>
      <w:rFonts w:ascii="宋体" w:hAnsi="宋体"/>
      <w:kern w:val="2"/>
      <w:sz w:val="21"/>
      <w:szCs w:val="24"/>
    </w:rPr>
  </w:style>
  <w:style w:type="character" w:customStyle="1" w:styleId="469">
    <w:name w:val="Bold"/>
    <w:qFormat/>
    <w:uiPriority w:val="0"/>
    <w:rPr>
      <w:rFonts w:ascii="Arial" w:hAnsi="Arial" w:eastAsia="黑体" w:cs="Times New Roman"/>
      <w:b/>
      <w:kern w:val="2"/>
      <w:sz w:val="32"/>
      <w:szCs w:val="32"/>
      <w:lang w:val="en-US" w:eastAsia="zh-CN" w:bidi="ar-SA"/>
    </w:rPr>
  </w:style>
  <w:style w:type="character" w:customStyle="1" w:styleId="470">
    <w:name w:val="Font Style82"/>
    <w:qFormat/>
    <w:uiPriority w:val="99"/>
    <w:rPr>
      <w:rFonts w:ascii="宋体" w:eastAsia="宋体" w:cs="宋体"/>
      <w:color w:val="000000"/>
      <w:sz w:val="14"/>
      <w:szCs w:val="14"/>
    </w:rPr>
  </w:style>
  <w:style w:type="character" w:customStyle="1" w:styleId="471">
    <w:name w:val="标题 2 Char"/>
    <w:qFormat/>
    <w:uiPriority w:val="0"/>
    <w:rPr>
      <w:rFonts w:ascii="Arial" w:hAnsi="Arial" w:eastAsia="黑体"/>
      <w:b/>
      <w:kern w:val="2"/>
      <w:sz w:val="32"/>
      <w:lang w:val="en-US" w:eastAsia="zh-CN"/>
    </w:rPr>
  </w:style>
  <w:style w:type="character" w:customStyle="1" w:styleId="472">
    <w:name w:val="h3 Char"/>
    <w:qFormat/>
    <w:uiPriority w:val="0"/>
    <w:rPr>
      <w:rFonts w:eastAsia="宋体"/>
      <w:b/>
      <w:kern w:val="2"/>
      <w:sz w:val="32"/>
      <w:lang w:val="en-US" w:eastAsia="zh-CN" w:bidi="ar-SA"/>
    </w:rPr>
  </w:style>
  <w:style w:type="character" w:customStyle="1" w:styleId="473">
    <w:name w:val="页眉 Char1"/>
    <w:qFormat/>
    <w:uiPriority w:val="0"/>
    <w:rPr>
      <w:rFonts w:eastAsia="宋体"/>
      <w:kern w:val="2"/>
      <w:sz w:val="18"/>
      <w:szCs w:val="18"/>
      <w:lang w:val="en-US" w:eastAsia="zh-CN" w:bidi="ar-SA"/>
    </w:rPr>
  </w:style>
  <w:style w:type="character" w:customStyle="1" w:styleId="474">
    <w:name w:val="标题 8 Char"/>
    <w:link w:val="10"/>
    <w:qFormat/>
    <w:uiPriority w:val="0"/>
    <w:rPr>
      <w:rFonts w:ascii="Arial" w:hAnsi="Arial" w:eastAsia="黑体"/>
      <w:kern w:val="2"/>
      <w:sz w:val="24"/>
      <w:szCs w:val="24"/>
    </w:rPr>
  </w:style>
  <w:style w:type="character" w:customStyle="1" w:styleId="475">
    <w:name w:val="冯广丽 Char"/>
    <w:link w:val="238"/>
    <w:qFormat/>
    <w:uiPriority w:val="0"/>
    <w:rPr>
      <w:rFonts w:ascii="宋体" w:hAnsi="宋体"/>
      <w:kern w:val="2"/>
      <w:sz w:val="24"/>
      <w:szCs w:val="22"/>
    </w:rPr>
  </w:style>
  <w:style w:type="character" w:customStyle="1" w:styleId="476">
    <w:name w:val="脚注文本 Char"/>
    <w:link w:val="53"/>
    <w:qFormat/>
    <w:uiPriority w:val="0"/>
    <w:rPr>
      <w:color w:val="0000FF"/>
      <w:sz w:val="21"/>
    </w:rPr>
  </w:style>
  <w:style w:type="character" w:customStyle="1" w:styleId="477">
    <w:name w:val="font12gray1"/>
    <w:qFormat/>
    <w:uiPriority w:val="0"/>
    <w:rPr>
      <w:rFonts w:ascii="仿宋_GB2312" w:eastAsia="微软雅黑"/>
      <w:b/>
      <w:spacing w:val="300"/>
      <w:kern w:val="2"/>
      <w:sz w:val="18"/>
      <w:szCs w:val="18"/>
      <w:lang w:val="en-US" w:eastAsia="zh-CN" w:bidi="ar-SA"/>
    </w:rPr>
  </w:style>
  <w:style w:type="character" w:customStyle="1" w:styleId="478">
    <w:name w:val="正文文本缩进 Char1"/>
    <w:link w:val="28"/>
    <w:qFormat/>
    <w:uiPriority w:val="0"/>
    <w:rPr>
      <w:rFonts w:ascii="宋体" w:hAnsi="宋体"/>
      <w:kern w:val="2"/>
      <w:sz w:val="24"/>
      <w:szCs w:val="24"/>
    </w:rPr>
  </w:style>
  <w:style w:type="character" w:customStyle="1" w:styleId="479">
    <w:name w:val="方案正文 Char"/>
    <w:qFormat/>
    <w:uiPriority w:val="0"/>
    <w:rPr>
      <w:rFonts w:ascii="仿宋_GB2312" w:eastAsia="仿宋_GB2312"/>
      <w:b/>
      <w:color w:val="000000"/>
      <w:kern w:val="2"/>
      <w:sz w:val="24"/>
      <w:lang w:val="en-US" w:eastAsia="zh-CN" w:bidi="ar-SA"/>
    </w:rPr>
  </w:style>
  <w:style w:type="character" w:customStyle="1" w:styleId="480">
    <w:name w:val="Item List Char"/>
    <w:link w:val="265"/>
    <w:qFormat/>
    <w:uiPriority w:val="0"/>
    <w:rPr>
      <w:rFonts w:ascii="Arial"/>
      <w:bCs/>
      <w:sz w:val="21"/>
      <w:szCs w:val="21"/>
      <w:lang w:val="en-US" w:eastAsia="zh-CN" w:bidi="ar-SA"/>
    </w:rPr>
  </w:style>
  <w:style w:type="character" w:customStyle="1" w:styleId="481">
    <w:name w:val="Normal Indent Char Char"/>
    <w:qFormat/>
    <w:uiPriority w:val="0"/>
    <w:rPr>
      <w:rFonts w:eastAsia="宋体"/>
      <w:kern w:val="2"/>
      <w:sz w:val="21"/>
      <w:lang w:val="en-US" w:eastAsia="zh-CN" w:bidi="ar-SA"/>
    </w:rPr>
  </w:style>
  <w:style w:type="character" w:customStyle="1" w:styleId="482">
    <w:name w:val="t21"/>
    <w:qFormat/>
    <w:uiPriority w:val="0"/>
    <w:rPr>
      <w:rFonts w:ascii="仿宋_GB2312" w:eastAsia="微软雅黑"/>
      <w:b/>
      <w:kern w:val="2"/>
      <w:sz w:val="23"/>
      <w:szCs w:val="23"/>
      <w:lang w:val="en-US" w:eastAsia="zh-CN" w:bidi="ar-SA"/>
    </w:rPr>
  </w:style>
  <w:style w:type="character" w:customStyle="1" w:styleId="483">
    <w:name w:val="Char Char121"/>
    <w:qFormat/>
    <w:uiPriority w:val="0"/>
    <w:rPr>
      <w:rFonts w:ascii="仿宋_GB2312" w:eastAsia="仿宋_GB2312"/>
      <w:b/>
      <w:bCs/>
      <w:kern w:val="2"/>
      <w:sz w:val="24"/>
      <w:szCs w:val="24"/>
      <w:lang w:val="zh-CN" w:eastAsia="zh-CN" w:bidi="ar-SA"/>
    </w:rPr>
  </w:style>
  <w:style w:type="character" w:customStyle="1" w:styleId="484">
    <w:name w:val="标题 7 Char"/>
    <w:link w:val="9"/>
    <w:qFormat/>
    <w:uiPriority w:val="0"/>
    <w:rPr>
      <w:b/>
      <w:bCs/>
      <w:kern w:val="2"/>
      <w:sz w:val="24"/>
      <w:szCs w:val="24"/>
    </w:rPr>
  </w:style>
  <w:style w:type="character" w:customStyle="1" w:styleId="485">
    <w:name w:val="称呼 Char"/>
    <w:link w:val="26"/>
    <w:qFormat/>
    <w:uiPriority w:val="0"/>
    <w:rPr>
      <w:rFonts w:ascii="仿宋_GB2312" w:eastAsia="仿宋_GB2312"/>
      <w:kern w:val="2"/>
      <w:sz w:val="28"/>
    </w:rPr>
  </w:style>
  <w:style w:type="character" w:customStyle="1" w:styleId="486">
    <w:name w:val="正文 项目 Char"/>
    <w:qFormat/>
    <w:uiPriority w:val="0"/>
    <w:rPr>
      <w:rFonts w:ascii="仿宋_GB2312" w:hAnsi="仿宋_GB2312" w:eastAsia="仿宋_GB2312"/>
      <w:kern w:val="2"/>
      <w:sz w:val="24"/>
      <w:lang w:bidi="ar-SA"/>
    </w:rPr>
  </w:style>
  <w:style w:type="character" w:customStyle="1" w:styleId="487">
    <w:name w:val="普通文字 Char1"/>
    <w:qFormat/>
    <w:uiPriority w:val="0"/>
    <w:rPr>
      <w:rFonts w:ascii="宋体" w:hAnsi="Courier New" w:eastAsia="宋体"/>
      <w:kern w:val="2"/>
      <w:sz w:val="21"/>
      <w:lang w:val="en-US" w:eastAsia="zh-CN"/>
    </w:rPr>
  </w:style>
  <w:style w:type="character" w:customStyle="1" w:styleId="488">
    <w:name w:val="正文1 Char1"/>
    <w:qFormat/>
    <w:uiPriority w:val="0"/>
    <w:rPr>
      <w:rFonts w:ascii="仿宋_GB2312" w:hAnsi="Courier New" w:eastAsia="仿宋_GB2312"/>
      <w:kern w:val="28"/>
      <w:sz w:val="24"/>
      <w:szCs w:val="24"/>
    </w:rPr>
  </w:style>
  <w:style w:type="character" w:customStyle="1" w:styleId="489">
    <w:name w:val="hei16b1"/>
    <w:qFormat/>
    <w:uiPriority w:val="0"/>
    <w:rPr>
      <w:rFonts w:hint="default" w:ascii="Arial" w:hAnsi="Arial" w:cs="Arial"/>
      <w:b/>
      <w:bCs/>
      <w:color w:val="000000"/>
      <w:sz w:val="24"/>
      <w:szCs w:val="24"/>
    </w:rPr>
  </w:style>
  <w:style w:type="character" w:customStyle="1" w:styleId="490">
    <w:name w:val="c7 style3"/>
    <w:qFormat/>
    <w:uiPriority w:val="0"/>
  </w:style>
  <w:style w:type="character" w:customStyle="1" w:styleId="491">
    <w:name w:val="副标题 Char"/>
    <w:link w:val="50"/>
    <w:qFormat/>
    <w:uiPriority w:val="0"/>
    <w:rPr>
      <w:rFonts w:ascii="Arial" w:hAnsi="Arial" w:eastAsia="隶书"/>
      <w:b/>
      <w:bCs/>
      <w:kern w:val="28"/>
      <w:sz w:val="44"/>
      <w:szCs w:val="32"/>
      <w:lang w:val="en-US" w:eastAsia="zh-CN" w:bidi="ar-SA"/>
    </w:rPr>
  </w:style>
  <w:style w:type="character" w:customStyle="1" w:styleId="492">
    <w:name w:val="纯文本 Char"/>
    <w:link w:val="36"/>
    <w:qFormat/>
    <w:uiPriority w:val="0"/>
    <w:rPr>
      <w:rFonts w:ascii="宋体" w:hAnsi="Courier New" w:eastAsia="宋体" w:cs="Arial"/>
      <w:snapToGrid w:val="0"/>
      <w:kern w:val="2"/>
      <w:sz w:val="21"/>
      <w:szCs w:val="21"/>
      <w:lang w:val="en-US" w:eastAsia="zh-CN" w:bidi="ar-SA"/>
    </w:rPr>
  </w:style>
  <w:style w:type="character" w:customStyle="1" w:styleId="493">
    <w:name w:val="表正文 Char1"/>
    <w:qFormat/>
    <w:uiPriority w:val="0"/>
    <w:rPr>
      <w:rFonts w:ascii="宋体" w:eastAsia="宋体"/>
      <w:snapToGrid w:val="0"/>
      <w:color w:val="000000"/>
      <w:kern w:val="28"/>
      <w:sz w:val="28"/>
    </w:rPr>
  </w:style>
  <w:style w:type="character" w:customStyle="1" w:styleId="494">
    <w:name w:val="Char Char5"/>
    <w:qFormat/>
    <w:uiPriority w:val="0"/>
    <w:rPr>
      <w:rFonts w:ascii="宋体" w:hAnsi="Courier New" w:eastAsia="宋体"/>
      <w:kern w:val="2"/>
      <w:sz w:val="21"/>
      <w:lang w:val="en-US" w:eastAsia="zh-CN"/>
    </w:rPr>
  </w:style>
  <w:style w:type="character" w:customStyle="1" w:styleId="495">
    <w:name w:val="标题 1 Char Char"/>
    <w:qFormat/>
    <w:uiPriority w:val="0"/>
    <w:rPr>
      <w:rFonts w:hint="eastAsia" w:ascii="宋体" w:hAnsi="宋体" w:eastAsia="宋体"/>
      <w:b/>
      <w:spacing w:val="-2"/>
      <w:sz w:val="24"/>
      <w:lang w:val="en-US" w:eastAsia="zh-CN" w:bidi="ar-SA"/>
    </w:rPr>
  </w:style>
  <w:style w:type="character" w:customStyle="1" w:styleId="496">
    <w:name w:val="Char Char4"/>
    <w:qFormat/>
    <w:uiPriority w:val="0"/>
    <w:rPr>
      <w:rFonts w:eastAsia="宋体"/>
      <w:b/>
      <w:sz w:val="24"/>
      <w:lang w:val="en-GB" w:eastAsia="zh-CN" w:bidi="ar-SA"/>
    </w:rPr>
  </w:style>
  <w:style w:type="character" w:customStyle="1" w:styleId="497">
    <w:name w:val="zbggmain style9"/>
    <w:qFormat/>
    <w:uiPriority w:val="0"/>
  </w:style>
  <w:style w:type="character" w:customStyle="1" w:styleId="498">
    <w:name w:val="Header Char_9c569cf8-a059-4ae9-971b-a0e3eb8777a1"/>
    <w:qFormat/>
    <w:uiPriority w:val="0"/>
    <w:rPr>
      <w:rFonts w:eastAsia="宋体"/>
      <w:kern w:val="2"/>
      <w:sz w:val="18"/>
      <w:szCs w:val="18"/>
      <w:lang w:val="en-US" w:eastAsia="zh-CN" w:bidi="ar-SA"/>
    </w:rPr>
  </w:style>
  <w:style w:type="character" w:customStyle="1" w:styleId="499">
    <w:name w:val="样式 宋体"/>
    <w:qFormat/>
    <w:uiPriority w:val="0"/>
    <w:rPr>
      <w:rFonts w:ascii="宋体" w:hAnsi="宋体"/>
      <w:sz w:val="24"/>
    </w:rPr>
  </w:style>
  <w:style w:type="character" w:customStyle="1" w:styleId="500">
    <w:name w:val="哈哈正文 Char"/>
    <w:link w:val="316"/>
    <w:qFormat/>
    <w:uiPriority w:val="0"/>
    <w:rPr>
      <w:rFonts w:ascii="宋体" w:hAnsi="宋体" w:eastAsia="宋体"/>
      <w:kern w:val="2"/>
      <w:sz w:val="24"/>
      <w:lang w:bidi="ar-SA"/>
    </w:rPr>
  </w:style>
  <w:style w:type="character" w:customStyle="1" w:styleId="501">
    <w:name w:val="标题 Char"/>
    <w:qFormat/>
    <w:uiPriority w:val="0"/>
    <w:rPr>
      <w:rFonts w:eastAsia="宋体"/>
      <w:b/>
      <w:sz w:val="24"/>
      <w:lang w:val="en-GB" w:eastAsia="zh-CN" w:bidi="ar-SA"/>
    </w:rPr>
  </w:style>
  <w:style w:type="character" w:customStyle="1" w:styleId="502">
    <w:name w:val="纯文本 Char Char Char"/>
    <w:qFormat/>
    <w:uiPriority w:val="0"/>
    <w:rPr>
      <w:rFonts w:ascii="宋体" w:hAnsi="Courier New" w:eastAsia="宋体"/>
      <w:kern w:val="2"/>
      <w:sz w:val="21"/>
      <w:lang w:val="en-US" w:eastAsia="zh-CN" w:bidi="ar-SA"/>
    </w:rPr>
  </w:style>
  <w:style w:type="character" w:customStyle="1" w:styleId="503">
    <w:name w:val="正文 编号 Char"/>
    <w:qFormat/>
    <w:uiPriority w:val="0"/>
    <w:rPr>
      <w:rFonts w:ascii="仿宋_GB2312" w:hAnsi="仿宋_GB2312" w:eastAsia="仿宋_GB2312"/>
      <w:kern w:val="2"/>
      <w:sz w:val="24"/>
      <w:lang w:bidi="ar-SA"/>
    </w:rPr>
  </w:style>
  <w:style w:type="character" w:customStyle="1" w:styleId="504">
    <w:name w:val="插图说明 Char"/>
    <w:qFormat/>
    <w:uiPriority w:val="0"/>
    <w:rPr>
      <w:rFonts w:eastAsia="黑体"/>
      <w:sz w:val="24"/>
      <w:lang w:val="en-US" w:eastAsia="zh-CN"/>
    </w:rPr>
  </w:style>
  <w:style w:type="character" w:customStyle="1" w:styleId="505">
    <w:name w:val="正文首行缩进 2 Char"/>
    <w:link w:val="43"/>
    <w:qFormat/>
    <w:uiPriority w:val="0"/>
    <w:rPr>
      <w:rFonts w:ascii="宋体" w:hAnsi="宋体"/>
      <w:kern w:val="2"/>
      <w:sz w:val="21"/>
      <w:szCs w:val="24"/>
    </w:rPr>
  </w:style>
  <w:style w:type="character" w:customStyle="1" w:styleId="506">
    <w:name w:val="正文文本缩进 2 Char"/>
    <w:link w:val="40"/>
    <w:qFormat/>
    <w:uiPriority w:val="0"/>
    <w:rPr>
      <w:rFonts w:ascii="宋体"/>
      <w:sz w:val="28"/>
    </w:rPr>
  </w:style>
  <w:style w:type="character" w:customStyle="1" w:styleId="507">
    <w:name w:val="公文正文 Char"/>
    <w:qFormat/>
    <w:uiPriority w:val="0"/>
    <w:rPr>
      <w:rFonts w:ascii="仿宋_GB2312" w:eastAsia="仿宋_GB2312"/>
      <w:kern w:val="2"/>
      <w:sz w:val="24"/>
      <w:szCs w:val="24"/>
      <w:lang w:val="en-US" w:eastAsia="zh-CN" w:bidi="ar-SA"/>
    </w:rPr>
  </w:style>
  <w:style w:type="character" w:customStyle="1" w:styleId="508">
    <w:name w:val="Char Char41"/>
    <w:qFormat/>
    <w:uiPriority w:val="0"/>
    <w:rPr>
      <w:rFonts w:eastAsia="宋体"/>
      <w:b/>
      <w:sz w:val="24"/>
      <w:lang w:val="en-GB" w:eastAsia="zh-CN" w:bidi="ar-SA"/>
    </w:rPr>
  </w:style>
  <w:style w:type="character" w:customStyle="1" w:styleId="509">
    <w:name w:val="unnamed31"/>
    <w:qFormat/>
    <w:uiPriority w:val="0"/>
    <w:rPr>
      <w:rFonts w:ascii="Tahoma" w:hAnsi="Tahoma" w:eastAsia="宋体"/>
      <w:b/>
      <w:kern w:val="2"/>
      <w:sz w:val="24"/>
      <w:szCs w:val="32"/>
      <w:u w:val="none"/>
      <w:lang w:val="en-US" w:eastAsia="zh-CN" w:bidi="ar-SA"/>
    </w:rPr>
  </w:style>
  <w:style w:type="character" w:customStyle="1" w:styleId="510">
    <w:name w:val="Char Char91"/>
    <w:qFormat/>
    <w:uiPriority w:val="0"/>
    <w:rPr>
      <w:rFonts w:eastAsia="宋体"/>
      <w:kern w:val="2"/>
      <w:sz w:val="18"/>
      <w:szCs w:val="18"/>
      <w:lang w:val="en-US" w:eastAsia="zh-CN" w:bidi="ar-SA"/>
    </w:rPr>
  </w:style>
  <w:style w:type="character" w:customStyle="1" w:styleId="511">
    <w:name w:val="Footer-Even Char1"/>
    <w:qFormat/>
    <w:uiPriority w:val="0"/>
    <w:rPr>
      <w:rFonts w:eastAsia="宋体"/>
      <w:kern w:val="2"/>
      <w:sz w:val="18"/>
      <w:szCs w:val="18"/>
      <w:lang w:val="en-US" w:eastAsia="zh-CN" w:bidi="ar-SA"/>
    </w:rPr>
  </w:style>
  <w:style w:type="character" w:customStyle="1" w:styleId="512">
    <w:name w:val="gf正文1 Char"/>
    <w:qFormat/>
    <w:uiPriority w:val="0"/>
    <w:rPr>
      <w:rFonts w:ascii="宋体" w:hAnsi="宋体" w:eastAsia="宋体" w:cs="宋体"/>
      <w:kern w:val="2"/>
      <w:sz w:val="24"/>
      <w:szCs w:val="24"/>
      <w:lang w:val="en-US" w:eastAsia="zh-CN" w:bidi="ar-SA"/>
    </w:rPr>
  </w:style>
  <w:style w:type="character" w:customStyle="1" w:styleId="513">
    <w:name w:val="javascript"/>
    <w:qFormat/>
    <w:uiPriority w:val="0"/>
  </w:style>
  <w:style w:type="character" w:customStyle="1" w:styleId="514">
    <w:name w:val="列出段落 Char"/>
    <w:qFormat/>
    <w:uiPriority w:val="34"/>
    <w:rPr>
      <w:rFonts w:eastAsia="楷体_GB2312" w:cs="Lucida Sans"/>
      <w:kern w:val="2"/>
      <w:sz w:val="24"/>
      <w:szCs w:val="24"/>
      <w:lang w:val="en-US" w:eastAsia="zh-CN" w:bidi="ar-SA"/>
    </w:rPr>
  </w:style>
  <w:style w:type="character" w:customStyle="1" w:styleId="515">
    <w:name w:val="正文文本 Char1"/>
    <w:link w:val="16"/>
    <w:qFormat/>
    <w:uiPriority w:val="0"/>
    <w:rPr>
      <w:rFonts w:ascii="宋体" w:hAnsi="Arial" w:eastAsia="宋体" w:cs="Arial"/>
      <w:snapToGrid w:val="0"/>
      <w:kern w:val="2"/>
      <w:sz w:val="24"/>
      <w:szCs w:val="21"/>
      <w:lang w:val="zh-CN" w:eastAsia="zh-CN" w:bidi="ar-SA"/>
    </w:rPr>
  </w:style>
  <w:style w:type="character" w:customStyle="1" w:styleId="516">
    <w:name w:val="标书表格字体格式 Char"/>
    <w:qFormat/>
    <w:uiPriority w:val="0"/>
    <w:rPr>
      <w:kern w:val="2"/>
      <w:sz w:val="21"/>
      <w:szCs w:val="24"/>
      <w:lang w:bidi="ar-SA"/>
    </w:rPr>
  </w:style>
  <w:style w:type="character" w:customStyle="1" w:styleId="517">
    <w:name w:val="普通文字 Char3"/>
    <w:qFormat/>
    <w:uiPriority w:val="0"/>
    <w:rPr>
      <w:rFonts w:ascii="宋体" w:hAnsi="Courier New" w:eastAsia="宋体"/>
      <w:kern w:val="2"/>
      <w:sz w:val="21"/>
      <w:lang w:val="en-US" w:eastAsia="zh-CN" w:bidi="ar-SA"/>
    </w:rPr>
  </w:style>
  <w:style w:type="character" w:customStyle="1" w:styleId="518">
    <w:name w:val="h Char Char1"/>
    <w:qFormat/>
    <w:uiPriority w:val="0"/>
    <w:rPr>
      <w:rFonts w:eastAsia="宋体"/>
      <w:kern w:val="2"/>
      <w:sz w:val="18"/>
      <w:szCs w:val="18"/>
      <w:lang w:val="en-US" w:eastAsia="zh-CN" w:bidi="ar-SA"/>
    </w:rPr>
  </w:style>
  <w:style w:type="character" w:customStyle="1" w:styleId="519">
    <w:name w:val="冯 Char"/>
    <w:link w:val="78"/>
    <w:qFormat/>
    <w:uiPriority w:val="0"/>
    <w:rPr>
      <w:rFonts w:ascii="宋体" w:hAnsi="宋体"/>
      <w:color w:val="000000"/>
      <w:sz w:val="24"/>
      <w:szCs w:val="24"/>
    </w:rPr>
  </w:style>
  <w:style w:type="character" w:customStyle="1" w:styleId="520">
    <w:name w:val="highlight1"/>
    <w:qFormat/>
    <w:uiPriority w:val="0"/>
    <w:rPr>
      <w:rFonts w:ascii="仿宋_GB2312" w:eastAsia="微软雅黑"/>
      <w:b/>
      <w:kern w:val="2"/>
      <w:sz w:val="23"/>
      <w:szCs w:val="23"/>
      <w:lang w:val="en-US" w:eastAsia="zh-CN" w:bidi="ar-SA"/>
    </w:rPr>
  </w:style>
  <w:style w:type="character" w:customStyle="1" w:styleId="521">
    <w:name w:val="样式6 Char"/>
    <w:qFormat/>
    <w:uiPriority w:val="0"/>
    <w:rPr>
      <w:rFonts w:ascii="仿宋_GB2312" w:hAnsi="宋体" w:eastAsia="仿宋_GB2312"/>
      <w:b/>
      <w:bCs/>
      <w:kern w:val="2"/>
      <w:sz w:val="24"/>
      <w:szCs w:val="24"/>
      <w:lang w:val="en-US" w:eastAsia="zh-CN" w:bidi="ar-SA"/>
    </w:rPr>
  </w:style>
  <w:style w:type="character" w:customStyle="1" w:styleId="522">
    <w:name w:val="标题 9 Char"/>
    <w:link w:val="11"/>
    <w:qFormat/>
    <w:uiPriority w:val="0"/>
    <w:rPr>
      <w:rFonts w:ascii="Arial" w:hAnsi="Arial" w:eastAsia="黑体"/>
      <w:kern w:val="2"/>
      <w:sz w:val="21"/>
      <w:szCs w:val="21"/>
    </w:rPr>
  </w:style>
  <w:style w:type="character" w:customStyle="1" w:styleId="523">
    <w:name w:val="md"/>
    <w:basedOn w:val="63"/>
    <w:qFormat/>
    <w:uiPriority w:val="0"/>
  </w:style>
  <w:style w:type="character" w:customStyle="1" w:styleId="524">
    <w:name w:val="myp11"/>
    <w:qFormat/>
    <w:uiPriority w:val="0"/>
    <w:rPr>
      <w:rFonts w:ascii="仿宋_GB2312" w:eastAsia="微软雅黑"/>
      <w:b/>
      <w:kern w:val="2"/>
      <w:sz w:val="32"/>
      <w:szCs w:val="32"/>
      <w:lang w:val="en-US" w:eastAsia="zh-CN" w:bidi="ar-SA"/>
    </w:rPr>
  </w:style>
  <w:style w:type="character" w:customStyle="1" w:styleId="525">
    <w:name w:val="Ò³Ã¼ Char Char1"/>
    <w:qFormat/>
    <w:uiPriority w:val="0"/>
    <w:rPr>
      <w:rFonts w:eastAsia="宋体"/>
      <w:kern w:val="2"/>
      <w:sz w:val="18"/>
      <w:szCs w:val="18"/>
      <w:lang w:val="en-US" w:eastAsia="zh-CN" w:bidi="ar-SA"/>
    </w:rPr>
  </w:style>
  <w:style w:type="character" w:customStyle="1" w:styleId="526">
    <w:name w:val="tw4winTerm"/>
    <w:qFormat/>
    <w:uiPriority w:val="0"/>
    <w:rPr>
      <w:color w:val="0000FF"/>
    </w:rPr>
  </w:style>
  <w:style w:type="character" w:customStyle="1" w:styleId="527">
    <w:name w:val="表格 Char Char"/>
    <w:qFormat/>
    <w:uiPriority w:val="0"/>
    <w:rPr>
      <w:rFonts w:ascii="宋体" w:hAnsi="宋体" w:eastAsia="宋体"/>
      <w:lang w:bidi="ar-SA"/>
    </w:rPr>
  </w:style>
  <w:style w:type="character" w:customStyle="1" w:styleId="528">
    <w:name w:val="样式8 Char"/>
    <w:qFormat/>
    <w:uiPriority w:val="0"/>
    <w:rPr>
      <w:rFonts w:ascii="仿宋_GB2312" w:hAnsi="宋体" w:eastAsia="仿宋_GB2312"/>
      <w:b/>
      <w:bCs/>
      <w:kern w:val="2"/>
      <w:sz w:val="24"/>
      <w:szCs w:val="24"/>
    </w:rPr>
  </w:style>
  <w:style w:type="character" w:customStyle="1" w:styleId="529">
    <w:name w:val="样式5 Char"/>
    <w:qFormat/>
    <w:uiPriority w:val="0"/>
    <w:rPr>
      <w:rFonts w:ascii="仿宋_GB2312" w:hAnsi="仿宋" w:eastAsia="仿宋_GB2312"/>
      <w:kern w:val="2"/>
      <w:sz w:val="24"/>
      <w:szCs w:val="24"/>
    </w:rPr>
  </w:style>
  <w:style w:type="character" w:customStyle="1" w:styleId="530">
    <w:name w:val="页脚 Char1"/>
    <w:qFormat/>
    <w:uiPriority w:val="0"/>
    <w:rPr>
      <w:rFonts w:eastAsia="宋体"/>
      <w:kern w:val="2"/>
      <w:sz w:val="18"/>
      <w:szCs w:val="18"/>
      <w:lang w:val="en-US" w:eastAsia="zh-CN" w:bidi="ar-SA"/>
    </w:rPr>
  </w:style>
  <w:style w:type="character" w:customStyle="1" w:styleId="531">
    <w:name w:val="tw4winJump"/>
    <w:qFormat/>
    <w:uiPriority w:val="0"/>
    <w:rPr>
      <w:rFonts w:ascii="Courier New" w:hAnsi="Courier New" w:cs="Courier New"/>
      <w:color w:val="008080"/>
    </w:rPr>
  </w:style>
  <w:style w:type="character" w:customStyle="1" w:styleId="532">
    <w:name w:val="批注文字 Char"/>
    <w:qFormat/>
    <w:uiPriority w:val="99"/>
    <w:rPr>
      <w:kern w:val="2"/>
      <w:sz w:val="21"/>
      <w:szCs w:val="24"/>
    </w:rPr>
  </w:style>
  <w:style w:type="character" w:customStyle="1" w:styleId="533">
    <w:name w:val="Char Char122"/>
    <w:qFormat/>
    <w:uiPriority w:val="0"/>
    <w:rPr>
      <w:rFonts w:ascii="仿宋_GB2312" w:eastAsia="仿宋_GB2312"/>
      <w:b/>
      <w:bCs/>
      <w:kern w:val="2"/>
      <w:sz w:val="24"/>
      <w:szCs w:val="24"/>
      <w:lang w:val="zh-CN" w:eastAsia="zh-CN" w:bidi="ar-SA"/>
    </w:rPr>
  </w:style>
  <w:style w:type="character" w:customStyle="1" w:styleId="534">
    <w:name w:val="No Spacing Char"/>
    <w:link w:val="173"/>
    <w:qFormat/>
    <w:uiPriority w:val="1"/>
    <w:rPr>
      <w:rFonts w:ascii="Calibri" w:hAnsi="Calibri"/>
      <w:sz w:val="22"/>
      <w:szCs w:val="22"/>
      <w:lang w:val="en-US" w:eastAsia="zh-CN" w:bidi="ar-SA"/>
    </w:rPr>
  </w:style>
  <w:style w:type="character" w:customStyle="1" w:styleId="535">
    <w:name w:val="Char Char21"/>
    <w:qFormat/>
    <w:uiPriority w:val="0"/>
    <w:rPr>
      <w:rFonts w:ascii="宋体" w:hAnsi="Courier New" w:eastAsia="宋体"/>
      <w:kern w:val="2"/>
      <w:sz w:val="21"/>
      <w:lang w:val="en-US" w:eastAsia="zh-CN" w:bidi="ar-SA"/>
    </w:rPr>
  </w:style>
  <w:style w:type="character" w:customStyle="1" w:styleId="536">
    <w:name w:val="Char Char8"/>
    <w:qFormat/>
    <w:uiPriority w:val="0"/>
    <w:rPr>
      <w:rFonts w:eastAsia="宋体"/>
      <w:b/>
      <w:sz w:val="24"/>
      <w:lang w:val="en-GB" w:eastAsia="zh-CN"/>
    </w:rPr>
  </w:style>
  <w:style w:type="character" w:customStyle="1" w:styleId="537">
    <w:name w:val="font21"/>
    <w:qFormat/>
    <w:uiPriority w:val="0"/>
    <w:rPr>
      <w:rFonts w:hint="eastAsia" w:ascii="宋体" w:hAnsi="宋体" w:eastAsia="宋体"/>
      <w:kern w:val="2"/>
      <w:sz w:val="28"/>
      <w:szCs w:val="28"/>
      <w:lang w:val="en-US" w:eastAsia="zh-CN" w:bidi="ar-SA"/>
    </w:rPr>
  </w:style>
  <w:style w:type="character" w:customStyle="1" w:styleId="538">
    <w:name w:val="正文2 Char"/>
    <w:qFormat/>
    <w:uiPriority w:val="0"/>
    <w:rPr>
      <w:rFonts w:eastAsia="宋体"/>
      <w:kern w:val="2"/>
      <w:sz w:val="24"/>
      <w:lang w:val="en-US" w:eastAsia="zh-CN" w:bidi="ar-SA"/>
    </w:rPr>
  </w:style>
  <w:style w:type="character" w:customStyle="1" w:styleId="539">
    <w:name w:val="big1"/>
    <w:qFormat/>
    <w:uiPriority w:val="0"/>
    <w:rPr>
      <w:rFonts w:hint="eastAsia" w:ascii="宋体" w:hAnsi="宋体" w:eastAsia="宋体"/>
      <w:color w:val="333333"/>
      <w:sz w:val="22"/>
      <w:szCs w:val="22"/>
    </w:rPr>
  </w:style>
  <w:style w:type="character" w:customStyle="1" w:styleId="540">
    <w:name w:val="Body Text(ch) Char Char"/>
    <w:qFormat/>
    <w:uiPriority w:val="0"/>
    <w:rPr>
      <w:rFonts w:ascii="宋体"/>
      <w:kern w:val="2"/>
      <w:sz w:val="24"/>
      <w:szCs w:val="21"/>
      <w:lang w:val="zh-CN"/>
    </w:rPr>
  </w:style>
  <w:style w:type="character" w:customStyle="1" w:styleId="541">
    <w:name w:val="blue1"/>
    <w:basedOn w:val="63"/>
    <w:qFormat/>
    <w:uiPriority w:val="0"/>
  </w:style>
  <w:style w:type="character" w:customStyle="1" w:styleId="542">
    <w:name w:val="正文 项目2 Char"/>
    <w:basedOn w:val="486"/>
    <w:qFormat/>
    <w:uiPriority w:val="0"/>
    <w:rPr>
      <w:rFonts w:ascii="仿宋_GB2312" w:hAnsi="仿宋_GB2312" w:eastAsia="仿宋_GB2312"/>
      <w:kern w:val="2"/>
      <w:sz w:val="24"/>
      <w:lang w:bidi="ar-SA"/>
    </w:rPr>
  </w:style>
  <w:style w:type="character" w:customStyle="1" w:styleId="543">
    <w:name w:val="solutionfonts"/>
    <w:qFormat/>
    <w:uiPriority w:val="0"/>
  </w:style>
  <w:style w:type="character" w:customStyle="1" w:styleId="544">
    <w:name w:val="Char Char81"/>
    <w:qFormat/>
    <w:uiPriority w:val="0"/>
    <w:rPr>
      <w:rFonts w:eastAsia="宋体"/>
      <w:b/>
      <w:sz w:val="24"/>
      <w:lang w:val="en-GB" w:eastAsia="zh-CN"/>
    </w:rPr>
  </w:style>
  <w:style w:type="character" w:customStyle="1" w:styleId="545">
    <w:name w:val="Char Char2"/>
    <w:qFormat/>
    <w:uiPriority w:val="0"/>
    <w:rPr>
      <w:rFonts w:eastAsia="宋体"/>
      <w:b/>
      <w:bCs/>
      <w:kern w:val="2"/>
      <w:sz w:val="21"/>
      <w:szCs w:val="24"/>
      <w:lang w:val="en-US" w:eastAsia="zh-CN" w:bidi="ar-SA"/>
    </w:rPr>
  </w:style>
  <w:style w:type="character" w:customStyle="1" w:styleId="546">
    <w:name w:val="HTML 预设格式 Char"/>
    <w:link w:val="60"/>
    <w:qFormat/>
    <w:uiPriority w:val="0"/>
    <w:rPr>
      <w:rFonts w:ascii="黑体" w:hAnsi="Courier New" w:eastAsia="黑体"/>
    </w:rPr>
  </w:style>
  <w:style w:type="character" w:customStyle="1" w:styleId="547">
    <w:name w:val="Heading 7 Char_fa55d133-0170-48ab-92f7-9f7fbc80b784"/>
    <w:qFormat/>
    <w:uiPriority w:val="0"/>
    <w:rPr>
      <w:rFonts w:ascii="宋体" w:hAnsi="宋体" w:eastAsia="宋体"/>
      <w:b/>
      <w:bCs/>
      <w:kern w:val="2"/>
      <w:sz w:val="24"/>
      <w:szCs w:val="24"/>
      <w:lang w:val="en-US" w:eastAsia="zh-CN" w:bidi="ar-SA"/>
    </w:rPr>
  </w:style>
  <w:style w:type="character" w:customStyle="1" w:styleId="548">
    <w:name w:val="正文首行缩进 Char"/>
    <w:link w:val="15"/>
    <w:qFormat/>
    <w:uiPriority w:val="0"/>
    <w:rPr>
      <w:rFonts w:ascii="宋体"/>
      <w:kern w:val="2"/>
      <w:sz w:val="24"/>
      <w:lang w:val="zh-CN"/>
    </w:rPr>
  </w:style>
  <w:style w:type="character" w:customStyle="1" w:styleId="549">
    <w:name w:val="标题 2 Char Char"/>
    <w:qFormat/>
    <w:uiPriority w:val="0"/>
    <w:rPr>
      <w:rFonts w:ascii="楷体_GB2312" w:hAnsi="Arial" w:eastAsia="楷体_GB2312"/>
      <w:b/>
      <w:bCs/>
      <w:kern w:val="2"/>
      <w:sz w:val="24"/>
      <w:szCs w:val="32"/>
      <w:lang w:val="en-US" w:eastAsia="zh-CN" w:bidi="ar-SA"/>
    </w:rPr>
  </w:style>
  <w:style w:type="character" w:customStyle="1" w:styleId="550">
    <w:name w:val="pt141"/>
    <w:qFormat/>
    <w:uiPriority w:val="0"/>
    <w:rPr>
      <w:color w:val="330066"/>
      <w:sz w:val="22"/>
      <w:szCs w:val="22"/>
    </w:rPr>
  </w:style>
  <w:style w:type="character" w:customStyle="1" w:styleId="551">
    <w:name w:val="h Char Char"/>
    <w:qFormat/>
    <w:uiPriority w:val="0"/>
    <w:rPr>
      <w:rFonts w:eastAsia="宋体"/>
      <w:kern w:val="2"/>
      <w:sz w:val="18"/>
      <w:lang w:val="en-US" w:eastAsia="zh-CN" w:bidi="ar-SA"/>
    </w:rPr>
  </w:style>
  <w:style w:type="character" w:customStyle="1" w:styleId="552">
    <w:name w:val="标题 1 Char"/>
    <w:link w:val="3"/>
    <w:qFormat/>
    <w:uiPriority w:val="0"/>
    <w:rPr>
      <w:b/>
      <w:bCs/>
      <w:kern w:val="44"/>
      <w:sz w:val="44"/>
      <w:szCs w:val="44"/>
    </w:rPr>
  </w:style>
  <w:style w:type="character" w:customStyle="1" w:styleId="553">
    <w:name w:val="页眉 Char"/>
    <w:qFormat/>
    <w:uiPriority w:val="0"/>
    <w:rPr>
      <w:rFonts w:eastAsia="仿宋_GB2312"/>
      <w:kern w:val="2"/>
      <w:sz w:val="18"/>
      <w:lang w:val="en-US" w:eastAsia="zh-CN"/>
    </w:rPr>
  </w:style>
  <w:style w:type="character" w:customStyle="1" w:styleId="554">
    <w:name w:val="b11_01b Char"/>
    <w:link w:val="412"/>
    <w:qFormat/>
    <w:uiPriority w:val="0"/>
    <w:rPr>
      <w:rFonts w:ascii="Verdana" w:hAnsi="Verdana"/>
      <w:b/>
      <w:bCs/>
      <w:color w:val="4A82CA"/>
      <w:sz w:val="17"/>
      <w:szCs w:val="17"/>
    </w:rPr>
  </w:style>
  <w:style w:type="character" w:customStyle="1" w:styleId="555">
    <w:name w:val="标题4-dyf Char"/>
    <w:link w:val="350"/>
    <w:qFormat/>
    <w:uiPriority w:val="0"/>
    <w:rPr>
      <w:rFonts w:ascii="Cambria" w:hAnsi="Cambria"/>
      <w:b/>
      <w:bCs/>
      <w:color w:val="000000"/>
      <w:kern w:val="2"/>
      <w:sz w:val="21"/>
      <w:szCs w:val="21"/>
    </w:rPr>
  </w:style>
  <w:style w:type="character" w:customStyle="1" w:styleId="556">
    <w:name w:val="批注主题 Char"/>
    <w:qFormat/>
    <w:uiPriority w:val="0"/>
    <w:rPr>
      <w:rFonts w:eastAsia="宋体"/>
      <w:b/>
      <w:bCs/>
      <w:kern w:val="2"/>
      <w:sz w:val="21"/>
      <w:szCs w:val="24"/>
      <w:lang w:val="en-US" w:eastAsia="zh-CN" w:bidi="ar-SA"/>
    </w:rPr>
  </w:style>
  <w:style w:type="character" w:customStyle="1" w:styleId="557">
    <w:name w:val="标题 3 Char1"/>
    <w:qFormat/>
    <w:uiPriority w:val="0"/>
    <w:rPr>
      <w:rFonts w:hint="eastAsia" w:ascii="华文中宋" w:hAnsi="华文中宋" w:eastAsia="华文中宋"/>
      <w:b/>
      <w:bCs/>
      <w:kern w:val="2"/>
      <w:sz w:val="32"/>
      <w:szCs w:val="32"/>
      <w:lang w:val="en-US" w:eastAsia="zh-CN" w:bidi="ar-SA"/>
    </w:rPr>
  </w:style>
  <w:style w:type="character" w:customStyle="1" w:styleId="558">
    <w:name w:val="正文首行缩进两字 Char"/>
    <w:qFormat/>
    <w:uiPriority w:val="0"/>
    <w:rPr>
      <w:sz w:val="24"/>
      <w:szCs w:val="24"/>
      <w:lang w:val="en-US" w:eastAsia="zh-CN" w:bidi="ar-SA"/>
    </w:rPr>
  </w:style>
  <w:style w:type="character" w:customStyle="1" w:styleId="559">
    <w:name w:val="Char Char51"/>
    <w:qFormat/>
    <w:uiPriority w:val="0"/>
    <w:rPr>
      <w:rFonts w:ascii="宋体" w:hAnsi="Courier New" w:eastAsia="宋体"/>
      <w:kern w:val="2"/>
      <w:sz w:val="21"/>
      <w:lang w:val="en-US" w:eastAsia="zh-CN"/>
    </w:rPr>
  </w:style>
  <w:style w:type="character" w:customStyle="1" w:styleId="560">
    <w:name w:val="带编号样式 Char"/>
    <w:qFormat/>
    <w:uiPriority w:val="0"/>
    <w:rPr>
      <w:rFonts w:ascii="仿宋_GB2312" w:eastAsia="仿宋_GB2312"/>
      <w:color w:val="000000"/>
      <w:sz w:val="24"/>
      <w:lang w:bidi="ar-SA"/>
    </w:rPr>
  </w:style>
  <w:style w:type="character" w:customStyle="1" w:styleId="561">
    <w:name w:val="样式4 Char"/>
    <w:qFormat/>
    <w:uiPriority w:val="0"/>
    <w:rPr>
      <w:rFonts w:ascii="仿宋_GB2312" w:hAnsi="仿宋" w:eastAsia="仿宋_GB2312"/>
      <w:b/>
      <w:kern w:val="2"/>
      <w:sz w:val="32"/>
      <w:szCs w:val="32"/>
      <w:lang w:bidi="ar-SA"/>
    </w:rPr>
  </w:style>
  <w:style w:type="character" w:customStyle="1" w:styleId="562">
    <w:name w:val="样式 标题 4h4H4Fab-4T5Ref Heading 1rh1Heading sqlsect 1.2.3.... Char"/>
    <w:link w:val="175"/>
    <w:qFormat/>
    <w:uiPriority w:val="0"/>
    <w:rPr>
      <w:rFonts w:ascii="微软雅黑" w:hAnsi="微软雅黑" w:eastAsia="微软雅黑"/>
      <w:b/>
      <w:bCs/>
      <w:kern w:val="2"/>
      <w:sz w:val="24"/>
      <w:szCs w:val="28"/>
    </w:rPr>
  </w:style>
  <w:style w:type="character" w:customStyle="1" w:styleId="563">
    <w:name w:val="PI Char"/>
    <w:qFormat/>
    <w:uiPriority w:val="0"/>
    <w:rPr>
      <w:rFonts w:ascii="宋体" w:hAnsi="宋体" w:eastAsia="宋体"/>
      <w:kern w:val="2"/>
      <w:sz w:val="24"/>
      <w:szCs w:val="24"/>
      <w:lang w:val="en-US" w:eastAsia="zh-CN" w:bidi="ar-SA"/>
    </w:rPr>
  </w:style>
  <w:style w:type="character" w:customStyle="1" w:styleId="564">
    <w:name w:val="Char Char111"/>
    <w:qFormat/>
    <w:uiPriority w:val="0"/>
    <w:rPr>
      <w:rFonts w:ascii="宋体" w:hAnsi="宋体" w:eastAsia="宋体"/>
      <w:b/>
      <w:kern w:val="2"/>
      <w:sz w:val="24"/>
      <w:szCs w:val="24"/>
      <w:lang w:val="en-US" w:eastAsia="zh-CN" w:bidi="ar-SA"/>
    </w:rPr>
  </w:style>
  <w:style w:type="character" w:customStyle="1" w:styleId="565">
    <w:name w:val="Document Map Char"/>
    <w:qFormat/>
    <w:uiPriority w:val="0"/>
    <w:rPr>
      <w:rFonts w:eastAsia="宋体"/>
      <w:kern w:val="2"/>
      <w:sz w:val="21"/>
      <w:szCs w:val="24"/>
      <w:lang w:val="en-US" w:eastAsia="zh-CN" w:bidi="ar-SA"/>
    </w:rPr>
  </w:style>
  <w:style w:type="character" w:customStyle="1" w:styleId="566">
    <w:name w:val="正文文本缩进 Char"/>
    <w:qFormat/>
    <w:uiPriority w:val="0"/>
    <w:rPr>
      <w:rFonts w:ascii="宋体" w:hAnsi="宋体"/>
      <w:kern w:val="2"/>
      <w:sz w:val="24"/>
      <w:szCs w:val="24"/>
    </w:rPr>
  </w:style>
  <w:style w:type="character" w:customStyle="1" w:styleId="567">
    <w:name w:val="文本正文 Char Char"/>
    <w:qFormat/>
    <w:uiPriority w:val="0"/>
    <w:rPr>
      <w:sz w:val="24"/>
      <w:lang w:bidi="ar-SA"/>
    </w:rPr>
  </w:style>
  <w:style w:type="character" w:customStyle="1" w:styleId="568">
    <w:name w:val="样式7 Char"/>
    <w:qFormat/>
    <w:uiPriority w:val="0"/>
    <w:rPr>
      <w:rFonts w:ascii="仿宋_GB2312" w:hAnsi="仿宋" w:eastAsia="仿宋_GB2312"/>
      <w:b/>
      <w:kern w:val="2"/>
      <w:sz w:val="24"/>
      <w:szCs w:val="24"/>
    </w:rPr>
  </w:style>
  <w:style w:type="character" w:customStyle="1" w:styleId="569">
    <w:name w:val="样式3 Char"/>
    <w:basedOn w:val="570"/>
    <w:qFormat/>
    <w:uiPriority w:val="0"/>
    <w:rPr>
      <w:rFonts w:ascii="仿宋_GB2312" w:hAnsi="仿宋" w:eastAsia="仿宋_GB2312" w:cs="仿宋_GB2312"/>
      <w:sz w:val="32"/>
      <w:szCs w:val="30"/>
      <w:lang w:val="zh-CN"/>
    </w:rPr>
  </w:style>
  <w:style w:type="character" w:customStyle="1" w:styleId="570">
    <w:name w:val="样式2 Char"/>
    <w:qFormat/>
    <w:uiPriority w:val="0"/>
    <w:rPr>
      <w:rFonts w:ascii="仿宋_GB2312" w:hAnsi="仿宋" w:eastAsia="仿宋_GB2312" w:cs="仿宋_GB2312"/>
      <w:b/>
      <w:bCs/>
      <w:sz w:val="32"/>
      <w:szCs w:val="30"/>
      <w:lang w:val="zh-CN"/>
    </w:rPr>
  </w:style>
  <w:style w:type="character" w:customStyle="1" w:styleId="571">
    <w:name w:val="二级标题 Char Char"/>
    <w:qFormat/>
    <w:uiPriority w:val="0"/>
    <w:rPr>
      <w:rFonts w:ascii="宋体" w:hAnsi="宋体" w:eastAsia="宋体"/>
      <w:b/>
      <w:snapToGrid w:val="0"/>
      <w:kern w:val="2"/>
      <w:sz w:val="24"/>
      <w:szCs w:val="24"/>
      <w:lang w:val="en-US" w:eastAsia="zh-CN" w:bidi="ar-SA"/>
    </w:rPr>
  </w:style>
  <w:style w:type="character" w:customStyle="1" w:styleId="572">
    <w:name w:val="Table Text Char1"/>
    <w:qFormat/>
    <w:uiPriority w:val="0"/>
    <w:rPr>
      <w:rFonts w:eastAsia="宋体"/>
      <w:sz w:val="24"/>
      <w:szCs w:val="24"/>
      <w:lang w:val="en-US" w:eastAsia="zh-CN" w:bidi="ar-SA"/>
    </w:rPr>
  </w:style>
  <w:style w:type="character" w:customStyle="1" w:styleId="573">
    <w:name w:val="shadow11"/>
    <w:qFormat/>
    <w:uiPriority w:val="0"/>
    <w:rPr>
      <w:color w:val="000000"/>
      <w:sz w:val="21"/>
    </w:rPr>
  </w:style>
  <w:style w:type="character" w:customStyle="1" w:styleId="574">
    <w:name w:val="HTML 地址 Char"/>
    <w:link w:val="33"/>
    <w:qFormat/>
    <w:uiPriority w:val="0"/>
    <w:rPr>
      <w:rFonts w:ascii="宋体" w:hAnsi="宋体"/>
      <w:i/>
      <w:iCs/>
      <w:sz w:val="24"/>
      <w:szCs w:val="24"/>
    </w:rPr>
  </w:style>
  <w:style w:type="character" w:customStyle="1" w:styleId="575">
    <w:name w:val="Char Char22"/>
    <w:qFormat/>
    <w:uiPriority w:val="0"/>
    <w:rPr>
      <w:rFonts w:eastAsia="宋体"/>
      <w:b/>
      <w:bCs/>
      <w:kern w:val="2"/>
      <w:sz w:val="21"/>
      <w:szCs w:val="24"/>
      <w:lang w:val="en-US" w:eastAsia="zh-CN" w:bidi="ar-SA"/>
    </w:rPr>
  </w:style>
  <w:style w:type="character" w:customStyle="1" w:styleId="576">
    <w:name w:val="标题 5 Char"/>
    <w:link w:val="7"/>
    <w:qFormat/>
    <w:uiPriority w:val="0"/>
    <w:rPr>
      <w:b/>
      <w:bCs/>
      <w:kern w:val="2"/>
      <w:sz w:val="28"/>
      <w:szCs w:val="28"/>
    </w:rPr>
  </w:style>
  <w:style w:type="character" w:customStyle="1" w:styleId="577">
    <w:name w:val="h3 Char1"/>
    <w:qFormat/>
    <w:uiPriority w:val="0"/>
    <w:rPr>
      <w:rFonts w:eastAsia="宋体"/>
      <w:b/>
      <w:bCs/>
      <w:kern w:val="2"/>
      <w:sz w:val="32"/>
      <w:szCs w:val="32"/>
      <w:lang w:bidi="ar-SA"/>
    </w:rPr>
  </w:style>
  <w:style w:type="character" w:customStyle="1" w:styleId="578">
    <w:name w:val="FA正文 Char Char"/>
    <w:qFormat/>
    <w:uiPriority w:val="0"/>
    <w:rPr>
      <w:rFonts w:hAnsi="宋体"/>
      <w:kern w:val="2"/>
      <w:sz w:val="24"/>
      <w:lang w:bidi="ar-SA"/>
    </w:rPr>
  </w:style>
  <w:style w:type="character" w:customStyle="1" w:styleId="579">
    <w:name w:val="Char Char7"/>
    <w:qFormat/>
    <w:uiPriority w:val="0"/>
    <w:rPr>
      <w:rFonts w:eastAsia="宋体"/>
      <w:kern w:val="2"/>
      <w:sz w:val="21"/>
      <w:szCs w:val="24"/>
      <w:lang w:val="en-US" w:eastAsia="zh-CN" w:bidi="ar-SA"/>
    </w:rPr>
  </w:style>
  <w:style w:type="character" w:customStyle="1" w:styleId="580">
    <w:name w:val="hui"/>
    <w:basedOn w:val="63"/>
    <w:qFormat/>
    <w:uiPriority w:val="0"/>
  </w:style>
  <w:style w:type="character" w:customStyle="1" w:styleId="581">
    <w:name w:val="正文缩进 Char"/>
    <w:qFormat/>
    <w:uiPriority w:val="0"/>
    <w:rPr>
      <w:rFonts w:eastAsia="宋体"/>
      <w:kern w:val="2"/>
      <w:sz w:val="21"/>
      <w:lang w:val="en-US" w:eastAsia="zh-CN"/>
    </w:rPr>
  </w:style>
  <w:style w:type="character" w:customStyle="1" w:styleId="582">
    <w:name w:val="正文1 Char"/>
    <w:qFormat/>
    <w:uiPriority w:val="0"/>
    <w:rPr>
      <w:rFonts w:ascii="宋体" w:eastAsia="宋体"/>
      <w:snapToGrid w:val="0"/>
      <w:color w:val="000000"/>
      <w:kern w:val="28"/>
      <w:sz w:val="28"/>
      <w:lang w:val="en-US" w:eastAsia="zh-CN" w:bidi="ar-SA"/>
    </w:rPr>
  </w:style>
  <w:style w:type="character" w:customStyle="1" w:styleId="583">
    <w:name w:val="Char Char61"/>
    <w:qFormat/>
    <w:uiPriority w:val="0"/>
    <w:rPr>
      <w:rFonts w:eastAsia="宋体"/>
      <w:kern w:val="2"/>
      <w:sz w:val="21"/>
      <w:szCs w:val="24"/>
      <w:lang w:val="en-US" w:eastAsia="zh-CN" w:bidi="ar-SA"/>
    </w:rPr>
  </w:style>
  <w:style w:type="character" w:customStyle="1" w:styleId="584">
    <w:name w:val="正文文本 3 Char"/>
    <w:link w:val="27"/>
    <w:qFormat/>
    <w:uiPriority w:val="0"/>
    <w:rPr>
      <w:kern w:val="2"/>
      <w:sz w:val="21"/>
    </w:rPr>
  </w:style>
  <w:style w:type="character" w:customStyle="1" w:styleId="585">
    <w:name w:val="message1"/>
    <w:qFormat/>
    <w:uiPriority w:val="0"/>
    <w:rPr>
      <w:rFonts w:hint="default" w:ascii="Tahoma" w:hAnsi="Tahoma" w:cs="Tahoma"/>
      <w:sz w:val="18"/>
      <w:szCs w:val="18"/>
    </w:rPr>
  </w:style>
  <w:style w:type="character" w:customStyle="1" w:styleId="586">
    <w:name w:val="DO_NOT_TRANSLATE"/>
    <w:qFormat/>
    <w:uiPriority w:val="0"/>
    <w:rPr>
      <w:rFonts w:ascii="Courier New" w:hAnsi="Courier New" w:cs="Courier New"/>
      <w:color w:val="800000"/>
    </w:rPr>
  </w:style>
  <w:style w:type="character" w:customStyle="1" w:styleId="587">
    <w:name w:val="unnamed11"/>
    <w:qFormat/>
    <w:uiPriority w:val="0"/>
    <w:rPr>
      <w:sz w:val="20"/>
      <w:szCs w:val="20"/>
    </w:rPr>
  </w:style>
  <w:style w:type="character" w:customStyle="1" w:styleId="588">
    <w:name w:val="tw4winInternal"/>
    <w:qFormat/>
    <w:uiPriority w:val="0"/>
    <w:rPr>
      <w:rFonts w:ascii="Courier New" w:hAnsi="Courier New" w:cs="Courier New"/>
      <w:color w:val="FF0000"/>
    </w:rPr>
  </w:style>
  <w:style w:type="character" w:customStyle="1" w:styleId="589">
    <w:name w:val="正文（缩进2汉字） Char"/>
    <w:link w:val="329"/>
    <w:qFormat/>
    <w:uiPriority w:val="0"/>
    <w:rPr>
      <w:rFonts w:ascii="宋体"/>
    </w:rPr>
  </w:style>
  <w:style w:type="character" w:customStyle="1" w:styleId="590">
    <w:name w:val="页脚 Char"/>
    <w:qFormat/>
    <w:uiPriority w:val="0"/>
    <w:rPr>
      <w:rFonts w:eastAsia="仿宋_GB2312"/>
      <w:kern w:val="2"/>
      <w:sz w:val="18"/>
      <w:lang w:val="en-US" w:eastAsia="zh-CN"/>
    </w:rPr>
  </w:style>
  <w:style w:type="character" w:customStyle="1" w:styleId="591">
    <w:name w:val="正文文本缩进 3 Char"/>
    <w:link w:val="56"/>
    <w:qFormat/>
    <w:uiPriority w:val="0"/>
    <w:rPr>
      <w:kern w:val="2"/>
      <w:sz w:val="24"/>
    </w:rPr>
  </w:style>
  <w:style w:type="character" w:customStyle="1" w:styleId="592">
    <w:name w:val="正文缩进 Char1"/>
    <w:qFormat/>
    <w:uiPriority w:val="0"/>
    <w:rPr>
      <w:rFonts w:ascii="宋体" w:eastAsia="宋体"/>
      <w:snapToGrid w:val="0"/>
      <w:color w:val="000000"/>
      <w:kern w:val="28"/>
      <w:sz w:val="28"/>
      <w:lang w:val="en-US" w:eastAsia="zh-CN" w:bidi="ar-SA"/>
    </w:rPr>
  </w:style>
  <w:style w:type="character" w:customStyle="1" w:styleId="593">
    <w:name w:val="style36"/>
    <w:basedOn w:val="63"/>
    <w:qFormat/>
    <w:uiPriority w:val="0"/>
  </w:style>
  <w:style w:type="character" w:customStyle="1" w:styleId="594">
    <w:name w:val="hui3"/>
    <w:qFormat/>
    <w:uiPriority w:val="0"/>
    <w:rPr>
      <w:color w:val="333333"/>
    </w:rPr>
  </w:style>
  <w:style w:type="character" w:customStyle="1" w:styleId="595">
    <w:name w:val="apple-converted-space"/>
    <w:qFormat/>
    <w:uiPriority w:val="0"/>
  </w:style>
  <w:style w:type="character" w:customStyle="1" w:styleId="596">
    <w:name w:val="文档结构图 Char"/>
    <w:qFormat/>
    <w:uiPriority w:val="0"/>
    <w:rPr>
      <w:rFonts w:eastAsia="宋体"/>
      <w:kern w:val="2"/>
      <w:sz w:val="21"/>
      <w:szCs w:val="24"/>
      <w:lang w:val="en-US" w:eastAsia="zh-CN" w:bidi="ar-SA"/>
    </w:rPr>
  </w:style>
  <w:style w:type="character" w:customStyle="1" w:styleId="597">
    <w:name w:val="正文非缩进 Char3"/>
    <w:qFormat/>
    <w:uiPriority w:val="0"/>
    <w:rPr>
      <w:rFonts w:ascii="宋体" w:eastAsia="宋体"/>
      <w:snapToGrid w:val="0"/>
      <w:color w:val="000000"/>
      <w:kern w:val="28"/>
      <w:sz w:val="28"/>
      <w:lang w:val="en-US" w:eastAsia="zh-CN" w:bidi="ar-SA"/>
    </w:rPr>
  </w:style>
  <w:style w:type="character" w:customStyle="1" w:styleId="598">
    <w:name w:val="dectext1"/>
    <w:qFormat/>
    <w:uiPriority w:val="0"/>
    <w:rPr>
      <w:rFonts w:ascii="宋体" w:hAnsi="宋体" w:eastAsia="宋体"/>
      <w:color w:val="333333"/>
      <w:sz w:val="21"/>
      <w:szCs w:val="21"/>
      <w:u w:val="none"/>
    </w:rPr>
  </w:style>
  <w:style w:type="character" w:customStyle="1" w:styleId="599">
    <w:name w:val="副标题 Char1"/>
    <w:qFormat/>
    <w:uiPriority w:val="0"/>
    <w:rPr>
      <w:rFonts w:ascii="Cambria" w:hAnsi="Cambria" w:eastAsia="宋体" w:cs="Times New Roman"/>
      <w:b/>
      <w:bCs/>
      <w:snapToGrid w:val="0"/>
      <w:kern w:val="28"/>
      <w:sz w:val="32"/>
      <w:szCs w:val="32"/>
    </w:rPr>
  </w:style>
  <w:style w:type="character" w:customStyle="1" w:styleId="600">
    <w:name w:val="f141"/>
    <w:qFormat/>
    <w:uiPriority w:val="0"/>
    <w:rPr>
      <w:rFonts w:ascii="Tahoma" w:hAnsi="Tahoma" w:eastAsia="宋体"/>
      <w:b/>
      <w:kern w:val="2"/>
      <w:sz w:val="21"/>
      <w:szCs w:val="21"/>
      <w:lang w:val="en-US" w:eastAsia="zh-CN" w:bidi="ar-SA"/>
    </w:rPr>
  </w:style>
  <w:style w:type="character" w:customStyle="1" w:styleId="601">
    <w:name w:val="日期 Char"/>
    <w:link w:val="39"/>
    <w:qFormat/>
    <w:uiPriority w:val="0"/>
    <w:rPr>
      <w:rFonts w:ascii="宋体"/>
      <w:kern w:val="2"/>
      <w:sz w:val="24"/>
      <w:szCs w:val="21"/>
      <w:lang w:val="zh-CN"/>
    </w:rPr>
  </w:style>
  <w:style w:type="character" w:customStyle="1" w:styleId="602">
    <w:name w:val="标题 4 Char"/>
    <w:link w:val="6"/>
    <w:qFormat/>
    <w:uiPriority w:val="0"/>
    <w:rPr>
      <w:rFonts w:ascii="Arial" w:hAnsi="Arial" w:eastAsia="黑体"/>
      <w:b/>
      <w:bCs/>
      <w:kern w:val="2"/>
      <w:sz w:val="28"/>
      <w:szCs w:val="28"/>
      <w:lang w:val="zh-CN"/>
    </w:rPr>
  </w:style>
  <w:style w:type="character" w:customStyle="1" w:styleId="603">
    <w:name w:val="链接"/>
    <w:qFormat/>
    <w:uiPriority w:val="0"/>
    <w:rPr>
      <w:color w:val="0000FF"/>
      <w:sz w:val="21"/>
      <w:szCs w:val="21"/>
      <w:u w:val="single"/>
    </w:rPr>
  </w:style>
  <w:style w:type="character" w:customStyle="1" w:styleId="604">
    <w:name w:val="正文首行缩进 Char Char Char Char Char Char"/>
    <w:qFormat/>
    <w:uiPriority w:val="0"/>
    <w:rPr>
      <w:rFonts w:ascii="宋体" w:eastAsia="宋体"/>
      <w:kern w:val="2"/>
      <w:sz w:val="24"/>
      <w:lang w:val="zh-CN" w:bidi="ar-SA"/>
    </w:rPr>
  </w:style>
  <w:style w:type="character" w:customStyle="1" w:styleId="605">
    <w:name w:val="tw4winError"/>
    <w:qFormat/>
    <w:uiPriority w:val="0"/>
    <w:rPr>
      <w:rFonts w:ascii="Courier New" w:hAnsi="Courier New" w:cs="Courier New"/>
      <w:color w:val="00FF00"/>
      <w:sz w:val="40"/>
      <w:szCs w:val="40"/>
    </w:rPr>
  </w:style>
  <w:style w:type="character" w:customStyle="1" w:styleId="606">
    <w:name w:val="Used by Word for text of Help footnotes Char Char"/>
    <w:qFormat/>
    <w:uiPriority w:val="0"/>
    <w:rPr>
      <w:rFonts w:ascii="Times New Roman" w:hAnsi="Times New Roman" w:eastAsia="宋体" w:cs="Times New Roman"/>
      <w:sz w:val="20"/>
      <w:szCs w:val="20"/>
    </w:rPr>
  </w:style>
  <w:style w:type="character" w:customStyle="1" w:styleId="607">
    <w:name w:val="Char Char31"/>
    <w:qFormat/>
    <w:uiPriority w:val="0"/>
    <w:rPr>
      <w:rFonts w:ascii="Times New Roman" w:hAnsi="Times New Roman" w:eastAsia="宋体" w:cs="Times New Roman"/>
      <w:b/>
      <w:kern w:val="2"/>
      <w:sz w:val="32"/>
      <w:szCs w:val="24"/>
      <w:lang w:val="en-US" w:eastAsia="zh-CN" w:bidi="ar-SA"/>
    </w:rPr>
  </w:style>
  <w:style w:type="character" w:customStyle="1" w:styleId="608">
    <w:name w:val="表正文 Char"/>
    <w:qFormat/>
    <w:uiPriority w:val="0"/>
    <w:rPr>
      <w:rFonts w:ascii="宋体" w:eastAsia="宋体"/>
      <w:snapToGrid w:val="0"/>
      <w:color w:val="000000"/>
      <w:kern w:val="28"/>
      <w:sz w:val="28"/>
      <w:lang w:val="en-US" w:eastAsia="zh-CN" w:bidi="ar-SA"/>
    </w:rPr>
  </w:style>
  <w:style w:type="character" w:customStyle="1" w:styleId="609">
    <w:name w:val="普通文字 Char1 Char"/>
    <w:qFormat/>
    <w:uiPriority w:val="0"/>
    <w:rPr>
      <w:rFonts w:ascii="宋体" w:hAnsi="Courier New" w:eastAsia="宋体"/>
      <w:kern w:val="2"/>
      <w:sz w:val="21"/>
      <w:szCs w:val="24"/>
      <w:lang w:val="en-US" w:eastAsia="zh-CN" w:bidi="ar-SA"/>
    </w:rPr>
  </w:style>
  <w:style w:type="character" w:customStyle="1" w:styleId="610">
    <w:name w:val="pt9"/>
    <w:qFormat/>
    <w:uiPriority w:val="0"/>
    <w:rPr>
      <w:rFonts w:ascii="仿宋_GB2312" w:eastAsia="微软雅黑"/>
      <w:b/>
      <w:kern w:val="2"/>
      <w:sz w:val="32"/>
      <w:szCs w:val="32"/>
      <w:lang w:val="en-US" w:eastAsia="zh-CN" w:bidi="ar-SA"/>
    </w:rPr>
  </w:style>
  <w:style w:type="character" w:customStyle="1" w:styleId="611">
    <w:name w:val="large1"/>
    <w:qFormat/>
    <w:uiPriority w:val="0"/>
    <w:rPr>
      <w:rFonts w:hint="eastAsia" w:ascii="宋体" w:hAnsi="宋体" w:eastAsia="宋体"/>
      <w:sz w:val="21"/>
      <w:szCs w:val="21"/>
    </w:rPr>
  </w:style>
  <w:style w:type="character" w:customStyle="1" w:styleId="612">
    <w:name w:val="样式 样式 标题 4h4H4Fab-4T5Ref Heading 1rh1Heading sqlsect 1.2.3.... +... Char"/>
    <w:link w:val="174"/>
    <w:qFormat/>
    <w:uiPriority w:val="0"/>
    <w:rPr>
      <w:rFonts w:ascii="微软雅黑" w:hAnsi="微软雅黑" w:eastAsia="微软雅黑"/>
      <w:b/>
      <w:bCs/>
      <w:kern w:val="2"/>
      <w:sz w:val="24"/>
      <w:szCs w:val="28"/>
    </w:rPr>
  </w:style>
  <w:style w:type="character" w:customStyle="1" w:styleId="613">
    <w:name w:val="标题 4 Char1"/>
    <w:qFormat/>
    <w:uiPriority w:val="9"/>
    <w:rPr>
      <w:rFonts w:ascii="Cambria" w:hAnsi="Cambria" w:eastAsia="宋体" w:cs="Times New Roman"/>
      <w:b/>
      <w:bCs/>
      <w:kern w:val="2"/>
      <w:sz w:val="28"/>
      <w:szCs w:val="28"/>
    </w:rPr>
  </w:style>
  <w:style w:type="character" w:customStyle="1" w:styleId="614">
    <w:name w:val="tw4winPopup"/>
    <w:qFormat/>
    <w:uiPriority w:val="0"/>
    <w:rPr>
      <w:rFonts w:ascii="Courier New" w:hAnsi="Courier New" w:cs="Courier New"/>
      <w:color w:val="008000"/>
    </w:rPr>
  </w:style>
  <w:style w:type="character" w:customStyle="1" w:styleId="615">
    <w:name w:val="标题 6 Char"/>
    <w:link w:val="8"/>
    <w:qFormat/>
    <w:uiPriority w:val="0"/>
    <w:rPr>
      <w:rFonts w:ascii="Arial" w:hAnsi="Arial" w:eastAsia="黑体"/>
      <w:b/>
      <w:bCs/>
      <w:kern w:val="2"/>
      <w:sz w:val="24"/>
      <w:szCs w:val="24"/>
    </w:rPr>
  </w:style>
  <w:style w:type="character" w:customStyle="1" w:styleId="616">
    <w:name w:val="正文缩进 Char2"/>
    <w:link w:val="22"/>
    <w:qFormat/>
    <w:uiPriority w:val="0"/>
    <w:rPr>
      <w:rFonts w:ascii="宋体" w:eastAsia="宋体"/>
      <w:snapToGrid w:val="0"/>
      <w:color w:val="000000"/>
      <w:kern w:val="28"/>
      <w:sz w:val="28"/>
      <w:lang w:val="en-US" w:eastAsia="zh-CN" w:bidi="ar-SA"/>
    </w:rPr>
  </w:style>
  <w:style w:type="character" w:customStyle="1" w:styleId="617">
    <w:name w:val="批注文字 Char1"/>
    <w:link w:val="13"/>
    <w:qFormat/>
    <w:uiPriority w:val="99"/>
    <w:rPr>
      <w:kern w:val="2"/>
      <w:sz w:val="21"/>
      <w:szCs w:val="24"/>
    </w:rPr>
  </w:style>
  <w:style w:type="character" w:customStyle="1" w:styleId="618">
    <w:name w:val="批注框文本 Char"/>
    <w:link w:val="41"/>
    <w:qFormat/>
    <w:uiPriority w:val="0"/>
    <w:rPr>
      <w:kern w:val="2"/>
      <w:sz w:val="18"/>
      <w:szCs w:val="18"/>
    </w:rPr>
  </w:style>
  <w:style w:type="character" w:customStyle="1" w:styleId="619">
    <w:name w:val="Footer Char_6398a1da-ec6a-4b45-8ddd-15b4e5024645"/>
    <w:qFormat/>
    <w:uiPriority w:val="0"/>
    <w:rPr>
      <w:rFonts w:eastAsia="宋体"/>
      <w:kern w:val="2"/>
      <w:sz w:val="18"/>
      <w:lang w:val="en-US" w:eastAsia="zh-CN" w:bidi="ar-SA"/>
    </w:rPr>
  </w:style>
  <w:style w:type="paragraph" w:customStyle="1" w:styleId="620">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21">
    <w:name w:val="索引 11"/>
    <w:basedOn w:val="1"/>
    <w:next w:val="1"/>
    <w:qFormat/>
    <w:uiPriority w:val="0"/>
    <w:pPr>
      <w:adjustRightInd/>
      <w:spacing w:line="360" w:lineRule="auto"/>
    </w:pPr>
    <w:rPr>
      <w:rFonts w:ascii="仿宋_GB2312" w:eastAsia="仿宋_GB2312"/>
      <w:sz w:val="24"/>
      <w:szCs w:val="20"/>
    </w:rPr>
  </w:style>
  <w:style w:type="paragraph" w:customStyle="1" w:styleId="622">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623">
    <w:name w:val="纯文本_0_0"/>
    <w:basedOn w:val="624"/>
    <w:link w:val="625"/>
    <w:qFormat/>
    <w:uiPriority w:val="0"/>
    <w:rPr>
      <w:rFonts w:ascii="宋体" w:hAnsi="Courier New"/>
      <w:szCs w:val="21"/>
    </w:rPr>
  </w:style>
  <w:style w:type="paragraph" w:customStyle="1" w:styleId="624">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25">
    <w:name w:val="纯文本 Char_0"/>
    <w:link w:val="623"/>
    <w:qFormat/>
    <w:uiPriority w:val="0"/>
    <w:rPr>
      <w:rFonts w:ascii="宋体" w:hAnsi="Courier New"/>
      <w:kern w:val="2"/>
      <w:sz w:val="21"/>
      <w:szCs w:val="21"/>
      <w:lang w:val="en-US" w:eastAsia="zh-CN"/>
    </w:rPr>
  </w:style>
  <w:style w:type="character" w:customStyle="1" w:styleId="626">
    <w:name w:val="纯文本 Char1"/>
    <w:link w:val="627"/>
    <w:qFormat/>
    <w:uiPriority w:val="0"/>
    <w:rPr>
      <w:rFonts w:ascii="宋体" w:hAnsi="Courier New"/>
    </w:rPr>
  </w:style>
  <w:style w:type="paragraph" w:customStyle="1" w:styleId="627">
    <w:name w:val="纯文本1"/>
    <w:basedOn w:val="1"/>
    <w:link w:val="626"/>
    <w:qFormat/>
    <w:uiPriority w:val="0"/>
    <w:pPr>
      <w:adjustRightInd/>
    </w:pPr>
    <w:rPr>
      <w:rFonts w:ascii="宋体" w:hAnsi="Courier New"/>
      <w:kern w:val="0"/>
      <w:sz w:val="20"/>
      <w:szCs w:val="20"/>
    </w:rPr>
  </w:style>
  <w:style w:type="paragraph" w:customStyle="1" w:styleId="628">
    <w:name w:val="Char Char Char Char Char Char Char2"/>
    <w:basedOn w:val="1"/>
    <w:qFormat/>
    <w:uiPriority w:val="0"/>
    <w:rPr>
      <w:rFonts w:ascii="仿宋_GB2312" w:eastAsia="仿宋_GB2312"/>
      <w:b/>
      <w:sz w:val="32"/>
      <w:szCs w:val="32"/>
    </w:rPr>
  </w:style>
  <w:style w:type="paragraph" w:customStyle="1" w:styleId="629">
    <w:name w:val="Char Char1 Char Char Char Char Char Char2"/>
    <w:basedOn w:val="1"/>
    <w:qFormat/>
    <w:uiPriority w:val="0"/>
    <w:rPr>
      <w:rFonts w:ascii="仿宋_GB2312" w:eastAsia="仿宋_GB2312"/>
      <w:b/>
      <w:sz w:val="32"/>
      <w:szCs w:val="20"/>
    </w:rPr>
  </w:style>
  <w:style w:type="paragraph" w:customStyle="1" w:styleId="630">
    <w:name w:val="修订1"/>
    <w:qFormat/>
    <w:uiPriority w:val="99"/>
    <w:rPr>
      <w:rFonts w:ascii="Times New Roman" w:hAnsi="Times New Roman" w:eastAsia="宋体" w:cs="Times New Roman"/>
      <w:kern w:val="2"/>
      <w:sz w:val="21"/>
      <w:szCs w:val="24"/>
      <w:lang w:val="en-US" w:eastAsia="zh-CN" w:bidi="ar-SA"/>
    </w:rPr>
  </w:style>
  <w:style w:type="character" w:customStyle="1" w:styleId="631">
    <w:name w:val="Default Char"/>
    <w:link w:val="17"/>
    <w:qFormat/>
    <w:uiPriority w:val="0"/>
    <w:rPr>
      <w:rFonts w:ascii="仿宋_GB2312" w:eastAsia="仿宋_GB2312" w:cs="仿宋_GB2312"/>
      <w:color w:val="000000"/>
      <w:sz w:val="24"/>
      <w:szCs w:val="24"/>
    </w:rPr>
  </w:style>
  <w:style w:type="character" w:customStyle="1" w:styleId="632">
    <w:name w:val="font61"/>
    <w:basedOn w:val="63"/>
    <w:qFormat/>
    <w:uiPriority w:val="0"/>
    <w:rPr>
      <w:rFonts w:hint="eastAsia" w:ascii="仿宋" w:hAnsi="仿宋" w:eastAsia="仿宋" w:cs="仿宋"/>
      <w:snapToGrid w:val="0"/>
      <w:color w:val="000000"/>
      <w:kern w:val="0"/>
      <w:sz w:val="20"/>
      <w:szCs w:val="20"/>
      <w:u w:val="none"/>
    </w:rPr>
  </w:style>
  <w:style w:type="character" w:customStyle="1" w:styleId="633">
    <w:name w:val="font11"/>
    <w:basedOn w:val="63"/>
    <w:qFormat/>
    <w:uiPriority w:val="0"/>
    <w:rPr>
      <w:rFonts w:hint="default" w:ascii="Times New Roman" w:hAnsi="Times New Roman" w:eastAsia="黑体" w:cs="Times New Roman"/>
      <w:snapToGrid w:val="0"/>
      <w:color w:val="000000"/>
      <w:kern w:val="0"/>
      <w:sz w:val="22"/>
      <w:szCs w:val="22"/>
      <w:u w:val="none"/>
    </w:rPr>
  </w:style>
  <w:style w:type="paragraph" w:customStyle="1" w:styleId="634">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635">
    <w:name w:val="NormalCharacter"/>
    <w:qFormat/>
    <w:uiPriority w:val="0"/>
    <w:rPr>
      <w:rFonts w:ascii="Times New Roman" w:hAnsi="Times New Roman" w:eastAsia="宋体"/>
    </w:rPr>
  </w:style>
  <w:style w:type="paragraph" w:customStyle="1" w:styleId="636">
    <w:name w:val="pf0"/>
    <w:basedOn w:val="1"/>
    <w:qFormat/>
    <w:uiPriority w:val="0"/>
    <w:pPr>
      <w:widowControl/>
      <w:adjustRightInd/>
      <w:spacing w:before="100" w:beforeAutospacing="1" w:after="100" w:afterAutospacing="1"/>
      <w:jc w:val="left"/>
    </w:pPr>
    <w:rPr>
      <w:rFonts w:ascii="宋体" w:hAnsi="宋体" w:cs="宋体"/>
      <w:kern w:val="0"/>
      <w:sz w:val="24"/>
    </w:rPr>
  </w:style>
  <w:style w:type="character" w:customStyle="1" w:styleId="637">
    <w:name w:val="cf01"/>
    <w:basedOn w:val="63"/>
    <w:qFormat/>
    <w:uiPriority w:val="0"/>
    <w:rPr>
      <w:rFonts w:hint="eastAsia" w:ascii="Microsoft YaHei UI" w:hAnsi="Microsoft YaHei UI" w:eastAsia="Microsoft YaHei UI"/>
      <w:sz w:val="18"/>
      <w:szCs w:val="18"/>
    </w:rPr>
  </w:style>
  <w:style w:type="paragraph" w:customStyle="1" w:styleId="63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639">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0">
    <w:name w:val="_Style 2"/>
    <w:basedOn w:val="1"/>
    <w:qFormat/>
    <w:uiPriority w:val="34"/>
    <w:pPr>
      <w:ind w:firstLine="420" w:firstLineChars="200"/>
    </w:pPr>
    <w:rPr>
      <w:rFonts w:ascii="等线" w:hAnsi="等线" w:eastAsia="等线"/>
      <w:szCs w:val="22"/>
    </w:rPr>
  </w:style>
  <w:style w:type="paragraph" w:customStyle="1" w:styleId="641">
    <w:name w:val="List Paragraph"/>
    <w:basedOn w:val="1"/>
    <w:qFormat/>
    <w:uiPriority w:val="99"/>
    <w:pPr>
      <w:ind w:firstLine="420" w:firstLineChars="200"/>
    </w:pPr>
  </w:style>
  <w:style w:type="paragraph" w:customStyle="1" w:styleId="642">
    <w:name w:val="_Style 163"/>
    <w:basedOn w:val="16"/>
    <w:next w:val="15"/>
    <w:qFormat/>
    <w:uiPriority w:val="99"/>
    <w:pPr>
      <w:adjustRightInd/>
      <w:spacing w:after="120" w:line="240" w:lineRule="auto"/>
      <w:ind w:firstLine="420" w:firstLineChars="100"/>
      <w:jc w:val="both"/>
      <w:textAlignment w:val="auto"/>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7A4F8-EE54-49C9-9F79-69911616F89E}">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68</Pages>
  <Words>16071</Words>
  <Characters>17100</Characters>
  <Lines>268</Lines>
  <Paragraphs>75</Paragraphs>
  <TotalTime>0</TotalTime>
  <ScaleCrop>false</ScaleCrop>
  <LinksUpToDate>false</LinksUpToDate>
  <CharactersWithSpaces>17343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2023-09-12T00:43:00Z</dcterms:created>
  <dc:creator>玥</dc:creator>
  <cp:lastModifiedBy>Administrator</cp:lastModifiedBy>
  <cp:lastPrinted>2023-12-29T06:59:00Z</cp:lastPrinted>
  <dcterms:modified xsi:type="dcterms:W3CDTF">2025-07-18T09:35:30Z</dcterms:modified>
  <dc:title>杭州市市民卡扩大发卡工程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23EFC7EC8C684B729F56AAE478C07383_13</vt:lpwstr>
  </property>
  <property fmtid="{D5CDD505-2E9C-101B-9397-08002B2CF9AE}" pid="4" name="KSOTemplateDocerSaveRecord">
    <vt:lpwstr>eyJoZGlkIjoiMDlkMWYzM2RjZTM0MmE5MGUzN2Y4YWQ4N2NhMGIyY2IiLCJ1c2VySWQiOiIzNTc0MjA0ODEifQ==</vt:lpwstr>
  </property>
</Properties>
</file>