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lang w:eastAsia="zh-CN"/>
        </w:rPr>
        <w:t>杭州市道路运输管理服务中心</w:t>
      </w:r>
    </w:p>
    <w:p>
      <w:pPr>
        <w:adjustRightInd/>
        <w:spacing w:line="360" w:lineRule="auto"/>
        <w:jc w:val="center"/>
        <w:rPr>
          <w:rFonts w:hint="eastAsia" w:ascii="宋体" w:hAnsi="宋体" w:eastAsia="宋体" w:cs="宋体"/>
          <w:b/>
          <w:bCs/>
          <w:color w:val="auto"/>
          <w:sz w:val="44"/>
          <w:szCs w:val="44"/>
          <w:highlight w:val="none"/>
          <w:lang w:eastAsia="zh-CN"/>
        </w:rPr>
      </w:pPr>
      <w:r>
        <w:rPr>
          <w:rFonts w:hint="eastAsia" w:ascii="宋体" w:hAnsi="宋体" w:cs="宋体"/>
          <w:b/>
          <w:bCs/>
          <w:color w:val="auto"/>
          <w:sz w:val="44"/>
          <w:szCs w:val="44"/>
          <w:highlight w:val="none"/>
          <w:lang w:eastAsia="zh-CN"/>
        </w:rPr>
        <w:t>杭州市出租车行业监管和执法保障信息服务</w:t>
      </w:r>
    </w:p>
    <w:p>
      <w:pPr>
        <w:adjustRightInd/>
        <w:spacing w:line="360" w:lineRule="auto"/>
        <w:jc w:val="center"/>
        <w:rPr>
          <w:rFonts w:hint="eastAsia" w:ascii="宋体" w:hAnsi="宋体" w:cs="宋体"/>
          <w:color w:val="auto"/>
          <w:sz w:val="48"/>
          <w:szCs w:val="48"/>
          <w:highlight w:val="none"/>
        </w:rPr>
      </w:pPr>
      <w:bookmarkStart w:id="517" w:name="_GoBack"/>
      <w:bookmarkEnd w:id="517"/>
    </w:p>
    <w:p>
      <w:pPr>
        <w:adjustRightInd/>
        <w:spacing w:line="360" w:lineRule="auto"/>
        <w:jc w:val="center"/>
        <w:rPr>
          <w:rFonts w:hint="eastAsia" w:ascii="宋体" w:hAnsi="宋体" w:cs="宋体"/>
          <w:color w:val="auto"/>
          <w:sz w:val="48"/>
          <w:szCs w:val="48"/>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b/>
          <w:bCs/>
          <w:color w:val="auto"/>
          <w:sz w:val="96"/>
          <w:szCs w:val="96"/>
          <w:highlight w:val="none"/>
        </w:rPr>
        <w:t>招标文件</w:t>
      </w:r>
      <w:r>
        <w:rPr>
          <w:rFonts w:hint="eastAsia" w:ascii="宋体" w:hAnsi="宋体" w:cs="宋体"/>
          <w:color w:val="auto"/>
          <w:sz w:val="48"/>
          <w:szCs w:val="48"/>
          <w:highlight w:val="none"/>
        </w:rPr>
        <w:t xml:space="preserve">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val="en-US" w:eastAsia="zh-CN"/>
        </w:rPr>
        <w:t>项目</w:t>
      </w: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：ZJZBC-25-GK-9024</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杭州市道路运输管理服务中心</w:t>
      </w: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浙江省建设工程设备招标有限公司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月</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9"/>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spacing w:line="480" w:lineRule="auto"/>
        <w:ind w:firstLine="2560" w:firstLineChars="800"/>
        <w:textAlignment w:val="auto"/>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keepNext w:val="0"/>
        <w:keepLines w:val="0"/>
        <w:pageBreakBefore w:val="0"/>
        <w:widowControl w:val="0"/>
        <w:kinsoku/>
        <w:wordWrap/>
        <w:overflowPunct/>
        <w:topLinePunct w:val="0"/>
        <w:autoSpaceDE/>
        <w:autoSpaceDN/>
        <w:bidi w:val="0"/>
        <w:adjustRightInd w:val="0"/>
        <w:snapToGrid/>
        <w:spacing w:line="480" w:lineRule="auto"/>
        <w:ind w:firstLine="2560" w:firstLineChars="800"/>
        <w:textAlignment w:val="auto"/>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keepNext w:val="0"/>
        <w:keepLines w:val="0"/>
        <w:pageBreakBefore w:val="0"/>
        <w:widowControl w:val="0"/>
        <w:kinsoku/>
        <w:wordWrap/>
        <w:overflowPunct/>
        <w:topLinePunct w:val="0"/>
        <w:autoSpaceDE/>
        <w:autoSpaceDN/>
        <w:bidi w:val="0"/>
        <w:adjustRightInd w:val="0"/>
        <w:snapToGrid/>
        <w:spacing w:line="480" w:lineRule="auto"/>
        <w:ind w:firstLine="2560" w:firstLineChars="800"/>
        <w:textAlignment w:val="auto"/>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keepNext w:val="0"/>
        <w:keepLines w:val="0"/>
        <w:pageBreakBefore w:val="0"/>
        <w:widowControl w:val="0"/>
        <w:kinsoku/>
        <w:wordWrap/>
        <w:overflowPunct/>
        <w:topLinePunct w:val="0"/>
        <w:autoSpaceDE/>
        <w:autoSpaceDN/>
        <w:bidi w:val="0"/>
        <w:adjustRightInd w:val="0"/>
        <w:snapToGrid/>
        <w:spacing w:line="480" w:lineRule="auto"/>
        <w:ind w:firstLine="2560" w:firstLineChars="800"/>
        <w:textAlignment w:val="auto"/>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keepNext w:val="0"/>
        <w:keepLines w:val="0"/>
        <w:pageBreakBefore w:val="0"/>
        <w:widowControl w:val="0"/>
        <w:kinsoku/>
        <w:wordWrap/>
        <w:overflowPunct/>
        <w:topLinePunct w:val="0"/>
        <w:autoSpaceDE/>
        <w:autoSpaceDN/>
        <w:bidi w:val="0"/>
        <w:adjustRightInd w:val="0"/>
        <w:snapToGrid/>
        <w:spacing w:line="480" w:lineRule="auto"/>
        <w:ind w:firstLine="2560" w:firstLineChars="800"/>
        <w:textAlignment w:val="auto"/>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keepNext w:val="0"/>
        <w:keepLines w:val="0"/>
        <w:pageBreakBefore w:val="0"/>
        <w:widowControl w:val="0"/>
        <w:kinsoku/>
        <w:wordWrap/>
        <w:overflowPunct/>
        <w:topLinePunct w:val="0"/>
        <w:autoSpaceDE/>
        <w:autoSpaceDN/>
        <w:bidi w:val="0"/>
        <w:adjustRightInd w:val="0"/>
        <w:snapToGrid/>
        <w:spacing w:line="480" w:lineRule="auto"/>
        <w:ind w:firstLine="2560" w:firstLineChars="800"/>
        <w:textAlignment w:val="auto"/>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杭州市出租车行业监管和执法保障信息服务</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eastAsia="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17</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w:t>
      </w:r>
      <w:r>
        <w:rPr>
          <w:rStyle w:val="76"/>
          <w:rFonts w:hint="eastAsia" w:ascii="宋体" w:hAnsi="宋体" w:eastAsia="宋体" w:cs="宋体"/>
          <w:bCs/>
          <w:snapToGrid/>
          <w:color w:val="auto"/>
          <w:kern w:val="2"/>
          <w:sz w:val="24"/>
          <w:szCs w:val="24"/>
          <w:highlight w:val="none"/>
        </w:rPr>
        <w:fldChar w:fldCharType="end"/>
      </w:r>
      <w:r>
        <w:rPr>
          <w:rStyle w:val="76"/>
          <w:rFonts w:hint="eastAsia" w:ascii="宋体" w:hAnsi="宋体" w:cs="宋体"/>
          <w:bCs/>
          <w:snapToGrid/>
          <w:color w:val="auto"/>
          <w:kern w:val="2"/>
          <w:sz w:val="24"/>
          <w:szCs w:val="24"/>
          <w:highlight w:val="none"/>
          <w:lang w:val="en-US" w:eastAsia="zh-CN"/>
        </w:rPr>
        <w:t>4</w:t>
      </w:r>
      <w:r>
        <w:rPr>
          <w:rStyle w:val="76"/>
          <w:rFonts w:hint="eastAsia" w:ascii="宋体" w:hAnsi="宋体" w:eastAsia="宋体" w:cs="宋体"/>
          <w:bCs/>
          <w:snapToGrid/>
          <w:color w:val="auto"/>
          <w:kern w:val="2"/>
          <w:sz w:val="24"/>
          <w:szCs w:val="24"/>
          <w:highlight w:val="none"/>
          <w:lang w:val="en-US" w:eastAsia="zh-CN"/>
        </w:rPr>
        <w:t>:</w:t>
      </w:r>
      <w:r>
        <w:rPr>
          <w:rStyle w:val="76"/>
          <w:rFonts w:hint="eastAsia" w:ascii="宋体" w:hAnsi="宋体" w:cs="宋体"/>
          <w:bCs/>
          <w:snapToGrid/>
          <w:color w:val="auto"/>
          <w:kern w:val="2"/>
          <w:sz w:val="24"/>
          <w:szCs w:val="24"/>
          <w:highlight w:val="none"/>
          <w:lang w:val="en-US" w:eastAsia="zh-CN"/>
        </w:rPr>
        <w:t>3</w:t>
      </w:r>
      <w:r>
        <w:rPr>
          <w:rStyle w:val="76"/>
          <w:rFonts w:hint="eastAsia" w:ascii="宋体" w:hAnsi="宋体" w:eastAsia="宋体" w:cs="宋体"/>
          <w:bCs/>
          <w:snapToGrid/>
          <w:color w:val="auto"/>
          <w:kern w:val="2"/>
          <w:sz w:val="24"/>
          <w:szCs w:val="24"/>
          <w:highlight w:val="none"/>
          <w:lang w:val="en-US" w:eastAsia="zh-CN"/>
        </w:rPr>
        <w:t>0</w:t>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spacing w:line="360" w:lineRule="auto"/>
        <w:ind w:firstLine="48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项目编号：</w:t>
      </w:r>
      <w:r>
        <w:rPr>
          <w:rFonts w:hint="eastAsia" w:ascii="宋体" w:hAnsi="宋体" w:eastAsia="宋体" w:cs="宋体"/>
          <w:b w:val="0"/>
          <w:bCs w:val="0"/>
          <w:color w:val="auto"/>
          <w:sz w:val="24"/>
          <w:highlight w:val="none"/>
          <w:lang w:eastAsia="zh-CN"/>
        </w:rPr>
        <w:t>ZJZBC-25-GK-9024</w:t>
      </w:r>
    </w:p>
    <w:p>
      <w:pPr>
        <w:spacing w:line="360" w:lineRule="auto"/>
        <w:ind w:firstLine="48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项目名称：</w:t>
      </w:r>
      <w:r>
        <w:rPr>
          <w:rFonts w:hint="eastAsia" w:ascii="宋体" w:hAnsi="宋体" w:eastAsia="宋体" w:cs="宋体"/>
          <w:b w:val="0"/>
          <w:bCs w:val="0"/>
          <w:color w:val="auto"/>
          <w:sz w:val="24"/>
          <w:highlight w:val="none"/>
          <w:lang w:eastAsia="zh-CN"/>
        </w:rPr>
        <w:t>杭州市出租车行业监管和执法保障信息服务</w:t>
      </w:r>
    </w:p>
    <w:p>
      <w:pPr>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预算金额（元）：</w:t>
      </w:r>
      <w:r>
        <w:rPr>
          <w:rFonts w:hint="eastAsia" w:ascii="宋体" w:hAnsi="宋体" w:eastAsia="宋体" w:cs="宋体"/>
          <w:b w:val="0"/>
          <w:bCs w:val="0"/>
          <w:color w:val="auto"/>
          <w:sz w:val="24"/>
          <w:highlight w:val="none"/>
          <w:lang w:eastAsia="zh-CN"/>
        </w:rPr>
        <w:t>1786100</w:t>
      </w:r>
    </w:p>
    <w:p>
      <w:pPr>
        <w:spacing w:line="360" w:lineRule="auto"/>
        <w:ind w:firstLine="48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最高限价（元）：</w:t>
      </w:r>
      <w:r>
        <w:rPr>
          <w:rFonts w:hint="eastAsia" w:ascii="宋体" w:hAnsi="宋体" w:eastAsia="宋体" w:cs="宋体"/>
          <w:b w:val="0"/>
          <w:bCs w:val="0"/>
          <w:color w:val="auto"/>
          <w:sz w:val="24"/>
          <w:highlight w:val="none"/>
          <w:lang w:eastAsia="zh-CN"/>
        </w:rPr>
        <w:t>1786100</w:t>
      </w:r>
    </w:p>
    <w:p>
      <w:pPr>
        <w:spacing w:line="360" w:lineRule="auto"/>
        <w:ind w:firstLine="48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采购需求：</w:t>
      </w:r>
    </w:p>
    <w:p>
      <w:pPr>
        <w:spacing w:line="360" w:lineRule="auto"/>
        <w:ind w:firstLine="480"/>
        <w:rPr>
          <w:rFonts w:hint="eastAsia" w:ascii="宋体" w:hAnsi="宋体" w:eastAsia="宋体" w:cs="宋体"/>
          <w:b w:val="0"/>
          <w:bCs w:val="0"/>
          <w:color w:val="auto"/>
          <w:sz w:val="24"/>
          <w:highlight w:val="none"/>
          <w:lang w:val="en-US" w:eastAsia="zh-CN"/>
        </w:rPr>
      </w:pPr>
    </w:p>
    <w:p>
      <w:pPr>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标项名称：</w:t>
      </w:r>
      <w:r>
        <w:rPr>
          <w:rFonts w:hint="eastAsia" w:ascii="宋体" w:hAnsi="宋体" w:eastAsia="宋体" w:cs="宋体"/>
          <w:b w:val="0"/>
          <w:bCs w:val="0"/>
          <w:color w:val="auto"/>
          <w:sz w:val="24"/>
          <w:highlight w:val="none"/>
          <w:lang w:eastAsia="zh-CN"/>
        </w:rPr>
        <w:t>杭州市出租车行业监管和执法保障信息服务</w:t>
      </w:r>
      <w:r>
        <w:rPr>
          <w:rFonts w:hint="eastAsia" w:ascii="宋体" w:hAnsi="宋体" w:eastAsia="宋体" w:cs="宋体"/>
          <w:b w:val="0"/>
          <w:bCs w:val="0"/>
          <w:color w:val="auto"/>
          <w:sz w:val="24"/>
          <w:highlight w:val="none"/>
          <w:lang w:val="en-US" w:eastAsia="zh-CN"/>
        </w:rPr>
        <w:t>    </w:t>
      </w:r>
    </w:p>
    <w:p>
      <w:pPr>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数量：不限    </w:t>
      </w:r>
    </w:p>
    <w:p>
      <w:pPr>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预算金额（元）：1786100</w:t>
      </w:r>
    </w:p>
    <w:p>
      <w:pPr>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简要规格描述或项目基本概况介绍、用途：包括行业数据监测与分析服务（含出租汽车行业运行分析服务、行业营运情况监测服务、行业运力需求及规模监测服务、场站枢纽以及景区数据监测服务、行业收入水平监测服务、行业运价水平监测服务、出租汽车运行数据对接服务、管理保障服务（含行业维稳保障服务、城市文明创建保障服务、 应急处置保障、公共卫生事件防控保障、重大活动保障）、执法保障服务（含营运违章情况监测服务、执法辅助支持服务、行业服务质量数据保障服务）、巡网融合技术支持服务（含巡网融合数据推送服务、巡网融合数据分析服务、巡网融合业务热线服务）等。具体以招标文件第三部分采购需求为准，供应商可点击本公告下方“浏览采购文件”查看采购需求。    </w:t>
      </w:r>
    </w:p>
    <w:p>
      <w:pPr>
        <w:spacing w:line="360" w:lineRule="auto"/>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备注：</w:t>
      </w:r>
      <w:r>
        <w:rPr>
          <w:rFonts w:hint="eastAsia" w:ascii="宋体" w:hAnsi="宋体" w:cs="宋体"/>
          <w:b w:val="0"/>
          <w:bCs w:val="0"/>
          <w:color w:val="auto"/>
          <w:sz w:val="24"/>
          <w:highlight w:val="none"/>
          <w:lang w:val="en-US" w:eastAsia="zh-CN"/>
        </w:rPr>
        <w:t>/</w:t>
      </w:r>
    </w:p>
    <w:p>
      <w:pPr>
        <w:pStyle w:val="133"/>
        <w:ind w:firstLine="482"/>
        <w:outlineLvl w:val="2"/>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rPr>
        <w:t>合同履约期限：</w:t>
      </w:r>
      <w:r>
        <w:rPr>
          <w:rFonts w:hint="eastAsia" w:ascii="宋体" w:hAnsi="宋体" w:eastAsia="宋体" w:cs="宋体"/>
          <w:b w:val="0"/>
          <w:bCs w:val="0"/>
          <w:color w:val="auto"/>
          <w:sz w:val="24"/>
          <w:highlight w:val="none"/>
          <w:lang w:val="en-US" w:eastAsia="zh-CN"/>
        </w:rPr>
        <w:t>1年，自2025年7月30日起至2026年7月29日止。</w:t>
      </w:r>
    </w:p>
    <w:p>
      <w:pPr>
        <w:pStyle w:val="16"/>
        <w:spacing w:line="360" w:lineRule="auto"/>
        <w:ind w:firstLine="480"/>
        <w:rPr>
          <w:rFonts w:hint="eastAsia" w:ascii="宋体" w:hAnsi="宋体" w:eastAsia="宋体" w:cs="宋体"/>
          <w:b w:val="0"/>
          <w:bCs w:val="0"/>
          <w:color w:val="auto"/>
          <w:kern w:val="0"/>
          <w:sz w:val="24"/>
          <w:highlight w:val="none"/>
          <w:lang w:eastAsia="zh-CN"/>
        </w:rPr>
      </w:pPr>
      <w:r>
        <w:rPr>
          <w:rFonts w:hint="eastAsia" w:ascii="宋体" w:hAnsi="宋体" w:eastAsia="宋体" w:cs="宋体"/>
          <w:b w:val="0"/>
          <w:bCs w:val="0"/>
          <w:color w:val="auto"/>
          <w:sz w:val="24"/>
          <w:highlight w:val="none"/>
        </w:rPr>
        <w:t>本项目</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是</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接受联合体投标</w:t>
      </w:r>
      <w:r>
        <w:rPr>
          <w:rFonts w:hint="eastAsia" w:ascii="宋体" w:hAnsi="宋体" w:eastAsia="宋体" w:cs="宋体"/>
          <w:b w:val="0"/>
          <w:bCs w:val="0"/>
          <w:color w:val="auto"/>
          <w:sz w:val="24"/>
          <w:highlight w:val="none"/>
          <w:lang w:eastAsia="zh-CN"/>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sz w:val="24"/>
          <w:highlight w:val="none"/>
        </w:rPr>
        <w:t>无</w:t>
      </w:r>
      <w:r>
        <w:rPr>
          <w:rFonts w:hint="eastAsia" w:ascii="宋体" w:hAnsi="宋体" w:eastAsia="宋体" w:cs="宋体"/>
          <w:b w:val="0"/>
          <w:bCs w:val="0"/>
          <w:snapToGrid w:val="0"/>
          <w:color w:val="auto"/>
          <w:kern w:val="28"/>
          <w:sz w:val="24"/>
          <w:szCs w:val="20"/>
          <w:highlight w:val="none"/>
        </w:rPr>
        <w:t>（注：不得限制大中型企业与小微企业组成联合体参与投标）；</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kern w:val="0"/>
          <w:sz w:val="24"/>
          <w:szCs w:val="24"/>
          <w:highlight w:val="none"/>
          <w:lang w:val="en-US" w:eastAsia="zh-CN" w:bidi="ar-SA"/>
        </w:rPr>
        <w:sym w:font="Wingdings 2" w:char="0052"/>
      </w:r>
      <w:r>
        <w:rPr>
          <w:rFonts w:hint="eastAsia" w:ascii="宋体" w:hAnsi="宋体" w:eastAsia="宋体" w:cs="宋体"/>
          <w:b/>
          <w:bCs/>
          <w:color w:val="auto"/>
          <w:kern w:val="0"/>
          <w:sz w:val="24"/>
          <w:highlight w:val="none"/>
        </w:rPr>
        <w:t>专</w:t>
      </w:r>
      <w:r>
        <w:rPr>
          <w:rFonts w:hint="eastAsia" w:ascii="宋体" w:hAnsi="宋体" w:eastAsia="宋体" w:cs="宋体"/>
          <w:b/>
          <w:bCs/>
          <w:color w:val="auto"/>
          <w:sz w:val="24"/>
          <w:highlight w:val="none"/>
        </w:rPr>
        <w:t>门面向中小企业</w:t>
      </w:r>
    </w:p>
    <w:p>
      <w:pPr>
        <w:spacing w:line="360" w:lineRule="auto"/>
        <w:ind w:firstLine="901" w:firstLineChars="374"/>
        <w:rPr>
          <w:rFonts w:hint="eastAsia" w:ascii="宋体" w:hAnsi="宋体" w:eastAsia="宋体" w:cs="宋体"/>
          <w:b/>
          <w:bCs/>
          <w:color w:val="auto"/>
          <w:sz w:val="24"/>
          <w:highlight w:val="none"/>
        </w:rPr>
      </w:pPr>
      <w:r>
        <w:rPr>
          <w:rFonts w:hint="eastAsia" w:ascii="宋体" w:hAnsi="宋体" w:eastAsia="宋体" w:cs="宋体"/>
          <w:b/>
          <w:bCs/>
          <w:color w:val="auto"/>
          <w:kern w:val="2"/>
          <w:sz w:val="24"/>
          <w:szCs w:val="24"/>
          <w:highlight w:val="none"/>
          <w:lang w:val="en-US" w:eastAsia="zh-CN" w:bidi="ar-SA"/>
        </w:rPr>
        <w:sym w:font="Wingdings 2" w:char="0052"/>
      </w:r>
      <w:r>
        <w:rPr>
          <w:rFonts w:hint="eastAsia" w:ascii="宋体" w:hAnsi="宋体" w:eastAsia="宋体" w:cs="宋体"/>
          <w:b/>
          <w:bCs/>
          <w:color w:val="auto"/>
          <w:sz w:val="24"/>
          <w:highlight w:val="none"/>
        </w:rPr>
        <w:t>服务全部由符合政策要求的中小企业承接，提供中小企业声明函；</w:t>
      </w:r>
    </w:p>
    <w:p>
      <w:pPr>
        <w:spacing w:line="360" w:lineRule="auto"/>
        <w:ind w:firstLine="897" w:firstLineChars="374"/>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w:t>
      </w:r>
      <w:r>
        <w:rPr>
          <w:rFonts w:hint="eastAsia" w:ascii="宋体" w:hAnsi="宋体" w:eastAsia="宋体" w:cs="宋体"/>
          <w:b w:val="0"/>
          <w:bCs w:val="0"/>
          <w:color w:val="auto"/>
          <w:sz w:val="24"/>
          <w:highlight w:val="none"/>
        </w:rPr>
        <w:t>服务全部由符合政策要求的小微企业承接，提供中小企业声明函；</w:t>
      </w:r>
    </w:p>
    <w:p>
      <w:pPr>
        <w:rPr>
          <w:rFonts w:hint="eastAsia" w:ascii="宋体" w:hAnsi="宋体" w:eastAsia="宋体" w:cs="宋体"/>
          <w:color w:val="auto"/>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p>
    <w:p>
      <w:pPr>
        <w:snapToGrid w:val="0"/>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kern w:val="0"/>
          <w:sz w:val="24"/>
          <w:szCs w:val="24"/>
          <w:highlight w:val="none"/>
          <w:lang w:val="en-US" w:eastAsia="zh-CN" w:bidi="ar-SA"/>
        </w:rPr>
        <w:sym w:font="Wingdings 2" w:char="0052"/>
      </w:r>
      <w:r>
        <w:rPr>
          <w:rFonts w:hint="eastAsia" w:ascii="宋体" w:hAnsi="宋体" w:eastAsia="宋体" w:cs="宋体"/>
          <w:b/>
          <w:bCs/>
          <w:color w:val="auto"/>
          <w:kern w:val="0"/>
          <w:sz w:val="24"/>
          <w:highlight w:val="none"/>
          <w:lang w:val="en-US" w:eastAsia="zh-CN"/>
        </w:rPr>
        <w:t>无。</w:t>
      </w:r>
    </w:p>
    <w:p>
      <w:pPr>
        <w:snapToGrid w:val="0"/>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sz w:val="24"/>
          <w:highlight w:val="none"/>
        </w:rPr>
        <w:t>有特定资格要求：</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rPr>
        <w:t>，该特定条件的法律法规依据：</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u w:val="single"/>
          <w:lang w:val="en-US" w:eastAsia="zh-CN"/>
        </w:rPr>
        <w:t>/</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时间：/至</w:t>
      </w:r>
      <w:r>
        <w:rPr>
          <w:rFonts w:hint="eastAsia" w:ascii="宋体" w:hAnsi="宋体" w:eastAsia="宋体" w:cs="宋体"/>
          <w:b w:val="0"/>
          <w:bCs/>
          <w:color w:val="auto"/>
          <w:sz w:val="24"/>
          <w:highlight w:val="none"/>
          <w:u w:val="single"/>
        </w:rPr>
        <w:t>202</w:t>
      </w:r>
      <w:r>
        <w:rPr>
          <w:rFonts w:hint="eastAsia" w:ascii="宋体" w:hAnsi="宋体" w:eastAsia="宋体" w:cs="宋体"/>
          <w:b w:val="0"/>
          <w:bCs/>
          <w:color w:val="auto"/>
          <w:sz w:val="24"/>
          <w:highlight w:val="none"/>
          <w:u w:val="single"/>
          <w:lang w:val="en-US" w:eastAsia="zh-CN"/>
        </w:rPr>
        <w:t>5</w:t>
      </w:r>
      <w:r>
        <w:rPr>
          <w:rFonts w:hint="eastAsia" w:ascii="宋体" w:hAnsi="宋体" w:eastAsia="宋体" w:cs="宋体"/>
          <w:b w:val="0"/>
          <w:bCs/>
          <w:color w:val="auto"/>
          <w:sz w:val="24"/>
          <w:highlight w:val="none"/>
          <w:u w:val="single"/>
        </w:rPr>
        <w:t>年</w:t>
      </w:r>
      <w:r>
        <w:rPr>
          <w:rFonts w:hint="eastAsia" w:ascii="宋体" w:hAnsi="宋体" w:cs="宋体"/>
          <w:b w:val="0"/>
          <w:bCs/>
          <w:color w:val="auto"/>
          <w:sz w:val="24"/>
          <w:highlight w:val="none"/>
          <w:u w:val="single"/>
          <w:lang w:val="en-US" w:eastAsia="zh-CN"/>
        </w:rPr>
        <w:t>7</w:t>
      </w:r>
      <w:r>
        <w:rPr>
          <w:rFonts w:hint="eastAsia" w:ascii="宋体" w:hAnsi="宋体" w:eastAsia="宋体" w:cs="宋体"/>
          <w:b w:val="0"/>
          <w:bCs/>
          <w:color w:val="auto"/>
          <w:sz w:val="24"/>
          <w:highlight w:val="none"/>
          <w:u w:val="single"/>
        </w:rPr>
        <w:t>月</w:t>
      </w:r>
      <w:r>
        <w:rPr>
          <w:rFonts w:hint="eastAsia" w:ascii="宋体" w:hAnsi="宋体" w:cs="宋体"/>
          <w:b w:val="0"/>
          <w:bCs/>
          <w:color w:val="auto"/>
          <w:sz w:val="24"/>
          <w:highlight w:val="none"/>
          <w:u w:val="single"/>
          <w:lang w:val="en-US" w:eastAsia="zh-CN"/>
        </w:rPr>
        <w:t>17</w:t>
      </w:r>
      <w:r>
        <w:rPr>
          <w:rFonts w:hint="eastAsia" w:ascii="宋体" w:hAnsi="宋体" w:eastAsia="宋体" w:cs="宋体"/>
          <w:b w:val="0"/>
          <w:bCs/>
          <w:color w:val="auto"/>
          <w:sz w:val="24"/>
          <w:highlight w:val="none"/>
          <w:u w:val="single"/>
        </w:rPr>
        <w:t>日</w:t>
      </w:r>
      <w:r>
        <w:rPr>
          <w:rFonts w:hint="eastAsia" w:ascii="宋体" w:hAnsi="宋体" w:eastAsia="宋体" w:cs="宋体"/>
          <w:b w:val="0"/>
          <w:bCs/>
          <w:color w:val="auto"/>
          <w:sz w:val="24"/>
          <w:highlight w:val="none"/>
        </w:rPr>
        <w:t>，每天上午00:00至12:00 ，下午12:00至23:59（北京时间，线上获取法定节假日均可，线下获取文件法定节假日除外）</w:t>
      </w:r>
    </w:p>
    <w:p>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xml:space="preserve">地点（网址）：政采云平台（https://www.zcygov.cn/） </w:t>
      </w:r>
    </w:p>
    <w:p>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xml:space="preserve">方式：供应商登录政采云平台https://www.zcygov.cn/在线申请获取采购文件（进入“项目采购”应用，在获取采购文件菜单中选择项目，申请获取采购文件） </w:t>
      </w:r>
    </w:p>
    <w:p>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xml:space="preserve">售价（元）：0 </w:t>
      </w:r>
      <w:r>
        <w:rPr>
          <w:rFonts w:hint="eastAsia" w:ascii="宋体" w:hAnsi="宋体" w:eastAsia="宋体" w:cs="宋体"/>
          <w:b w:val="0"/>
          <w:bCs/>
          <w:color w:val="auto"/>
          <w:sz w:val="24"/>
          <w:highlight w:val="none"/>
        </w:rPr>
        <w:tab/>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提交投标文件截止时间：</w:t>
      </w:r>
      <w:r>
        <w:rPr>
          <w:rFonts w:hint="eastAsia" w:ascii="宋体" w:hAnsi="宋体" w:eastAsia="宋体" w:cs="宋体"/>
          <w:b w:val="0"/>
          <w:bCs/>
          <w:color w:val="auto"/>
          <w:sz w:val="24"/>
          <w:highlight w:val="none"/>
          <w:u w:val="single"/>
        </w:rPr>
        <w:t>202</w:t>
      </w:r>
      <w:r>
        <w:rPr>
          <w:rFonts w:hint="eastAsia" w:ascii="宋体" w:hAnsi="宋体" w:eastAsia="宋体" w:cs="宋体"/>
          <w:b w:val="0"/>
          <w:bCs/>
          <w:color w:val="auto"/>
          <w:sz w:val="24"/>
          <w:highlight w:val="none"/>
          <w:u w:val="single"/>
          <w:lang w:val="en-US" w:eastAsia="zh-CN"/>
        </w:rPr>
        <w:t>5</w:t>
      </w:r>
      <w:r>
        <w:rPr>
          <w:rFonts w:hint="eastAsia" w:ascii="宋体" w:hAnsi="宋体" w:eastAsia="宋体" w:cs="宋体"/>
          <w:b w:val="0"/>
          <w:bCs/>
          <w:color w:val="auto"/>
          <w:sz w:val="24"/>
          <w:highlight w:val="none"/>
          <w:u w:val="single"/>
        </w:rPr>
        <w:t>年</w:t>
      </w:r>
      <w:r>
        <w:rPr>
          <w:rFonts w:hint="eastAsia" w:ascii="宋体" w:hAnsi="宋体" w:cs="宋体"/>
          <w:b w:val="0"/>
          <w:bCs/>
          <w:color w:val="auto"/>
          <w:sz w:val="24"/>
          <w:highlight w:val="none"/>
          <w:u w:val="single"/>
          <w:lang w:val="en-US" w:eastAsia="zh-CN"/>
        </w:rPr>
        <w:t>7</w:t>
      </w:r>
      <w:r>
        <w:rPr>
          <w:rFonts w:hint="eastAsia" w:ascii="宋体" w:hAnsi="宋体" w:eastAsia="宋体" w:cs="宋体"/>
          <w:b w:val="0"/>
          <w:bCs/>
          <w:color w:val="auto"/>
          <w:sz w:val="24"/>
          <w:highlight w:val="none"/>
          <w:u w:val="single"/>
        </w:rPr>
        <w:t>月</w:t>
      </w:r>
      <w:r>
        <w:rPr>
          <w:rFonts w:hint="eastAsia" w:ascii="宋体" w:hAnsi="宋体" w:cs="宋体"/>
          <w:b w:val="0"/>
          <w:bCs/>
          <w:color w:val="auto"/>
          <w:sz w:val="24"/>
          <w:highlight w:val="none"/>
          <w:u w:val="single"/>
          <w:lang w:val="en-US" w:eastAsia="zh-CN"/>
        </w:rPr>
        <w:t>17</w:t>
      </w:r>
      <w:r>
        <w:rPr>
          <w:rFonts w:hint="eastAsia" w:ascii="宋体" w:hAnsi="宋体" w:eastAsia="宋体" w:cs="宋体"/>
          <w:b w:val="0"/>
          <w:bCs/>
          <w:color w:val="auto"/>
          <w:sz w:val="24"/>
          <w:highlight w:val="none"/>
          <w:u w:val="single"/>
        </w:rPr>
        <w:t>日</w:t>
      </w:r>
      <w:r>
        <w:rPr>
          <w:rFonts w:hint="eastAsia" w:ascii="宋体" w:hAnsi="宋体" w:cs="宋体"/>
          <w:b w:val="0"/>
          <w:bCs/>
          <w:color w:val="auto"/>
          <w:sz w:val="24"/>
          <w:highlight w:val="none"/>
          <w:u w:val="single"/>
          <w:lang w:val="en-US" w:eastAsia="zh-CN"/>
        </w:rPr>
        <w:t xml:space="preserve"> 14</w:t>
      </w:r>
      <w:r>
        <w:rPr>
          <w:rFonts w:hint="eastAsia" w:ascii="宋体" w:hAnsi="宋体" w:eastAsia="宋体" w:cs="宋体"/>
          <w:b w:val="0"/>
          <w:bCs/>
          <w:color w:val="auto"/>
          <w:sz w:val="24"/>
          <w:highlight w:val="none"/>
          <w:u w:val="single"/>
          <w:lang w:val="en-US" w:eastAsia="zh-CN"/>
        </w:rPr>
        <w:t>:</w:t>
      </w:r>
      <w:r>
        <w:rPr>
          <w:rFonts w:hint="eastAsia" w:ascii="宋体" w:hAnsi="宋体" w:cs="宋体"/>
          <w:b w:val="0"/>
          <w:bCs/>
          <w:color w:val="auto"/>
          <w:sz w:val="24"/>
          <w:highlight w:val="none"/>
          <w:u w:val="single"/>
          <w:lang w:val="en-US" w:eastAsia="zh-CN"/>
        </w:rPr>
        <w:t>3</w:t>
      </w:r>
      <w:r>
        <w:rPr>
          <w:rFonts w:hint="eastAsia" w:ascii="宋体" w:hAnsi="宋体" w:eastAsia="宋体" w:cs="宋体"/>
          <w:b w:val="0"/>
          <w:bCs/>
          <w:color w:val="auto"/>
          <w:sz w:val="24"/>
          <w:highlight w:val="none"/>
          <w:u w:val="single"/>
          <w:lang w:val="en-US" w:eastAsia="zh-CN"/>
        </w:rPr>
        <w:t>0</w:t>
      </w:r>
      <w:r>
        <w:rPr>
          <w:rFonts w:hint="eastAsia" w:ascii="宋体" w:hAnsi="宋体" w:eastAsia="宋体" w:cs="宋体"/>
          <w:b w:val="0"/>
          <w:bCs/>
          <w:color w:val="auto"/>
          <w:sz w:val="24"/>
          <w:highlight w:val="none"/>
        </w:rPr>
        <w:t>（北京时间）</w:t>
      </w:r>
    </w:p>
    <w:p>
      <w:pPr>
        <w:spacing w:line="360" w:lineRule="auto"/>
        <w:ind w:firstLine="480" w:firstLineChars="20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投标地点（网址）：政采云平台（https://www.zcygov.cn/）</w:t>
      </w:r>
      <w:r>
        <w:rPr>
          <w:rFonts w:hint="eastAsia" w:ascii="宋体" w:hAnsi="宋体" w:cs="宋体"/>
          <w:b w:val="0"/>
          <w:bCs/>
          <w:color w:val="auto"/>
          <w:sz w:val="24"/>
          <w:highlight w:val="none"/>
          <w:lang w:val="en-US" w:eastAsia="zh-CN"/>
        </w:rPr>
        <w:t>在线递交</w:t>
      </w:r>
    </w:p>
    <w:p>
      <w:pPr>
        <w:spacing w:line="360" w:lineRule="auto"/>
        <w:ind w:firstLine="480" w:firstLineChars="200"/>
        <w:rPr>
          <w:rFonts w:hint="eastAsia" w:ascii="宋体" w:hAnsi="宋体" w:eastAsia="宋体" w:cs="宋体"/>
          <w:b w:val="0"/>
          <w:bCs/>
          <w:color w:val="auto"/>
          <w:sz w:val="24"/>
          <w:highlight w:val="none"/>
          <w:u w:val="single"/>
        </w:rPr>
      </w:pPr>
      <w:r>
        <w:rPr>
          <w:rFonts w:hint="eastAsia" w:ascii="宋体" w:hAnsi="宋体" w:eastAsia="宋体" w:cs="宋体"/>
          <w:b w:val="0"/>
          <w:bCs/>
          <w:color w:val="auto"/>
          <w:sz w:val="24"/>
          <w:highlight w:val="none"/>
        </w:rPr>
        <w:t>开标时间：</w:t>
      </w:r>
      <w:r>
        <w:rPr>
          <w:rFonts w:hint="eastAsia" w:ascii="宋体" w:hAnsi="宋体" w:eastAsia="宋体" w:cs="宋体"/>
          <w:b w:val="0"/>
          <w:bCs/>
          <w:color w:val="auto"/>
          <w:sz w:val="24"/>
          <w:highlight w:val="none"/>
          <w:u w:val="single"/>
        </w:rPr>
        <w:t>202</w:t>
      </w:r>
      <w:r>
        <w:rPr>
          <w:rFonts w:hint="eastAsia" w:ascii="宋体" w:hAnsi="宋体" w:eastAsia="宋体" w:cs="宋体"/>
          <w:b w:val="0"/>
          <w:bCs/>
          <w:color w:val="auto"/>
          <w:sz w:val="24"/>
          <w:highlight w:val="none"/>
          <w:u w:val="single"/>
          <w:lang w:val="en-US" w:eastAsia="zh-CN"/>
        </w:rPr>
        <w:t>5</w:t>
      </w:r>
      <w:r>
        <w:rPr>
          <w:rFonts w:hint="eastAsia" w:ascii="宋体" w:hAnsi="宋体" w:eastAsia="宋体" w:cs="宋体"/>
          <w:b w:val="0"/>
          <w:bCs/>
          <w:color w:val="auto"/>
          <w:sz w:val="24"/>
          <w:highlight w:val="none"/>
          <w:u w:val="single"/>
        </w:rPr>
        <w:t>年</w:t>
      </w:r>
      <w:r>
        <w:rPr>
          <w:rFonts w:hint="eastAsia" w:ascii="宋体" w:hAnsi="宋体" w:cs="宋体"/>
          <w:b w:val="0"/>
          <w:bCs/>
          <w:color w:val="auto"/>
          <w:sz w:val="24"/>
          <w:highlight w:val="none"/>
          <w:u w:val="single"/>
          <w:lang w:val="en-US" w:eastAsia="zh-CN"/>
        </w:rPr>
        <w:t>7</w:t>
      </w:r>
      <w:r>
        <w:rPr>
          <w:rFonts w:hint="eastAsia" w:ascii="宋体" w:hAnsi="宋体" w:eastAsia="宋体" w:cs="宋体"/>
          <w:b w:val="0"/>
          <w:bCs/>
          <w:color w:val="auto"/>
          <w:sz w:val="24"/>
          <w:highlight w:val="none"/>
          <w:u w:val="single"/>
        </w:rPr>
        <w:t>月</w:t>
      </w:r>
      <w:r>
        <w:rPr>
          <w:rFonts w:hint="eastAsia" w:ascii="宋体" w:hAnsi="宋体" w:cs="宋体"/>
          <w:b w:val="0"/>
          <w:bCs/>
          <w:color w:val="auto"/>
          <w:sz w:val="24"/>
          <w:highlight w:val="none"/>
          <w:u w:val="single"/>
          <w:lang w:val="en-US" w:eastAsia="zh-CN"/>
        </w:rPr>
        <w:t>17</w:t>
      </w:r>
      <w:r>
        <w:rPr>
          <w:rFonts w:hint="eastAsia" w:ascii="宋体" w:hAnsi="宋体" w:eastAsia="宋体" w:cs="宋体"/>
          <w:b w:val="0"/>
          <w:bCs/>
          <w:color w:val="auto"/>
          <w:sz w:val="24"/>
          <w:highlight w:val="none"/>
          <w:u w:val="single"/>
        </w:rPr>
        <w:t>日</w:t>
      </w:r>
      <w:r>
        <w:rPr>
          <w:rFonts w:hint="eastAsia" w:ascii="宋体" w:hAnsi="宋体" w:cs="宋体"/>
          <w:b w:val="0"/>
          <w:bCs/>
          <w:color w:val="auto"/>
          <w:sz w:val="24"/>
          <w:highlight w:val="none"/>
          <w:u w:val="single"/>
          <w:lang w:val="en-US" w:eastAsia="zh-CN"/>
        </w:rPr>
        <w:t xml:space="preserve"> 14</w:t>
      </w:r>
      <w:r>
        <w:rPr>
          <w:rFonts w:hint="eastAsia" w:ascii="宋体" w:hAnsi="宋体" w:eastAsia="宋体" w:cs="宋体"/>
          <w:b w:val="0"/>
          <w:bCs/>
          <w:color w:val="auto"/>
          <w:sz w:val="24"/>
          <w:highlight w:val="none"/>
          <w:u w:val="single"/>
          <w:lang w:val="en-US" w:eastAsia="zh-CN"/>
        </w:rPr>
        <w:t>:</w:t>
      </w:r>
      <w:r>
        <w:rPr>
          <w:rFonts w:hint="eastAsia" w:ascii="宋体" w:hAnsi="宋体" w:cs="宋体"/>
          <w:b w:val="0"/>
          <w:bCs/>
          <w:color w:val="auto"/>
          <w:sz w:val="24"/>
          <w:highlight w:val="none"/>
          <w:u w:val="single"/>
          <w:lang w:val="en-US" w:eastAsia="zh-CN"/>
        </w:rPr>
        <w:t>3</w:t>
      </w:r>
      <w:r>
        <w:rPr>
          <w:rFonts w:hint="eastAsia" w:ascii="宋体" w:hAnsi="宋体" w:eastAsia="宋体" w:cs="宋体"/>
          <w:b w:val="0"/>
          <w:bCs/>
          <w:color w:val="auto"/>
          <w:sz w:val="24"/>
          <w:highlight w:val="none"/>
          <w:u w:val="single"/>
          <w:lang w:val="en-US" w:eastAsia="zh-CN"/>
        </w:rPr>
        <w:t>0</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（北京时间）</w:t>
      </w:r>
    </w:p>
    <w:p>
      <w:pPr>
        <w:spacing w:line="360" w:lineRule="auto"/>
        <w:ind w:firstLine="480" w:firstLineChars="20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开标地点（网址）：政采云平台（https://www.zcygov.cn/）</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线下：</w:t>
      </w:r>
      <w:r>
        <w:rPr>
          <w:rFonts w:hint="eastAsia" w:ascii="宋体" w:hAnsi="宋体" w:eastAsia="宋体" w:cs="宋体"/>
          <w:b w:val="0"/>
          <w:bCs/>
          <w:color w:val="auto"/>
          <w:sz w:val="24"/>
          <w:highlight w:val="none"/>
        </w:rPr>
        <w:t>杭州市环站东路97号云峰大厦1号楼13楼</w:t>
      </w:r>
      <w:r>
        <w:rPr>
          <w:rFonts w:hint="eastAsia" w:ascii="宋体" w:hAnsi="宋体" w:eastAsia="宋体" w:cs="宋体"/>
          <w:b w:val="0"/>
          <w:bCs/>
          <w:color w:val="auto"/>
          <w:sz w:val="24"/>
          <w:highlight w:val="none"/>
          <w:lang w:val="en-US" w:eastAsia="zh-CN"/>
        </w:rPr>
        <w:t>开标室</w:t>
      </w:r>
      <w:r>
        <w:rPr>
          <w:rFonts w:hint="eastAsia" w:ascii="宋体" w:hAnsi="宋体" w:eastAsia="宋体" w:cs="宋体"/>
          <w:b w:val="0"/>
          <w:bCs/>
          <w:color w:val="auto"/>
          <w:sz w:val="24"/>
          <w:highlight w:val="none"/>
          <w:lang w:eastAsia="zh-CN"/>
        </w:rPr>
        <w:t>）</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六、</w:t>
      </w:r>
      <w:r>
        <w:rPr>
          <w:rFonts w:hint="eastAsia" w:ascii="宋体" w:hAnsi="宋体" w:eastAsia="宋体" w:cs="宋体"/>
          <w:b/>
          <w:color w:val="auto"/>
          <w:sz w:val="24"/>
          <w:highlight w:val="none"/>
          <w:lang w:val="en-US" w:eastAsia="zh-CN"/>
        </w:rPr>
        <w:t>采购意向公示</w:t>
      </w:r>
    </w:p>
    <w:p>
      <w:pPr>
        <w:spacing w:line="360" w:lineRule="auto"/>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https://zfcg.czt.zj.gov.cn/site/detail?parentId=600007&amp;articleId=WHnF%2B27OpJQyY4BwrKVTYg%3D%3D</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七、</w:t>
      </w:r>
      <w:r>
        <w:rPr>
          <w:rFonts w:hint="eastAsia" w:ascii="宋体" w:hAnsi="宋体" w:eastAsia="宋体" w:cs="宋体"/>
          <w:b/>
          <w:color w:val="auto"/>
          <w:sz w:val="24"/>
          <w:highlight w:val="none"/>
        </w:rPr>
        <w:t>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八</w:t>
      </w:r>
      <w:r>
        <w:rPr>
          <w:rFonts w:hint="eastAsia" w:ascii="宋体" w:hAnsi="宋体" w:eastAsia="宋体" w:cs="宋体"/>
          <w:b/>
          <w:color w:val="auto"/>
          <w:sz w:val="24"/>
          <w:highlight w:val="none"/>
        </w:rPr>
        <w:t>、对本次采购提出询问、质疑、投诉，请按以下方式联系</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杭州市道路运输管理服务中心</w:t>
      </w:r>
      <w:r>
        <w:rPr>
          <w:rFonts w:hint="eastAsia" w:ascii="宋体" w:hAnsi="宋体" w:eastAsia="宋体" w:cs="宋体"/>
          <w:color w:val="auto"/>
          <w:sz w:val="24"/>
          <w:highlight w:val="none"/>
        </w:rPr>
        <w:t xml:space="preserve">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杭州市拱墅区中河北路10</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eastAsia="zh-CN"/>
        </w:rPr>
        <w:t>号</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eastAsia="zh-CN"/>
        </w:rPr>
        <w:t>米女士</w:t>
      </w:r>
    </w:p>
    <w:p>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项目联系方式（询问）：0571-</w:t>
      </w:r>
      <w:r>
        <w:rPr>
          <w:rFonts w:hint="eastAsia" w:ascii="宋体" w:hAnsi="宋体" w:eastAsia="宋体" w:cs="宋体"/>
          <w:color w:val="auto"/>
          <w:sz w:val="24"/>
          <w:highlight w:val="none"/>
          <w:lang w:val="en-US" w:eastAsia="zh-CN"/>
        </w:rPr>
        <w:t>85116327</w:t>
      </w:r>
    </w:p>
    <w:p>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张女士</w:t>
      </w:r>
    </w:p>
    <w:p>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质疑联系方式：0571-</w:t>
      </w:r>
      <w:r>
        <w:rPr>
          <w:rFonts w:hint="eastAsia" w:ascii="宋体" w:hAnsi="宋体" w:eastAsia="宋体" w:cs="宋体"/>
          <w:color w:val="auto"/>
          <w:sz w:val="24"/>
          <w:highlight w:val="none"/>
          <w:lang w:val="en-US" w:eastAsia="zh-CN"/>
        </w:rPr>
        <w:t>85116327</w:t>
      </w:r>
    </w:p>
    <w:p>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名</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称：浙江省建设工程设备招标有限公司</w:t>
      </w:r>
    </w:p>
    <w:p>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址：杭州市环站东路97号云峰大厦1号楼13楼</w:t>
      </w:r>
    </w:p>
    <w:p>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传</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真：0571-87631300</w:t>
      </w:r>
    </w:p>
    <w:p>
      <w:pPr>
        <w:spacing w:line="360" w:lineRule="auto"/>
        <w:ind w:left="0" w:leftChars="0" w:firstLine="420" w:firstLineChars="1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王红红</w:t>
      </w:r>
    </w:p>
    <w:p>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项目联系方式（询问）：0571-87630283</w:t>
      </w:r>
    </w:p>
    <w:p>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val="en-US" w:eastAsia="zh-CN"/>
        </w:rPr>
        <w:t>胡经理</w:t>
      </w:r>
    </w:p>
    <w:p>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质疑联系方式：0571-87630283</w:t>
      </w:r>
    </w:p>
    <w:p>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3.同级政府采购监督管理部门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称：杭州市财政局政府采购监管处/浙江省政府采购行政裁决服务中心（杭州）</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杭州市上城区清泰街549号城建综合大楼11楼</w:t>
      </w:r>
      <w:r>
        <w:rPr>
          <w:rFonts w:hint="eastAsia" w:ascii="宋体" w:hAnsi="宋体" w:eastAsia="宋体" w:cs="宋体"/>
          <w:color w:val="auto"/>
          <w:sz w:val="24"/>
          <w:highlight w:val="none"/>
        </w:rPr>
        <w:t>（快递仅限ems或顺丰）</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 ：朱</w:t>
      </w:r>
      <w:r>
        <w:rPr>
          <w:rFonts w:hint="eastAsia" w:ascii="宋体" w:hAnsi="宋体" w:cs="宋体"/>
          <w:color w:val="auto"/>
          <w:sz w:val="24"/>
          <w:highlight w:val="none"/>
          <w:lang w:val="en-US" w:eastAsia="zh-CN"/>
        </w:rPr>
        <w:t>老师</w:t>
      </w:r>
    </w:p>
    <w:p>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color w:val="auto"/>
          <w:sz w:val="24"/>
          <w:highlight w:val="none"/>
        </w:rPr>
        <w:t>监督投诉电话：</w:t>
      </w:r>
      <w:r>
        <w:rPr>
          <w:rFonts w:hint="eastAsia" w:ascii="宋体" w:hAnsi="宋体" w:eastAsia="宋体" w:cs="宋体"/>
          <w:i w:val="0"/>
          <w:caps w:val="0"/>
          <w:color w:val="auto"/>
          <w:spacing w:val="0"/>
          <w:sz w:val="24"/>
          <w:szCs w:val="24"/>
          <w:highlight w:val="none"/>
          <w:lang w:val="en-US" w:eastAsia="zh-CN"/>
        </w:rPr>
        <w:t>0571-87800218</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政策咨询电话：</w:t>
      </w:r>
      <w:r>
        <w:rPr>
          <w:rFonts w:hint="eastAsia" w:ascii="宋体" w:hAnsi="宋体" w:eastAsia="宋体" w:cs="宋体"/>
          <w:color w:val="auto"/>
          <w:sz w:val="24"/>
          <w:highlight w:val="none"/>
          <w:lang w:eastAsia="zh-CN"/>
        </w:rPr>
        <w:t>沈先生、</w:t>
      </w:r>
      <w:r>
        <w:rPr>
          <w:rFonts w:hint="eastAsia" w:ascii="宋体" w:hAnsi="宋体" w:eastAsia="宋体" w:cs="宋体"/>
          <w:color w:val="auto"/>
          <w:sz w:val="24"/>
          <w:highlight w:val="none"/>
        </w:rPr>
        <w:t>陈先生</w:t>
      </w:r>
      <w:r>
        <w:rPr>
          <w:rFonts w:hint="eastAsia" w:ascii="宋体" w:hAnsi="宋体" w:eastAsia="宋体" w:cs="宋体"/>
          <w:color w:val="auto"/>
          <w:sz w:val="24"/>
          <w:highlight w:val="none"/>
          <w:lang w:val="en-US" w:eastAsia="zh-CN"/>
        </w:rPr>
        <w:t>/0571-89580457、0571-89580460</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20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73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采购计划文号</w:t>
            </w:r>
          </w:p>
        </w:tc>
        <w:tc>
          <w:tcPr>
            <w:tcW w:w="673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both"/>
              <w:rPr>
                <w:rFonts w:hint="default" w:ascii="宋体" w:hAnsi="宋体" w:eastAsia="宋体" w:cs="宋体"/>
                <w:b/>
                <w:color w:val="auto"/>
                <w:sz w:val="24"/>
                <w:highlight w:val="none"/>
                <w:lang w:val="en-US" w:eastAsia="zh-CN"/>
              </w:rPr>
            </w:pPr>
            <w:r>
              <w:rPr>
                <w:rFonts w:hint="default" w:ascii="宋体" w:hAnsi="宋体" w:eastAsia="宋体" w:cs="宋体"/>
                <w:b/>
                <w:color w:val="auto"/>
                <w:sz w:val="24"/>
                <w:highlight w:val="none"/>
                <w:lang w:val="en-US" w:eastAsia="zh-CN"/>
              </w:rPr>
              <w:t xml:space="preserve">[2025]6124号、临[2025]6548号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73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73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杭州市出租车行业监管和执法保障信息服务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b w:val="0"/>
                <w:bCs w:val="0"/>
                <w:color w:val="auto"/>
                <w:kern w:val="0"/>
                <w:sz w:val="24"/>
                <w:szCs w:val="24"/>
                <w:highlight w:val="none"/>
                <w:u w:val="single"/>
                <w:lang w:val="en-US" w:eastAsia="zh-CN" w:bidi="ar-SA"/>
              </w:rPr>
              <w:t>（十六）</w:t>
            </w:r>
            <w:r>
              <w:rPr>
                <w:rFonts w:hint="eastAsia" w:ascii="宋体" w:hAnsi="宋体" w:cs="宋体"/>
                <w:color w:val="auto"/>
                <w:kern w:val="0"/>
                <w:sz w:val="24"/>
                <w:highlight w:val="none"/>
                <w:u w:val="single"/>
                <w:lang w:val="en-US" w:eastAsia="zh-CN"/>
              </w:rPr>
              <w:t xml:space="preserve">其他未列明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行业；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cs="宋体"/>
                <w:b w:val="0"/>
                <w:bCs w:val="0"/>
                <w:color w:val="auto"/>
                <w:kern w:val="0"/>
                <w:sz w:val="24"/>
                <w:szCs w:val="24"/>
                <w:highlight w:val="none"/>
                <w:u w:val="none"/>
                <w:lang w:val="en-US" w:eastAsia="zh-CN" w:bidi="ar-SA"/>
              </w:rPr>
              <w:t>（十六）</w:t>
            </w:r>
            <w:r>
              <w:rPr>
                <w:rFonts w:hint="eastAsia" w:ascii="宋体" w:hAnsi="宋体" w:cs="宋体"/>
                <w:color w:val="auto"/>
                <w:kern w:val="0"/>
                <w:sz w:val="24"/>
                <w:highlight w:val="none"/>
                <w:u w:val="none"/>
                <w:lang w:val="en-US" w:eastAsia="zh-CN"/>
              </w:rPr>
              <w:t>其他未列明行业</w:t>
            </w:r>
            <w:r>
              <w:rPr>
                <w:rFonts w:hint="eastAsia" w:ascii="宋体" w:hAnsi="宋体" w:cs="宋体"/>
                <w:b w:val="0"/>
                <w:bCs w:val="0"/>
                <w:color w:val="auto"/>
                <w:kern w:val="0"/>
                <w:sz w:val="24"/>
                <w:szCs w:val="24"/>
                <w:highlight w:val="none"/>
                <w:lang w:val="en-US" w:eastAsia="zh-CN" w:bidi="ar-SA"/>
              </w:rPr>
              <w:t>。</w:t>
            </w:r>
            <w:r>
              <w:rPr>
                <w:rFonts w:hint="eastAsia" w:asciiTheme="minorEastAsia" w:hAnsiTheme="minorEastAsia" w:eastAsiaTheme="minorEastAsia" w:cstheme="minorEastAsia"/>
                <w:color w:val="auto"/>
                <w:sz w:val="24"/>
                <w:szCs w:val="24"/>
                <w:highlight w:val="none"/>
              </w:rPr>
              <w:t>从业人员300人以下的为中小微型企业。其中，从业人员 100人及以上的为中型企业；从业人员10人及以上的为小型企业；从业人员10人以下的为微型企业。</w:t>
            </w:r>
          </w:p>
          <w:p>
            <w:pPr>
              <w:pStyle w:val="58"/>
              <w:keepNext w:val="0"/>
              <w:keepLines w:val="0"/>
              <w:widowControl/>
              <w:suppressLineNumbers w:val="0"/>
              <w:spacing w:before="0" w:beforeAutospacing="0" w:after="0" w:afterAutospacing="0" w:line="360" w:lineRule="auto"/>
              <w:ind w:left="0" w:right="0"/>
              <w:jc w:val="both"/>
              <w:rPr>
                <w:color w:val="auto"/>
                <w:highlight w:val="none"/>
              </w:rPr>
            </w:pPr>
            <w:r>
              <w:rPr>
                <w:rFonts w:hint="eastAsia" w:ascii="宋体" w:hAnsi="宋体" w:eastAsia="宋体" w:cs="宋体"/>
                <w:b w:val="0"/>
                <w:bCs w:val="0"/>
                <w:i w:val="0"/>
                <w:iCs w:val="0"/>
                <w:color w:val="auto"/>
                <w:spacing w:val="0"/>
                <w:w w:val="100"/>
                <w:sz w:val="24"/>
                <w:szCs w:val="24"/>
                <w:highlight w:val="none"/>
                <w:vertAlign w:val="baseline"/>
              </w:rPr>
              <w:t>（2）本项目扶持力度：</w:t>
            </w:r>
          </w:p>
          <w:p>
            <w:pPr>
              <w:pStyle w:val="58"/>
              <w:keepNext w:val="0"/>
              <w:keepLines w:val="0"/>
              <w:widowControl/>
              <w:suppressLineNumbers w:val="0"/>
              <w:spacing w:before="0" w:beforeAutospacing="0" w:after="0" w:afterAutospacing="0" w:line="360" w:lineRule="auto"/>
              <w:ind w:left="143" w:leftChars="68" w:right="0"/>
              <w:jc w:val="both"/>
              <w:rPr>
                <w:b/>
                <w:bCs/>
                <w:color w:val="auto"/>
                <w:highlight w:val="none"/>
              </w:rPr>
            </w:pPr>
            <w:sdt>
              <w:sdtPr>
                <w:rPr>
                  <w:rFonts w:hint="eastAsia" w:ascii="宋体" w:hAnsi="宋体" w:cs="宋体"/>
                  <w:b/>
                  <w:bCs/>
                  <w:color w:val="auto"/>
                  <w:kern w:val="0"/>
                  <w:sz w:val="24"/>
                  <w:highlight w:val="none"/>
                </w:rPr>
                <w:id w:val="147475369"/>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Wingdings" w:hAnsi="Wingdings" w:eastAsia="宋体" w:cs="宋体"/>
                    <w:b/>
                    <w:bCs/>
                    <w:color w:val="auto"/>
                    <w:kern w:val="0"/>
                    <w:sz w:val="24"/>
                    <w:szCs w:val="24"/>
                    <w:highlight w:val="none"/>
                    <w:lang w:val="en-US" w:eastAsia="zh-CN" w:bidi="ar-SA"/>
                  </w:rPr>
                  <w:t>þ</w:t>
                </w:r>
              </w:sdtContent>
            </w:sdt>
            <w:r>
              <w:rPr>
                <w:rFonts w:hint="eastAsia" w:ascii="宋体" w:hAnsi="宋体" w:eastAsia="宋体" w:cs="宋体"/>
                <w:b/>
                <w:bCs/>
                <w:i w:val="0"/>
                <w:iCs w:val="0"/>
                <w:color w:val="auto"/>
                <w:spacing w:val="0"/>
                <w:w w:val="100"/>
                <w:sz w:val="24"/>
                <w:szCs w:val="24"/>
                <w:highlight w:val="none"/>
                <w:vertAlign w:val="baseline"/>
              </w:rPr>
              <w:t>专门预留中小企业份额项目；</w:t>
            </w:r>
          </w:p>
          <w:p>
            <w:pPr>
              <w:pStyle w:val="58"/>
              <w:keepNext w:val="0"/>
              <w:keepLines w:val="0"/>
              <w:widowControl/>
              <w:suppressLineNumbers w:val="0"/>
              <w:spacing w:before="0" w:beforeAutospacing="0" w:after="0" w:afterAutospacing="0" w:line="360" w:lineRule="auto"/>
              <w:ind w:left="143" w:leftChars="68" w:right="0"/>
              <w:jc w:val="both"/>
              <w:rPr>
                <w:color w:val="auto"/>
                <w:highlight w:val="none"/>
              </w:rPr>
            </w:pPr>
            <w:sdt>
              <w:sdtPr>
                <w:rPr>
                  <w:rFonts w:hint="eastAsia" w:ascii="宋体" w:hAnsi="宋体" w:cs="宋体"/>
                  <w:color w:val="auto"/>
                  <w:kern w:val="0"/>
                  <w:sz w:val="24"/>
                  <w:highlight w:val="none"/>
                </w:rPr>
                <w:id w:val="14745376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eastAsia="宋体" w:cs="宋体"/>
                <w:b w:val="0"/>
                <w:bCs w:val="0"/>
                <w:i w:val="0"/>
                <w:iCs w:val="0"/>
                <w:color w:val="auto"/>
                <w:spacing w:val="0"/>
                <w:w w:val="100"/>
                <w:sz w:val="24"/>
                <w:szCs w:val="24"/>
                <w:highlight w:val="none"/>
                <w:vertAlign w:val="baseline"/>
              </w:rPr>
              <w:t>适宜面向中小企业，本项目预留要求达到</w:t>
            </w:r>
            <w:r>
              <w:rPr>
                <w:rFonts w:hint="eastAsia" w:ascii="宋体" w:hAnsi="宋体" w:eastAsia="宋体" w:cs="宋体"/>
                <w:b w:val="0"/>
                <w:bCs w:val="0"/>
                <w:i w:val="0"/>
                <w:iCs w:val="0"/>
                <w:color w:val="auto"/>
                <w:spacing w:val="0"/>
                <w:w w:val="100"/>
                <w:sz w:val="24"/>
                <w:szCs w:val="24"/>
                <w:highlight w:val="none"/>
                <w:u w:val="single"/>
                <w:vertAlign w:val="baseline"/>
              </w:rPr>
              <w:t xml:space="preserve"> </w:t>
            </w:r>
            <w:r>
              <w:rPr>
                <w:rFonts w:hint="eastAsia" w:ascii="宋体" w:hAnsi="宋体" w:eastAsia="宋体" w:cs="宋体"/>
                <w:b w:val="0"/>
                <w:bCs w:val="0"/>
                <w:i w:val="0"/>
                <w:iCs w:val="0"/>
                <w:color w:val="auto"/>
                <w:spacing w:val="0"/>
                <w:w w:val="100"/>
                <w:sz w:val="24"/>
                <w:szCs w:val="24"/>
                <w:highlight w:val="none"/>
                <w:vertAlign w:val="baseline"/>
              </w:rPr>
              <w:t>%（允许联合或分包）；</w:t>
            </w:r>
          </w:p>
          <w:p>
            <w:pPr>
              <w:pStyle w:val="58"/>
              <w:keepNext w:val="0"/>
              <w:keepLines w:val="0"/>
              <w:widowControl/>
              <w:suppressLineNumbers w:val="0"/>
              <w:spacing w:before="0" w:beforeAutospacing="0" w:after="0" w:afterAutospacing="0" w:line="360" w:lineRule="auto"/>
              <w:ind w:left="143" w:leftChars="68" w:right="0"/>
              <w:jc w:val="both"/>
              <w:rPr>
                <w:rFonts w:hint="eastAsia" w:ascii="宋体" w:hAnsi="宋体" w:eastAsia="宋体" w:cs="宋体"/>
                <w:b w:val="0"/>
                <w:bCs w:val="0"/>
                <w:color w:val="auto"/>
                <w:kern w:val="0"/>
                <w:sz w:val="24"/>
                <w:szCs w:val="24"/>
                <w:highlight w:val="none"/>
                <w:lang w:val="en-US" w:eastAsia="zh-CN" w:bidi="ar-SA"/>
              </w:rPr>
            </w:pPr>
            <w:sdt>
              <w:sdtPr>
                <w:rPr>
                  <w:rFonts w:hint="eastAsia" w:ascii="宋体" w:hAnsi="宋体" w:cs="宋体"/>
                  <w:color w:val="auto"/>
                  <w:kern w:val="0"/>
                  <w:sz w:val="24"/>
                  <w:highlight w:val="none"/>
                </w:rPr>
                <w:id w:val="14748144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b w:val="0"/>
                <w:bCs w:val="0"/>
                <w:i w:val="0"/>
                <w:iCs w:val="0"/>
                <w:color w:val="auto"/>
                <w:spacing w:val="0"/>
                <w:w w:val="100"/>
                <w:sz w:val="24"/>
                <w:szCs w:val="24"/>
                <w:highlight w:val="none"/>
                <w:vertAlign w:val="baseline"/>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b w:val="0"/>
                <w:bCs w:val="0"/>
                <w:i w:val="0"/>
                <w:iCs w:val="0"/>
                <w:color w:val="auto"/>
                <w:spacing w:val="0"/>
                <w:w w:val="100"/>
                <w:sz w:val="24"/>
                <w:szCs w:val="24"/>
                <w:highlight w:val="none"/>
                <w:u w:val="single"/>
                <w:vertAlign w:val="baseline"/>
              </w:rPr>
              <w:t xml:space="preserve"> </w:t>
            </w:r>
            <w:r>
              <w:rPr>
                <w:rFonts w:hint="eastAsia" w:cs="宋体"/>
                <w:b w:val="0"/>
                <w:bCs w:val="0"/>
                <w:i w:val="0"/>
                <w:iCs w:val="0"/>
                <w:color w:val="auto"/>
                <w:spacing w:val="0"/>
                <w:w w:val="100"/>
                <w:sz w:val="24"/>
                <w:szCs w:val="24"/>
                <w:highlight w:val="none"/>
                <w:u w:val="single"/>
                <w:vertAlign w:val="baseline"/>
                <w:lang w:val="en-US" w:eastAsia="zh-CN"/>
              </w:rPr>
              <w:t>10%</w:t>
            </w:r>
            <w:r>
              <w:rPr>
                <w:rFonts w:hint="eastAsia" w:ascii="宋体" w:hAnsi="宋体" w:eastAsia="宋体" w:cs="宋体"/>
                <w:b w:val="0"/>
                <w:bCs w:val="0"/>
                <w:i w:val="0"/>
                <w:iCs w:val="0"/>
                <w:color w:val="auto"/>
                <w:spacing w:val="0"/>
                <w:w w:val="100"/>
                <w:sz w:val="24"/>
                <w:szCs w:val="24"/>
                <w:highlight w:val="none"/>
                <w:u w:val="single"/>
                <w:vertAlign w:val="baseline"/>
              </w:rPr>
              <w:t xml:space="preserve"> </w:t>
            </w:r>
            <w:r>
              <w:rPr>
                <w:rFonts w:hint="eastAsia" w:ascii="宋体" w:hAnsi="宋体" w:eastAsia="宋体" w:cs="宋体"/>
                <w:b w:val="0"/>
                <w:bCs w:val="0"/>
                <w:i w:val="0"/>
                <w:iCs w:val="0"/>
                <w:color w:val="auto"/>
                <w:spacing w:val="0"/>
                <w:w w:val="100"/>
                <w:sz w:val="24"/>
                <w:szCs w:val="24"/>
                <w:highlight w:val="none"/>
                <w:vertAlign w:val="baseli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b w:val="0"/>
                <w:bCs w:val="0"/>
                <w:i w:val="0"/>
                <w:iCs w:val="0"/>
                <w:color w:val="auto"/>
                <w:spacing w:val="0"/>
                <w:w w:val="100"/>
                <w:sz w:val="24"/>
                <w:szCs w:val="24"/>
                <w:highlight w:val="none"/>
                <w:u w:val="single"/>
                <w:vertAlign w:val="baseline"/>
              </w:rPr>
              <w:t xml:space="preserve"> </w:t>
            </w:r>
            <w:r>
              <w:rPr>
                <w:rFonts w:hint="eastAsia" w:cs="宋体"/>
                <w:b w:val="0"/>
                <w:bCs w:val="0"/>
                <w:i w:val="0"/>
                <w:iCs w:val="0"/>
                <w:color w:val="auto"/>
                <w:spacing w:val="0"/>
                <w:w w:val="100"/>
                <w:sz w:val="24"/>
                <w:szCs w:val="24"/>
                <w:highlight w:val="none"/>
                <w:u w:val="single"/>
                <w:vertAlign w:val="baseline"/>
                <w:lang w:val="en-US" w:eastAsia="zh-CN"/>
              </w:rPr>
              <w:t>4%</w:t>
            </w:r>
            <w:r>
              <w:rPr>
                <w:rFonts w:hint="eastAsia" w:ascii="宋体" w:hAnsi="宋体" w:eastAsia="宋体" w:cs="宋体"/>
                <w:b w:val="0"/>
                <w:bCs w:val="0"/>
                <w:i w:val="0"/>
                <w:iCs w:val="0"/>
                <w:color w:val="auto"/>
                <w:spacing w:val="0"/>
                <w:w w:val="100"/>
                <w:sz w:val="24"/>
                <w:szCs w:val="24"/>
                <w:highlight w:val="none"/>
                <w:u w:val="single"/>
                <w:vertAlign w:val="baseline"/>
              </w:rPr>
              <w:t xml:space="preserve"> </w:t>
            </w:r>
            <w:r>
              <w:rPr>
                <w:rFonts w:hint="eastAsia" w:ascii="宋体" w:hAnsi="宋体" w:eastAsia="宋体" w:cs="宋体"/>
                <w:b w:val="0"/>
                <w:bCs w:val="0"/>
                <w:i w:val="0"/>
                <w:iCs w:val="0"/>
                <w:color w:val="auto"/>
                <w:spacing w:val="0"/>
                <w:w w:val="100"/>
                <w:sz w:val="24"/>
                <w:szCs w:val="24"/>
                <w:highlight w:val="none"/>
                <w:vertAlign w:val="baseline"/>
              </w:rPr>
              <w:t>的扣除，用扣除后的价格参加评审。组成联合体或者接受分包的小微企业与联合体内其他企业、分包企业之间存在直接控股、管理关系的，不享受价格扣除优惠政策。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73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bCs/>
                <w:color w:val="auto"/>
                <w:kern w:val="0"/>
                <w:sz w:val="24"/>
                <w:highlight w:val="none"/>
              </w:rPr>
            </w:pPr>
            <w:sdt>
              <w:sdtPr>
                <w:rPr>
                  <w:rFonts w:hint="eastAsia" w:ascii="宋体" w:hAnsi="宋体" w:cs="宋体"/>
                  <w:b/>
                  <w:bCs/>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宋体" w:hAnsi="宋体" w:cs="宋体"/>
                    <w:b/>
                    <w:bCs/>
                    <w:color w:val="auto"/>
                    <w:kern w:val="0"/>
                    <w:sz w:val="24"/>
                    <w:highlight w:val="none"/>
                  </w:rPr>
                  <w:sym w:font="Wingdings" w:char="F0FE"/>
                </w:r>
              </w:sdtContent>
            </w:sdt>
            <w:r>
              <w:rPr>
                <w:rFonts w:hint="eastAsia" w:ascii="宋体" w:hAnsi="宋体" w:cs="宋体"/>
                <w:b/>
                <w:bCs/>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731"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hint="eastAsia"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ascii="Wingdings" w:hAnsi="Wingdings" w:eastAsia="宋体" w:cs="宋体"/>
                    <w:b/>
                    <w:bCs/>
                    <w:color w:val="auto"/>
                    <w:kern w:val="0"/>
                    <w:sz w:val="24"/>
                    <w:szCs w:val="24"/>
                    <w:highlight w:val="none"/>
                    <w:lang w:val="en-US" w:eastAsia="zh-CN" w:bidi="ar-SA"/>
                  </w:rPr>
                  <w:t>þ</w:t>
                </w:r>
              </w:sdtContent>
            </w:sdt>
            <w:r>
              <w:rPr>
                <w:rFonts w:hint="eastAsia" w:ascii="宋体" w:hAnsi="宋体" w:cs="宋体"/>
                <w:b/>
                <w:bCs/>
                <w:color w:val="auto"/>
                <w:kern w:val="0"/>
                <w:sz w:val="24"/>
                <w:highlight w:val="none"/>
              </w:rPr>
              <w:t xml:space="preserve"> A</w:t>
            </w:r>
            <w:r>
              <w:rPr>
                <w:rFonts w:hint="eastAsia" w:ascii="宋体" w:hAnsi="宋体" w:cs="宋体"/>
                <w:b/>
                <w:bCs/>
                <w:color w:val="auto"/>
                <w:sz w:val="24"/>
                <w:highlight w:val="none"/>
              </w:rPr>
              <w:t>同意将非主体、非关键性的</w:t>
            </w:r>
            <w:r>
              <w:rPr>
                <w:rFonts w:hint="eastAsia" w:ascii="宋体" w:hAnsi="宋体" w:cs="宋体"/>
                <w:b/>
                <w:bCs/>
                <w:color w:val="auto"/>
                <w:sz w:val="24"/>
                <w:highlight w:val="none"/>
                <w:u w:val="single"/>
              </w:rPr>
              <w:t xml:space="preserve">  </w:t>
            </w:r>
            <w:r>
              <w:rPr>
                <w:rFonts w:hint="eastAsia" w:asciiTheme="minorEastAsia" w:hAnsiTheme="minorEastAsia" w:eastAsiaTheme="minorEastAsia" w:cstheme="minorEastAsia"/>
                <w:b/>
                <w:bCs w:val="0"/>
                <w:color w:val="auto"/>
                <w:sz w:val="24"/>
                <w:highlight w:val="none"/>
                <w:u w:val="single"/>
                <w:lang w:val="en-US" w:eastAsia="zh-CN"/>
              </w:rPr>
              <w:t xml:space="preserve">公共卫生事件防控保障 </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工作分包。</w:t>
            </w:r>
          </w:p>
          <w:p>
            <w:pPr>
              <w:spacing w:line="360" w:lineRule="auto"/>
              <w:rPr>
                <w:rFonts w:ascii="宋体" w:hAnsi="宋体" w:cs="宋体"/>
                <w:b w:val="0"/>
                <w:bCs w:val="0"/>
                <w:color w:val="auto"/>
                <w:sz w:val="24"/>
                <w:highlight w:val="none"/>
              </w:rPr>
            </w:pPr>
            <w:sdt>
              <w:sdtPr>
                <w:rPr>
                  <w:rFonts w:hint="eastAsia" w:ascii="宋体" w:hAnsi="宋体" w:cs="宋体"/>
                  <w:b w:val="0"/>
                  <w:bCs w:val="0"/>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b w:val="0"/>
                  <w:bCs w:val="0"/>
                  <w:color w:val="auto"/>
                  <w:kern w:val="0"/>
                  <w:sz w:val="24"/>
                  <w:highlight w:val="none"/>
                </w:rPr>
              </w:sdtEndPr>
              <w:sdtContent>
                <w:r>
                  <w:rPr>
                    <w:rFonts w:hint="eastAsia" w:ascii="MS Gothic" w:hAnsi="MS Gothic" w:eastAsia="宋体" w:cs="宋体"/>
                    <w:b w:val="0"/>
                    <w:bCs w:val="0"/>
                    <w:color w:val="auto"/>
                    <w:kern w:val="0"/>
                    <w:sz w:val="24"/>
                    <w:szCs w:val="24"/>
                    <w:highlight w:val="none"/>
                    <w:lang w:val="en-US" w:eastAsia="zh-CN" w:bidi="ar-SA"/>
                  </w:rPr>
                  <w:t>☐</w:t>
                </w:r>
              </w:sdtContent>
            </w:sdt>
            <w:r>
              <w:rPr>
                <w:rFonts w:hint="eastAsia" w:ascii="宋体" w:hAnsi="宋体" w:cs="宋体"/>
                <w:b w:val="0"/>
                <w:bCs w:val="0"/>
                <w:color w:val="auto"/>
                <w:kern w:val="0"/>
                <w:sz w:val="24"/>
                <w:highlight w:val="none"/>
              </w:rPr>
              <w:t xml:space="preserve"> B</w:t>
            </w:r>
            <w:r>
              <w:rPr>
                <w:rFonts w:hint="eastAsia" w:ascii="宋体" w:hAnsi="宋体" w:cs="宋体"/>
                <w:b w:val="0"/>
                <w:bCs w:val="0"/>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73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Wingdings" w:hAnsi="Wingdings" w:eastAsia="MS Gothic" w:cs="宋体"/>
                    <w:b/>
                    <w:bCs/>
                    <w:color w:val="auto"/>
                    <w:kern w:val="0"/>
                    <w:sz w:val="24"/>
                    <w:szCs w:val="24"/>
                    <w:highlight w:val="none"/>
                    <w:lang w:val="en-US" w:eastAsia="zh-CN" w:bidi="ar-SA"/>
                  </w:rPr>
                  <w:t>þ</w:t>
                </w:r>
              </w:sdtContent>
            </w:sdt>
            <w:r>
              <w:rPr>
                <w:rFonts w:hint="eastAsia" w:ascii="宋体" w:hAnsi="宋体" w:cs="宋体"/>
                <w:b/>
                <w:bCs/>
                <w:color w:val="auto"/>
                <w:kern w:val="0"/>
                <w:sz w:val="24"/>
                <w:highlight w:val="none"/>
              </w:rPr>
              <w:t>A</w:t>
            </w:r>
            <w:r>
              <w:rPr>
                <w:rFonts w:hint="eastAsia" w:ascii="宋体" w:hAnsi="宋体" w:cs="宋体"/>
                <w:b/>
                <w:bCs/>
                <w:color w:val="auto"/>
                <w:sz w:val="24"/>
                <w:highlight w:val="none"/>
              </w:rPr>
              <w:t>不组织。</w:t>
            </w:r>
          </w:p>
          <w:p>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pPr>
              <w:spacing w:line="360" w:lineRule="auto"/>
              <w:rPr>
                <w:color w:val="auto"/>
                <w:highlight w:val="none"/>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cs="宋体"/>
                <w:b/>
                <w:color w:val="auto"/>
                <w:sz w:val="24"/>
                <w:highlight w:val="none"/>
              </w:rPr>
            </w:pPr>
            <w:r>
              <w:rPr>
                <w:rFonts w:hint="eastAsia" w:asciiTheme="minorEastAsia" w:hAnsiTheme="minorEastAsia" w:eastAsiaTheme="minorEastAsia" w:cstheme="minorEastAsia"/>
                <w:b/>
                <w:color w:val="auto"/>
                <w:kern w:val="0"/>
                <w:sz w:val="24"/>
                <w:highlight w:val="none"/>
              </w:rPr>
              <w:t>履约保证金</w:t>
            </w:r>
          </w:p>
        </w:tc>
        <w:tc>
          <w:tcPr>
            <w:tcW w:w="673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kern w:val="0"/>
                <w:sz w:val="24"/>
                <w:highlight w:val="none"/>
              </w:rPr>
              <w:sym w:font="Wingdings" w:char="00FE"/>
            </w:r>
            <w:r>
              <w:rPr>
                <w:rFonts w:hint="eastAsia" w:asciiTheme="minorEastAsia" w:hAnsiTheme="minorEastAsia" w:eastAsiaTheme="minorEastAsia" w:cstheme="minorEastAsia"/>
                <w:b/>
                <w:bCs/>
                <w:color w:val="auto"/>
                <w:kern w:val="0"/>
                <w:sz w:val="24"/>
                <w:highlight w:val="none"/>
              </w:rPr>
              <w:t>A本项目不设履约保证金；</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cs="宋体"/>
                <w:color w:val="auto"/>
                <w:sz w:val="24"/>
                <w:highlight w:val="none"/>
              </w:rPr>
            </w:pPr>
            <w:r>
              <w:rPr>
                <w:rFonts w:hint="eastAsia" w:asciiTheme="minorEastAsia" w:hAnsiTheme="minorEastAsia" w:eastAsiaTheme="minorEastAsia" w:cstheme="minorEastAsia"/>
                <w:snapToGrid w:val="0"/>
                <w:color w:val="auto"/>
                <w:kern w:val="0"/>
                <w:sz w:val="24"/>
                <w:highlight w:val="none"/>
              </w:rPr>
              <w:sym w:font="Wingdings" w:char="00A8"/>
            </w:r>
            <w:r>
              <w:rPr>
                <w:rFonts w:hint="eastAsia" w:asciiTheme="minorEastAsia" w:hAnsiTheme="minorEastAsia" w:eastAsiaTheme="minorEastAsia" w:cstheme="minorEastAsia"/>
                <w:snapToGrid w:val="0"/>
                <w:color w:val="auto"/>
                <w:kern w:val="0"/>
                <w:sz w:val="24"/>
                <w:highlight w:val="none"/>
              </w:rPr>
              <w:t>B</w:t>
            </w:r>
            <w:r>
              <w:rPr>
                <w:rFonts w:hint="eastAsia" w:asciiTheme="minorEastAsia" w:hAnsiTheme="minorEastAsia" w:eastAsiaTheme="minorEastAsia" w:cstheme="minorEastAsia"/>
                <w:color w:val="auto"/>
                <w:kern w:val="0"/>
                <w:sz w:val="24"/>
                <w:highlight w:val="none"/>
              </w:rPr>
              <w:t>中标供应商在合同签订后7个工作日内，须向采购人提交合同金额最高</w:t>
            </w:r>
            <w:r>
              <w:rPr>
                <w:rFonts w:hint="eastAsia" w:asciiTheme="minorEastAsia" w:hAnsiTheme="minorEastAsia" w:eastAsiaTheme="minorEastAsia" w:cstheme="minorEastAsia"/>
                <w:color w:val="auto"/>
                <w:kern w:val="0"/>
                <w:sz w:val="24"/>
                <w:highlight w:val="none"/>
                <w:u w:val="single"/>
              </w:rPr>
              <w:t>/%</w:t>
            </w:r>
            <w:r>
              <w:rPr>
                <w:rFonts w:hint="eastAsia" w:asciiTheme="minorEastAsia" w:hAnsiTheme="minorEastAsia" w:eastAsiaTheme="minorEastAsia" w:cstheme="minorEastAsia"/>
                <w:color w:val="auto"/>
                <w:kern w:val="0"/>
                <w:sz w:val="24"/>
                <w:highlight w:val="none"/>
              </w:rPr>
              <w:t>的履约保证金。履约保证金以金融机构、担保机构出具的保函等非现金形式缴纳。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73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Wingdings" w:hAnsi="Wingdings" w:eastAsia="MS Gothic" w:cs="宋体"/>
                    <w:b/>
                    <w:bCs/>
                    <w:color w:val="auto"/>
                    <w:kern w:val="0"/>
                    <w:sz w:val="24"/>
                    <w:szCs w:val="24"/>
                    <w:highlight w:val="none"/>
                    <w:lang w:val="en-US" w:eastAsia="zh-CN" w:bidi="ar-SA"/>
                  </w:rPr>
                  <w:t>þ</w:t>
                </w:r>
              </w:sdtContent>
            </w:sdt>
            <w:r>
              <w:rPr>
                <w:rFonts w:hint="eastAsia" w:ascii="宋体" w:hAnsi="宋体" w:cs="宋体"/>
                <w:b/>
                <w:bCs/>
                <w:color w:val="auto"/>
                <w:kern w:val="0"/>
                <w:sz w:val="24"/>
                <w:highlight w:val="none"/>
              </w:rPr>
              <w:t>A</w:t>
            </w:r>
            <w:r>
              <w:rPr>
                <w:rFonts w:hint="eastAsia" w:ascii="宋体" w:hAnsi="宋体" w:cs="宋体"/>
                <w:b/>
                <w:bCs/>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left"/>
              <w:rPr>
                <w:rFonts w:ascii="宋体" w:hAnsi="宋体" w:cs="宋体"/>
                <w:bCs/>
                <w:color w:val="auto"/>
                <w:sz w:val="24"/>
                <w:highlight w:val="none"/>
              </w:rPr>
            </w:pPr>
            <w:r>
              <w:rPr>
                <w:rFonts w:hint="eastAsia" w:asciiTheme="minorEastAsia" w:hAnsiTheme="minorEastAsia" w:eastAsiaTheme="minorEastAsia" w:cstheme="minorEastAsia"/>
                <w:b/>
                <w:color w:val="auto"/>
                <w:sz w:val="24"/>
                <w:highlight w:val="none"/>
                <w:lang w:val="en-US" w:eastAsia="zh-CN"/>
              </w:rPr>
              <w:t>系统</w:t>
            </w:r>
            <w:r>
              <w:rPr>
                <w:rFonts w:hint="eastAsia" w:asciiTheme="minorEastAsia" w:hAnsiTheme="minorEastAsia" w:eastAsiaTheme="minorEastAsia" w:cstheme="minorEastAsia"/>
                <w:b/>
                <w:color w:val="auto"/>
                <w:sz w:val="24"/>
                <w:highlight w:val="none"/>
              </w:rPr>
              <w:t>演示</w:t>
            </w:r>
          </w:p>
        </w:tc>
        <w:tc>
          <w:tcPr>
            <w:tcW w:w="6731"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rPr>
                <w:rFonts w:hint="eastAsia" w:asciiTheme="minorEastAsia" w:hAnsiTheme="minorEastAsia" w:eastAsiaTheme="minorEastAsia" w:cstheme="minorEastAsia"/>
                <w:b w:val="0"/>
                <w:bCs w:val="0"/>
                <w:color w:val="auto"/>
                <w:sz w:val="24"/>
                <w:highlight w:val="none"/>
              </w:rPr>
            </w:pPr>
            <w:r>
              <w:rPr>
                <w:rFonts w:hint="eastAsia" w:asciiTheme="minorEastAsia" w:hAnsiTheme="minorEastAsia" w:eastAsiaTheme="minorEastAsia" w:cstheme="minorEastAsia"/>
                <w:b w:val="0"/>
                <w:bCs w:val="0"/>
                <w:color w:val="auto"/>
                <w:kern w:val="0"/>
                <w:sz w:val="24"/>
                <w:highlight w:val="none"/>
              </w:rPr>
              <w:sym w:font="Wingdings 2" w:char="00A3"/>
            </w:r>
            <w:r>
              <w:rPr>
                <w:rFonts w:hint="eastAsia" w:asciiTheme="minorEastAsia" w:hAnsiTheme="minorEastAsia" w:eastAsiaTheme="minorEastAsia" w:cstheme="minorEastAsia"/>
                <w:b w:val="0"/>
                <w:bCs w:val="0"/>
                <w:color w:val="auto"/>
                <w:kern w:val="0"/>
                <w:sz w:val="24"/>
                <w:highlight w:val="none"/>
              </w:rPr>
              <w:t>A</w:t>
            </w:r>
            <w:r>
              <w:rPr>
                <w:rFonts w:hint="eastAsia" w:asciiTheme="minorEastAsia" w:hAnsiTheme="minorEastAsia" w:eastAsiaTheme="minorEastAsia" w:cstheme="minorEastAsia"/>
                <w:b w:val="0"/>
                <w:bCs w:val="0"/>
                <w:color w:val="auto"/>
                <w:sz w:val="24"/>
                <w:highlight w:val="none"/>
              </w:rPr>
              <w:t>不组织。</w:t>
            </w:r>
          </w:p>
          <w:p>
            <w:pPr>
              <w:adjustRightInd w:val="0"/>
              <w:snapToGrid w:val="0"/>
              <w:spacing w:line="360" w:lineRule="auto"/>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sym w:font="Wingdings 2" w:char="0052"/>
            </w:r>
            <w:r>
              <w:rPr>
                <w:rFonts w:hint="eastAsia" w:asciiTheme="minorEastAsia" w:hAnsiTheme="minorEastAsia" w:eastAsiaTheme="minorEastAsia" w:cstheme="minorEastAsia"/>
                <w:b/>
                <w:bCs/>
                <w:color w:val="auto"/>
                <w:kern w:val="0"/>
                <w:sz w:val="24"/>
                <w:highlight w:val="none"/>
              </w:rPr>
              <w:t>B组织。</w:t>
            </w:r>
          </w:p>
          <w:p>
            <w:pPr>
              <w:adjustRightInd w:val="0"/>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（1）在评标时安排每个投标人进行</w:t>
            </w:r>
            <w:r>
              <w:rPr>
                <w:rFonts w:hint="eastAsia" w:asciiTheme="minorEastAsia" w:hAnsiTheme="minorEastAsia" w:eastAsiaTheme="minorEastAsia" w:cstheme="minorEastAsia"/>
                <w:b w:val="0"/>
                <w:bCs/>
                <w:color w:val="auto"/>
                <w:sz w:val="24"/>
                <w:highlight w:val="none"/>
                <w:lang w:val="en-US" w:eastAsia="zh-CN"/>
              </w:rPr>
              <w:t>系统</w:t>
            </w:r>
            <w:r>
              <w:rPr>
                <w:rFonts w:hint="eastAsia" w:asciiTheme="minorEastAsia" w:hAnsiTheme="minorEastAsia" w:eastAsiaTheme="minorEastAsia" w:cstheme="minorEastAsia"/>
                <w:b w:val="0"/>
                <w:bCs/>
                <w:color w:val="auto"/>
                <w:kern w:val="0"/>
                <w:sz w:val="24"/>
                <w:highlight w:val="none"/>
              </w:rPr>
              <w:t>演示</w:t>
            </w:r>
            <w:r>
              <w:rPr>
                <w:rFonts w:hint="eastAsia" w:asciiTheme="minorEastAsia" w:hAnsiTheme="minorEastAsia" w:eastAsiaTheme="minorEastAsia" w:cstheme="minorEastAsia"/>
                <w:color w:val="auto"/>
                <w:kern w:val="0"/>
                <w:sz w:val="24"/>
                <w:highlight w:val="none"/>
              </w:rPr>
              <w:t>。每个投标人时间不超过</w:t>
            </w:r>
            <w:r>
              <w:rPr>
                <w:rFonts w:hint="eastAsia" w:asciiTheme="minorEastAsia" w:hAnsiTheme="minorEastAsia" w:eastAsiaTheme="minorEastAsia" w:cstheme="minorEastAsia"/>
                <w:color w:val="auto"/>
                <w:kern w:val="0"/>
                <w:sz w:val="24"/>
                <w:highlight w:val="none"/>
                <w:u w:val="single"/>
                <w:lang w:val="en-US" w:eastAsia="zh-CN"/>
              </w:rPr>
              <w:t>10</w:t>
            </w:r>
            <w:r>
              <w:rPr>
                <w:rFonts w:hint="eastAsia" w:asciiTheme="minorEastAsia" w:hAnsiTheme="minorEastAsia" w:eastAsiaTheme="minorEastAsia" w:cstheme="minorEastAsia"/>
                <w:color w:val="auto"/>
                <w:kern w:val="0"/>
                <w:sz w:val="24"/>
                <w:highlight w:val="none"/>
                <w:u w:val="single"/>
              </w:rPr>
              <w:t>（编制时可根据项目情况进行调整）</w:t>
            </w:r>
            <w:r>
              <w:rPr>
                <w:rFonts w:hint="eastAsia" w:asciiTheme="minorEastAsia" w:hAnsiTheme="minorEastAsia" w:eastAsiaTheme="minorEastAsia" w:cstheme="minorEastAsia"/>
                <w:color w:val="auto"/>
                <w:kern w:val="0"/>
                <w:sz w:val="24"/>
                <w:highlight w:val="none"/>
              </w:rPr>
              <w:t>分钟，</w:t>
            </w:r>
            <w:r>
              <w:rPr>
                <w:rFonts w:hint="eastAsia" w:asciiTheme="minorEastAsia" w:hAnsiTheme="minorEastAsia" w:eastAsiaTheme="minorEastAsia" w:cstheme="minorEastAsia"/>
                <w:b w:val="0"/>
                <w:bCs/>
                <w:color w:val="auto"/>
                <w:kern w:val="0"/>
                <w:sz w:val="24"/>
                <w:highlight w:val="none"/>
              </w:rPr>
              <w:t>演示</w:t>
            </w:r>
            <w:r>
              <w:rPr>
                <w:rFonts w:hint="eastAsia" w:asciiTheme="minorEastAsia" w:hAnsiTheme="minorEastAsia" w:eastAsiaTheme="minorEastAsia" w:cstheme="minorEastAsia"/>
                <w:color w:val="auto"/>
                <w:kern w:val="0"/>
                <w:sz w:val="24"/>
                <w:highlight w:val="none"/>
              </w:rPr>
              <w:t>次序以投标文件解密时间先后次序为准。</w:t>
            </w:r>
          </w:p>
          <w:p>
            <w:pPr>
              <w:adjustRightInd w:val="0"/>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（2）演示方式：</w:t>
            </w:r>
            <w:r>
              <w:rPr>
                <w:rFonts w:hint="eastAsia" w:asciiTheme="minorEastAsia" w:hAnsiTheme="minorEastAsia" w:eastAsiaTheme="minorEastAsia" w:cstheme="minorEastAsia"/>
                <w:bCs/>
                <w:color w:val="auto"/>
                <w:sz w:val="24"/>
                <w:szCs w:val="24"/>
                <w:highlight w:val="none"/>
              </w:rPr>
              <w:t>演示内容投标人拍摄视频，密封后随加密文件一并寄达</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（邮寄地址：杭州市环站东路97号云峰大厦1号楼13楼，胡馨月，17816022721收。注：请供应商确保U盘中视频文件正常运行，如损坏或其他无法打开的情形，由供应商自行负责。）</w:t>
            </w:r>
          </w:p>
          <w:p>
            <w:pPr>
              <w:adjustRightInd w:val="0"/>
              <w:snapToGrid w:val="0"/>
              <w:spacing w:line="360" w:lineRule="auto"/>
              <w:rPr>
                <w:rFonts w:ascii="宋体" w:hAnsi="宋体" w:cs="宋体"/>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731"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731"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731" w:type="dxa"/>
            <w:tcBorders>
              <w:top w:val="single" w:color="000000" w:sz="8" w:space="0"/>
              <w:left w:val="single" w:color="000000" w:sz="2" w:space="0"/>
              <w:bottom w:val="single" w:color="000000" w:sz="8" w:space="0"/>
              <w:right w:val="single" w:color="000000" w:sz="8" w:space="0"/>
            </w:tcBorders>
            <w:vAlign w:val="center"/>
          </w:tcPr>
          <w:p>
            <w:pPr>
              <w:pStyle w:val="81"/>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pStyle w:val="81"/>
              <w:spacing w:line="360" w:lineRule="auto"/>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pPr>
              <w:pStyle w:val="81"/>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pPr>
              <w:pStyle w:val="81"/>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pPr>
              <w:pStyle w:val="81"/>
              <w:spacing w:line="360" w:lineRule="auto"/>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73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731"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731"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杭州市环站东路97号云峰大厦1号楼13楼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胡馨月 17816022721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73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73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b/>
                  <w:bCs/>
                  <w:color w:val="auto"/>
                  <w:kern w:val="0"/>
                  <w:sz w:val="24"/>
                  <w:highlight w:val="none"/>
                </w:rPr>
              </w:sdtEndPr>
              <w:sdtContent>
                <w:r>
                  <w:rPr>
                    <w:rFonts w:hint="eastAsia" w:ascii="Wingdings" w:hAnsi="Wingdings" w:cs="Arial" w:eastAsiaTheme="minorEastAsia"/>
                    <w:b/>
                    <w:bCs/>
                    <w:color w:val="auto"/>
                    <w:kern w:val="0"/>
                    <w:sz w:val="24"/>
                    <w:szCs w:val="24"/>
                    <w:highlight w:val="none"/>
                    <w:lang w:val="en-US" w:eastAsia="zh-CN" w:bidi="ar-SA"/>
                  </w:rPr>
                  <w:t>þ</w:t>
                </w:r>
              </w:sdtContent>
            </w:sdt>
            <w:r>
              <w:rPr>
                <w:rFonts w:hint="eastAsia" w:ascii="宋体" w:hAnsi="宋体" w:cs="宋体"/>
                <w:b/>
                <w:bCs/>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000000" w:sz="2" w:space="0"/>
            </w:tcBorders>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5</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731" w:type="dxa"/>
            <w:tcBorders>
              <w:top w:val="single" w:color="auto" w:sz="4" w:space="0"/>
              <w:left w:val="single" w:color="000000" w:sz="2" w:space="0"/>
              <w:bottom w:val="single" w:color="000000" w:sz="8" w:space="0"/>
              <w:right w:val="single" w:color="auto" w:sz="4" w:space="0"/>
            </w:tcBorders>
            <w:vAlign w:val="center"/>
          </w:tcPr>
          <w:p>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1家</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6</w:t>
            </w:r>
          </w:p>
        </w:tc>
        <w:tc>
          <w:tcPr>
            <w:tcW w:w="1843" w:type="dxa"/>
            <w:tcBorders>
              <w:top w:val="single" w:color="auto" w:sz="4" w:space="0"/>
              <w:left w:val="single" w:color="000000" w:sz="2" w:space="0"/>
              <w:bottom w:val="single" w:color="auto" w:sz="4" w:space="0"/>
              <w:right w:val="single" w:color="auto" w:sz="4" w:space="0"/>
            </w:tcBorders>
            <w:vAlign w:val="center"/>
          </w:tcPr>
          <w:p>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731" w:type="dxa"/>
            <w:tcBorders>
              <w:top w:val="single" w:color="000000" w:sz="8" w:space="0"/>
              <w:left w:val="single" w:color="auto" w:sz="4" w:space="0"/>
              <w:bottom w:val="single" w:color="000000" w:sz="8" w:space="0"/>
              <w:right w:val="single" w:color="auto" w:sz="4" w:space="0"/>
            </w:tcBorders>
            <w:vAlign w:val="center"/>
          </w:tcPr>
          <w:p>
            <w:pPr>
              <w:pStyle w:val="58"/>
              <w:keepNext w:val="0"/>
              <w:keepLines w:val="0"/>
              <w:widowControl/>
              <w:suppressLineNumbers w:val="0"/>
              <w:spacing w:before="0" w:beforeAutospacing="0" w:after="0" w:afterAutospacing="0" w:line="360" w:lineRule="auto"/>
              <w:ind w:left="143" w:leftChars="68" w:right="0" w:firstLine="71"/>
              <w:jc w:val="left"/>
              <w:rPr>
                <w:color w:val="auto"/>
                <w:highlight w:val="none"/>
              </w:rPr>
            </w:pPr>
            <w:r>
              <w:rPr>
                <w:rFonts w:hint="eastAsia" w:ascii="宋体" w:hAnsi="宋体" w:eastAsia="宋体" w:cs="宋体"/>
                <w:b w:val="0"/>
                <w:bCs w:val="0"/>
                <w:i w:val="0"/>
                <w:iCs w:val="0"/>
                <w:color w:val="auto"/>
                <w:spacing w:val="0"/>
                <w:w w:val="100"/>
                <w:sz w:val="24"/>
                <w:szCs w:val="24"/>
                <w:highlight w:val="none"/>
                <w:vertAlign w:val="baseline"/>
              </w:rPr>
              <w:t>（1）中标通知书发出之日起30日（鼓励有条件的缩短至10个工作日）内，中标供应商持中标通知书与采购人签订合同；合同签订后需在2个工作日内进行备案公示。</w:t>
            </w:r>
          </w:p>
          <w:p>
            <w:pPr>
              <w:pStyle w:val="58"/>
              <w:keepNext w:val="0"/>
              <w:keepLines w:val="0"/>
              <w:widowControl/>
              <w:suppressLineNumbers w:val="0"/>
              <w:spacing w:before="0" w:beforeAutospacing="0" w:after="0" w:afterAutospacing="0" w:line="360" w:lineRule="auto"/>
              <w:ind w:left="143" w:leftChars="68" w:right="0" w:firstLine="71"/>
              <w:jc w:val="left"/>
              <w:rPr>
                <w:color w:val="auto"/>
                <w:highlight w:val="none"/>
              </w:rPr>
            </w:pPr>
            <w:r>
              <w:rPr>
                <w:rFonts w:hint="eastAsia" w:ascii="宋体" w:hAnsi="宋体" w:eastAsia="宋体" w:cs="宋体"/>
                <w:b w:val="0"/>
                <w:bCs w:val="0"/>
                <w:i w:val="0"/>
                <w:iCs w:val="0"/>
                <w:color w:val="auto"/>
                <w:spacing w:val="0"/>
                <w:w w:val="100"/>
                <w:sz w:val="24"/>
                <w:szCs w:val="24"/>
                <w:highlight w:val="none"/>
                <w:vertAlign w:val="baseline"/>
              </w:rPr>
              <w:t xml:space="preserve">（2）中标供应商在收到中标通知后7个工作日内提交纸质版胶装投标文件（内容同电子投标文件）一正两副或系统解密版三份，用于项目资料存档。（邮寄地址：杭州市环站东路97号云峰大厦1号楼13楼 </w:t>
            </w:r>
            <w:bookmarkStart w:id="11" w:name="OLE_LINK6"/>
            <w:r>
              <w:rPr>
                <w:rFonts w:hint="eastAsia" w:ascii="宋体" w:hAnsi="宋体" w:eastAsia="宋体" w:cs="宋体"/>
                <w:b w:val="0"/>
                <w:bCs w:val="0"/>
                <w:i w:val="0"/>
                <w:iCs w:val="0"/>
                <w:color w:val="auto"/>
                <w:spacing w:val="0"/>
                <w:w w:val="100"/>
                <w:sz w:val="24"/>
                <w:szCs w:val="24"/>
                <w:highlight w:val="none"/>
                <w:vertAlign w:val="baseline"/>
              </w:rPr>
              <w:t>胡馨月 17816022721</w:t>
            </w:r>
            <w:bookmarkEnd w:id="11"/>
            <w:r>
              <w:rPr>
                <w:rFonts w:hint="eastAsia" w:ascii="宋体" w:hAnsi="宋体" w:eastAsia="宋体" w:cs="宋体"/>
                <w:b w:val="0"/>
                <w:bCs w:val="0"/>
                <w:i w:val="0"/>
                <w:iCs w:val="0"/>
                <w:color w:val="auto"/>
                <w:spacing w:val="0"/>
                <w:w w:val="100"/>
                <w:sz w:val="24"/>
                <w:szCs w:val="24"/>
                <w:highlight w:val="none"/>
                <w:vertAlign w:val="baseline"/>
              </w:rPr>
              <w:t>收）</w:t>
            </w:r>
          </w:p>
          <w:p>
            <w:pPr>
              <w:pStyle w:val="58"/>
              <w:keepNext w:val="0"/>
              <w:keepLines w:val="0"/>
              <w:widowControl/>
              <w:suppressLineNumbers w:val="0"/>
              <w:spacing w:before="0" w:beforeAutospacing="0" w:after="0" w:afterAutospacing="0" w:line="360" w:lineRule="auto"/>
              <w:ind w:left="143" w:leftChars="68" w:right="0"/>
              <w:jc w:val="left"/>
              <w:rPr>
                <w:rFonts w:hint="eastAsia" w:ascii="宋体" w:hAnsi="宋体" w:eastAsia="宋体" w:cs="宋体"/>
                <w:b w:val="0"/>
                <w:bCs w:val="0"/>
                <w:i w:val="0"/>
                <w:iCs w:val="0"/>
                <w:color w:val="auto"/>
                <w:spacing w:val="0"/>
                <w:w w:val="100"/>
                <w:sz w:val="24"/>
                <w:szCs w:val="24"/>
                <w:highlight w:val="none"/>
                <w:vertAlign w:val="baseline"/>
              </w:rPr>
            </w:pPr>
            <w:r>
              <w:rPr>
                <w:rFonts w:hint="eastAsia" w:ascii="宋体" w:hAnsi="宋体" w:eastAsia="宋体" w:cs="宋体"/>
                <w:b w:val="0"/>
                <w:bCs w:val="0"/>
                <w:i w:val="0"/>
                <w:iCs w:val="0"/>
                <w:color w:val="auto"/>
                <w:spacing w:val="0"/>
                <w:w w:val="100"/>
                <w:sz w:val="24"/>
                <w:szCs w:val="24"/>
                <w:highlight w:val="none"/>
                <w:vertAlign w:val="baseline"/>
              </w:rPr>
              <w:t>（3）本项目招标代理服务费收费标准为：以中标金额为计费基准，</w:t>
            </w:r>
            <w:r>
              <w:rPr>
                <w:rFonts w:hint="eastAsia" w:cs="宋体"/>
                <w:b/>
                <w:bCs/>
                <w:i w:val="0"/>
                <w:iCs w:val="0"/>
                <w:color w:val="auto"/>
                <w:spacing w:val="0"/>
                <w:w w:val="100"/>
                <w:sz w:val="24"/>
                <w:szCs w:val="24"/>
                <w:highlight w:val="none"/>
                <w:u w:val="single"/>
                <w:vertAlign w:val="baseline"/>
                <w:lang w:val="en-US" w:eastAsia="zh-CN"/>
              </w:rPr>
              <w:t>参考计价格[2002]1980号文</w:t>
            </w:r>
            <w:r>
              <w:rPr>
                <w:rFonts w:hint="eastAsia" w:ascii="宋体" w:hAnsi="宋体" w:eastAsia="宋体" w:cs="宋体"/>
                <w:b/>
                <w:bCs/>
                <w:i w:val="0"/>
                <w:iCs w:val="0"/>
                <w:color w:val="auto"/>
                <w:spacing w:val="0"/>
                <w:w w:val="100"/>
                <w:sz w:val="24"/>
                <w:szCs w:val="24"/>
                <w:highlight w:val="none"/>
                <w:u w:val="single"/>
                <w:vertAlign w:val="baseline"/>
              </w:rPr>
              <w:t>，</w:t>
            </w:r>
            <w:r>
              <w:rPr>
                <w:rFonts w:hint="eastAsia" w:cs="宋体"/>
                <w:b/>
                <w:bCs/>
                <w:i w:val="0"/>
                <w:iCs w:val="0"/>
                <w:color w:val="auto"/>
                <w:spacing w:val="0"/>
                <w:w w:val="100"/>
                <w:sz w:val="24"/>
                <w:szCs w:val="24"/>
                <w:highlight w:val="none"/>
                <w:u w:val="single"/>
                <w:vertAlign w:val="baseline"/>
                <w:lang w:val="en-US" w:eastAsia="zh-CN"/>
              </w:rPr>
              <w:t xml:space="preserve"> </w:t>
            </w:r>
            <w:r>
              <w:rPr>
                <w:rFonts w:hint="eastAsia" w:ascii="宋体" w:hAnsi="宋体" w:eastAsia="宋体" w:cs="宋体"/>
                <w:b/>
                <w:bCs/>
                <w:i w:val="0"/>
                <w:iCs w:val="0"/>
                <w:color w:val="auto"/>
                <w:spacing w:val="0"/>
                <w:w w:val="100"/>
                <w:sz w:val="24"/>
                <w:szCs w:val="24"/>
                <w:highlight w:val="none"/>
                <w:u w:val="single"/>
                <w:vertAlign w:val="baseline"/>
              </w:rPr>
              <w:t>服务类收费标准七</w:t>
            </w:r>
            <w:r>
              <w:rPr>
                <w:rFonts w:hint="eastAsia" w:cs="宋体"/>
                <w:b/>
                <w:bCs/>
                <w:i w:val="0"/>
                <w:iCs w:val="0"/>
                <w:color w:val="auto"/>
                <w:spacing w:val="0"/>
                <w:w w:val="100"/>
                <w:sz w:val="24"/>
                <w:szCs w:val="24"/>
                <w:highlight w:val="none"/>
                <w:u w:val="single"/>
                <w:vertAlign w:val="baseline"/>
                <w:lang w:val="en-US" w:eastAsia="zh-CN"/>
              </w:rPr>
              <w:t>五</w:t>
            </w:r>
            <w:r>
              <w:rPr>
                <w:rFonts w:hint="eastAsia" w:ascii="宋体" w:hAnsi="宋体" w:eastAsia="宋体" w:cs="宋体"/>
                <w:b/>
                <w:bCs/>
                <w:i w:val="0"/>
                <w:iCs w:val="0"/>
                <w:color w:val="auto"/>
                <w:spacing w:val="0"/>
                <w:w w:val="100"/>
                <w:sz w:val="24"/>
                <w:szCs w:val="24"/>
                <w:highlight w:val="none"/>
                <w:u w:val="single"/>
                <w:vertAlign w:val="baseline"/>
              </w:rPr>
              <w:t>折收取</w:t>
            </w:r>
            <w:r>
              <w:rPr>
                <w:rFonts w:hint="eastAsia" w:ascii="宋体" w:hAnsi="宋体" w:eastAsia="宋体" w:cs="宋体"/>
                <w:b w:val="0"/>
                <w:bCs w:val="0"/>
                <w:i w:val="0"/>
                <w:iCs w:val="0"/>
                <w:color w:val="auto"/>
                <w:spacing w:val="0"/>
                <w:w w:val="100"/>
                <w:sz w:val="24"/>
                <w:szCs w:val="24"/>
                <w:highlight w:val="none"/>
                <w:u w:val="single"/>
                <w:vertAlign w:val="baseline"/>
              </w:rPr>
              <w:t>，</w:t>
            </w:r>
            <w:r>
              <w:rPr>
                <w:rFonts w:hint="eastAsia" w:ascii="宋体" w:hAnsi="宋体" w:eastAsia="宋体" w:cs="宋体"/>
                <w:b w:val="0"/>
                <w:bCs w:val="0"/>
                <w:i w:val="0"/>
                <w:iCs w:val="0"/>
                <w:color w:val="auto"/>
                <w:spacing w:val="0"/>
                <w:w w:val="100"/>
                <w:sz w:val="24"/>
                <w:szCs w:val="24"/>
                <w:highlight w:val="none"/>
                <w:vertAlign w:val="baseline"/>
              </w:rPr>
              <w:t>不足伍仟元按伍仟元计取。</w:t>
            </w:r>
          </w:p>
          <w:p>
            <w:pPr>
              <w:pStyle w:val="58"/>
              <w:keepNext w:val="0"/>
              <w:keepLines w:val="0"/>
              <w:widowControl/>
              <w:suppressLineNumbers w:val="0"/>
              <w:spacing w:before="0" w:beforeAutospacing="0" w:after="0" w:afterAutospacing="0" w:line="360" w:lineRule="auto"/>
              <w:ind w:left="143" w:leftChars="68" w:right="0" w:firstLine="420"/>
              <w:jc w:val="left"/>
              <w:rPr>
                <w:color w:val="auto"/>
                <w:highlight w:val="none"/>
              </w:rPr>
            </w:pPr>
            <w:r>
              <w:rPr>
                <w:rFonts w:hint="eastAsia" w:ascii="宋体" w:hAnsi="宋体" w:eastAsia="宋体" w:cs="宋体"/>
                <w:b w:val="0"/>
                <w:bCs w:val="0"/>
                <w:i w:val="0"/>
                <w:iCs w:val="0"/>
                <w:color w:val="auto"/>
                <w:spacing w:val="0"/>
                <w:w w:val="100"/>
                <w:sz w:val="24"/>
                <w:szCs w:val="24"/>
                <w:highlight w:val="none"/>
                <w:vertAlign w:val="baseline"/>
              </w:rPr>
              <w:sym w:font="Wingdings" w:char="00A8"/>
            </w:r>
            <w:r>
              <w:rPr>
                <w:rFonts w:hint="eastAsia" w:ascii="宋体" w:hAnsi="宋体" w:eastAsia="宋体" w:cs="宋体"/>
                <w:b w:val="0"/>
                <w:bCs w:val="0"/>
                <w:i w:val="0"/>
                <w:iCs w:val="0"/>
                <w:color w:val="auto"/>
                <w:spacing w:val="0"/>
                <w:w w:val="100"/>
                <w:sz w:val="24"/>
                <w:szCs w:val="24"/>
                <w:highlight w:val="none"/>
                <w:vertAlign w:val="baseline"/>
              </w:rPr>
              <w:t>采购人在招标完成后支付；</w:t>
            </w:r>
          </w:p>
          <w:p>
            <w:pPr>
              <w:pStyle w:val="58"/>
              <w:keepNext w:val="0"/>
              <w:keepLines w:val="0"/>
              <w:widowControl/>
              <w:suppressLineNumbers w:val="0"/>
              <w:spacing w:before="0" w:beforeAutospacing="0" w:after="0" w:afterAutospacing="0" w:line="360" w:lineRule="auto"/>
              <w:ind w:left="143" w:leftChars="68" w:right="0" w:firstLine="420"/>
              <w:jc w:val="left"/>
              <w:rPr>
                <w:color w:val="auto"/>
                <w:highlight w:val="none"/>
              </w:rPr>
            </w:pPr>
            <w:r>
              <w:rPr>
                <w:rFonts w:hint="eastAsia" w:ascii="宋体" w:hAnsi="宋体" w:eastAsia="宋体" w:cs="宋体"/>
                <w:b/>
                <w:bCs/>
                <w:i w:val="0"/>
                <w:iCs w:val="0"/>
                <w:color w:val="auto"/>
                <w:spacing w:val="0"/>
                <w:w w:val="100"/>
                <w:sz w:val="24"/>
                <w:szCs w:val="24"/>
                <w:highlight w:val="none"/>
                <w:vertAlign w:val="baseline"/>
              </w:rPr>
              <w:sym w:font="Wingdings" w:char="00FE"/>
            </w:r>
            <w:r>
              <w:rPr>
                <w:rFonts w:hint="eastAsia" w:ascii="宋体" w:hAnsi="宋体" w:eastAsia="宋体" w:cs="宋体"/>
                <w:b/>
                <w:bCs/>
                <w:i w:val="0"/>
                <w:iCs w:val="0"/>
                <w:color w:val="auto"/>
                <w:spacing w:val="0"/>
                <w:w w:val="100"/>
                <w:sz w:val="24"/>
                <w:szCs w:val="24"/>
                <w:highlight w:val="none"/>
                <w:vertAlign w:val="baseline"/>
              </w:rPr>
              <w:t>由中标供应商在领取中标通知书后7个工作日内向采购代理机构一次性缴纳。</w:t>
            </w:r>
          </w:p>
          <w:p>
            <w:pPr>
              <w:pStyle w:val="58"/>
              <w:keepNext w:val="0"/>
              <w:keepLines w:val="0"/>
              <w:widowControl/>
              <w:suppressLineNumbers w:val="0"/>
              <w:spacing w:before="0" w:beforeAutospacing="0" w:after="0" w:afterAutospacing="0" w:line="360" w:lineRule="auto"/>
              <w:ind w:left="143" w:leftChars="68" w:right="0" w:firstLine="71"/>
              <w:jc w:val="left"/>
              <w:rPr>
                <w:color w:val="auto"/>
                <w:highlight w:val="none"/>
              </w:rPr>
            </w:pPr>
            <w:r>
              <w:rPr>
                <w:rFonts w:hint="eastAsia" w:ascii="宋体" w:hAnsi="宋体" w:eastAsia="宋体" w:cs="宋体"/>
                <w:b w:val="0"/>
                <w:bCs w:val="0"/>
                <w:i w:val="0"/>
                <w:iCs w:val="0"/>
                <w:color w:val="auto"/>
                <w:spacing w:val="0"/>
                <w:w w:val="100"/>
                <w:sz w:val="24"/>
                <w:szCs w:val="24"/>
                <w:highlight w:val="none"/>
                <w:vertAlign w:val="baseline"/>
              </w:rPr>
              <w:t>收款单位：浙江省建设工程设备招标有限公司</w:t>
            </w:r>
          </w:p>
          <w:p>
            <w:pPr>
              <w:pStyle w:val="58"/>
              <w:keepNext w:val="0"/>
              <w:keepLines w:val="0"/>
              <w:widowControl/>
              <w:suppressLineNumbers w:val="0"/>
              <w:spacing w:before="0" w:beforeAutospacing="0" w:after="0" w:afterAutospacing="0" w:line="360" w:lineRule="auto"/>
              <w:ind w:left="143" w:leftChars="68" w:right="0" w:firstLine="71"/>
              <w:jc w:val="left"/>
              <w:rPr>
                <w:color w:val="auto"/>
                <w:highlight w:val="none"/>
              </w:rPr>
            </w:pPr>
            <w:r>
              <w:rPr>
                <w:rFonts w:hint="eastAsia" w:ascii="宋体" w:hAnsi="宋体" w:eastAsia="宋体" w:cs="宋体"/>
                <w:b w:val="0"/>
                <w:bCs w:val="0"/>
                <w:i w:val="0"/>
                <w:iCs w:val="0"/>
                <w:color w:val="auto"/>
                <w:spacing w:val="0"/>
                <w:w w:val="100"/>
                <w:sz w:val="24"/>
                <w:szCs w:val="24"/>
                <w:highlight w:val="none"/>
                <w:vertAlign w:val="baseline"/>
              </w:rPr>
              <w:t>开户银行：中国建设银行股份有限公司杭州大关支行</w:t>
            </w:r>
          </w:p>
          <w:p>
            <w:pPr>
              <w:pStyle w:val="58"/>
              <w:keepNext w:val="0"/>
              <w:keepLines w:val="0"/>
              <w:widowControl/>
              <w:suppressLineNumbers w:val="0"/>
              <w:spacing w:before="0" w:beforeAutospacing="0" w:after="0" w:afterAutospacing="0" w:line="360" w:lineRule="auto"/>
              <w:ind w:left="143" w:leftChars="68" w:right="0" w:firstLine="71"/>
              <w:jc w:val="left"/>
              <w:rPr>
                <w:rFonts w:hint="eastAsia" w:ascii="宋体" w:hAnsi="宋体" w:eastAsia="宋体" w:cs="宋体"/>
                <w:color w:val="auto"/>
                <w:kern w:val="0"/>
                <w:sz w:val="24"/>
                <w:highlight w:val="none"/>
                <w:lang w:val="en" w:eastAsia="zh-CN"/>
              </w:rPr>
            </w:pPr>
            <w:r>
              <w:rPr>
                <w:rFonts w:hint="eastAsia" w:ascii="宋体" w:hAnsi="宋体" w:eastAsia="宋体" w:cs="宋体"/>
                <w:b w:val="0"/>
                <w:bCs w:val="0"/>
                <w:i w:val="0"/>
                <w:iCs w:val="0"/>
                <w:color w:val="auto"/>
                <w:spacing w:val="0"/>
                <w:w w:val="100"/>
                <w:sz w:val="24"/>
                <w:szCs w:val="24"/>
                <w:highlight w:val="none"/>
                <w:vertAlign w:val="baseline"/>
              </w:rPr>
              <w:t>帐 号：33001616383053002342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 w:val="24"/>
                <w:highlight w:val="none"/>
                <w:lang w:val="en-US" w:eastAsia="zh-CN"/>
              </w:rPr>
            </w:pPr>
            <w:bookmarkStart w:id="12" w:name="第三部分"/>
            <w:bookmarkStart w:id="13" w:name="_Toc164416483"/>
            <w:r>
              <w:rPr>
                <w:rFonts w:hint="eastAsia" w:ascii="宋体" w:hAnsi="宋体" w:cs="宋体"/>
                <w:color w:val="auto"/>
                <w:sz w:val="24"/>
                <w:highlight w:val="none"/>
                <w:lang w:val="en-US" w:eastAsia="zh-CN"/>
              </w:rPr>
              <w:t>17</w:t>
            </w:r>
          </w:p>
        </w:tc>
        <w:tc>
          <w:tcPr>
            <w:tcW w:w="1843" w:type="dxa"/>
            <w:tcBorders>
              <w:top w:val="single" w:color="auto" w:sz="4" w:space="0"/>
              <w:left w:val="single" w:color="000000" w:sz="2"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48" w:lineRule="auto"/>
              <w:jc w:val="center"/>
              <w:textAlignment w:val="auto"/>
              <w:rPr>
                <w:rFonts w:hint="eastAsia" w:cs="仿宋_GB2312" w:asciiTheme="minorEastAsia" w:hAnsiTheme="minorEastAsia" w:eastAsiaTheme="minorEastAsia"/>
                <w:b/>
                <w:color w:val="auto"/>
                <w:sz w:val="24"/>
                <w:highlight w:val="none"/>
                <w:lang w:val="en" w:eastAsia="zh-CN"/>
              </w:rPr>
            </w:pPr>
            <w:r>
              <w:rPr>
                <w:rFonts w:hint="eastAsia" w:asciiTheme="minorEastAsia" w:hAnsiTheme="minorEastAsia" w:eastAsiaTheme="minorEastAsia" w:cstheme="minorEastAsia"/>
                <w:b/>
                <w:bCs w:val="0"/>
                <w:color w:val="auto"/>
                <w:sz w:val="24"/>
                <w:highlight w:val="none"/>
                <w:lang w:val="en-US" w:eastAsia="zh-CN"/>
              </w:rPr>
              <w:t>补充说明</w:t>
            </w:r>
          </w:p>
        </w:tc>
        <w:tc>
          <w:tcPr>
            <w:tcW w:w="6731" w:type="dxa"/>
            <w:tcBorders>
              <w:top w:val="single" w:color="000000" w:sz="8" w:space="0"/>
              <w:left w:val="single" w:color="auto" w:sz="4" w:space="0"/>
              <w:bottom w:val="single" w:color="auto" w:sz="4" w:space="0"/>
              <w:right w:val="single" w:color="auto" w:sz="4" w:space="0"/>
            </w:tcBorders>
            <w:vAlign w:val="center"/>
          </w:tcPr>
          <w:p>
            <w:pPr>
              <w:pStyle w:val="58"/>
              <w:keepNext w:val="0"/>
              <w:keepLines w:val="0"/>
              <w:pageBreakBefore w:val="0"/>
              <w:widowControl/>
              <w:suppressLineNumbers w:val="0"/>
              <w:kinsoku/>
              <w:wordWrap/>
              <w:overflowPunct/>
              <w:topLinePunct w:val="0"/>
              <w:bidi w:val="0"/>
              <w:adjustRightInd w:val="0"/>
              <w:snapToGrid w:val="0"/>
              <w:spacing w:before="0" w:beforeAutospacing="0" w:after="0" w:afterAutospacing="0" w:line="348" w:lineRule="auto"/>
              <w:ind w:right="0" w:rightChars="0" w:firstLine="482" w:firstLineChars="200"/>
              <w:jc w:val="left"/>
              <w:textAlignment w:val="auto"/>
              <w:rPr>
                <w:rFonts w:hint="eastAsia" w:ascii="宋体" w:hAnsi="宋体" w:eastAsia="宋体" w:cs="宋体"/>
                <w:b w:val="0"/>
                <w:bCs w:val="0"/>
                <w:i w:val="0"/>
                <w:iCs w:val="0"/>
                <w:color w:val="auto"/>
                <w:spacing w:val="0"/>
                <w:w w:val="100"/>
                <w:sz w:val="24"/>
                <w:szCs w:val="24"/>
                <w:highlight w:val="none"/>
                <w:vertAlign w:val="baseline"/>
              </w:rPr>
            </w:pPr>
            <w:r>
              <w:rPr>
                <w:rFonts w:hint="eastAsia" w:asciiTheme="minorEastAsia" w:hAnsiTheme="minorEastAsia" w:eastAsiaTheme="minorEastAsia" w:cstheme="minorEastAsia"/>
                <w:b/>
                <w:bCs w:val="0"/>
                <w:i w:val="0"/>
                <w:iCs w:val="0"/>
                <w:color w:val="auto"/>
                <w:spacing w:val="0"/>
                <w:w w:val="100"/>
                <w:sz w:val="24"/>
                <w:szCs w:val="24"/>
                <w:highlight w:val="none"/>
                <w:vertAlign w:val="baseline"/>
                <w:lang w:val="en-US" w:eastAsia="zh-CN"/>
              </w:rPr>
              <w:t>根据《浙江省财政厅关于进一步规范政府采购秩序促进公平竞争的通知》（浙财采监〔2025〕2号）相关规定，在评审结束后、合同签订前，采购人、采购代理机构应及时通过网站查询、原件核对等方式对中标（成交）供应商在投标（响应）文件中涉及客观分评审内容的检测报告、认证证书等资料的真实性进行复核；如采购人或采购代理机构向供应商要求提交涉及客观分评审内容的资料时，中标（成交）供应商应积极配合，因未及时提供导致不利于供应商的判断，责任由供应商自行承担。</w:t>
            </w:r>
          </w:p>
        </w:tc>
      </w:tr>
      <w:bookmarkEnd w:id="10"/>
    </w:tbl>
    <w:p>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pageBreakBefore w:val="0"/>
        <w:kinsoku/>
        <w:wordWrap/>
        <w:overflowPunct/>
        <w:topLinePunct w:val="0"/>
        <w:bidi w:val="0"/>
        <w:snapToGrid w:val="0"/>
        <w:spacing w:beforeAutospacing="0" w:line="360" w:lineRule="auto"/>
        <w:ind w:firstLine="361" w:firstLineChars="150"/>
        <w:jc w:val="left"/>
        <w:textAlignment w:val="auto"/>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pageBreakBefore w:val="0"/>
        <w:kinsoku/>
        <w:wordWrap/>
        <w:overflowPunct/>
        <w:topLinePunct w:val="0"/>
        <w:bidi w:val="0"/>
        <w:snapToGrid w:val="0"/>
        <w:spacing w:beforeAutospacing="0"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pageBreakBefore w:val="0"/>
        <w:kinsoku/>
        <w:wordWrap/>
        <w:overflowPunct/>
        <w:topLinePunct w:val="0"/>
        <w:bidi w:val="0"/>
        <w:adjustRightInd/>
        <w:snapToGrid w:val="0"/>
        <w:spacing w:beforeAutospacing="0" w:line="360" w:lineRule="auto"/>
        <w:textAlignment w:val="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pageBreakBefore w:val="0"/>
        <w:kinsoku/>
        <w:wordWrap/>
        <w:overflowPunct/>
        <w:topLinePunct w:val="0"/>
        <w:bidi w:val="0"/>
        <w:snapToGrid w:val="0"/>
        <w:spacing w:beforeAutospacing="0" w:line="360" w:lineRule="auto"/>
        <w:ind w:firstLine="241" w:firstLineChars="100"/>
        <w:textAlignment w:val="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pageBreakBefore w:val="0"/>
        <w:kinsoku/>
        <w:wordWrap/>
        <w:overflowPunct/>
        <w:topLinePunct w:val="0"/>
        <w:bidi w:val="0"/>
        <w:snapToGrid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pageBreakBefore w:val="0"/>
        <w:kinsoku/>
        <w:wordWrap/>
        <w:overflowPunct/>
        <w:topLinePunct w:val="0"/>
        <w:bidi w:val="0"/>
        <w:snapToGrid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3.2 支持绿色发展</w:t>
      </w:r>
    </w:p>
    <w:p>
      <w:pPr>
        <w:pageBreakBefore w:val="0"/>
        <w:kinsoku/>
        <w:wordWrap/>
        <w:overflowPunct/>
        <w:topLinePunct w:val="0"/>
        <w:bidi w:val="0"/>
        <w:snapToGrid w:val="0"/>
        <w:spacing w:beforeAutospacing="0" w:line="360" w:lineRule="auto"/>
        <w:ind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pageBreakBefore w:val="0"/>
        <w:kinsoku/>
        <w:wordWrap/>
        <w:overflowPunct/>
        <w:topLinePunct w:val="0"/>
        <w:bidi w:val="0"/>
        <w:snapToGrid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3.3支持中小企业发展</w:t>
      </w:r>
    </w:p>
    <w:p>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pageBreakBefore w:val="0"/>
        <w:widowControl/>
        <w:kinsoku/>
        <w:wordWrap/>
        <w:overflowPunct/>
        <w:topLinePunct w:val="0"/>
        <w:bidi w:val="0"/>
        <w:snapToGrid w:val="0"/>
        <w:spacing w:beforeAutospacing="0" w:line="360" w:lineRule="auto"/>
        <w:ind w:firstLine="480" w:firstLineChars="200"/>
        <w:jc w:val="left"/>
        <w:textAlignment w:val="auto"/>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pageBreakBefore w:val="0"/>
        <w:widowControl/>
        <w:kinsoku/>
        <w:wordWrap/>
        <w:overflowPunct/>
        <w:topLinePunct w:val="0"/>
        <w:bidi w:val="0"/>
        <w:snapToGrid w:val="0"/>
        <w:spacing w:beforeAutospacing="0"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pageBreakBefore w:val="0"/>
        <w:kinsoku/>
        <w:wordWrap/>
        <w:overflowPunct/>
        <w:topLinePunct w:val="0"/>
        <w:bidi w:val="0"/>
        <w:snapToGrid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pPr>
        <w:pStyle w:val="4"/>
        <w:pageBreakBefore w:val="0"/>
        <w:kinsoku/>
        <w:wordWrap/>
        <w:overflowPunct/>
        <w:topLinePunct w:val="0"/>
        <w:bidi w:val="0"/>
        <w:adjustRightInd w:val="0"/>
        <w:snapToGrid w:val="0"/>
        <w:spacing w:beforeAutospacing="0"/>
        <w:ind w:left="0" w:firstLine="480" w:firstLineChars="200"/>
        <w:textAlignment w:val="auto"/>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3.5平等对待内外资企业和符合条件的破产重整企业</w:t>
      </w:r>
      <w:r>
        <w:rPr>
          <w:rFonts w:hint="eastAsia" w:ascii="宋体" w:hAnsi="宋体" w:cs="宋体"/>
          <w:color w:val="auto"/>
          <w:sz w:val="24"/>
          <w:highlight w:val="none"/>
          <w:lang w:eastAsia="zh-CN"/>
        </w:rPr>
        <w:t>。</w:t>
      </w:r>
    </w:p>
    <w:p>
      <w:pPr>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pPr>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3"/>
        <w:pageBreakBefore w:val="0"/>
        <w:kinsoku/>
        <w:wordWrap/>
        <w:overflowPunct/>
        <w:topLinePunct w:val="0"/>
        <w:bidi w:val="0"/>
        <w:snapToGrid w:val="0"/>
        <w:spacing w:beforeAutospacing="0" w:line="360" w:lineRule="auto"/>
        <w:ind w:firstLine="480" w:firstLineChars="200"/>
        <w:textAlignment w:val="auto"/>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3"/>
        <w:pageBreakBefore w:val="0"/>
        <w:kinsoku/>
        <w:wordWrap/>
        <w:overflowPunct/>
        <w:topLinePunct w:val="0"/>
        <w:bidi w:val="0"/>
        <w:snapToGrid w:val="0"/>
        <w:spacing w:beforeAutospacing="0" w:line="360" w:lineRule="auto"/>
        <w:ind w:firstLine="480" w:firstLineChars="200"/>
        <w:textAlignment w:val="auto"/>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16"/>
        <w:pageBreakBefore w:val="0"/>
        <w:kinsoku/>
        <w:wordWrap/>
        <w:overflowPunct/>
        <w:topLinePunct w:val="0"/>
        <w:bidi w:val="0"/>
        <w:snapToGrid w:val="0"/>
        <w:spacing w:beforeAutospacing="0" w:line="360" w:lineRule="auto"/>
        <w:ind w:firstLine="480" w:firstLineChars="200"/>
        <w:textAlignment w:val="auto"/>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3"/>
        <w:pageBreakBefore w:val="0"/>
        <w:kinsoku/>
        <w:wordWrap/>
        <w:overflowPunct/>
        <w:topLinePunct w:val="0"/>
        <w:bidi w:val="0"/>
        <w:snapToGrid w:val="0"/>
        <w:spacing w:beforeAutospacing="0" w:line="360" w:lineRule="auto"/>
        <w:ind w:left="479" w:leftChars="228"/>
        <w:textAlignment w:val="auto"/>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3"/>
        <w:pageBreakBefore w:val="0"/>
        <w:kinsoku/>
        <w:wordWrap/>
        <w:overflowPunct/>
        <w:topLinePunct w:val="0"/>
        <w:bidi w:val="0"/>
        <w:snapToGrid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3"/>
        <w:pageBreakBefore w:val="0"/>
        <w:kinsoku/>
        <w:wordWrap/>
        <w:overflowPunct/>
        <w:topLinePunct w:val="0"/>
        <w:bidi w:val="0"/>
        <w:snapToGrid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3"/>
        <w:pageBreakBefore w:val="0"/>
        <w:kinsoku/>
        <w:wordWrap/>
        <w:overflowPunct/>
        <w:topLinePunct w:val="0"/>
        <w:bidi w:val="0"/>
        <w:snapToGrid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3"/>
        <w:pageBreakBefore w:val="0"/>
        <w:kinsoku/>
        <w:wordWrap/>
        <w:overflowPunct/>
        <w:topLinePunct w:val="0"/>
        <w:bidi w:val="0"/>
        <w:snapToGrid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3"/>
        <w:pageBreakBefore w:val="0"/>
        <w:kinsoku/>
        <w:wordWrap/>
        <w:overflowPunct/>
        <w:topLinePunct w:val="0"/>
        <w:bidi w:val="0"/>
        <w:snapToGrid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3"/>
        <w:pageBreakBefore w:val="0"/>
        <w:kinsoku/>
        <w:wordWrap/>
        <w:overflowPunct/>
        <w:topLinePunct w:val="0"/>
        <w:bidi w:val="0"/>
        <w:snapToGrid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3"/>
        <w:pageBreakBefore w:val="0"/>
        <w:kinsoku/>
        <w:wordWrap/>
        <w:overflowPunct/>
        <w:topLinePunct w:val="0"/>
        <w:bidi w:val="0"/>
        <w:snapToGrid w:val="0"/>
        <w:spacing w:beforeAutospacing="0" w:line="360" w:lineRule="auto"/>
        <w:ind w:firstLine="960" w:firstLineChars="4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9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质疑函范本及制作说明详见附件2。</w:t>
      </w:r>
    </w:p>
    <w:p>
      <w:pPr>
        <w:pStyle w:val="89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4.3.4对同一采购程序环节的质疑，供应商须在法定质疑期内一次性提出。</w:t>
      </w:r>
    </w:p>
    <w:p>
      <w:pPr>
        <w:pStyle w:val="89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9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91"/>
        <w:pageBreakBefore w:val="0"/>
        <w:shd w:val="clear" w:color="auto" w:fill="FFFFFF"/>
        <w:kinsoku/>
        <w:wordWrap/>
        <w:overflowPunct/>
        <w:topLinePunct w:val="0"/>
        <w:bidi w:val="0"/>
        <w:snapToGrid w:val="0"/>
        <w:spacing w:before="0" w:beforeAutospacing="0" w:after="0" w:afterAutospacing="0" w:line="360" w:lineRule="auto"/>
        <w:ind w:firstLine="480" w:firstLineChars="200"/>
        <w:contextualSpacing/>
        <w:textAlignment w:val="auto"/>
        <w:rPr>
          <w:color w:val="auto"/>
          <w:highlight w:val="none"/>
          <w:lang w:val="zh-CN"/>
        </w:rPr>
      </w:pPr>
      <w:r>
        <w:rPr>
          <w:rFonts w:hint="eastAsia"/>
          <w:color w:val="auto"/>
          <w:highlight w:val="none"/>
          <w:lang w:val="zh-CN"/>
        </w:rPr>
        <w:t>4.4供应商投诉</w:t>
      </w:r>
    </w:p>
    <w:p>
      <w:pPr>
        <w:pStyle w:val="89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9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9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4.4.3供应商投诉应当有明确的请求和必要的证明材料。</w:t>
      </w:r>
    </w:p>
    <w:p>
      <w:pPr>
        <w:pStyle w:val="89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4.4.4以联合体形式参加政府采购活动的，其投诉应当由组成联合体的所有供应商共同提出。</w:t>
      </w:r>
    </w:p>
    <w:p>
      <w:pPr>
        <w:pStyle w:val="89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w:t>
      </w:r>
      <w:r>
        <w:rPr>
          <w:rFonts w:hint="eastAsia"/>
          <w:color w:val="auto"/>
          <w:highlight w:val="none"/>
        </w:rPr>
        <w:t>朱</w:t>
      </w:r>
      <w:r>
        <w:rPr>
          <w:rFonts w:hint="eastAsia"/>
          <w:color w:val="auto"/>
          <w:highlight w:val="none"/>
          <w:lang w:val="en-US" w:eastAsia="zh-CN"/>
        </w:rPr>
        <w:t>老师</w:t>
      </w:r>
      <w:r>
        <w:rPr>
          <w:rFonts w:hint="eastAsia"/>
          <w:color w:val="auto"/>
          <w:highlight w:val="none"/>
        </w:rPr>
        <w:t>，电话：</w:t>
      </w:r>
      <w:r>
        <w:rPr>
          <w:rFonts w:hint="eastAsia" w:ascii="宋体" w:hAnsi="宋体" w:eastAsia="宋体" w:cs="宋体"/>
          <w:i w:val="0"/>
          <w:caps w:val="0"/>
          <w:color w:val="auto"/>
          <w:spacing w:val="0"/>
          <w:sz w:val="24"/>
          <w:szCs w:val="24"/>
          <w:highlight w:val="none"/>
          <w:lang w:val="en-US" w:eastAsia="zh-CN"/>
        </w:rPr>
        <w:t>0571-87800218</w:t>
      </w:r>
      <w:r>
        <w:rPr>
          <w:rFonts w:hint="eastAsia"/>
          <w:color w:val="auto"/>
          <w:highlight w:val="none"/>
        </w:rPr>
        <w:t>。</w:t>
      </w:r>
    </w:p>
    <w:p>
      <w:pPr>
        <w:pStyle w:val="89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投诉书范本及制作说明详见附件3。</w:t>
      </w:r>
    </w:p>
    <w:p>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4.5 补偿救济</w:t>
      </w:r>
    </w:p>
    <w:p>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color w:val="auto"/>
          <w:sz w:val="18"/>
          <w:szCs w:val="18"/>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33"/>
        <w:snapToGrid w:val="0"/>
        <w:spacing w:before="0"/>
        <w:ind w:firstLine="480"/>
        <w:rPr>
          <w:rFonts w:hAnsi="宋体" w:cs="宋体"/>
          <w:color w:val="auto"/>
          <w:sz w:val="18"/>
          <w:szCs w:val="18"/>
          <w:highlight w:val="none"/>
          <w:lang w:val="en-US"/>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pStyle w:val="4"/>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pPr>
        <w:pStyle w:val="13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3"/>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3"/>
        <w:spacing w:before="0"/>
        <w:ind w:firstLine="480"/>
        <w:rPr>
          <w:rFonts w:ascii="宋体" w:hAnsi="宋体" w:cs="宋体"/>
          <w:b/>
          <w:color w:val="auto"/>
          <w:sz w:val="32"/>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33"/>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5" w:name="_Hlk101184471"/>
      <w:r>
        <w:rPr>
          <w:rFonts w:hint="eastAsia" w:ascii="宋体" w:hAnsi="宋体" w:cs="宋体"/>
          <w:color w:val="auto"/>
          <w:sz w:val="24"/>
          <w:highlight w:val="none"/>
        </w:rPr>
        <w:t>资格审查情况、评审专家抽取规则、符合性审查情况、</w:t>
      </w:r>
      <w:bookmarkEnd w:id="15"/>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pStyle w:val="133"/>
        <w:adjustRightInd w:val="0"/>
        <w:snapToGrid w:val="0"/>
        <w:spacing w:before="0"/>
        <w:ind w:firstLine="480" w:firstLineChars="200"/>
        <w:rPr>
          <w:rFonts w:ascii="宋体" w:hAnsi="宋体" w:cs="宋体"/>
          <w:b/>
          <w:color w:val="auto"/>
          <w:sz w:val="32"/>
          <w:highlight w:val="none"/>
        </w:rPr>
      </w:pPr>
      <w:r>
        <w:rPr>
          <w:rFonts w:hint="eastAsia" w:ascii="宋体" w:hAnsi="宋体" w:cs="宋体"/>
          <w:b w:val="0"/>
          <w:bCs/>
          <w:color w:val="auto"/>
          <w:szCs w:val="24"/>
          <w:highlight w:val="none"/>
          <w:lang w:val="en-US" w:eastAsia="zh-CN"/>
        </w:rPr>
        <w:t xml:space="preserve">23.4 </w:t>
      </w:r>
      <w:r>
        <w:rPr>
          <w:rFonts w:hint="eastAsia" w:ascii="宋体" w:hAnsi="宋体" w:cs="宋体"/>
          <w:b w:val="0"/>
          <w:bCs/>
          <w:color w:val="auto"/>
          <w:szCs w:val="24"/>
          <w:highlight w:val="none"/>
        </w:rPr>
        <w:t>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pPr>
        <w:pStyle w:val="4"/>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pPr>
        <w:snapToGrid w:val="0"/>
        <w:spacing w:line="360" w:lineRule="auto"/>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3"/>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pStyle w:val="82"/>
        <w:rPr>
          <w:color w:val="auto"/>
          <w:highlight w:val="none"/>
        </w:rPr>
      </w:pPr>
    </w:p>
    <w:bookmarkEnd w:id="14"/>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17" w:right="1418" w:bottom="1417" w:left="1418" w:header="851" w:footer="992" w:gutter="0"/>
          <w:pgNumType w:fmt="decimal" w:start="1"/>
          <w:cols w:space="0" w:num="1"/>
          <w:titlePg/>
          <w:rtlGutter w:val="0"/>
          <w:docGrid w:linePitch="312" w:charSpace="0"/>
        </w:sectPr>
      </w:pPr>
      <w:bookmarkStart w:id="16" w:name="_Hlt74707468"/>
      <w:bookmarkEnd w:id="16"/>
      <w:bookmarkStart w:id="17" w:name="_Hlt68057669"/>
      <w:bookmarkEnd w:id="17"/>
      <w:bookmarkStart w:id="18" w:name="_Hlt74730295"/>
      <w:bookmarkEnd w:id="18"/>
      <w:bookmarkStart w:id="19" w:name="_Hlt75236101"/>
      <w:bookmarkEnd w:id="19"/>
      <w:bookmarkStart w:id="20" w:name="_Hlt74729768"/>
      <w:bookmarkEnd w:id="20"/>
      <w:bookmarkStart w:id="21" w:name="_Hlt75236011"/>
      <w:bookmarkEnd w:id="21"/>
      <w:bookmarkStart w:id="22" w:name="_Hlt68072998"/>
      <w:bookmarkEnd w:id="22"/>
      <w:bookmarkStart w:id="23" w:name="_Hlt68073093"/>
      <w:bookmarkEnd w:id="23"/>
      <w:bookmarkStart w:id="24" w:name="_Hlt68403820"/>
      <w:bookmarkEnd w:id="24"/>
      <w:bookmarkStart w:id="25" w:name="_Hlt74714665"/>
      <w:bookmarkEnd w:id="25"/>
      <w:bookmarkStart w:id="26" w:name="_Hlt75236290"/>
      <w:bookmarkEnd w:id="26"/>
      <w:bookmarkStart w:id="27" w:name="_Hlt68072990"/>
      <w:bookmarkEnd w:id="27"/>
    </w:p>
    <w:bookmarkEnd w:id="12"/>
    <w:bookmarkEnd w:id="13"/>
    <w:p>
      <w:pPr>
        <w:spacing w:line="360" w:lineRule="auto"/>
        <w:jc w:val="center"/>
        <w:outlineLvl w:val="0"/>
        <w:rPr>
          <w:rFonts w:ascii="宋体" w:hAnsi="宋体" w:cs="宋体"/>
          <w:b/>
          <w:color w:val="auto"/>
          <w:sz w:val="36"/>
          <w:szCs w:val="36"/>
          <w:highlight w:val="none"/>
        </w:rPr>
      </w:pPr>
      <w:bookmarkStart w:id="28" w:name="第四部分"/>
      <w:r>
        <w:rPr>
          <w:rFonts w:hint="eastAsia" w:ascii="宋体" w:hAnsi="宋体" w:cs="宋体"/>
          <w:b/>
          <w:color w:val="auto"/>
          <w:sz w:val="36"/>
          <w:szCs w:val="36"/>
          <w:highlight w:val="none"/>
        </w:rPr>
        <w:t>第三部分   采购需求</w:t>
      </w:r>
    </w:p>
    <w:p>
      <w:pPr>
        <w:pageBreakBefore w:val="0"/>
        <w:kinsoku/>
        <w:wordWrap/>
        <w:overflowPunct/>
        <w:topLinePunct w:val="0"/>
        <w:autoSpaceDE/>
        <w:autoSpaceDN/>
        <w:bidi w:val="0"/>
        <w:adjustRightInd/>
        <w:spacing w:line="360" w:lineRule="auto"/>
        <w:textAlignment w:val="auto"/>
        <w:rPr>
          <w:rFonts w:hint="eastAsia" w:ascii="宋体" w:hAnsi="宋体" w:eastAsia="宋体" w:cs="宋体"/>
          <w:b/>
          <w:bCs w:val="0"/>
          <w:color w:val="auto"/>
          <w:sz w:val="24"/>
          <w:szCs w:val="24"/>
          <w:highlight w:val="none"/>
        </w:rPr>
      </w:pPr>
      <w:bookmarkStart w:id="29" w:name="_Hlk166332416"/>
      <w:bookmarkStart w:id="30" w:name="_Hlk102914293"/>
      <w:r>
        <w:rPr>
          <w:rFonts w:hint="eastAsia" w:ascii="宋体" w:hAnsi="宋体" w:eastAsia="宋体" w:cs="宋体"/>
          <w:b/>
          <w:bCs w:val="0"/>
          <w:color w:val="auto"/>
          <w:sz w:val="24"/>
          <w:szCs w:val="24"/>
          <w:highlight w:val="none"/>
        </w:rPr>
        <w:t>一、项目概况</w:t>
      </w:r>
    </w:p>
    <w:p>
      <w:pPr>
        <w:pStyle w:val="2"/>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截至2025年3月底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全市出租汽车保有量</w:t>
      </w:r>
      <w:r>
        <w:rPr>
          <w:rFonts w:hint="eastAsia" w:ascii="宋体" w:hAnsi="宋体" w:eastAsia="宋体" w:cs="宋体"/>
          <w:color w:val="auto"/>
          <w:sz w:val="24"/>
          <w:szCs w:val="24"/>
          <w:highlight w:val="none"/>
          <w:lang w:val="en-US" w:eastAsia="zh-CN"/>
        </w:rPr>
        <w:t>149402辆</w:t>
      </w:r>
      <w:r>
        <w:rPr>
          <w:rFonts w:hint="eastAsia" w:ascii="宋体" w:hAnsi="宋体" w:eastAsia="宋体" w:cs="宋体"/>
          <w:color w:val="auto"/>
          <w:sz w:val="24"/>
          <w:szCs w:val="24"/>
          <w:highlight w:val="none"/>
        </w:rPr>
        <w:t>，其中巡游出租车</w:t>
      </w:r>
      <w:r>
        <w:rPr>
          <w:rFonts w:hint="eastAsia" w:ascii="宋体" w:hAnsi="宋体" w:eastAsia="宋体" w:cs="宋体"/>
          <w:color w:val="auto"/>
          <w:sz w:val="24"/>
          <w:szCs w:val="24"/>
          <w:highlight w:val="none"/>
          <w:lang w:val="en-US" w:eastAsia="zh-CN"/>
        </w:rPr>
        <w:t>14849辆</w:t>
      </w:r>
      <w:r>
        <w:rPr>
          <w:rFonts w:hint="eastAsia" w:ascii="宋体" w:hAnsi="宋体" w:eastAsia="宋体" w:cs="宋体"/>
          <w:color w:val="auto"/>
          <w:sz w:val="24"/>
          <w:szCs w:val="24"/>
          <w:highlight w:val="none"/>
        </w:rPr>
        <w:t>、网约出租车</w:t>
      </w:r>
      <w:r>
        <w:rPr>
          <w:rFonts w:hint="eastAsia" w:ascii="宋体" w:hAnsi="宋体" w:eastAsia="宋体" w:cs="宋体"/>
          <w:color w:val="auto"/>
          <w:sz w:val="24"/>
          <w:szCs w:val="24"/>
          <w:highlight w:val="none"/>
          <w:lang w:val="en-US" w:eastAsia="zh-CN"/>
        </w:rPr>
        <w:t>134553辆</w:t>
      </w:r>
      <w:r>
        <w:rPr>
          <w:rFonts w:hint="eastAsia" w:ascii="宋体" w:hAnsi="宋体" w:eastAsia="宋体" w:cs="宋体"/>
          <w:color w:val="auto"/>
          <w:sz w:val="24"/>
          <w:szCs w:val="24"/>
          <w:highlight w:val="none"/>
        </w:rPr>
        <w:t>；每日营运车辆</w:t>
      </w:r>
      <w:r>
        <w:rPr>
          <w:rFonts w:hint="eastAsia" w:ascii="宋体" w:hAnsi="宋体" w:eastAsia="宋体" w:cs="宋体"/>
          <w:color w:val="auto"/>
          <w:sz w:val="24"/>
          <w:szCs w:val="24"/>
          <w:highlight w:val="none"/>
          <w:lang w:val="en-US" w:eastAsia="zh-CN"/>
        </w:rPr>
        <w:t>87315辆</w:t>
      </w:r>
      <w:r>
        <w:rPr>
          <w:rFonts w:hint="eastAsia" w:ascii="宋体" w:hAnsi="宋体" w:eastAsia="宋体" w:cs="宋体"/>
          <w:color w:val="auto"/>
          <w:sz w:val="24"/>
          <w:szCs w:val="24"/>
          <w:highlight w:val="none"/>
        </w:rPr>
        <w:t>，其中巡游出租车日均服务</w:t>
      </w:r>
      <w:r>
        <w:rPr>
          <w:rFonts w:hint="eastAsia" w:ascii="宋体" w:hAnsi="宋体" w:eastAsia="宋体" w:cs="宋体"/>
          <w:color w:val="auto"/>
          <w:sz w:val="24"/>
          <w:szCs w:val="24"/>
          <w:highlight w:val="none"/>
          <w:lang w:val="en-US" w:eastAsia="zh-CN"/>
        </w:rPr>
        <w:t>9990辆</w:t>
      </w:r>
      <w:r>
        <w:rPr>
          <w:rFonts w:hint="eastAsia" w:ascii="宋体" w:hAnsi="宋体" w:eastAsia="宋体" w:cs="宋体"/>
          <w:color w:val="auto"/>
          <w:sz w:val="24"/>
          <w:szCs w:val="24"/>
          <w:highlight w:val="none"/>
        </w:rPr>
        <w:t>，网约出租车日均服务</w:t>
      </w:r>
      <w:r>
        <w:rPr>
          <w:rFonts w:hint="eastAsia" w:ascii="宋体" w:hAnsi="宋体" w:eastAsia="宋体" w:cs="宋体"/>
          <w:color w:val="auto"/>
          <w:sz w:val="24"/>
          <w:szCs w:val="24"/>
          <w:highlight w:val="none"/>
          <w:lang w:val="en-US" w:eastAsia="zh-CN"/>
        </w:rPr>
        <w:t>77325</w:t>
      </w:r>
      <w:r>
        <w:rPr>
          <w:rFonts w:hint="eastAsia" w:ascii="宋体" w:hAnsi="宋体" w:eastAsia="宋体" w:cs="宋体"/>
          <w:color w:val="auto"/>
          <w:sz w:val="24"/>
          <w:szCs w:val="24"/>
          <w:highlight w:val="none"/>
        </w:rPr>
        <w:t>辆；日均为市民提供服务次数达</w:t>
      </w:r>
      <w:r>
        <w:rPr>
          <w:rFonts w:hint="eastAsia" w:ascii="宋体" w:hAnsi="宋体" w:eastAsia="宋体" w:cs="宋体"/>
          <w:color w:val="auto"/>
          <w:sz w:val="24"/>
          <w:szCs w:val="24"/>
          <w:highlight w:val="none"/>
          <w:lang w:val="en-US" w:eastAsia="zh-CN"/>
        </w:rPr>
        <w:t>140.41</w:t>
      </w:r>
      <w:r>
        <w:rPr>
          <w:rFonts w:hint="eastAsia" w:ascii="宋体" w:hAnsi="宋体" w:eastAsia="宋体" w:cs="宋体"/>
          <w:color w:val="auto"/>
          <w:sz w:val="24"/>
          <w:szCs w:val="24"/>
          <w:highlight w:val="none"/>
        </w:rPr>
        <w:t>万车次，其中巡游出租车约日均服务量</w:t>
      </w:r>
      <w:r>
        <w:rPr>
          <w:rFonts w:hint="eastAsia" w:ascii="宋体" w:hAnsi="宋体" w:eastAsia="宋体" w:cs="宋体"/>
          <w:color w:val="auto"/>
          <w:sz w:val="24"/>
          <w:szCs w:val="24"/>
          <w:highlight w:val="none"/>
          <w:lang w:val="en-US" w:eastAsia="zh-CN"/>
        </w:rPr>
        <w:t>11.85</w:t>
      </w:r>
      <w:r>
        <w:rPr>
          <w:rFonts w:hint="eastAsia" w:ascii="宋体" w:hAnsi="宋体" w:eastAsia="宋体" w:cs="宋体"/>
          <w:color w:val="auto"/>
          <w:sz w:val="24"/>
          <w:szCs w:val="24"/>
          <w:highlight w:val="none"/>
        </w:rPr>
        <w:t>万车次、网约出租车日均服务量</w:t>
      </w:r>
      <w:r>
        <w:rPr>
          <w:rFonts w:hint="eastAsia" w:ascii="宋体" w:hAnsi="宋体" w:eastAsia="宋体" w:cs="宋体"/>
          <w:color w:val="auto"/>
          <w:sz w:val="24"/>
          <w:szCs w:val="24"/>
          <w:highlight w:val="none"/>
          <w:lang w:val="en-US" w:eastAsia="zh-CN"/>
        </w:rPr>
        <w:t>128.56万</w:t>
      </w:r>
      <w:r>
        <w:rPr>
          <w:rFonts w:hint="eastAsia" w:ascii="宋体" w:hAnsi="宋体" w:eastAsia="宋体" w:cs="宋体"/>
          <w:color w:val="auto"/>
          <w:sz w:val="24"/>
          <w:szCs w:val="24"/>
          <w:highlight w:val="none"/>
        </w:rPr>
        <w:t>车次。</w:t>
      </w:r>
    </w:p>
    <w:p>
      <w:pPr>
        <w:pStyle w:val="2"/>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通主管部门深入贯彻各级政府文件精神，在现有信息化基础上加快交通运输信息化建设步伐，全面推进杭州市交通运输行业的转型升级，进一步提升交通管理水平和执法水平。充分利用多种信息化手段，提高交通运输生产安全水平、提升数智化执法能力，严厉打击各类违法违规现象，更好地满足社会发展的需要，赢造良好的公众出行环境，提高群众的满意度和获得感。为提升出租汽车服务质量，提高管理水平和执法效率，拟通过政府购买社会化服务的方式，引入具有出租车管理和执法保障服务相关经验的供应商，对出租汽车行业监测与分析服务、管理保障、执法保障、巡网融合技术支持等提供第三方监管服务，接受行业管理部门安排的各项管理和执法保障信息服务相关的工作。</w:t>
      </w:r>
    </w:p>
    <w:p>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p>
    <w:p>
      <w:pPr>
        <w:pageBreakBefore w:val="0"/>
        <w:kinsoku/>
        <w:wordWrap/>
        <w:overflowPunct/>
        <w:topLinePunct w:val="0"/>
        <w:autoSpaceDE/>
        <w:autoSpaceDN/>
        <w:bidi w:val="0"/>
        <w:adjustRightInd/>
        <w:spacing w:line="360" w:lineRule="auto"/>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二、项目建设目标</w:t>
      </w:r>
    </w:p>
    <w:p>
      <w:pPr>
        <w:pageBreakBefore w:val="0"/>
        <w:tabs>
          <w:tab w:val="left" w:pos="0"/>
          <w:tab w:val="left" w:pos="900"/>
        </w:tabs>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杭州市出租车行业监管和执法保障信息服务项目，建立良好的配套系统环境和管理体系，通过高效的数据分析模型，为管理部门提供行业运行、营运数据、行业运力、场站枢纽、司机收入、运行等的监测和分析服务；根据业务需要对新能源出租汽车营运数据进行专项数据分析，为保险机构提供保费评估所需的必要数据，从而实现降低保费成本数据支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实现向企业提供详细营运情况报表，并实现车辆更新、设备故障维修等审批和互动；实现对重大事件、重大活动、应急事件等提供车辆跟踪、数据分析和统计报表等保障服务和事件处置工作；提高出租汽车行业数字化执法效率和应用水平，发挥执法信息化运用的作用，实现对重点区域、重点时段、重点车辆的违法违章信息的动态掌握，对交通执法精确打击提供数据支持；以车辆营运、违章、投诉数据为依据，为企业、司机和执法部门提供有效数据支撑和分析服务，为执法工作提供相对应的依据；为巡网融合场景提供数据推送服务、业务分析服务和咨询热线服务支持服务，为巡网融合做好技术保障服务。</w:t>
      </w:r>
    </w:p>
    <w:p>
      <w:pPr>
        <w:pageBreakBefore w:val="0"/>
        <w:kinsoku/>
        <w:wordWrap/>
        <w:overflowPunct/>
        <w:topLinePunct w:val="0"/>
        <w:autoSpaceDE/>
        <w:autoSpaceDN/>
        <w:bidi w:val="0"/>
        <w:adjustRightInd/>
        <w:spacing w:line="360" w:lineRule="auto"/>
        <w:textAlignment w:val="auto"/>
        <w:rPr>
          <w:rFonts w:hint="eastAsia" w:ascii="宋体" w:hAnsi="宋体" w:eastAsia="宋体" w:cs="宋体"/>
          <w:b/>
          <w:color w:val="auto"/>
          <w:sz w:val="24"/>
          <w:szCs w:val="24"/>
          <w:highlight w:val="none"/>
        </w:rPr>
      </w:pPr>
    </w:p>
    <w:p>
      <w:pPr>
        <w:pageBreakBefore w:val="0"/>
        <w:kinsoku/>
        <w:wordWrap/>
        <w:overflowPunct/>
        <w:topLinePunct w:val="0"/>
        <w:autoSpaceDE/>
        <w:autoSpaceDN/>
        <w:bidi w:val="0"/>
        <w:adjustRightIn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三、服务范围和对象</w:t>
      </w:r>
    </w:p>
    <w:p>
      <w:pPr>
        <w:pStyle w:val="975"/>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杭州市出租车行业监管和执法保障信息服务项目采购范围，包括杭州市市区所有出租汽车，包括行业分析服务，管理保障服务，执法保障服务，巡网融合技术支持服务等管理和执法保障服务。主要服务对象为乘客、司机、出租车经营者和政府管理部门。</w:t>
      </w:r>
    </w:p>
    <w:p>
      <w:pPr>
        <w:pStyle w:val="2"/>
        <w:pageBreakBefore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p>
    <w:p>
      <w:pPr>
        <w:pageBreakBefore w:val="0"/>
        <w:kinsoku/>
        <w:wordWrap/>
        <w:overflowPunct/>
        <w:topLinePunct w:val="0"/>
        <w:autoSpaceDE/>
        <w:autoSpaceDN/>
        <w:bidi w:val="0"/>
        <w:adjustRightIn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四、项目技术要求</w:t>
      </w:r>
    </w:p>
    <w:p>
      <w:pPr>
        <w:pStyle w:val="5"/>
        <w:pageBreakBefore w:val="0"/>
        <w:tabs>
          <w:tab w:val="left" w:pos="0"/>
          <w:tab w:val="clear" w:pos="900"/>
        </w:tabs>
        <w:kinsoku/>
        <w:wordWrap/>
        <w:overflowPunct/>
        <w:topLinePunct w:val="0"/>
        <w:autoSpaceDE/>
        <w:autoSpaceDN/>
        <w:bidi w:val="0"/>
        <w:adjustRightInd/>
        <w:spacing w:before="0" w:after="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（一）行业数据监测与分析服务</w:t>
      </w:r>
    </w:p>
    <w:p>
      <w:pPr>
        <w:pageBreakBefore w:val="0"/>
        <w:kinsoku/>
        <w:wordWrap/>
        <w:overflowPunct/>
        <w:topLinePunct w:val="0"/>
        <w:autoSpaceDE/>
        <w:autoSpaceDN/>
        <w:bidi w:val="0"/>
        <w:adjustRightInd/>
        <w:snapToGrid w:val="0"/>
        <w:spacing w:line="360" w:lineRule="auto"/>
        <w:ind w:firstLine="482" w:firstLineChars="200"/>
        <w:jc w:val="left"/>
        <w:textAlignment w:val="auto"/>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1.出租汽车行业运行分析服务</w:t>
      </w:r>
    </w:p>
    <w:p>
      <w:pPr>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1.1以杭州市出租汽车统一平台数据为主要依据，以出租汽车运营企业、从业人员、营运车辆、乘客出行行为作为分析对象，对出租企业运力供给、运输服务、行业运营、经营成本、行业监管、行业宣传等内容进行分析。</w:t>
      </w:r>
    </w:p>
    <w:p>
      <w:pPr>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1.2按管理部门要求提供出租车各类精细化、专业化数据分析报告，包括但不限于车辆定位数据、营运数据、乘客OD流向、车辆单次营运时长分析、日营运时长分析、车辆营运效率等多维度精细化数据监测服务。</w:t>
      </w:r>
    </w:p>
    <w:p>
      <w:pPr>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从杭州市出租汽车行业的人车户的维度，针对行业运量包括订单、营收、车辆运行效率等情况，重点时段、重点区域（含重点交通枢纽、景区）以及区（县）、市行政区域内的市场供需情况，行业巡网融合、监管服务等重点工作推进情况等进行跟踪分析和动态评估，为行业的管理和决策提供支撑。</w:t>
      </w:r>
    </w:p>
    <w:p>
      <w:pPr>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出租车整体流向与道路拥堵情况辅助决策，以出租车定位数据和营运数据为基础，通过各类数据算法方法计算每日出租车的整体路段流向、小区流向等OD流向，统计出整体出行规律，从而为城市道路拥堵现状分析和缓解道路拥堵提供辅助决策。</w:t>
      </w:r>
    </w:p>
    <w:p>
      <w:pPr>
        <w:pageBreakBefore w:val="0"/>
        <w:tabs>
          <w:tab w:val="left" w:pos="432"/>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1.5分析情况形成季和年行业运行发展报告，上报相关业务部门</w:t>
      </w:r>
      <w:r>
        <w:rPr>
          <w:rFonts w:hint="eastAsia" w:ascii="宋体" w:hAnsi="宋体" w:eastAsia="宋体" w:cs="宋体"/>
          <w:color w:val="auto"/>
          <w:sz w:val="24"/>
          <w:szCs w:val="24"/>
          <w:highlight w:val="none"/>
          <w:lang w:eastAsia="zh-CN"/>
        </w:rPr>
        <w:t>，支持市场运行监测发布工作。</w:t>
      </w:r>
    </w:p>
    <w:p>
      <w:pPr>
        <w:pageBreakBefore w:val="0"/>
        <w:kinsoku/>
        <w:wordWrap/>
        <w:overflowPunct/>
        <w:topLinePunct w:val="0"/>
        <w:autoSpaceDE/>
        <w:autoSpaceDN/>
        <w:bidi w:val="0"/>
        <w:adjustRightInd/>
        <w:snapToGrid w:val="0"/>
        <w:spacing w:line="360" w:lineRule="auto"/>
        <w:ind w:firstLine="482" w:firstLineChars="200"/>
        <w:jc w:val="left"/>
        <w:textAlignment w:val="auto"/>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2.行业营运情况监测服务</w:t>
      </w:r>
    </w:p>
    <w:p>
      <w:pPr>
        <w:pageBreakBefore w:val="0"/>
        <w:kinsoku/>
        <w:wordWrap/>
        <w:overflowPunct/>
        <w:topLinePunct w:val="0"/>
        <w:autoSpaceDE/>
        <w:autoSpaceDN/>
        <w:bidi w:val="0"/>
        <w:adjustRightInd/>
        <w:snapToGrid w:val="0"/>
        <w:spacing w:line="360" w:lineRule="auto"/>
        <w:ind w:firstLine="480" w:firstLineChars="200"/>
        <w:jc w:val="left"/>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2.1行业营运异常情况监测</w:t>
      </w:r>
    </w:p>
    <w:p>
      <w:pPr>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分析出租汽车行业车辆营运数据，对行业营运情况进行实时监测，出现较大幅度变动的，分析可能成因，并向管理部门提出相关分析建议。建立营运数据统计和月、季度、年营运情况分析报告，上报相关业务部门，重大异常及时上报相关业务部门。</w:t>
      </w:r>
    </w:p>
    <w:p>
      <w:pPr>
        <w:pageBreakBefore w:val="0"/>
        <w:kinsoku/>
        <w:wordWrap/>
        <w:overflowPunct/>
        <w:topLinePunct w:val="0"/>
        <w:autoSpaceDE/>
        <w:autoSpaceDN/>
        <w:bidi w:val="0"/>
        <w:adjustRightInd/>
        <w:snapToGrid w:val="0"/>
        <w:spacing w:line="360" w:lineRule="auto"/>
        <w:ind w:firstLine="480" w:firstLineChars="200"/>
        <w:jc w:val="left"/>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2.2特殊时段营运情况监测服务</w:t>
      </w:r>
    </w:p>
    <w:p>
      <w:pPr>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国家重要节假日及我市旅游旺季等特殊时段，开展行业运行情况监测，对期间内的行业整体进行专题分析，同历史同期建立对比机制，并实时展示开展监测，形成专项分析报告。并建立春节、五一、国庆等重点节假日、城市重大活动和区域异常预警机制，出现较大幅度变动的，分析可能成因，并向管理部门提出相关分析建议。</w:t>
      </w:r>
    </w:p>
    <w:p>
      <w:pPr>
        <w:pageBreakBefore w:val="0"/>
        <w:kinsoku/>
        <w:wordWrap/>
        <w:overflowPunct/>
        <w:topLinePunct w:val="0"/>
        <w:autoSpaceDE/>
        <w:autoSpaceDN/>
        <w:bidi w:val="0"/>
        <w:adjustRightInd/>
        <w:snapToGrid w:val="0"/>
        <w:spacing w:line="360" w:lineRule="auto"/>
        <w:ind w:firstLine="480" w:firstLineChars="200"/>
        <w:jc w:val="left"/>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2.3特殊区域营运情况监测服务</w:t>
      </w:r>
    </w:p>
    <w:p>
      <w:pPr>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行业整体运行情况，通过供需热点程度，选择确定出租车需求旺盛的特殊区域，建立电子围栏，根据阶段性需求变化，实现特殊区域动态管理，并对确定的特殊区域开展运行情况监测，对区域内的供需情况进行专题分析，同历史同期建立对比机制，并实时展示开展监测，形成月、半年、年专项分析报告。并建立特殊区域异常预警机制，出现较大幅度变动的，分析可能成因，并向管理部门提出相关分析建议。</w:t>
      </w:r>
    </w:p>
    <w:p>
      <w:pPr>
        <w:pageBreakBefore w:val="0"/>
        <w:kinsoku/>
        <w:wordWrap/>
        <w:overflowPunct/>
        <w:topLinePunct w:val="0"/>
        <w:autoSpaceDE/>
        <w:autoSpaceDN/>
        <w:bidi w:val="0"/>
        <w:adjustRightInd/>
        <w:snapToGrid w:val="0"/>
        <w:spacing w:line="360" w:lineRule="auto"/>
        <w:ind w:firstLine="482" w:firstLineChars="200"/>
        <w:jc w:val="left"/>
        <w:textAlignment w:val="auto"/>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3.行业运力需求及规模监测服务</w:t>
      </w:r>
    </w:p>
    <w:p>
      <w:pPr>
        <w:pageBreakBefore w:val="0"/>
        <w:kinsoku/>
        <w:wordWrap/>
        <w:overflowPunct/>
        <w:topLinePunct w:val="0"/>
        <w:autoSpaceDE/>
        <w:autoSpaceDN/>
        <w:bidi w:val="0"/>
        <w:adjustRightInd/>
        <w:snapToGrid w:val="0"/>
        <w:spacing w:line="360" w:lineRule="auto"/>
        <w:ind w:firstLine="480" w:firstLineChars="200"/>
        <w:jc w:val="left"/>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3.1出租汽车乘运需求监测服务</w:t>
      </w:r>
    </w:p>
    <w:p>
      <w:pPr>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针对区分不同时段、重要区域，分析对出租汽车的乘运需求，形成运力供需热力图，进行可视化实时展示，并向驾驶员实时推送重点区域需求信息。</w:t>
      </w:r>
    </w:p>
    <w:p>
      <w:pPr>
        <w:pageBreakBefore w:val="0"/>
        <w:kinsoku/>
        <w:wordWrap/>
        <w:overflowPunct/>
        <w:topLinePunct w:val="0"/>
        <w:autoSpaceDE/>
        <w:autoSpaceDN/>
        <w:bidi w:val="0"/>
        <w:adjustRightInd/>
        <w:snapToGrid w:val="0"/>
        <w:spacing w:line="360" w:lineRule="auto"/>
        <w:ind w:firstLine="480" w:firstLineChars="200"/>
        <w:jc w:val="left"/>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3.2出租汽车运力规模监测服务</w:t>
      </w:r>
    </w:p>
    <w:p>
      <w:pPr>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分析杭州市主城区出租汽车保有量、行业运力规模需求，形成季和年或不定期的专题分析报告，根据需求提出运力规模调整的建议方案。</w:t>
      </w:r>
    </w:p>
    <w:p>
      <w:pPr>
        <w:pageBreakBefore w:val="0"/>
        <w:kinsoku/>
        <w:wordWrap/>
        <w:overflowPunct/>
        <w:topLinePunct w:val="0"/>
        <w:autoSpaceDE/>
        <w:autoSpaceDN/>
        <w:bidi w:val="0"/>
        <w:adjustRightInd/>
        <w:snapToGrid w:val="0"/>
        <w:spacing w:line="360" w:lineRule="auto"/>
        <w:ind w:firstLine="480" w:firstLineChars="200"/>
        <w:jc w:val="left"/>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从业人员数据监测服务</w:t>
      </w:r>
    </w:p>
    <w:p>
      <w:pPr>
        <w:pageBreakBefore w:val="0"/>
        <w:tabs>
          <w:tab w:val="left" w:pos="432"/>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针对出租汽车从业人员以服务状态、在岗情况等维度进行数据监测，根据需要为公共卫生事件防控保障工作提供基础数据支撑。</w:t>
      </w:r>
    </w:p>
    <w:p>
      <w:pPr>
        <w:pageBreakBefore w:val="0"/>
        <w:kinsoku/>
        <w:wordWrap/>
        <w:overflowPunct/>
        <w:topLinePunct w:val="0"/>
        <w:autoSpaceDE/>
        <w:autoSpaceDN/>
        <w:bidi w:val="0"/>
        <w:adjustRightInd/>
        <w:snapToGrid w:val="0"/>
        <w:spacing w:line="360" w:lineRule="auto"/>
        <w:ind w:firstLine="482" w:firstLineChars="200"/>
        <w:jc w:val="left"/>
        <w:textAlignment w:val="auto"/>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4.场站枢纽以及景区数据监测服务</w:t>
      </w:r>
    </w:p>
    <w:p>
      <w:pPr>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依据出租汽车卫星定位和运营的实时数据，监控进入重要场站枢纽以及景区的出租汽车轨迹，并读取进场、下客、上客、出场等关键时间，统计分析该监控场站枢纽的送达量、空车数、等待时间、平均空驶距离、发车量、平均运距、平均行程时长等重要供求大数据。</w:t>
      </w:r>
    </w:p>
    <w:p>
      <w:pPr>
        <w:pageBreakBefore w:val="0"/>
        <w:kinsoku/>
        <w:wordWrap/>
        <w:overflowPunct/>
        <w:topLinePunct w:val="0"/>
        <w:autoSpaceDE/>
        <w:autoSpaceDN/>
        <w:bidi w:val="0"/>
        <w:adjustRightInd/>
        <w:snapToGrid w:val="0"/>
        <w:spacing w:line="360" w:lineRule="auto"/>
        <w:ind w:firstLine="482" w:firstLineChars="200"/>
        <w:jc w:val="left"/>
        <w:textAlignment w:val="auto"/>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5.行业收入水平监测服务</w:t>
      </w:r>
    </w:p>
    <w:p>
      <w:pPr>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建立完善的驾驶员收入支出分析模型，综合比对数据分析结果形成月、季和年出租汽车行业驾驶员收入分析报告，上报相关业务部门。</w:t>
      </w:r>
    </w:p>
    <w:p>
      <w:pPr>
        <w:pageBreakBefore w:val="0"/>
        <w:kinsoku/>
        <w:wordWrap/>
        <w:overflowPunct/>
        <w:topLinePunct w:val="0"/>
        <w:autoSpaceDE/>
        <w:autoSpaceDN/>
        <w:bidi w:val="0"/>
        <w:adjustRightInd/>
        <w:snapToGrid w:val="0"/>
        <w:spacing w:line="360" w:lineRule="auto"/>
        <w:ind w:firstLine="482" w:firstLineChars="200"/>
        <w:jc w:val="left"/>
        <w:textAlignment w:val="auto"/>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6.行业运价水平监测服务</w:t>
      </w:r>
    </w:p>
    <w:p>
      <w:pPr>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跟踪历次运价调整后驾驶员收入、班费等变化情况，形成月、季和年出租汽车行业运价水平分析报告和运价变化影响专项分析报告，上报相关业务部门。并为出租车行业运价政策制定和根据运价机制调整运价提供数据测算服务。</w:t>
      </w:r>
    </w:p>
    <w:p>
      <w:pPr>
        <w:pageBreakBefore w:val="0"/>
        <w:numPr>
          <w:ilvl w:val="0"/>
          <w:numId w:val="1"/>
        </w:numPr>
        <w:tabs>
          <w:tab w:val="left" w:pos="0"/>
          <w:tab w:val="left" w:pos="900"/>
        </w:tabs>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出租汽车运行数据对接服务</w:t>
      </w:r>
    </w:p>
    <w:p>
      <w:pPr>
        <w:pageBreakBefore w:val="0"/>
        <w:numPr>
          <w:ilvl w:val="0"/>
          <w:numId w:val="0"/>
        </w:numPr>
        <w:tabs>
          <w:tab w:val="left" w:pos="0"/>
          <w:tab w:val="left" w:pos="900"/>
        </w:tabs>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根据业务需要对新能源出租汽车营运过程中的行驶里程数据、订单数据、营收数据进行专项数据分析，并与保险机构对接保费评估所需的必要数据，为降低保费成本提供数据支撑。</w:t>
      </w:r>
    </w:p>
    <w:p>
      <w:pPr>
        <w:pStyle w:val="5"/>
        <w:pageBreakBefore w:val="0"/>
        <w:tabs>
          <w:tab w:val="left" w:pos="0"/>
          <w:tab w:val="clear" w:pos="900"/>
        </w:tabs>
        <w:kinsoku/>
        <w:wordWrap/>
        <w:overflowPunct/>
        <w:topLinePunct w:val="0"/>
        <w:autoSpaceDE/>
        <w:autoSpaceDN/>
        <w:bidi w:val="0"/>
        <w:adjustRightInd/>
        <w:spacing w:before="0" w:after="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（二）管理保障服务</w:t>
      </w:r>
    </w:p>
    <w:p>
      <w:pPr>
        <w:pageBreakBefore w:val="0"/>
        <w:kinsoku/>
        <w:wordWrap/>
        <w:overflowPunct/>
        <w:topLinePunct w:val="0"/>
        <w:autoSpaceDE/>
        <w:autoSpaceDN/>
        <w:bidi w:val="0"/>
        <w:adjustRightInd/>
        <w:snapToGrid w:val="0"/>
        <w:spacing w:line="360" w:lineRule="auto"/>
        <w:ind w:firstLine="482" w:firstLineChars="200"/>
        <w:jc w:val="left"/>
        <w:textAlignment w:val="auto"/>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1.行业维稳保障服务</w:t>
      </w:r>
    </w:p>
    <w:p>
      <w:pPr>
        <w:pageBreakBefore w:val="0"/>
        <w:kinsoku/>
        <w:wordWrap/>
        <w:overflowPunct/>
        <w:topLinePunct w:val="0"/>
        <w:autoSpaceDE/>
        <w:autoSpaceDN/>
        <w:bidi w:val="0"/>
        <w:adjustRightInd/>
        <w:snapToGrid w:val="0"/>
        <w:spacing w:line="360" w:lineRule="auto"/>
        <w:ind w:firstLine="480" w:firstLineChars="200"/>
        <w:jc w:val="left"/>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1.1行业舆情信息监测</w:t>
      </w:r>
    </w:p>
    <w:p>
      <w:pPr>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收集微信、微博、报纸、新闻网站、知名自媒体、出租车企业、驾驶员等渠道有关出租车行业的舆情，按照舆情分级处理机制，形成月、季度、年舆情分析报告，遇重大舆情信息，第一时间报送相关部门。</w:t>
      </w:r>
    </w:p>
    <w:p>
      <w:pPr>
        <w:pageBreakBefore w:val="0"/>
        <w:kinsoku/>
        <w:wordWrap/>
        <w:overflowPunct/>
        <w:topLinePunct w:val="0"/>
        <w:autoSpaceDE/>
        <w:autoSpaceDN/>
        <w:bidi w:val="0"/>
        <w:adjustRightInd/>
        <w:snapToGrid w:val="0"/>
        <w:spacing w:line="360" w:lineRule="auto"/>
        <w:ind w:firstLine="480" w:firstLineChars="200"/>
        <w:jc w:val="left"/>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1.2行业稳定情况监测</w:t>
      </w:r>
    </w:p>
    <w:p>
      <w:pPr>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从行业整体、重点企业、典型驾驶员等角度，分析行业稳定指数，形成月、季和年出租汽车行业稳定形势分析报告，上报相关业务部门。</w:t>
      </w:r>
    </w:p>
    <w:p>
      <w:pPr>
        <w:pageBreakBefore w:val="0"/>
        <w:kinsoku/>
        <w:wordWrap/>
        <w:overflowPunct/>
        <w:topLinePunct w:val="0"/>
        <w:autoSpaceDE/>
        <w:autoSpaceDN/>
        <w:bidi w:val="0"/>
        <w:adjustRightInd/>
        <w:snapToGrid w:val="0"/>
        <w:spacing w:line="360" w:lineRule="auto"/>
        <w:ind w:firstLine="480" w:firstLineChars="200"/>
        <w:jc w:val="left"/>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1.3维稳事件处置信息支持</w:t>
      </w:r>
    </w:p>
    <w:p>
      <w:pPr>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提供7*24小时车辆非正常聚集动态监测服务，异常情况实时上报相关业务部门；并根据相关业务部门要求，为事件处置提供相关信息服务，跟踪事件发展动态和涉及车辆实时情况，按事件形成处置报告。</w:t>
      </w:r>
    </w:p>
    <w:p>
      <w:pPr>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1.4重点人员、车辆、企业数据分析支持</w:t>
      </w:r>
    </w:p>
    <w:p>
      <w:pPr>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按照管理部门的需求，对涉及安全、信访、稳定风险隐患的人员、车辆、企业进行信息排查和数据分析，为化解处置提供支持。</w:t>
      </w:r>
    </w:p>
    <w:p>
      <w:pPr>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1.5行业日常管理服务支持</w:t>
      </w:r>
    </w:p>
    <w:p>
      <w:pPr>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lang w:val="en"/>
        </w:rPr>
      </w:pPr>
      <w:r>
        <w:rPr>
          <w:rFonts w:hint="eastAsia" w:ascii="宋体" w:hAnsi="宋体" w:eastAsia="宋体" w:cs="宋体"/>
          <w:color w:val="auto"/>
          <w:sz w:val="24"/>
          <w:szCs w:val="24"/>
          <w:highlight w:val="none"/>
        </w:rPr>
        <w:t>对出租汽车行业日常管理服务中，涉及监管服务系统原有建设、运算未能覆盖的有关数据统计、分类计算等事宜，以</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审查审核、考试考务工作需优化调整的内容给予技术支持和服务保障。支持做好行业党建有关工作</w:t>
      </w:r>
      <w:r>
        <w:rPr>
          <w:rFonts w:hint="eastAsia" w:ascii="宋体" w:hAnsi="宋体" w:eastAsia="宋体" w:cs="宋体"/>
          <w:color w:val="auto"/>
          <w:sz w:val="24"/>
          <w:szCs w:val="24"/>
          <w:highlight w:val="none"/>
          <w:lang w:eastAsia="zh-CN"/>
        </w:rPr>
        <w:t>。</w:t>
      </w:r>
    </w:p>
    <w:p>
      <w:pPr>
        <w:pageBreakBefore w:val="0"/>
        <w:kinsoku/>
        <w:wordWrap/>
        <w:overflowPunct/>
        <w:topLinePunct w:val="0"/>
        <w:autoSpaceDE/>
        <w:autoSpaceDN/>
        <w:bidi w:val="0"/>
        <w:adjustRightInd/>
        <w:snapToGrid w:val="0"/>
        <w:spacing w:line="360" w:lineRule="auto"/>
        <w:ind w:firstLine="482" w:firstLineChars="200"/>
        <w:jc w:val="left"/>
        <w:textAlignment w:val="auto"/>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2.城市文明创建保障服务</w:t>
      </w:r>
    </w:p>
    <w:p>
      <w:pPr>
        <w:pStyle w:val="975"/>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城市文明检查工作每年分成省测、国测两次，安排有经验、有技术、责任心高的人员进行负责配合文明检查保障工作。</w:t>
      </w:r>
    </w:p>
    <w:p>
      <w:pPr>
        <w:pStyle w:val="975"/>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2.1根据城市文明检查工作的实际需要，提供驻点设备，并做好系统保障。</w:t>
      </w:r>
    </w:p>
    <w:p>
      <w:pPr>
        <w:pStyle w:val="975"/>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2.2保障车辆巡检，配合完成保障车辆巡检工作，为进行实时及历史数据查阅提供重要支撑。</w:t>
      </w:r>
    </w:p>
    <w:p>
      <w:pPr>
        <w:pStyle w:val="975"/>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2.3迎检信息发布，通过车载设备进行迎检信息发布，做好宣贯工作。</w:t>
      </w:r>
    </w:p>
    <w:p>
      <w:pPr>
        <w:pStyle w:val="975"/>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2.4建立相关信息交流群，实现信息实时共享，快速准确。</w:t>
      </w:r>
    </w:p>
    <w:p>
      <w:pPr>
        <w:pStyle w:val="975"/>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2.5保障人员及驾驶员人员培训，实现标准化管理，做好人员培训。</w:t>
      </w:r>
    </w:p>
    <w:p>
      <w:pPr>
        <w:pStyle w:val="975"/>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2.6每日工作简报，总结汇报工作，做好工作台账。</w:t>
      </w:r>
    </w:p>
    <w:p>
      <w:pPr>
        <w:pageBreakBefore w:val="0"/>
        <w:kinsoku/>
        <w:wordWrap/>
        <w:overflowPunct/>
        <w:topLinePunct w:val="0"/>
        <w:autoSpaceDE/>
        <w:autoSpaceDN/>
        <w:bidi w:val="0"/>
        <w:adjustRightInd/>
        <w:snapToGrid w:val="0"/>
        <w:spacing w:line="360" w:lineRule="auto"/>
        <w:ind w:firstLine="482" w:firstLineChars="200"/>
        <w:jc w:val="left"/>
        <w:textAlignment w:val="auto"/>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3.应急处置保障</w:t>
      </w:r>
    </w:p>
    <w:p>
      <w:pPr>
        <w:pStyle w:val="975"/>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突发紧急事件时，能第一时间提供支持，比如恶劣天气、重大事故、网络故障等突发事件的应急处置保障服务支持。提供7*24小时车辆动态监测和调度服务，根据相关业务部门要求，为事件处置提供相关信息上传下达服务，跟踪事件发展动态和涉及车辆实时情况，按事件形成处置总结报告。</w:t>
      </w:r>
    </w:p>
    <w:p>
      <w:pPr>
        <w:pageBreakBefore w:val="0"/>
        <w:kinsoku/>
        <w:wordWrap/>
        <w:overflowPunct/>
        <w:topLinePunct w:val="0"/>
        <w:autoSpaceDE/>
        <w:autoSpaceDN/>
        <w:bidi w:val="0"/>
        <w:adjustRightInd/>
        <w:snapToGrid w:val="0"/>
        <w:spacing w:line="360" w:lineRule="auto"/>
        <w:ind w:firstLine="482" w:firstLineChars="200"/>
        <w:jc w:val="left"/>
        <w:textAlignment w:val="auto"/>
        <w:outlineLvl w:val="3"/>
        <w:rPr>
          <w:rFonts w:hint="eastAsia" w:ascii="宋体" w:hAnsi="宋体" w:eastAsia="宋体" w:cs="宋体"/>
          <w:b/>
          <w:color w:val="auto"/>
          <w:sz w:val="24"/>
          <w:szCs w:val="24"/>
          <w:highlight w:val="none"/>
          <w:lang w:val="en"/>
        </w:rPr>
      </w:pPr>
      <w:bookmarkStart w:id="31" w:name="_Hlk138957916"/>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val="en"/>
        </w:rPr>
        <w:t>.公共卫生事件防控保障</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
        </w:rPr>
        <w:t>建立公共卫生事件防控应急保障预案。发生公共卫生事件时，严格落实管理部门的要求，组织出租企业、经营者开展各类防控保障措施，做好各类服务工作并上报管理部门。</w:t>
      </w:r>
    </w:p>
    <w:bookmarkEnd w:id="31"/>
    <w:p>
      <w:pPr>
        <w:pStyle w:val="975"/>
        <w:pageBreakBefore w:val="0"/>
        <w:kinsoku/>
        <w:wordWrap/>
        <w:overflowPunct/>
        <w:topLinePunct w:val="0"/>
        <w:autoSpaceDE/>
        <w:autoSpaceDN/>
        <w:bidi w:val="0"/>
        <w:adjustRightIn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5.重大活动保障</w:t>
      </w:r>
    </w:p>
    <w:p>
      <w:pPr>
        <w:pStyle w:val="975"/>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在重大活动时，能第一时间提供人员和技术服务支持，比如重大体育赛事、重大会议事项等重大活动保障服务支持。</w:t>
      </w:r>
    </w:p>
    <w:p>
      <w:pPr>
        <w:pStyle w:val="975"/>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5.1重大活动前期，组织人员进行保障事项培训工作，日常开展监控跟踪软件、数据报表分析软件的培训工作，同时形成培训日志，为重大事项的保障提供有效的培训支持。</w:t>
      </w:r>
    </w:p>
    <w:p>
      <w:pPr>
        <w:pStyle w:val="975"/>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5.2重大活动期间，24小时配合管理部门完成活动过程中安排的工作内容，包括车辆定位跟踪、过程数据分析、活动定制报表等各项工作内容，听从管理部门的指挥、配合管理部门工作。</w:t>
      </w:r>
    </w:p>
    <w:p>
      <w:pPr>
        <w:pStyle w:val="975"/>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5.3重大活动结束后，根据行业主管部门要求，对活动期间的各项事宜，形成专项工作总结，活动期间各类数据分析形成总结报告和数据报表，配合主管部门完成活动的收尾工作。</w:t>
      </w:r>
    </w:p>
    <w:p>
      <w:pPr>
        <w:pStyle w:val="975"/>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highlight w:val="none"/>
        </w:rPr>
      </w:pPr>
    </w:p>
    <w:p>
      <w:pPr>
        <w:pStyle w:val="5"/>
        <w:pageBreakBefore w:val="0"/>
        <w:tabs>
          <w:tab w:val="left" w:pos="0"/>
          <w:tab w:val="clear" w:pos="900"/>
        </w:tabs>
        <w:kinsoku/>
        <w:wordWrap/>
        <w:overflowPunct/>
        <w:topLinePunct w:val="0"/>
        <w:autoSpaceDE/>
        <w:autoSpaceDN/>
        <w:bidi w:val="0"/>
        <w:adjustRightInd/>
        <w:spacing w:before="0" w:after="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（三）执法保障服务</w:t>
      </w:r>
    </w:p>
    <w:p>
      <w:pPr>
        <w:pageBreakBefore w:val="0"/>
        <w:kinsoku/>
        <w:wordWrap/>
        <w:overflowPunct/>
        <w:topLinePunct w:val="0"/>
        <w:autoSpaceDE/>
        <w:autoSpaceDN/>
        <w:bidi w:val="0"/>
        <w:adjustRightInd/>
        <w:snapToGrid w:val="0"/>
        <w:spacing w:line="360" w:lineRule="auto"/>
        <w:ind w:firstLine="482" w:firstLineChars="200"/>
        <w:jc w:val="left"/>
        <w:textAlignment w:val="auto"/>
        <w:outlineLvl w:val="3"/>
        <w:rPr>
          <w:rFonts w:hint="eastAsia" w:ascii="宋体" w:hAnsi="宋体" w:eastAsia="宋体" w:cs="宋体"/>
          <w:b/>
          <w:color w:val="auto"/>
          <w:sz w:val="24"/>
          <w:szCs w:val="24"/>
          <w:highlight w:val="none"/>
        </w:rPr>
      </w:pPr>
      <w:bookmarkStart w:id="32" w:name="_Toc2603845"/>
      <w:r>
        <w:rPr>
          <w:rFonts w:hint="eastAsia" w:ascii="宋体" w:hAnsi="宋体" w:eastAsia="宋体" w:cs="宋体"/>
          <w:b/>
          <w:color w:val="auto"/>
          <w:sz w:val="24"/>
          <w:szCs w:val="24"/>
          <w:highlight w:val="none"/>
        </w:rPr>
        <w:t>1.营运违章情况监测服务</w:t>
      </w:r>
      <w:bookmarkEnd w:id="32"/>
    </w:p>
    <w:p>
      <w:pPr>
        <w:pageBreakBefore w:val="0"/>
        <w:kinsoku/>
        <w:wordWrap/>
        <w:overflowPunct/>
        <w:topLinePunct w:val="0"/>
        <w:autoSpaceDE/>
        <w:autoSpaceDN/>
        <w:bidi w:val="0"/>
        <w:adjustRightInd/>
        <w:snapToGrid w:val="0"/>
        <w:spacing w:line="360" w:lineRule="auto"/>
        <w:ind w:firstLine="480" w:firstLineChars="200"/>
        <w:jc w:val="left"/>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1.1营运违章情况监测与工单</w:t>
      </w:r>
    </w:p>
    <w:p>
      <w:pPr>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建立出租汽车绕道、计价器异常、营运时间异常、“模子车”、不打表等严重违章行为的数据分析模型，比对筛选出可疑车辆，经初步审核情况属实的，及时形成企业整改工单，下发责令企业整改，对整改不力的形成处罚工单，上报相关业务部门。</w:t>
      </w:r>
    </w:p>
    <w:p>
      <w:pPr>
        <w:pageBreakBefore w:val="0"/>
        <w:kinsoku/>
        <w:wordWrap/>
        <w:overflowPunct/>
        <w:topLinePunct w:val="0"/>
        <w:autoSpaceDE/>
        <w:autoSpaceDN/>
        <w:bidi w:val="0"/>
        <w:adjustRightInd/>
        <w:snapToGrid w:val="0"/>
        <w:spacing w:line="360" w:lineRule="auto"/>
        <w:ind w:firstLine="480" w:firstLineChars="200"/>
        <w:jc w:val="left"/>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1.2重点车辆营运违章情况监测</w:t>
      </w:r>
    </w:p>
    <w:p>
      <w:pPr>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相关业务部门要求，导入重点车辆清单，对重点车辆基础信息、违章信息、卡口信息进行关联分析，监测其营运情况，经初步审核情况属实的违章情况，及时上报相关业务部门，并为稽查人员现场稽查提供及时、可靠的信息支持。</w:t>
      </w:r>
    </w:p>
    <w:p>
      <w:pPr>
        <w:pageBreakBefore w:val="0"/>
        <w:kinsoku/>
        <w:wordWrap/>
        <w:overflowPunct/>
        <w:topLinePunct w:val="0"/>
        <w:autoSpaceDE/>
        <w:autoSpaceDN/>
        <w:bidi w:val="0"/>
        <w:adjustRightInd/>
        <w:snapToGrid w:val="0"/>
        <w:spacing w:line="360" w:lineRule="auto"/>
        <w:ind w:firstLine="480" w:firstLineChars="200"/>
        <w:jc w:val="left"/>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1.3“克隆车”查处信息支持</w:t>
      </w:r>
    </w:p>
    <w:p>
      <w:pPr>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根据卡口车辆监测数据，结合车辆卫星定位数据，依靠相关系统，协助执法部门完成克隆车的查处工作。</w:t>
      </w:r>
    </w:p>
    <w:p>
      <w:pPr>
        <w:pageBreakBefore w:val="0"/>
        <w:kinsoku/>
        <w:wordWrap/>
        <w:overflowPunct/>
        <w:topLinePunct w:val="0"/>
        <w:autoSpaceDE/>
        <w:autoSpaceDN/>
        <w:bidi w:val="0"/>
        <w:adjustRightInd/>
        <w:snapToGrid w:val="0"/>
        <w:spacing w:line="360" w:lineRule="auto"/>
        <w:ind w:firstLine="482" w:firstLineChars="200"/>
        <w:jc w:val="left"/>
        <w:textAlignment w:val="auto"/>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bookmarkStart w:id="33" w:name="_Hlk72761624"/>
      <w:r>
        <w:rPr>
          <w:rFonts w:hint="eastAsia" w:ascii="宋体" w:hAnsi="宋体" w:eastAsia="宋体" w:cs="宋体"/>
          <w:b/>
          <w:color w:val="auto"/>
          <w:sz w:val="24"/>
          <w:szCs w:val="24"/>
          <w:highlight w:val="none"/>
        </w:rPr>
        <w:t>执法辅助支持</w:t>
      </w:r>
      <w:bookmarkEnd w:id="33"/>
      <w:r>
        <w:rPr>
          <w:rFonts w:hint="eastAsia" w:ascii="宋体" w:hAnsi="宋体" w:eastAsia="宋体" w:cs="宋体"/>
          <w:b/>
          <w:color w:val="auto"/>
          <w:sz w:val="24"/>
          <w:szCs w:val="24"/>
          <w:highlight w:val="none"/>
        </w:rPr>
        <w:t>服务</w:t>
      </w:r>
    </w:p>
    <w:p>
      <w:pPr>
        <w:pStyle w:val="2"/>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2.1不定期组织</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人员开展出租汽车视频软件、定位软件、营运数据分析软件的培训工作，同时形成培训日志，为执法人员的投诉处理、违章处理提供有效的培训支持。</w:t>
      </w:r>
    </w:p>
    <w:p>
      <w:pPr>
        <w:pStyle w:val="2"/>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2.2配合管理部门在上路稽查、执法过程中，安排技术工程师协同，协助排查车载智能终端设备完好情况，针对异常情况，明确问题及提供有效的解决方案。</w:t>
      </w:r>
    </w:p>
    <w:p>
      <w:pPr>
        <w:pStyle w:val="2"/>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2.3根据行业主管部门要求，对投诉、信访件以及案件提供出租汽车车载卫星定位信息、营运信息、路线信息、支付信息及相关音视频等，按需在线浏览和下载。</w:t>
      </w:r>
    </w:p>
    <w:p>
      <w:pPr>
        <w:pageBreakBefore w:val="0"/>
        <w:kinsoku/>
        <w:wordWrap/>
        <w:overflowPunct/>
        <w:topLinePunct w:val="0"/>
        <w:autoSpaceDE/>
        <w:autoSpaceDN/>
        <w:bidi w:val="0"/>
        <w:adjustRightInd/>
        <w:snapToGrid w:val="0"/>
        <w:spacing w:line="360" w:lineRule="auto"/>
        <w:ind w:firstLine="482" w:firstLineChars="200"/>
        <w:jc w:val="left"/>
        <w:textAlignment w:val="auto"/>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3.行业服务质量数据保障服务</w:t>
      </w:r>
    </w:p>
    <w:p>
      <w:pPr>
        <w:pStyle w:val="975"/>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3.1投诉和违章数据动态监测服务</w:t>
      </w:r>
    </w:p>
    <w:p>
      <w:pPr>
        <w:pStyle w:val="975"/>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根据行业管理部门业务需求，开展对出租汽车行业投诉和违章数据的监测服务。从行业、单位、投诉类型、责任划分等维度开展投诉和违章数据的统计分析服务，为提升行业服务水平和服务品质做好数据支撑。</w:t>
      </w:r>
    </w:p>
    <w:p>
      <w:pPr>
        <w:pStyle w:val="975"/>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3.2投诉和违章数据分析</w:t>
      </w:r>
    </w:p>
    <w:p>
      <w:pPr>
        <w:pStyle w:val="975"/>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行业管理部门业务需要，开展出租汽车行业投诉率，违章率的数据统计分析服务，结合出租车汽车基础数据、企业、第三方平台等多方上传的数据，开展出租车的万单投诉率，万单违章率统计分析，并开展投诉率违章率的排名工作，定期开展数据通报和处置工作。</w:t>
      </w:r>
    </w:p>
    <w:p>
      <w:pPr>
        <w:pStyle w:val="975"/>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3.3特殊场景违章数据监测服务</w:t>
      </w:r>
    </w:p>
    <w:p>
      <w:pPr>
        <w:pStyle w:val="975"/>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根据行业管理部门要求，开展出租汽车营运车辆校园内部道路违章统计工作。根据行业管理部门提供的数据，结合订单数据，对在校园内超速车辆进行订单匹配，生成相关报表和报告，并上报相关部门。</w:t>
      </w:r>
    </w:p>
    <w:p>
      <w:pPr>
        <w:pStyle w:val="2"/>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color w:val="auto"/>
          <w:sz w:val="24"/>
          <w:szCs w:val="24"/>
          <w:highlight w:val="none"/>
        </w:rPr>
      </w:pPr>
    </w:p>
    <w:p>
      <w:pPr>
        <w:pStyle w:val="5"/>
        <w:pageBreakBefore w:val="0"/>
        <w:tabs>
          <w:tab w:val="left" w:pos="0"/>
          <w:tab w:val="clear" w:pos="900"/>
        </w:tabs>
        <w:kinsoku/>
        <w:wordWrap/>
        <w:overflowPunct/>
        <w:topLinePunct w:val="0"/>
        <w:autoSpaceDE/>
        <w:autoSpaceDN/>
        <w:bidi w:val="0"/>
        <w:adjustRightInd/>
        <w:spacing w:before="0" w:after="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（四）巡网融合技术支持服务</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本项目需要为巡网融合场景提供支持服务，主要包括数据推送服务、业务分析服务和咨询热线服务三大类。</w:t>
      </w:r>
    </w:p>
    <w:p>
      <w:pPr>
        <w:pageBreakBefore w:val="0"/>
        <w:kinsoku/>
        <w:wordWrap/>
        <w:overflowPunct/>
        <w:topLinePunct w:val="0"/>
        <w:autoSpaceDE/>
        <w:autoSpaceDN/>
        <w:bidi w:val="0"/>
        <w:adjustRightInd/>
        <w:snapToGrid w:val="0"/>
        <w:spacing w:line="360" w:lineRule="auto"/>
        <w:ind w:firstLine="482" w:firstLineChars="200"/>
        <w:jc w:val="left"/>
        <w:textAlignment w:val="auto"/>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1.巡网融合数据推送服务</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推送服务的主要工作内容是将符合巡网融合技术条件的巡游出租汽车定位数据和计价器数据推送给指定的网约车平台。推送过程中，结合实际巡网融合业务的具体场景和要求，实现数据和字段最小颗粒度管理原则进行推送。</w:t>
      </w:r>
    </w:p>
    <w:p>
      <w:pPr>
        <w:pageBreakBefore w:val="0"/>
        <w:kinsoku/>
        <w:wordWrap/>
        <w:overflowPunct/>
        <w:topLinePunct w:val="0"/>
        <w:autoSpaceDE/>
        <w:autoSpaceDN/>
        <w:bidi w:val="0"/>
        <w:adjustRightInd/>
        <w:snapToGrid w:val="0"/>
        <w:spacing w:line="360" w:lineRule="auto"/>
        <w:ind w:firstLine="482" w:firstLineChars="200"/>
        <w:jc w:val="left"/>
        <w:textAlignment w:val="auto"/>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2.巡网融合数据分析服务</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2.1从约租车监管系统提取订单数据，并对订单数据进行二次加工，支撑巡网融合数据服务；</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2.2提供巡游出租车的网约订单查询、统计、分析报表服务；</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提供巡游出租车的网约营收分析服务，分析车辆营收走势，掌握驾驶员收入情况；</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2.4结合巡游出租车的网约订单和车辆历史轨迹，提供巡游订单和网约订单的融合分析服务。</w:t>
      </w:r>
    </w:p>
    <w:p>
      <w:pPr>
        <w:pageBreakBefore w:val="0"/>
        <w:kinsoku/>
        <w:wordWrap/>
        <w:overflowPunct/>
        <w:topLinePunct w:val="0"/>
        <w:autoSpaceDE/>
        <w:autoSpaceDN/>
        <w:bidi w:val="0"/>
        <w:adjustRightInd/>
        <w:snapToGrid w:val="0"/>
        <w:spacing w:line="360" w:lineRule="auto"/>
        <w:ind w:firstLine="482" w:firstLineChars="200"/>
        <w:jc w:val="left"/>
        <w:textAlignment w:val="auto"/>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3.巡网融合业务热线服务</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3.1巡网融合业务相关的政策咨询服务。</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3.2针对数据推送异常而产生的技术问题，提供热线咨询服务。</w:t>
      </w:r>
    </w:p>
    <w:p>
      <w:pPr>
        <w:pStyle w:val="5"/>
        <w:pageBreakBefore w:val="0"/>
        <w:tabs>
          <w:tab w:val="left" w:pos="0"/>
          <w:tab w:val="clear" w:pos="900"/>
        </w:tabs>
        <w:kinsoku/>
        <w:wordWrap/>
        <w:overflowPunct/>
        <w:topLinePunct w:val="0"/>
        <w:autoSpaceDE/>
        <w:autoSpaceDN/>
        <w:bidi w:val="0"/>
        <w:adjustRightInd/>
        <w:spacing w:before="0" w:after="0" w:line="360" w:lineRule="auto"/>
        <w:jc w:val="left"/>
        <w:textAlignment w:val="auto"/>
        <w:rPr>
          <w:rFonts w:hint="eastAsia" w:ascii="宋体" w:hAnsi="宋体" w:eastAsia="宋体" w:cs="宋体"/>
          <w:bCs w:val="0"/>
          <w:color w:val="auto"/>
          <w:sz w:val="24"/>
          <w:szCs w:val="24"/>
          <w:highlight w:val="none"/>
        </w:rPr>
      </w:pPr>
    </w:p>
    <w:p>
      <w:pPr>
        <w:pageBreakBefore w:val="0"/>
        <w:tabs>
          <w:tab w:val="left" w:pos="0"/>
          <w:tab w:val="left" w:pos="900"/>
        </w:tabs>
        <w:kinsoku/>
        <w:wordWrap/>
        <w:overflowPunct/>
        <w:topLinePunct w:val="0"/>
        <w:autoSpaceDE/>
        <w:autoSpaceDN/>
        <w:bidi w:val="0"/>
        <w:adjustRightInd/>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项目人员配置及管理要求</w:t>
      </w:r>
      <w:bookmarkEnd w:id="29"/>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项目人员配置要求</w:t>
      </w:r>
    </w:p>
    <w:p>
      <w:pPr>
        <w:pStyle w:val="448"/>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为保证项目实施的平稳，本项目所配项目组人员必须满足</w:t>
      </w:r>
      <w:r>
        <w:rPr>
          <w:rFonts w:hint="eastAsia" w:ascii="宋体" w:hAnsi="宋体" w:eastAsia="宋体" w:cs="宋体"/>
          <w:color w:val="auto"/>
          <w:kern w:val="2"/>
          <w:sz w:val="24"/>
          <w:szCs w:val="24"/>
          <w:highlight w:val="none"/>
          <w:lang w:val="en-US" w:eastAsia="zh-CN"/>
        </w:rPr>
        <w:t>采购人</w:t>
      </w:r>
      <w:r>
        <w:rPr>
          <w:rFonts w:hint="eastAsia" w:ascii="宋体" w:hAnsi="宋体" w:eastAsia="宋体" w:cs="宋体"/>
          <w:color w:val="auto"/>
          <w:kern w:val="2"/>
          <w:sz w:val="24"/>
          <w:szCs w:val="24"/>
          <w:highlight w:val="none"/>
        </w:rPr>
        <w:t>业务要求，需提供社保证明材料；项目组成员最终需经采购人确认</w:t>
      </w:r>
      <w:r>
        <w:rPr>
          <w:rFonts w:hint="eastAsia" w:ascii="宋体" w:hAnsi="宋体" w:eastAsia="宋体" w:cs="宋体"/>
          <w:color w:val="auto"/>
          <w:kern w:val="2"/>
          <w:sz w:val="24"/>
          <w:szCs w:val="24"/>
          <w:highlight w:val="none"/>
          <w:lang w:val="en-US" w:eastAsia="zh-CN"/>
        </w:rPr>
        <w:t>后落实</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服务期内</w:t>
      </w:r>
      <w:r>
        <w:rPr>
          <w:rFonts w:hint="eastAsia" w:ascii="宋体" w:hAnsi="宋体" w:eastAsia="宋体" w:cs="宋体"/>
          <w:color w:val="auto"/>
          <w:kern w:val="2"/>
          <w:sz w:val="24"/>
          <w:szCs w:val="24"/>
          <w:highlight w:val="none"/>
        </w:rPr>
        <w:t>未经采购人同意投标人不得随意变更服务人员，人员确需调整</w:t>
      </w:r>
      <w:r>
        <w:rPr>
          <w:rFonts w:hint="eastAsia" w:ascii="宋体" w:hAnsi="宋体" w:eastAsia="宋体" w:cs="宋体"/>
          <w:color w:val="auto"/>
          <w:kern w:val="2"/>
          <w:sz w:val="24"/>
          <w:szCs w:val="24"/>
          <w:highlight w:val="none"/>
          <w:lang w:val="en-US" w:eastAsia="zh-CN"/>
        </w:rPr>
        <w:t>的</w:t>
      </w:r>
      <w:r>
        <w:rPr>
          <w:rFonts w:hint="eastAsia" w:ascii="宋体" w:hAnsi="宋体" w:eastAsia="宋体" w:cs="宋体"/>
          <w:color w:val="auto"/>
          <w:kern w:val="2"/>
          <w:sz w:val="24"/>
          <w:szCs w:val="24"/>
          <w:highlight w:val="none"/>
        </w:rPr>
        <w:t>，提前一周向采购人申请变更，更换人员资格不低于</w:t>
      </w:r>
      <w:r>
        <w:rPr>
          <w:rFonts w:hint="eastAsia" w:ascii="宋体" w:hAnsi="宋体" w:eastAsia="宋体" w:cs="宋体"/>
          <w:color w:val="auto"/>
          <w:kern w:val="2"/>
          <w:sz w:val="24"/>
          <w:szCs w:val="24"/>
          <w:highlight w:val="none"/>
          <w:lang w:val="en-US" w:eastAsia="zh-CN"/>
        </w:rPr>
        <w:t>对应岗位</w:t>
      </w:r>
      <w:r>
        <w:rPr>
          <w:rFonts w:hint="eastAsia" w:ascii="宋体" w:hAnsi="宋体" w:eastAsia="宋体" w:cs="宋体"/>
          <w:color w:val="auto"/>
          <w:kern w:val="2"/>
          <w:sz w:val="24"/>
          <w:szCs w:val="24"/>
          <w:highlight w:val="none"/>
        </w:rPr>
        <w:t>要求。否则采购人有权取消合同。</w:t>
      </w:r>
    </w:p>
    <w:p>
      <w:pPr>
        <w:pStyle w:val="448"/>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▲中标人用工必须符合《民法典》相关要求，合法用工；人员工资不得低于杭州市最低工资标准要求。</w:t>
      </w:r>
    </w:p>
    <w:p>
      <w:pPr>
        <w:pageBreakBefore w:val="0"/>
        <w:kinsoku/>
        <w:wordWrap/>
        <w:overflowPunct/>
        <w:topLinePunct w:val="0"/>
        <w:autoSpaceDE/>
        <w:autoSpaceDN/>
        <w:bidi w:val="0"/>
        <w:adjustRightInd/>
        <w:spacing w:line="360" w:lineRule="auto"/>
        <w:ind w:firstLine="482" w:firstLineChars="200"/>
        <w:textAlignment w:val="auto"/>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1.人员规模设计及方案要求</w:t>
      </w:r>
    </w:p>
    <w:p>
      <w:pPr>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至少配置6个坐席，按照1:3的规模设计16名日常工作人员及运维岗位2人，共计18人。其中2个数据分析岗坐席，7人；1个管理服务岗，3人；2个执法服务岗坐席，6人； 1个运维岗坐席，2人。</w:t>
      </w:r>
    </w:p>
    <w:p>
      <w:pPr>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日常排班要求：数据分析岗、管理服务岗、执法服务岗：24小时轮转；运维岗：常日班。</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制定完善的人员招聘方案和技术门槛要求。</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制定完善的人员服务礼仪和业务操作培训方案。</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制定与运行管理相关的标准、规范和管理制度，包括服务监督业务工作流程、服务规范和管理制度。</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制定有效的人员激励计划和相关制度。</w:t>
      </w:r>
    </w:p>
    <w:p>
      <w:pPr>
        <w:pageBreakBefore w:val="0"/>
        <w:kinsoku/>
        <w:wordWrap/>
        <w:overflowPunct/>
        <w:topLinePunct w:val="0"/>
        <w:autoSpaceDE/>
        <w:autoSpaceDN/>
        <w:bidi w:val="0"/>
        <w:adjustRightInd/>
        <w:spacing w:line="360" w:lineRule="auto"/>
        <w:ind w:firstLine="482" w:firstLineChars="200"/>
        <w:textAlignment w:val="auto"/>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2.各坐席岗位要求及工作人员要求</w:t>
      </w:r>
    </w:p>
    <w:p>
      <w:pPr>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2.1</w:t>
      </w:r>
      <w:r>
        <w:rPr>
          <w:rFonts w:hint="eastAsia" w:ascii="宋体" w:hAnsi="宋体" w:eastAsia="宋体" w:cs="宋体"/>
          <w:b/>
          <w:bCs/>
          <w:color w:val="auto"/>
          <w:sz w:val="24"/>
          <w:szCs w:val="24"/>
          <w:highlight w:val="none"/>
        </w:rPr>
        <w:t>数据分析岗</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1）坐席岗位要求：</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出租车行业运行分析、营运情况、运力需求及规模、场站枢纽数据、行业收入水平、运价水平、巡网融合技术支持等监测服务相关工作。实现数据可视化，将数据观点展示为业务过程；完成数据报告，体现数据的价值应用</w:t>
      </w:r>
      <w:r>
        <w:rPr>
          <w:rFonts w:hint="eastAsia" w:ascii="宋体" w:hAnsi="宋体" w:eastAsia="宋体" w:cs="宋体"/>
          <w:color w:val="auto"/>
          <w:sz w:val="24"/>
          <w:szCs w:val="24"/>
          <w:highlight w:val="none"/>
          <w:lang w:eastAsia="zh-CN"/>
        </w:rPr>
        <w:t>，支持市场运行监测发布工作</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2）工作人员要求：</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计算机类相关专业毕业或有1年以上相关工作经验，大专以上学历。</w:t>
      </w:r>
    </w:p>
    <w:p>
      <w:pPr>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2.2</w:t>
      </w:r>
      <w:r>
        <w:rPr>
          <w:rFonts w:hint="eastAsia" w:ascii="宋体" w:hAnsi="宋体" w:eastAsia="宋体" w:cs="宋体"/>
          <w:b/>
          <w:bCs/>
          <w:color w:val="auto"/>
          <w:sz w:val="24"/>
          <w:szCs w:val="24"/>
          <w:highlight w:val="none"/>
        </w:rPr>
        <w:t>管理服务岗</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1）坐席岗位要求：负责行业维稳、城市文明创建、应急处置保障、公共卫生事件防控保障、重大活动保障、出租汽车运行数据对接等管理保障服务相关工作。</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2）工作人员要求：有2年以上相关工作管理经验和人际交往及协调能力。</w:t>
      </w:r>
    </w:p>
    <w:p>
      <w:pPr>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2.3</w:t>
      </w:r>
      <w:r>
        <w:rPr>
          <w:rFonts w:hint="eastAsia" w:ascii="宋体" w:hAnsi="宋体" w:eastAsia="宋体" w:cs="宋体"/>
          <w:b/>
          <w:bCs/>
          <w:color w:val="auto"/>
          <w:sz w:val="24"/>
          <w:szCs w:val="24"/>
          <w:highlight w:val="none"/>
        </w:rPr>
        <w:t>执法服务岗</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1）坐席岗位要求：</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负责营运违章情况、执法辅助支持、行业服务质量数据保障等执法保障服务相关工作。</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2）工作人员要求：</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①良好心理素质：抗压能力较强，积极乐观；工作主动性较强，通过不断学习提高自身的综合业务水平的处理能力；</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②对杭州市情、市貌、行政区划、道路交通情况要有较为全面的了解；</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③对交通行业营运车辆监管有一定了解和熟悉；</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④对道路交通等法律法规有一定程度的了解和熟悉；</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⑤有良好的沟通协调能力。</w:t>
      </w:r>
    </w:p>
    <w:p>
      <w:pPr>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2.4</w:t>
      </w:r>
      <w:r>
        <w:rPr>
          <w:rFonts w:hint="eastAsia" w:ascii="宋体" w:hAnsi="宋体" w:eastAsia="宋体" w:cs="宋体"/>
          <w:b/>
          <w:bCs/>
          <w:color w:val="auto"/>
          <w:sz w:val="24"/>
          <w:szCs w:val="24"/>
          <w:highlight w:val="none"/>
        </w:rPr>
        <w:t>运维岗位</w:t>
      </w:r>
    </w:p>
    <w:p>
      <w:pPr>
        <w:pageBreakBefore w:val="0"/>
        <w:numPr>
          <w:ilvl w:val="0"/>
          <w:numId w:val="2"/>
        </w:numPr>
        <w:kinsoku/>
        <w:wordWrap/>
        <w:overflowPunct/>
        <w:topLinePunct w:val="0"/>
        <w:autoSpaceDE/>
        <w:autoSpaceDN/>
        <w:bidi w:val="0"/>
        <w:adjustRightInd/>
        <w:spacing w:line="360" w:lineRule="auto"/>
        <w:ind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坐席岗位要求：</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出租车服务的硬件、网络和软件进行运维工作：提供日常保障服务（提供每日1次定期巡检工作，通过检查分析设备运行状态，分析系统日志等，及时发现设备的故障隐患，并在第一时间进行处理。应急响应服务：当软硬件产品以及涉及的业务系统出现故障时，给予的及时的技术故障/问题解决工作。实时关注系统状态：主动性服务工作，通过每日实施监控系统的运行状态，及时发现并进行故障处理。为了使系统运行的更加稳定、安全提供技术改进建议。</w:t>
      </w:r>
    </w:p>
    <w:p>
      <w:pPr>
        <w:pageBreakBefore w:val="0"/>
        <w:numPr>
          <w:ilvl w:val="0"/>
          <w:numId w:val="2"/>
        </w:numPr>
        <w:kinsoku/>
        <w:wordWrap/>
        <w:overflowPunct/>
        <w:topLinePunct w:val="0"/>
        <w:autoSpaceDE/>
        <w:autoSpaceDN/>
        <w:bidi w:val="0"/>
        <w:adjustRightInd/>
        <w:spacing w:line="360" w:lineRule="auto"/>
        <w:ind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工作人员要求：</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计算机类相关专业毕业或取得相关的计算机等级证书，大专以上学历，具备1年以上相关工作经验(需提供相关证明材料)。</w:t>
      </w:r>
    </w:p>
    <w:p>
      <w:pPr>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2.5</w:t>
      </w:r>
      <w:r>
        <w:rPr>
          <w:rFonts w:hint="eastAsia" w:ascii="宋体" w:hAnsi="宋体" w:eastAsia="宋体" w:cs="宋体"/>
          <w:b/>
          <w:bCs/>
          <w:color w:val="auto"/>
          <w:sz w:val="24"/>
          <w:szCs w:val="24"/>
          <w:highlight w:val="none"/>
        </w:rPr>
        <w:t>人员其它要求</w:t>
      </w:r>
    </w:p>
    <w:p>
      <w:pPr>
        <w:pageBreakBefore w:val="0"/>
        <w:numPr>
          <w:ilvl w:val="0"/>
          <w:numId w:val="3"/>
        </w:numPr>
        <w:kinsoku/>
        <w:wordWrap/>
        <w:overflowPunct/>
        <w:topLinePunct w:val="0"/>
        <w:autoSpaceDE/>
        <w:autoSpaceDN/>
        <w:bidi w:val="0"/>
        <w:adjustRightInd/>
        <w:spacing w:line="360" w:lineRule="auto"/>
        <w:ind w:left="5" w:firstLine="41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障人员的合法权益，投标单位必须按照杭州市社保缴纳基数相关规定进行社保缴纳，做到合法用工。人员费用中另请列明工资，餐贴，节假日加班等各种津贴等。以上要求为采购人基本要求，各投标单位可根据行业薪资水平，提出更优惠措施，以吸引优秀人才服务本项目。</w:t>
      </w:r>
    </w:p>
    <w:p>
      <w:pPr>
        <w:pageBreakBefore w:val="0"/>
        <w:numPr>
          <w:ilvl w:val="0"/>
          <w:numId w:val="3"/>
        </w:numPr>
        <w:kinsoku/>
        <w:wordWrap/>
        <w:overflowPunct/>
        <w:topLinePunct w:val="0"/>
        <w:autoSpaceDE/>
        <w:autoSpaceDN/>
        <w:bidi w:val="0"/>
        <w:adjustRightInd/>
        <w:spacing w:line="360" w:lineRule="auto"/>
        <w:ind w:left="5" w:firstLine="41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为保持人员队伍的稳定，并考虑到物价上涨等因素，各投标单位应对人员的薪资水准给予良好待遇，在投标文件应标明对工作人员收入的最低标准和平均标准。</w:t>
      </w:r>
    </w:p>
    <w:p>
      <w:pPr>
        <w:pageBreakBefore w:val="0"/>
        <w:numPr>
          <w:ilvl w:val="0"/>
          <w:numId w:val="3"/>
        </w:numPr>
        <w:kinsoku/>
        <w:wordWrap/>
        <w:overflowPunct/>
        <w:topLinePunct w:val="0"/>
        <w:autoSpaceDE/>
        <w:autoSpaceDN/>
        <w:bidi w:val="0"/>
        <w:adjustRightInd/>
        <w:spacing w:line="360" w:lineRule="auto"/>
        <w:ind w:left="5" w:firstLine="41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政治素质好，组织纪律性强，爱岗敬业，乐于奉献，具有较强的事业心和责任感，无犯罪记录和不良嗜好；</w:t>
      </w:r>
    </w:p>
    <w:p>
      <w:pPr>
        <w:pageBreakBefore w:val="0"/>
        <w:numPr>
          <w:ilvl w:val="0"/>
          <w:numId w:val="3"/>
        </w:numPr>
        <w:kinsoku/>
        <w:wordWrap/>
        <w:overflowPunct/>
        <w:topLinePunct w:val="0"/>
        <w:autoSpaceDE/>
        <w:autoSpaceDN/>
        <w:bidi w:val="0"/>
        <w:adjustRightInd/>
        <w:spacing w:line="360" w:lineRule="auto"/>
        <w:ind w:left="5" w:firstLine="41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质量意识：注重细节、准确率和态度，寻求持续改进服务；</w:t>
      </w:r>
    </w:p>
    <w:p>
      <w:pPr>
        <w:pageBreakBefore w:val="0"/>
        <w:numPr>
          <w:ilvl w:val="0"/>
          <w:numId w:val="3"/>
        </w:numPr>
        <w:kinsoku/>
        <w:wordWrap/>
        <w:overflowPunct/>
        <w:topLinePunct w:val="0"/>
        <w:autoSpaceDE/>
        <w:autoSpaceDN/>
        <w:bidi w:val="0"/>
        <w:adjustRightInd/>
        <w:spacing w:line="360" w:lineRule="auto"/>
        <w:ind w:left="5" w:firstLine="41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身体健康，所有人员都要经过体检，患有不适合本工作的疾病，不得录用；</w:t>
      </w:r>
    </w:p>
    <w:p>
      <w:pPr>
        <w:pageBreakBefore w:val="0"/>
        <w:numPr>
          <w:ilvl w:val="0"/>
          <w:numId w:val="3"/>
        </w:numPr>
        <w:kinsoku/>
        <w:wordWrap/>
        <w:overflowPunct/>
        <w:topLinePunct w:val="0"/>
        <w:autoSpaceDE/>
        <w:autoSpaceDN/>
        <w:bidi w:val="0"/>
        <w:adjustRightInd/>
        <w:spacing w:line="360" w:lineRule="auto"/>
        <w:ind w:left="5" w:firstLine="41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按要求统一着装，整齐规范，仪容仪表整洁端庄；在指定位置佩戴标志，站姿端正，坐姿稳重。</w:t>
      </w:r>
    </w:p>
    <w:p>
      <w:pPr>
        <w:pageBreakBefore w:val="0"/>
        <w:numPr>
          <w:ilvl w:val="0"/>
          <w:numId w:val="3"/>
        </w:numPr>
        <w:kinsoku/>
        <w:wordWrap/>
        <w:overflowPunct/>
        <w:topLinePunct w:val="0"/>
        <w:autoSpaceDE/>
        <w:autoSpaceDN/>
        <w:bidi w:val="0"/>
        <w:adjustRightInd/>
        <w:spacing w:line="360" w:lineRule="auto"/>
        <w:ind w:left="5" w:firstLine="41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管理人员若干名（岗位设置主管、组长），管理人员要求：</w:t>
      </w:r>
      <w:r>
        <w:rPr>
          <w:rFonts w:hint="eastAsia" w:ascii="宋体" w:hAnsi="宋体" w:eastAsia="宋体" w:cs="宋体"/>
          <w:color w:val="auto"/>
          <w:sz w:val="24"/>
          <w:szCs w:val="24"/>
          <w:highlight w:val="none"/>
          <w:lang w:val="en-US" w:eastAsia="zh-CN"/>
        </w:rPr>
        <w:t>具有信息系统中级及以上职称（</w:t>
      </w:r>
      <w:r>
        <w:rPr>
          <w:rFonts w:hint="eastAsia" w:ascii="宋体" w:hAnsi="宋体" w:eastAsia="宋体" w:cs="宋体"/>
          <w:b/>
          <w:bCs/>
          <w:color w:val="auto"/>
          <w:sz w:val="24"/>
          <w:szCs w:val="24"/>
          <w:highlight w:val="none"/>
          <w:lang w:val="en-US" w:eastAsia="zh-CN"/>
        </w:rPr>
        <w:t>中级职称如：</w:t>
      </w:r>
      <w:r>
        <w:rPr>
          <w:rFonts w:hint="eastAsia" w:ascii="宋体" w:hAnsi="宋体" w:eastAsia="宋体" w:cs="宋体"/>
          <w:color w:val="auto"/>
          <w:sz w:val="24"/>
          <w:szCs w:val="24"/>
          <w:highlight w:val="none"/>
          <w:lang w:val="en-US" w:eastAsia="zh-CN"/>
        </w:rPr>
        <w:t>数据库系统工程师、信息系统管理工程师、系统集成项目管理工程师、信息安全工程师；</w:t>
      </w:r>
      <w:r>
        <w:rPr>
          <w:rFonts w:hint="eastAsia" w:ascii="宋体" w:hAnsi="宋体" w:eastAsia="宋体" w:cs="宋体"/>
          <w:b/>
          <w:bCs/>
          <w:color w:val="auto"/>
          <w:sz w:val="24"/>
          <w:szCs w:val="24"/>
          <w:highlight w:val="none"/>
          <w:lang w:val="en-US" w:eastAsia="zh-CN"/>
        </w:rPr>
        <w:t>高级职称如：</w:t>
      </w:r>
      <w:r>
        <w:rPr>
          <w:rFonts w:hint="eastAsia" w:ascii="宋体" w:hAnsi="宋体" w:eastAsia="宋体" w:cs="宋体"/>
          <w:color w:val="auto"/>
          <w:sz w:val="24"/>
          <w:szCs w:val="24"/>
          <w:highlight w:val="none"/>
          <w:lang w:val="en-US" w:eastAsia="zh-CN"/>
        </w:rPr>
        <w:t>信息系统项目管理师、系统分析师（原系统分析员）、系统架构设计师、网络规划设计师 、系统规划与管理师）；具有</w:t>
      </w:r>
      <w:r>
        <w:rPr>
          <w:rFonts w:hint="eastAsia" w:ascii="宋体" w:hAnsi="宋体" w:eastAsia="宋体" w:cs="宋体"/>
          <w:color w:val="auto"/>
          <w:sz w:val="24"/>
          <w:szCs w:val="24"/>
          <w:highlight w:val="none"/>
        </w:rPr>
        <w:t>三年以上相关岗位工作经验，要求在投标文件中提供社保缴纳证明、学历证明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职称证明</w:t>
      </w:r>
      <w:r>
        <w:rPr>
          <w:rFonts w:hint="eastAsia" w:ascii="宋体" w:hAnsi="宋体" w:eastAsia="宋体" w:cs="宋体"/>
          <w:color w:val="auto"/>
          <w:sz w:val="24"/>
          <w:szCs w:val="24"/>
          <w:highlight w:val="none"/>
        </w:rPr>
        <w:t>及工作履历并加盖公章。</w:t>
      </w:r>
    </w:p>
    <w:p>
      <w:pPr>
        <w:pageBreakBefore w:val="0"/>
        <w:kinsoku/>
        <w:wordWrap/>
        <w:overflowPunct/>
        <w:topLinePunct w:val="0"/>
        <w:autoSpaceDE/>
        <w:autoSpaceDN/>
        <w:bidi w:val="0"/>
        <w:adjustRightInd/>
        <w:spacing w:line="360" w:lineRule="auto"/>
        <w:ind w:firstLine="482" w:firstLineChars="200"/>
        <w:textAlignment w:val="auto"/>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3.业务及工作流程要求</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要求在投标文件中提供具体业务及工作流程方案。</w:t>
      </w:r>
    </w:p>
    <w:p>
      <w:pPr>
        <w:pageBreakBefore w:val="0"/>
        <w:kinsoku/>
        <w:wordWrap/>
        <w:overflowPunct/>
        <w:topLinePunct w:val="0"/>
        <w:autoSpaceDE/>
        <w:autoSpaceDN/>
        <w:bidi w:val="0"/>
        <w:adjustRightInd/>
        <w:spacing w:line="360" w:lineRule="auto"/>
        <w:ind w:firstLine="482" w:firstLineChars="200"/>
        <w:textAlignment w:val="auto"/>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4.人员培训要求</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由中标单位组织人员进行岗前、岗中培训。采购单位有权进行业务指导。具体基本话务技能培训、业务技能培训、</w:t>
      </w:r>
      <w:r>
        <w:rPr>
          <w:rFonts w:hint="eastAsia" w:ascii="宋体" w:hAnsi="宋体" w:eastAsia="宋体" w:cs="宋体"/>
          <w:color w:val="auto"/>
          <w:kern w:val="0"/>
          <w:sz w:val="24"/>
          <w:szCs w:val="24"/>
          <w:highlight w:val="none"/>
        </w:rPr>
        <w:t>形体礼仪培训</w:t>
      </w:r>
      <w:r>
        <w:rPr>
          <w:rFonts w:hint="eastAsia" w:ascii="宋体" w:hAnsi="宋体" w:eastAsia="宋体" w:cs="宋体"/>
          <w:color w:val="auto"/>
          <w:sz w:val="24"/>
          <w:szCs w:val="24"/>
          <w:highlight w:val="none"/>
        </w:rPr>
        <w:t>方案由投标单位在投标文件中提供，如中标，经采购单位确认后实施。</w:t>
      </w:r>
    </w:p>
    <w:p>
      <w:pPr>
        <w:pageBreakBefore w:val="0"/>
        <w:kinsoku/>
        <w:wordWrap/>
        <w:overflowPunct/>
        <w:topLinePunct w:val="0"/>
        <w:autoSpaceDE/>
        <w:autoSpaceDN/>
        <w:bidi w:val="0"/>
        <w:adjustRightInd/>
        <w:spacing w:line="360" w:lineRule="auto"/>
        <w:ind w:firstLine="482" w:firstLineChars="200"/>
        <w:textAlignment w:val="auto"/>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5.质保方案要求</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要求投标单位通过监控、抽样、评估、反馈等方式进行质保，在投标单位中提供具体长期服务和应急维护方案供评审。</w:t>
      </w:r>
    </w:p>
    <w:p>
      <w:pPr>
        <w:pStyle w:val="5"/>
        <w:pageBreakBefore w:val="0"/>
        <w:tabs>
          <w:tab w:val="left" w:pos="0"/>
        </w:tabs>
        <w:kinsoku/>
        <w:wordWrap/>
        <w:overflowPunct/>
        <w:topLinePunct w:val="0"/>
        <w:autoSpaceDE/>
        <w:autoSpaceDN/>
        <w:bidi w:val="0"/>
        <w:adjustRightInd/>
        <w:spacing w:before="0" w:after="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w:t>
      </w:r>
      <w:r>
        <w:rPr>
          <w:rFonts w:hint="eastAsia" w:ascii="宋体" w:hAnsi="宋体" w:eastAsia="宋体" w:cs="宋体"/>
          <w:bCs w:val="0"/>
          <w:color w:val="auto"/>
          <w:sz w:val="24"/>
          <w:szCs w:val="24"/>
          <w:highlight w:val="none"/>
          <w:lang w:val="en-US" w:eastAsia="zh-CN"/>
        </w:rPr>
        <w:t>二</w:t>
      </w:r>
      <w:r>
        <w:rPr>
          <w:rFonts w:hint="eastAsia" w:ascii="宋体" w:hAnsi="宋体" w:eastAsia="宋体" w:cs="宋体"/>
          <w:bCs w:val="0"/>
          <w:color w:val="auto"/>
          <w:sz w:val="24"/>
          <w:szCs w:val="24"/>
          <w:highlight w:val="none"/>
        </w:rPr>
        <w:t>）项目</w:t>
      </w:r>
      <w:r>
        <w:rPr>
          <w:rFonts w:hint="eastAsia" w:ascii="宋体" w:hAnsi="宋体" w:eastAsia="宋体" w:cs="宋体"/>
          <w:bCs w:val="0"/>
          <w:color w:val="auto"/>
          <w:sz w:val="24"/>
          <w:szCs w:val="24"/>
          <w:highlight w:val="none"/>
          <w:lang w:val="en-US" w:eastAsia="zh-CN"/>
        </w:rPr>
        <w:t>管理</w:t>
      </w:r>
      <w:r>
        <w:rPr>
          <w:rFonts w:hint="eastAsia" w:ascii="宋体" w:hAnsi="宋体" w:eastAsia="宋体" w:cs="宋体"/>
          <w:bCs w:val="0"/>
          <w:color w:val="auto"/>
          <w:sz w:val="24"/>
          <w:szCs w:val="24"/>
          <w:highlight w:val="none"/>
        </w:rPr>
        <w:t>要求</w:t>
      </w:r>
    </w:p>
    <w:p>
      <w:pPr>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项目整体内容和费用组成</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由供应商提供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p>
    <w:p>
      <w:pPr>
        <w:pStyle w:val="142"/>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1.1人力成本，包括项目配套工作人员的人员薪资、项目运行经费、工作服务费用等。</w:t>
      </w:r>
    </w:p>
    <w:p>
      <w:pPr>
        <w:pStyle w:val="142"/>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1.2硬件</w:t>
      </w:r>
      <w:r>
        <w:rPr>
          <w:rFonts w:hint="eastAsia" w:ascii="宋体" w:hAnsi="宋体" w:eastAsia="宋体" w:cs="宋体"/>
          <w:color w:val="auto"/>
          <w:sz w:val="24"/>
          <w:szCs w:val="24"/>
          <w:highlight w:val="none"/>
          <w:lang w:val="en-US" w:eastAsia="zh-CN"/>
        </w:rPr>
        <w:t>成本</w:t>
      </w:r>
      <w:r>
        <w:rPr>
          <w:rFonts w:hint="eastAsia" w:ascii="宋体" w:hAnsi="宋体" w:eastAsia="宋体" w:cs="宋体"/>
          <w:color w:val="auto"/>
          <w:sz w:val="24"/>
          <w:szCs w:val="24"/>
          <w:highlight w:val="none"/>
        </w:rPr>
        <w:t>，包括</w:t>
      </w:r>
      <w:r>
        <w:rPr>
          <w:rFonts w:hint="eastAsia" w:ascii="宋体" w:hAnsi="宋体" w:eastAsia="宋体" w:cs="宋体"/>
          <w:color w:val="auto"/>
          <w:sz w:val="24"/>
          <w:szCs w:val="24"/>
          <w:highlight w:val="none"/>
          <w:lang w:val="en-US" w:eastAsia="zh-CN"/>
        </w:rPr>
        <w:t>但不限于办公设备设施、</w:t>
      </w:r>
      <w:r>
        <w:rPr>
          <w:rFonts w:hint="eastAsia" w:ascii="宋体" w:hAnsi="宋体" w:eastAsia="宋体" w:cs="宋体"/>
          <w:color w:val="auto"/>
          <w:sz w:val="24"/>
          <w:szCs w:val="24"/>
          <w:highlight w:val="none"/>
        </w:rPr>
        <w:t>服务器、网络设备、办公电脑</w:t>
      </w:r>
      <w:r>
        <w:rPr>
          <w:rFonts w:hint="eastAsia" w:ascii="宋体" w:hAnsi="宋体" w:eastAsia="宋体" w:cs="宋体"/>
          <w:color w:val="auto"/>
          <w:sz w:val="24"/>
          <w:szCs w:val="24"/>
          <w:highlight w:val="none"/>
          <w:lang w:val="en-US" w:eastAsia="zh-CN"/>
        </w:rPr>
        <w:t>等。</w:t>
      </w:r>
    </w:p>
    <w:p>
      <w:pPr>
        <w:pStyle w:val="142"/>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1.3软件</w:t>
      </w:r>
      <w:r>
        <w:rPr>
          <w:rFonts w:hint="eastAsia" w:ascii="宋体" w:hAnsi="宋体" w:eastAsia="宋体" w:cs="宋体"/>
          <w:color w:val="auto"/>
          <w:sz w:val="24"/>
          <w:szCs w:val="24"/>
          <w:highlight w:val="none"/>
          <w:lang w:val="en-US" w:eastAsia="zh-CN"/>
        </w:rPr>
        <w:t>成本</w:t>
      </w:r>
      <w:r>
        <w:rPr>
          <w:rFonts w:hint="eastAsia" w:ascii="宋体" w:hAnsi="宋体" w:eastAsia="宋体" w:cs="宋体"/>
          <w:color w:val="auto"/>
          <w:sz w:val="24"/>
          <w:szCs w:val="24"/>
          <w:highlight w:val="none"/>
        </w:rPr>
        <w:t>，包括出租车定位监控系统、大数据分析系统、杭州网约车综合信息服务分平台、杭州市出租汽车综合业务查询与报表分析系统等信息平台。</w:t>
      </w:r>
    </w:p>
    <w:p>
      <w:pPr>
        <w:pStyle w:val="142"/>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1.4通信成本，包括通讯链路和电话。</w:t>
      </w:r>
    </w:p>
    <w:p>
      <w:pPr>
        <w:pStyle w:val="142"/>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1.5房租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水电</w:t>
      </w:r>
      <w:r>
        <w:rPr>
          <w:rFonts w:hint="eastAsia" w:ascii="宋体" w:hAnsi="宋体" w:eastAsia="宋体" w:cs="宋体"/>
          <w:color w:val="auto"/>
          <w:sz w:val="24"/>
          <w:szCs w:val="24"/>
          <w:highlight w:val="none"/>
          <w:lang w:val="en-US" w:eastAsia="zh-CN"/>
        </w:rPr>
        <w:t>成本</w:t>
      </w:r>
      <w:r>
        <w:rPr>
          <w:rFonts w:hint="eastAsia" w:ascii="宋体" w:hAnsi="宋体" w:eastAsia="宋体" w:cs="宋体"/>
          <w:color w:val="auto"/>
          <w:sz w:val="24"/>
          <w:szCs w:val="24"/>
          <w:highlight w:val="none"/>
        </w:rPr>
        <w:t>，包括日常办公场地，日常办公产生的水费、电费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物业等</w:t>
      </w:r>
      <w:r>
        <w:rPr>
          <w:rFonts w:hint="eastAsia" w:ascii="宋体" w:hAnsi="宋体" w:eastAsia="宋体" w:cs="宋体"/>
          <w:color w:val="auto"/>
          <w:sz w:val="24"/>
          <w:szCs w:val="24"/>
          <w:highlight w:val="none"/>
        </w:rPr>
        <w:t>。</w:t>
      </w:r>
    </w:p>
    <w:p>
      <w:pPr>
        <w:pStyle w:val="142"/>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1.6税费，项目结算产生的各种税费，上交国家税务部门。</w:t>
      </w:r>
    </w:p>
    <w:p>
      <w:pPr>
        <w:pageBreakBefore w:val="0"/>
        <w:numPr>
          <w:ilvl w:val="0"/>
          <w:numId w:val="4"/>
        </w:numPr>
        <w:kinsoku/>
        <w:wordWrap/>
        <w:overflowPunct/>
        <w:topLinePunct w:val="0"/>
        <w:autoSpaceDE/>
        <w:autoSpaceDN/>
        <w:bidi w:val="0"/>
        <w:adjustRightInd/>
        <w:spacing w:line="360" w:lineRule="auto"/>
        <w:ind w:firstLine="422" w:firstLineChars="175"/>
        <w:textAlignment w:val="auto"/>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项目考核服务要求</w:t>
      </w:r>
    </w:p>
    <w:p>
      <w:pPr>
        <w:pStyle w:val="2"/>
        <w:pageBreakBefore w:val="0"/>
        <w:kinsoku/>
        <w:wordWrap/>
        <w:overflowPunct/>
        <w:topLinePunct w:val="0"/>
        <w:autoSpaceDE/>
        <w:autoSpaceDN/>
        <w:bidi w:val="0"/>
        <w:adjustRightInd/>
        <w:spacing w:line="360" w:lineRule="auto"/>
        <w:ind w:firstLine="482"/>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2.1</w:t>
      </w:r>
      <w:r>
        <w:rPr>
          <w:rFonts w:hint="eastAsia" w:ascii="宋体" w:hAnsi="宋体" w:eastAsia="宋体" w:cs="宋体"/>
          <w:b w:val="0"/>
          <w:bCs w:val="0"/>
          <w:color w:val="auto"/>
          <w:sz w:val="24"/>
          <w:szCs w:val="24"/>
          <w:highlight w:val="none"/>
        </w:rPr>
        <w:t>.情况监测科学规范</w:t>
      </w:r>
    </w:p>
    <w:p>
      <w:pPr>
        <w:pStyle w:val="2"/>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行业运行分析、行业营运情况监测、行业运力需求及规模监测、场站枢纽以及景区数据监测、行业收入水平情况</w:t>
      </w:r>
      <w:r>
        <w:rPr>
          <w:rFonts w:hint="eastAsia" w:ascii="宋体" w:hAnsi="宋体" w:eastAsia="宋体" w:cs="宋体"/>
          <w:color w:val="auto"/>
          <w:sz w:val="24"/>
          <w:szCs w:val="24"/>
          <w:highlight w:val="none"/>
          <w:lang w:val="en-US" w:eastAsia="zh-CN"/>
        </w:rPr>
        <w:t>监测</w:t>
      </w:r>
      <w:r>
        <w:rPr>
          <w:rFonts w:hint="eastAsia" w:ascii="宋体" w:hAnsi="宋体" w:eastAsia="宋体" w:cs="宋体"/>
          <w:color w:val="auto"/>
          <w:sz w:val="24"/>
          <w:szCs w:val="24"/>
          <w:highlight w:val="none"/>
        </w:rPr>
        <w:t>、行业运价水平监测、出租汽车运行数据对接、巡网融合技术支持等服务，监测模型科学、结果合理、监测及时，异常情况处置规范。</w:t>
      </w:r>
    </w:p>
    <w:p>
      <w:pPr>
        <w:pStyle w:val="2"/>
        <w:pageBreakBefore w:val="0"/>
        <w:kinsoku/>
        <w:wordWrap/>
        <w:overflowPunct/>
        <w:topLinePunct w:val="0"/>
        <w:autoSpaceDE/>
        <w:autoSpaceDN/>
        <w:bidi w:val="0"/>
        <w:adjustRightInd/>
        <w:spacing w:line="360" w:lineRule="auto"/>
        <w:ind w:firstLine="482"/>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管理保障服务周到</w:t>
      </w:r>
    </w:p>
    <w:p>
      <w:pPr>
        <w:pStyle w:val="2"/>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行业维稳</w:t>
      </w:r>
      <w:r>
        <w:rPr>
          <w:rFonts w:hint="eastAsia" w:ascii="宋体" w:hAnsi="宋体" w:eastAsia="宋体" w:cs="宋体"/>
          <w:color w:val="auto"/>
          <w:sz w:val="24"/>
          <w:szCs w:val="24"/>
          <w:highlight w:val="none"/>
          <w:lang w:val="en-US" w:eastAsia="zh-CN"/>
        </w:rPr>
        <w:t>保障</w:t>
      </w:r>
      <w:r>
        <w:rPr>
          <w:rFonts w:hint="eastAsia" w:ascii="宋体" w:hAnsi="宋体" w:eastAsia="宋体" w:cs="宋体"/>
          <w:color w:val="auto"/>
          <w:sz w:val="24"/>
          <w:szCs w:val="24"/>
          <w:highlight w:val="none"/>
        </w:rPr>
        <w:t>、城市文明创建、应急处置、公共卫生事件</w:t>
      </w:r>
      <w:r>
        <w:rPr>
          <w:rFonts w:hint="eastAsia" w:ascii="宋体" w:hAnsi="宋体" w:eastAsia="宋体" w:cs="宋体"/>
          <w:color w:val="auto"/>
          <w:sz w:val="24"/>
          <w:szCs w:val="24"/>
          <w:highlight w:val="none"/>
          <w:lang w:val="en-US" w:eastAsia="zh-CN"/>
        </w:rPr>
        <w:t>防控</w:t>
      </w:r>
      <w:r>
        <w:rPr>
          <w:rFonts w:hint="eastAsia" w:ascii="宋体" w:hAnsi="宋体" w:eastAsia="宋体" w:cs="宋体"/>
          <w:color w:val="auto"/>
          <w:sz w:val="24"/>
          <w:szCs w:val="24"/>
          <w:highlight w:val="none"/>
        </w:rPr>
        <w:t>、重大活动、营运违章情况监测、执法辅助支持、行业服务质量数据保障等保障服务按要求及时到位，提供的信息与技术支持准确有效</w:t>
      </w:r>
      <w:r>
        <w:rPr>
          <w:rFonts w:hint="eastAsia" w:ascii="宋体" w:hAnsi="宋体" w:eastAsia="宋体" w:cs="宋体"/>
          <w:color w:val="auto"/>
          <w:sz w:val="24"/>
          <w:szCs w:val="24"/>
          <w:highlight w:val="none"/>
          <w:lang w:eastAsia="zh-CN"/>
        </w:rPr>
        <w:t>。</w:t>
      </w:r>
    </w:p>
    <w:p>
      <w:pPr>
        <w:spacing w:line="360" w:lineRule="auto"/>
        <w:ind w:firstLine="480" w:firstLineChars="200"/>
        <w:outlineLvl w:val="3"/>
        <w:rPr>
          <w:rFonts w:hint="eastAsia" w:ascii="宋体" w:hAnsi="宋体" w:eastAsia="宋体" w:cs="宋体"/>
          <w:b w:val="0"/>
          <w:bCs w:val="0"/>
          <w:color w:val="auto"/>
          <w:kern w:val="36"/>
          <w:sz w:val="24"/>
          <w:szCs w:val="24"/>
          <w:highlight w:val="none"/>
          <w:lang w:bidi="ar"/>
        </w:rPr>
      </w:pPr>
      <w:r>
        <w:rPr>
          <w:rFonts w:hint="eastAsia" w:ascii="宋体" w:hAnsi="宋体" w:eastAsia="宋体" w:cs="宋体"/>
          <w:b w:val="0"/>
          <w:bCs w:val="0"/>
          <w:color w:val="auto"/>
          <w:kern w:val="36"/>
          <w:sz w:val="24"/>
          <w:szCs w:val="24"/>
          <w:highlight w:val="none"/>
          <w:lang w:val="en-US" w:eastAsia="zh-CN" w:bidi="ar"/>
        </w:rPr>
        <w:t>2.</w:t>
      </w:r>
      <w:r>
        <w:rPr>
          <w:rFonts w:hint="eastAsia" w:ascii="宋体" w:hAnsi="宋体" w:eastAsia="宋体" w:cs="宋体"/>
          <w:b w:val="0"/>
          <w:bCs w:val="0"/>
          <w:color w:val="auto"/>
          <w:kern w:val="36"/>
          <w:sz w:val="24"/>
          <w:szCs w:val="24"/>
          <w:highlight w:val="none"/>
          <w:lang w:bidi="ar"/>
        </w:rPr>
        <w:t>3数据管理安全保密</w:t>
      </w:r>
    </w:p>
    <w:p>
      <w:pPr>
        <w:spacing w:line="360" w:lineRule="auto"/>
        <w:ind w:firstLine="480" w:firstLineChars="200"/>
        <w:outlineLvl w:val="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依据国家网络与信息安全有关规定,安全管理制度完善，信息系统安全防范措施有效，供应商签订保密承诺书，确保信息保密，保障系统数据及系统运行环境网络安全。</w:t>
      </w:r>
    </w:p>
    <w:p>
      <w:pPr>
        <w:pageBreakBefore w:val="0"/>
        <w:kinsoku/>
        <w:wordWrap/>
        <w:overflowPunct/>
        <w:topLinePunct w:val="0"/>
        <w:autoSpaceDE/>
        <w:autoSpaceDN/>
        <w:bidi w:val="0"/>
        <w:adjustRightInd/>
        <w:spacing w:line="360" w:lineRule="auto"/>
        <w:ind w:firstLine="480" w:firstLineChars="200"/>
        <w:textAlignment w:val="auto"/>
        <w:outlineLvl w:val="3"/>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本项目服务所产生的数据所有权归采购人所有，供应商具有本项目服务内容内的数据使用权，未经采购人授权不得用于非本项目的其他用途。</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p>
    <w:p>
      <w:pPr>
        <w:pageBreakBefore w:val="0"/>
        <w:kinsoku/>
        <w:wordWrap/>
        <w:overflowPunct/>
        <w:topLinePunct w:val="0"/>
        <w:autoSpaceDE/>
        <w:autoSpaceDN/>
        <w:bidi w:val="0"/>
        <w:adjustRightInd/>
        <w:spacing w:line="360" w:lineRule="auto"/>
        <w:textAlignment w:val="auto"/>
        <w:outlineLvl w:val="1"/>
        <w:rPr>
          <w:rFonts w:hint="eastAsia" w:ascii="宋体" w:hAnsi="宋体" w:eastAsia="宋体" w:cs="宋体"/>
          <w:b/>
          <w:bCs/>
          <w:color w:val="auto"/>
          <w:sz w:val="24"/>
          <w:szCs w:val="24"/>
          <w:highlight w:val="none"/>
        </w:rPr>
      </w:pPr>
      <w:bookmarkStart w:id="34" w:name="_Toc75692956"/>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、商务要求</w:t>
      </w:r>
      <w:bookmarkEnd w:id="34"/>
    </w:p>
    <w:p>
      <w:pPr>
        <w:pageBreakBefore w:val="0"/>
        <w:kinsoku/>
        <w:wordWrap/>
        <w:overflowPunct/>
        <w:topLinePunct w:val="0"/>
        <w:autoSpaceDE/>
        <w:autoSpaceDN/>
        <w:bidi w:val="0"/>
        <w:adjustRightInd/>
        <w:spacing w:line="360" w:lineRule="auto"/>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（一）项目范围</w:t>
      </w:r>
    </w:p>
    <w:p>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服务范围：杭州市市区（不含萧山区、余杭区、临平区、钱塘区、富阳区、临安区）</w:t>
      </w:r>
    </w:p>
    <w:p>
      <w:pPr>
        <w:pStyle w:val="2"/>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（二）投标人相关资质要求</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1.投标人具备以下类别软件著作权：</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（1）出租汽车定位监控调度系统类软件</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（2）出租汽车动态监管类软件</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（3）出租汽车综合业务查询与报表统计类软件</w:t>
      </w:r>
    </w:p>
    <w:p>
      <w:pPr>
        <w:pStyle w:val="2"/>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2.具有ISO9001质量管理体系、ISO27001 信息安全管理体系（ISMS）、</w:t>
      </w:r>
      <w:r>
        <w:rPr>
          <w:rFonts w:hint="eastAsia" w:ascii="宋体" w:hAnsi="宋体" w:eastAsia="宋体" w:cs="宋体"/>
          <w:color w:val="auto"/>
          <w:sz w:val="24"/>
          <w:szCs w:val="24"/>
          <w:highlight w:val="none"/>
        </w:rPr>
        <w:t>ISO20000 信息技术服务管理体系证书。</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shd w:val="clear" w:color="auto" w:fill="FFFFFF"/>
        </w:rPr>
        <w:t>投标人</w:t>
      </w:r>
      <w:r>
        <w:rPr>
          <w:rFonts w:hint="eastAsia" w:ascii="宋体" w:hAnsi="宋体" w:eastAsia="宋体" w:cs="宋体"/>
          <w:color w:val="auto"/>
          <w:sz w:val="24"/>
          <w:szCs w:val="24"/>
          <w:highlight w:val="none"/>
          <w:shd w:val="clear" w:color="auto" w:fill="FFFFFF"/>
          <w:lang w:val="en-US" w:eastAsia="zh-CN"/>
        </w:rPr>
        <w:t>在服务区域具有</w:t>
      </w:r>
      <w:r>
        <w:rPr>
          <w:rFonts w:hint="eastAsia" w:ascii="宋体" w:hAnsi="宋体" w:eastAsia="宋体" w:cs="宋体"/>
          <w:color w:val="auto"/>
          <w:sz w:val="24"/>
          <w:szCs w:val="24"/>
          <w:highlight w:val="none"/>
          <w:shd w:val="clear" w:color="auto" w:fill="FFFFFF"/>
        </w:rPr>
        <w:t>运营场地（或承诺合同签订后10日内新设运营场地），交通便利，场地面积及功能区域划分与本项目相符，不少于100平米</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p>
    <w:p>
      <w:pPr>
        <w:pageBreakBefore w:val="0"/>
        <w:kinsoku/>
        <w:wordWrap/>
        <w:overflowPunct/>
        <w:topLinePunct w:val="0"/>
        <w:autoSpaceDE/>
        <w:autoSpaceDN/>
        <w:bidi w:val="0"/>
        <w:adjustRightInd/>
        <w:spacing w:line="360" w:lineRule="auto"/>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（三）项目售后服务要求</w:t>
      </w:r>
    </w:p>
    <w:p>
      <w:pPr>
        <w:pageBreakBefore w:val="0"/>
        <w:numPr>
          <w:ilvl w:val="0"/>
          <w:numId w:val="5"/>
        </w:numPr>
        <w:kinsoku/>
        <w:wordWrap/>
        <w:overflowPunct/>
        <w:topLinePunct w:val="0"/>
        <w:autoSpaceDE/>
        <w:autoSpaceDN/>
        <w:bidi w:val="0"/>
        <w:adjustRightInd/>
        <w:spacing w:line="360" w:lineRule="auto"/>
        <w:ind w:left="5" w:firstLine="41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在售后服务期，应采购单位要求，与项目实施单位做好交接工作。</w:t>
      </w:r>
    </w:p>
    <w:p>
      <w:pPr>
        <w:pageBreakBefore w:val="0"/>
        <w:numPr>
          <w:ilvl w:val="0"/>
          <w:numId w:val="5"/>
        </w:numPr>
        <w:kinsoku/>
        <w:wordWrap/>
        <w:overflowPunct/>
        <w:topLinePunct w:val="0"/>
        <w:autoSpaceDE/>
        <w:autoSpaceDN/>
        <w:bidi w:val="0"/>
        <w:adjustRightInd/>
        <w:spacing w:line="360" w:lineRule="auto"/>
        <w:ind w:left="5" w:firstLine="41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投标人在投标文件中应提供详细的售后服务承诺书；</w:t>
      </w:r>
    </w:p>
    <w:p>
      <w:pPr>
        <w:pageBreakBefore w:val="0"/>
        <w:numPr>
          <w:ilvl w:val="0"/>
          <w:numId w:val="5"/>
        </w:numPr>
        <w:kinsoku/>
        <w:wordWrap/>
        <w:overflowPunct/>
        <w:topLinePunct w:val="0"/>
        <w:autoSpaceDE/>
        <w:autoSpaceDN/>
        <w:bidi w:val="0"/>
        <w:adjustRightInd/>
        <w:spacing w:line="360" w:lineRule="auto"/>
        <w:ind w:left="5" w:firstLine="41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安排专人负责售后支持，并提供其联系手机、电话、传真、Email；如人员需要调整应及时通知采购人；</w:t>
      </w:r>
    </w:p>
    <w:p>
      <w:pPr>
        <w:pageBreakBefore w:val="0"/>
        <w:numPr>
          <w:ilvl w:val="0"/>
          <w:numId w:val="5"/>
        </w:numPr>
        <w:kinsoku/>
        <w:wordWrap/>
        <w:overflowPunct/>
        <w:topLinePunct w:val="0"/>
        <w:autoSpaceDE/>
        <w:autoSpaceDN/>
        <w:bidi w:val="0"/>
        <w:adjustRightInd/>
        <w:spacing w:line="360" w:lineRule="auto"/>
        <w:ind w:left="5" w:firstLine="41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本项目合同期限届满之日起次日即进入售后服务期，由中标单位提供2个月的支持。</w:t>
      </w:r>
    </w:p>
    <w:p>
      <w:pPr>
        <w:pageBreakBefore w:val="0"/>
        <w:kinsoku/>
        <w:wordWrap/>
        <w:overflowPunct/>
        <w:topLinePunct w:val="0"/>
        <w:autoSpaceDE/>
        <w:autoSpaceDN/>
        <w:bidi w:val="0"/>
        <w:adjustRightInd/>
        <w:spacing w:line="360" w:lineRule="auto"/>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（四）项目管理及进度要求</w:t>
      </w:r>
    </w:p>
    <w:p>
      <w:pPr>
        <w:pageBreakBefore w:val="0"/>
        <w:kinsoku/>
        <w:wordWrap/>
        <w:overflowPunct/>
        <w:topLinePunct w:val="0"/>
        <w:autoSpaceDE/>
        <w:autoSpaceDN/>
        <w:bidi w:val="0"/>
        <w:adjustRightInd/>
        <w:spacing w:line="360" w:lineRule="auto"/>
        <w:ind w:firstLine="482" w:firstLineChars="200"/>
        <w:textAlignment w:val="auto"/>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1.组织实施要求</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为确保本次项目投标工作管理规范、实施有力，投标方应成立项目组，按采购人要求完成服务工作。</w:t>
      </w:r>
    </w:p>
    <w:p>
      <w:pPr>
        <w:pageBreakBefore w:val="0"/>
        <w:kinsoku/>
        <w:wordWrap/>
        <w:overflowPunct/>
        <w:topLinePunct w:val="0"/>
        <w:autoSpaceDE/>
        <w:autoSpaceDN/>
        <w:bidi w:val="0"/>
        <w:adjustRightInd/>
        <w:spacing w:line="360" w:lineRule="auto"/>
        <w:ind w:firstLine="482" w:firstLineChars="200"/>
        <w:textAlignment w:val="auto"/>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2.项目其他要求</w:t>
      </w:r>
    </w:p>
    <w:p>
      <w:pPr>
        <w:pageBreakBefore w:val="0"/>
        <w:numPr>
          <w:ilvl w:val="0"/>
          <w:numId w:val="6"/>
        </w:numPr>
        <w:kinsoku/>
        <w:wordWrap/>
        <w:overflowPunct/>
        <w:topLinePunct w:val="0"/>
        <w:autoSpaceDE/>
        <w:autoSpaceDN/>
        <w:bidi w:val="0"/>
        <w:adjustRightInd/>
        <w:spacing w:line="360" w:lineRule="auto"/>
        <w:ind w:left="5" w:firstLine="41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投标方应确保投标文件中的信息真实、有效。</w:t>
      </w:r>
    </w:p>
    <w:p>
      <w:pPr>
        <w:pageBreakBefore w:val="0"/>
        <w:numPr>
          <w:ilvl w:val="0"/>
          <w:numId w:val="6"/>
        </w:numPr>
        <w:kinsoku/>
        <w:wordWrap/>
        <w:overflowPunct/>
        <w:topLinePunct w:val="0"/>
        <w:autoSpaceDE/>
        <w:autoSpaceDN/>
        <w:bidi w:val="0"/>
        <w:adjustRightInd/>
        <w:spacing w:line="360" w:lineRule="auto"/>
        <w:ind w:left="5" w:firstLine="41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本次规划所需的一切相关资料及评价标准等均需由投标人自行收集，投标人使用的标准必须是国际公认或国家、地方政府颁布的同等或更高的标准。</w:t>
      </w:r>
    </w:p>
    <w:p>
      <w:pPr>
        <w:pageBreakBefore w:val="0"/>
        <w:numPr>
          <w:ilvl w:val="0"/>
          <w:numId w:val="6"/>
        </w:numPr>
        <w:tabs>
          <w:tab w:val="left" w:pos="1440"/>
        </w:tabs>
        <w:kinsoku/>
        <w:wordWrap/>
        <w:overflowPunct/>
        <w:topLinePunct w:val="0"/>
        <w:autoSpaceDE/>
        <w:autoSpaceDN/>
        <w:bidi w:val="0"/>
        <w:adjustRightInd/>
        <w:spacing w:line="360" w:lineRule="auto"/>
        <w:ind w:left="5" w:firstLine="41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采购单位有权根据实际需要对评价成果进行综合优化、调整和修改。</w:t>
      </w:r>
    </w:p>
    <w:p>
      <w:pPr>
        <w:pageBreakBefore w:val="0"/>
        <w:numPr>
          <w:ilvl w:val="0"/>
          <w:numId w:val="6"/>
        </w:numPr>
        <w:tabs>
          <w:tab w:val="left" w:pos="1440"/>
        </w:tabs>
        <w:kinsoku/>
        <w:wordWrap/>
        <w:overflowPunct/>
        <w:topLinePunct w:val="0"/>
        <w:autoSpaceDE/>
        <w:autoSpaceDN/>
        <w:bidi w:val="0"/>
        <w:adjustRightInd/>
        <w:spacing w:line="360" w:lineRule="auto"/>
        <w:ind w:left="5" w:firstLine="41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本服务项目所包括的服务内容内，中标人不得向出租车公司或市民收取任何费用。</w:t>
      </w:r>
    </w:p>
    <w:p>
      <w:pPr>
        <w:pageBreakBefore w:val="0"/>
        <w:numPr>
          <w:ilvl w:val="0"/>
          <w:numId w:val="6"/>
        </w:numPr>
        <w:tabs>
          <w:tab w:val="left" w:pos="1440"/>
        </w:tabs>
        <w:kinsoku/>
        <w:wordWrap/>
        <w:overflowPunct/>
        <w:topLinePunct w:val="0"/>
        <w:autoSpaceDE/>
        <w:autoSpaceDN/>
        <w:bidi w:val="0"/>
        <w:adjustRightInd/>
        <w:spacing w:line="360" w:lineRule="auto"/>
        <w:ind w:left="5" w:firstLine="41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按照项目要求做好工作台账，及时[下一周期初（5个工作日内）]向管理部门提供项目成果清单内的各项分析报告、报表等。</w:t>
      </w:r>
    </w:p>
    <w:p>
      <w:pPr>
        <w:pageBreakBefore w:val="0"/>
        <w:kinsoku/>
        <w:wordWrap/>
        <w:overflowPunct/>
        <w:topLinePunct w:val="0"/>
        <w:autoSpaceDE/>
        <w:autoSpaceDN/>
        <w:bidi w:val="0"/>
        <w:adjustRightInd/>
        <w:spacing w:line="360" w:lineRule="auto"/>
        <w:ind w:firstLine="482" w:firstLineChars="200"/>
        <w:textAlignment w:val="auto"/>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3.项目</w:t>
      </w:r>
      <w:r>
        <w:rPr>
          <w:rFonts w:hint="eastAsia" w:ascii="宋体" w:hAnsi="宋体" w:eastAsia="宋体" w:cs="宋体"/>
          <w:b/>
          <w:bCs/>
          <w:color w:val="auto"/>
          <w:sz w:val="24"/>
          <w:szCs w:val="24"/>
          <w:highlight w:val="none"/>
        </w:rPr>
        <w:t>过渡</w:t>
      </w:r>
      <w:r>
        <w:rPr>
          <w:rFonts w:hint="eastAsia" w:ascii="宋体" w:hAnsi="宋体" w:eastAsia="宋体" w:cs="宋体"/>
          <w:b/>
          <w:color w:val="auto"/>
          <w:sz w:val="24"/>
          <w:szCs w:val="24"/>
          <w:highlight w:val="none"/>
        </w:rPr>
        <w:t>要求</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需在合同签订后两个月内完成与原公司的交接工作，确保平台正常运行，并支付前公司自合同签订之日至交接完成止，该时间段内的相关费用（包含在投标报价内）。如未做好工作衔接，采购人有权终止合同并拒绝支付本项目款项。</w:t>
      </w:r>
    </w:p>
    <w:p>
      <w:pPr>
        <w:pageBreakBefore w:val="0"/>
        <w:kinsoku/>
        <w:wordWrap/>
        <w:overflowPunct/>
        <w:topLinePunct w:val="0"/>
        <w:autoSpaceDE/>
        <w:autoSpaceDN/>
        <w:bidi w:val="0"/>
        <w:adjustRightInd/>
        <w:spacing w:line="360" w:lineRule="auto"/>
        <w:ind w:firstLine="482" w:firstLineChars="200"/>
        <w:textAlignment w:val="auto"/>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4.中标方的责任和义务</w:t>
      </w:r>
    </w:p>
    <w:p>
      <w:pPr>
        <w:pageBreakBefore w:val="0"/>
        <w:numPr>
          <w:ilvl w:val="0"/>
          <w:numId w:val="7"/>
        </w:numPr>
        <w:tabs>
          <w:tab w:val="left" w:pos="0"/>
          <w:tab w:val="clear" w:pos="420"/>
        </w:tabs>
        <w:kinsoku/>
        <w:wordWrap/>
        <w:overflowPunct/>
        <w:topLinePunct w:val="0"/>
        <w:autoSpaceDE/>
        <w:autoSpaceDN/>
        <w:bidi w:val="0"/>
        <w:adjustRightInd/>
        <w:spacing w:line="360" w:lineRule="auto"/>
        <w:ind w:left="5" w:firstLine="415"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负责提供行业数据监测与分析服务（含出租汽车行业运行分析服务、行业营运情况监测服务、行业运力需求及规模监测服务、场站枢纽</w:t>
      </w:r>
      <w:r>
        <w:rPr>
          <w:rFonts w:hint="eastAsia" w:ascii="宋体" w:hAnsi="宋体" w:eastAsia="宋体" w:cs="宋体"/>
          <w:color w:val="auto"/>
          <w:sz w:val="24"/>
          <w:szCs w:val="24"/>
          <w:highlight w:val="none"/>
          <w:lang w:eastAsia="zh-CN"/>
        </w:rPr>
        <w:t>以及景区</w:t>
      </w:r>
      <w:r>
        <w:rPr>
          <w:rFonts w:hint="eastAsia" w:ascii="宋体" w:hAnsi="宋体" w:eastAsia="宋体" w:cs="宋体"/>
          <w:color w:val="auto"/>
          <w:sz w:val="24"/>
          <w:szCs w:val="24"/>
          <w:highlight w:val="none"/>
        </w:rPr>
        <w:t>数据监测服务、行业收入水平监测服务、行业运价水平监测服务</w:t>
      </w:r>
      <w:r>
        <w:rPr>
          <w:rFonts w:hint="eastAsia" w:ascii="宋体" w:hAnsi="宋体" w:eastAsia="宋体" w:cs="宋体"/>
          <w:color w:val="auto"/>
          <w:sz w:val="24"/>
          <w:szCs w:val="24"/>
          <w:highlight w:val="none"/>
          <w:lang w:eastAsia="zh-CN"/>
        </w:rPr>
        <w:t>、出租汽车运行数据对接服务</w:t>
      </w:r>
      <w:r>
        <w:rPr>
          <w:rFonts w:hint="eastAsia" w:ascii="宋体" w:hAnsi="宋体" w:eastAsia="宋体" w:cs="宋体"/>
          <w:color w:val="auto"/>
          <w:sz w:val="24"/>
          <w:szCs w:val="24"/>
          <w:highlight w:val="none"/>
        </w:rPr>
        <w:t>）、管理保障服务（含行业维稳保障服务、城市文明创建保障服务、应急处置保障、</w:t>
      </w:r>
      <w:r>
        <w:rPr>
          <w:rFonts w:hint="eastAsia" w:ascii="宋体" w:hAnsi="宋体" w:eastAsia="宋体" w:cs="宋体"/>
          <w:color w:val="auto"/>
          <w:sz w:val="24"/>
          <w:szCs w:val="24"/>
          <w:highlight w:val="none"/>
          <w:lang w:eastAsia="zh-CN"/>
        </w:rPr>
        <w:t>公共卫生事件防控保障、</w:t>
      </w:r>
      <w:r>
        <w:rPr>
          <w:rFonts w:hint="eastAsia" w:ascii="宋体" w:hAnsi="宋体" w:eastAsia="宋体" w:cs="宋体"/>
          <w:color w:val="auto"/>
          <w:sz w:val="24"/>
          <w:szCs w:val="24"/>
          <w:highlight w:val="none"/>
        </w:rPr>
        <w:t>重大活动保</w:t>
      </w:r>
      <w:r>
        <w:rPr>
          <w:rFonts w:hint="eastAsia" w:ascii="宋体" w:hAnsi="宋体" w:eastAsia="宋体" w:cs="宋体"/>
          <w:color w:val="auto"/>
          <w:sz w:val="24"/>
          <w:szCs w:val="24"/>
          <w:highlight w:val="none"/>
          <w:lang w:eastAsia="zh-CN"/>
        </w:rPr>
        <w:t>障</w:t>
      </w:r>
      <w:r>
        <w:rPr>
          <w:rFonts w:hint="eastAsia" w:ascii="宋体" w:hAnsi="宋体" w:eastAsia="宋体" w:cs="宋体"/>
          <w:color w:val="auto"/>
          <w:sz w:val="24"/>
          <w:szCs w:val="24"/>
          <w:highlight w:val="none"/>
        </w:rPr>
        <w:t>）、执法保障服务（含营运违章情况监测服务、执法辅助支持服务</w:t>
      </w:r>
      <w:r>
        <w:rPr>
          <w:rFonts w:hint="eastAsia" w:ascii="宋体" w:hAnsi="宋体" w:eastAsia="宋体" w:cs="宋体"/>
          <w:color w:val="auto"/>
          <w:sz w:val="24"/>
          <w:szCs w:val="24"/>
          <w:highlight w:val="none"/>
          <w:lang w:eastAsia="zh-CN"/>
        </w:rPr>
        <w:t>、行业服务质量数据保障服务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、巡网融合技术支持服务（含巡网融合数据推送服务、巡网融合数据分析服务、巡网融合业务热线服务）</w:t>
      </w:r>
      <w:r>
        <w:rPr>
          <w:rFonts w:hint="eastAsia" w:ascii="宋体" w:hAnsi="宋体" w:eastAsia="宋体" w:cs="宋体"/>
          <w:color w:val="auto"/>
          <w:sz w:val="24"/>
          <w:szCs w:val="24"/>
          <w:highlight w:val="none"/>
        </w:rPr>
        <w:t>等</w:t>
      </w:r>
      <w:r>
        <w:rPr>
          <w:rFonts w:hint="eastAsia" w:ascii="宋体" w:hAnsi="宋体" w:eastAsia="宋体" w:cs="宋体"/>
          <w:color w:val="auto"/>
          <w:sz w:val="24"/>
          <w:szCs w:val="24"/>
          <w:highlight w:val="none"/>
          <w:lang w:val="en-US" w:eastAsia="zh-CN"/>
        </w:rPr>
        <w:t>内容。</w:t>
      </w:r>
    </w:p>
    <w:p>
      <w:pPr>
        <w:pageBreakBefore w:val="0"/>
        <w:numPr>
          <w:ilvl w:val="0"/>
          <w:numId w:val="7"/>
        </w:numPr>
        <w:tabs>
          <w:tab w:val="left" w:pos="0"/>
          <w:tab w:val="clear" w:pos="420"/>
        </w:tabs>
        <w:kinsoku/>
        <w:wordWrap/>
        <w:overflowPunct/>
        <w:topLinePunct w:val="0"/>
        <w:autoSpaceDE/>
        <w:autoSpaceDN/>
        <w:bidi w:val="0"/>
        <w:adjustRightInd/>
        <w:spacing w:line="360" w:lineRule="auto"/>
        <w:ind w:left="5" w:firstLine="41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val="en-US" w:eastAsia="zh-CN"/>
        </w:rPr>
        <w:t>落实测试软件工具等</w:t>
      </w:r>
      <w:r>
        <w:rPr>
          <w:rFonts w:hint="eastAsia" w:ascii="宋体" w:hAnsi="宋体" w:eastAsia="宋体" w:cs="宋体"/>
          <w:color w:val="auto"/>
          <w:sz w:val="24"/>
          <w:szCs w:val="24"/>
          <w:highlight w:val="none"/>
        </w:rPr>
        <w:t>，以满足本项目所规定服务的功能、性能、质量等需求。</w:t>
      </w:r>
    </w:p>
    <w:p>
      <w:pPr>
        <w:pageBreakBefore w:val="0"/>
        <w:numPr>
          <w:ilvl w:val="0"/>
          <w:numId w:val="7"/>
        </w:numPr>
        <w:tabs>
          <w:tab w:val="left" w:pos="0"/>
          <w:tab w:val="clear" w:pos="420"/>
        </w:tabs>
        <w:kinsoku/>
        <w:wordWrap/>
        <w:overflowPunct/>
        <w:topLinePunct w:val="0"/>
        <w:autoSpaceDE/>
        <w:autoSpaceDN/>
        <w:bidi w:val="0"/>
        <w:adjustRightInd/>
        <w:spacing w:line="360" w:lineRule="auto"/>
        <w:ind w:left="5" w:firstLine="41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负责光纤通信和电话的通信链路保障。</w:t>
      </w:r>
    </w:p>
    <w:p>
      <w:pPr>
        <w:pageBreakBefore w:val="0"/>
        <w:numPr>
          <w:ilvl w:val="0"/>
          <w:numId w:val="7"/>
        </w:numPr>
        <w:tabs>
          <w:tab w:val="left" w:pos="0"/>
          <w:tab w:val="clear" w:pos="420"/>
        </w:tabs>
        <w:kinsoku/>
        <w:wordWrap/>
        <w:overflowPunct/>
        <w:topLinePunct w:val="0"/>
        <w:autoSpaceDE/>
        <w:autoSpaceDN/>
        <w:bidi w:val="0"/>
        <w:adjustRightInd/>
        <w:spacing w:line="360" w:lineRule="auto"/>
        <w:ind w:left="5" w:firstLine="41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提供的服务需要满足情况监测科学规范、管理保障服务周到、数据管理安全保密等要求。</w:t>
      </w:r>
    </w:p>
    <w:p>
      <w:pPr>
        <w:pageBreakBefore w:val="0"/>
        <w:numPr>
          <w:ilvl w:val="0"/>
          <w:numId w:val="7"/>
        </w:numPr>
        <w:tabs>
          <w:tab w:val="left" w:pos="0"/>
          <w:tab w:val="clear" w:pos="420"/>
        </w:tabs>
        <w:kinsoku/>
        <w:wordWrap/>
        <w:overflowPunct/>
        <w:topLinePunct w:val="0"/>
        <w:autoSpaceDE/>
        <w:autoSpaceDN/>
        <w:bidi w:val="0"/>
        <w:adjustRightInd/>
        <w:spacing w:line="360" w:lineRule="auto"/>
        <w:ind w:left="5" w:firstLine="41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成立专门的项目小组，配备满足项目要求的人员，负责采购人的一切合作事务，确保该项目按照合同要求执行。</w:t>
      </w:r>
    </w:p>
    <w:p>
      <w:pPr>
        <w:pageBreakBefore w:val="0"/>
        <w:numPr>
          <w:ilvl w:val="0"/>
          <w:numId w:val="7"/>
        </w:numPr>
        <w:tabs>
          <w:tab w:val="left" w:pos="0"/>
          <w:tab w:val="clear" w:pos="420"/>
        </w:tabs>
        <w:kinsoku/>
        <w:wordWrap/>
        <w:overflowPunct/>
        <w:topLinePunct w:val="0"/>
        <w:autoSpaceDE/>
        <w:autoSpaceDN/>
        <w:bidi w:val="0"/>
        <w:adjustRightInd/>
        <w:spacing w:line="360" w:lineRule="auto"/>
        <w:ind w:left="5" w:firstLine="41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负责提供项目服务所需的办公场地、耗材、工作服等。</w:t>
      </w:r>
    </w:p>
    <w:p>
      <w:pPr>
        <w:pageBreakBefore w:val="0"/>
        <w:kinsoku/>
        <w:wordWrap/>
        <w:overflowPunct/>
        <w:topLinePunct w:val="0"/>
        <w:autoSpaceDE/>
        <w:autoSpaceDN/>
        <w:bidi w:val="0"/>
        <w:adjustRightInd/>
        <w:spacing w:line="360" w:lineRule="auto"/>
        <w:ind w:firstLine="482" w:firstLineChars="200"/>
        <w:textAlignment w:val="auto"/>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5.保密要求</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单位签订保密承诺书，中标单位必须与其员工均对本项目所签协议及补充协议、附件等所有内容承担无限期保密义务，直至上述内容被双方共同宣布解密或者秘密信息实际上已经公开。中标单位必须与其员工均对对本项目涉及到的所有数据承担无限期保密义务，未经采购人授权不得私自对外传播、公开及用于非本项目的其他用途。</w:t>
      </w:r>
    </w:p>
    <w:p>
      <w:pPr>
        <w:pageBreakBefore w:val="0"/>
        <w:kinsoku/>
        <w:wordWrap/>
        <w:overflowPunct/>
        <w:topLinePunct w:val="0"/>
        <w:autoSpaceDE/>
        <w:autoSpaceDN/>
        <w:bidi w:val="0"/>
        <w:adjustRightInd/>
        <w:spacing w:line="360" w:lineRule="auto"/>
        <w:jc w:val="left"/>
        <w:textAlignment w:val="auto"/>
        <w:outlineLvl w:val="1"/>
        <w:rPr>
          <w:rFonts w:hint="eastAsia" w:ascii="宋体" w:hAnsi="宋体" w:eastAsia="宋体" w:cs="宋体"/>
          <w:b/>
          <w:bCs/>
          <w:color w:val="auto"/>
          <w:sz w:val="24"/>
          <w:szCs w:val="24"/>
          <w:highlight w:val="none"/>
        </w:rPr>
      </w:pPr>
      <w:bookmarkStart w:id="35" w:name="_Toc30351"/>
      <w:bookmarkStart w:id="36" w:name="_Toc4716"/>
    </w:p>
    <w:p>
      <w:pPr>
        <w:pageBreakBefore w:val="0"/>
        <w:kinsoku/>
        <w:wordWrap/>
        <w:overflowPunct/>
        <w:topLinePunct w:val="0"/>
        <w:autoSpaceDE/>
        <w:autoSpaceDN/>
        <w:bidi w:val="0"/>
        <w:adjustRightInd/>
        <w:spacing w:line="360" w:lineRule="auto"/>
        <w:jc w:val="left"/>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、履约验收标准</w:t>
      </w:r>
      <w:bookmarkEnd w:id="35"/>
      <w:bookmarkEnd w:id="36"/>
    </w:p>
    <w:p>
      <w:pPr>
        <w:pStyle w:val="976"/>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验收组织和程序</w:t>
      </w:r>
    </w:p>
    <w:p>
      <w:pPr>
        <w:pStyle w:val="976"/>
        <w:pageBreakBefore w:val="0"/>
        <w:numPr>
          <w:ilvl w:val="0"/>
          <w:numId w:val="8"/>
        </w:numPr>
        <w:kinsoku/>
        <w:wordWrap/>
        <w:overflowPunct/>
        <w:topLinePunct w:val="0"/>
        <w:autoSpaceDE/>
        <w:autoSpaceDN/>
        <w:bidi w:val="0"/>
        <w:adjustRightInd/>
        <w:spacing w:line="360" w:lineRule="auto"/>
        <w:ind w:left="5" w:firstLine="41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中华人民共和国民法典》、《中华人民共和国政府采购法实施条例》、财政部《财政部关于进一步加强政府采购需求和履约验收管理的指导意见》（财库[2016]205号）、杭州市财政局《杭州市政府采购履约验收暂行办法》（杭财采监[2019]10号）等相关法律、法规、规范性文件要求组织验收。</w:t>
      </w:r>
    </w:p>
    <w:p>
      <w:pPr>
        <w:pStyle w:val="976"/>
        <w:pageBreakBefore w:val="0"/>
        <w:numPr>
          <w:ilvl w:val="0"/>
          <w:numId w:val="8"/>
        </w:numPr>
        <w:kinsoku/>
        <w:wordWrap/>
        <w:overflowPunct/>
        <w:topLinePunct w:val="0"/>
        <w:autoSpaceDE/>
        <w:autoSpaceDN/>
        <w:bidi w:val="0"/>
        <w:adjustRightInd/>
        <w:spacing w:line="360" w:lineRule="auto"/>
        <w:ind w:left="5" w:firstLine="41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验收方法：验收小组验收，一般流程</w:t>
      </w:r>
      <w:r>
        <w:rPr>
          <w:rFonts w:hint="eastAsia" w:ascii="宋体" w:hAnsi="宋体" w:eastAsia="宋体" w:cs="宋体"/>
          <w:color w:val="auto"/>
          <w:sz w:val="24"/>
          <w:szCs w:val="24"/>
          <w:highlight w:val="none"/>
          <w:lang w:val="en-US" w:eastAsia="zh-CN"/>
        </w:rPr>
        <w:t>分期</w:t>
      </w:r>
      <w:r>
        <w:rPr>
          <w:rFonts w:hint="eastAsia" w:ascii="宋体" w:hAnsi="宋体" w:eastAsia="宋体" w:cs="宋体"/>
          <w:color w:val="auto"/>
          <w:sz w:val="24"/>
          <w:szCs w:val="24"/>
          <w:highlight w:val="none"/>
        </w:rPr>
        <w:t>验收。</w:t>
      </w:r>
    </w:p>
    <w:p>
      <w:pPr>
        <w:pStyle w:val="976"/>
        <w:pageBreakBefore w:val="0"/>
        <w:numPr>
          <w:ilvl w:val="0"/>
          <w:numId w:val="8"/>
        </w:numPr>
        <w:kinsoku/>
        <w:wordWrap/>
        <w:overflowPunct/>
        <w:topLinePunct w:val="0"/>
        <w:autoSpaceDE/>
        <w:autoSpaceDN/>
        <w:bidi w:val="0"/>
        <w:adjustRightInd/>
        <w:spacing w:line="360" w:lineRule="auto"/>
        <w:ind w:left="5" w:firstLine="41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小组组建方式：项目验收负责人组织验收小组，验收小组由相关专家和用户代表按相关规定组成。验收小组负责实施具体的验收活动。采购人可以邀请其他单位的相关专业人员参加验收小组。验收小组推选一名组长，主持验收小组的工作。</w:t>
      </w:r>
    </w:p>
    <w:p>
      <w:pPr>
        <w:pStyle w:val="976"/>
        <w:pageBreakBefore w:val="0"/>
        <w:numPr>
          <w:ilvl w:val="0"/>
          <w:numId w:val="8"/>
        </w:numPr>
        <w:kinsoku/>
        <w:wordWrap/>
        <w:overflowPunct/>
        <w:topLinePunct w:val="0"/>
        <w:autoSpaceDE/>
        <w:autoSpaceDN/>
        <w:bidi w:val="0"/>
        <w:adjustRightInd/>
        <w:spacing w:line="360" w:lineRule="auto"/>
        <w:ind w:left="5" w:firstLine="41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验收流程：</w:t>
      </w:r>
    </w:p>
    <w:p>
      <w:pPr>
        <w:pStyle w:val="976"/>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rPr>
        <w:t>项目验收负责人根据验收方案组织验收小组现场验收，并准备验收材料并通知各验收参与方在指定时间指定地点联合验收，包括采购人、供应商、验收小组、其他验收参与方等。</w:t>
      </w:r>
    </w:p>
    <w:p>
      <w:pPr>
        <w:pStyle w:val="976"/>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w:t>
      </w:r>
      <w:r>
        <w:rPr>
          <w:rFonts w:hint="eastAsia" w:ascii="宋体" w:hAnsi="宋体" w:eastAsia="宋体" w:cs="宋体"/>
          <w:color w:val="auto"/>
          <w:sz w:val="24"/>
          <w:szCs w:val="24"/>
          <w:highlight w:val="none"/>
        </w:rPr>
        <w:t>验收小组应当按照验收方案独立开展验收，对供应商提供的服务按照采购文件、投标文件、政府采购合同进行核对、验收，并做好验收记录。在验收过程中，验收小组成员不得擅自公开验收信息。验收小组可以对验收方案进行必要的修改。验收小组对验收方案作出实质性修改的，应当报经采购人同意。</w:t>
      </w:r>
    </w:p>
    <w:p>
      <w:pPr>
        <w:pStyle w:val="976"/>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4.3</w:t>
      </w:r>
      <w:r>
        <w:rPr>
          <w:rFonts w:hint="eastAsia" w:ascii="宋体" w:hAnsi="宋体" w:eastAsia="宋体" w:cs="宋体"/>
          <w:color w:val="auto"/>
          <w:sz w:val="24"/>
          <w:szCs w:val="24"/>
          <w:highlight w:val="none"/>
        </w:rPr>
        <w:t>供应商配合验收工作，并就验收实施过程中的疑问进行解答和澄清。项目验收过程中，供应商不认可验收意见的，按照合同的约定的方式解决，合同未作约定的，按照《中华人民共和国民法典》等相关规定处理。</w:t>
      </w:r>
    </w:p>
    <w:p>
      <w:pPr>
        <w:pStyle w:val="976"/>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w:t>
      </w:r>
      <w:r>
        <w:rPr>
          <w:rFonts w:hint="eastAsia" w:ascii="宋体" w:hAnsi="宋体" w:eastAsia="宋体" w:cs="宋体"/>
          <w:color w:val="auto"/>
          <w:sz w:val="24"/>
          <w:szCs w:val="24"/>
          <w:highlight w:val="none"/>
        </w:rPr>
        <w:t>出具验收报告。验收结束后，验收小组应当出具验收报告，报告采购人。验收报告应当根据验收方案制作，以书面形式作出结论性意见，并经验收小组全体成员签字。验收小组成员对验收报告载明的结论有异议的，应当在验收报告上签署不同意并说明理由，否则视为同意验收结论。</w:t>
      </w:r>
    </w:p>
    <w:p>
      <w:pPr>
        <w:pStyle w:val="976"/>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验收不合格的，采购人应责令供应商采取补救措施，向供应商发出整改通知书，并依法及时处理。整改结束后，由供应商通知采购人或其委托的验收组织机构重新验收。</w:t>
      </w:r>
    </w:p>
    <w:p>
      <w:pPr>
        <w:pStyle w:val="2"/>
        <w:pageBreakBefore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履约验收内容</w:t>
      </w:r>
    </w:p>
    <w:p>
      <w:pPr>
        <w:pStyle w:val="2"/>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年度考核</w:t>
      </w:r>
      <w:r>
        <w:rPr>
          <w:rFonts w:hint="eastAsia" w:ascii="宋体" w:hAnsi="宋体" w:eastAsia="宋体" w:cs="宋体"/>
          <w:color w:val="auto"/>
          <w:sz w:val="24"/>
          <w:szCs w:val="24"/>
          <w:highlight w:val="none"/>
          <w:lang w:val="en-US" w:eastAsia="zh-CN"/>
        </w:rPr>
        <w:t>（服务质量考核表详见附表）</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考核时间</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年度考核由采购人组织，供应商向采购人提交年度工作总结。采购人于202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月底前组织召开年度考评会，听取供应商服务完成情况总结介绍，对供应商提交资料进行分类、整理与分析，对供应商提供服务情况开展询问、调查、核实后，提出考核意见。</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考核结果及应用</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度考核得分在60分以下的，采购人有权单方终止本合同。90分及以上的，采购人应全额付款给供应商；达不到90分但大于等于80分的，扣除额度不超过合同总额的5%；达不到80分但大于等于70分的，扣除额度不超过合同总额的10%；达不到70分但大于等于60的，扣除额度不超过合同总额的15%。</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对年度考核中反映出的问题及整改建议，供应商应制定切实可行的措施，限期落实整改。</w:t>
      </w:r>
    </w:p>
    <w:p>
      <w:pPr>
        <w:pStyle w:val="977"/>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验收标准</w:t>
      </w:r>
    </w:p>
    <w:p>
      <w:pPr>
        <w:pStyle w:val="2"/>
        <w:pageBreakBefore w:val="0"/>
        <w:numPr>
          <w:ilvl w:val="0"/>
          <w:numId w:val="9"/>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满足所有采购需求及响应文件承诺；</w:t>
      </w:r>
    </w:p>
    <w:p>
      <w:pPr>
        <w:pStyle w:val="2"/>
        <w:pageBreakBefore w:val="0"/>
        <w:numPr>
          <w:ilvl w:val="0"/>
          <w:numId w:val="9"/>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w:t>
      </w:r>
      <w:r>
        <w:rPr>
          <w:rFonts w:hint="eastAsia" w:ascii="宋体" w:hAnsi="宋体" w:eastAsia="宋体" w:cs="宋体"/>
          <w:color w:val="auto"/>
          <w:sz w:val="24"/>
          <w:szCs w:val="24"/>
          <w:highlight w:val="none"/>
          <w:u w:val="none"/>
        </w:rPr>
        <w:t>投服务团队人员全部到位，与响应文件人员信息清单一致（经</w:t>
      </w:r>
      <w:r>
        <w:rPr>
          <w:rFonts w:hint="eastAsia" w:ascii="宋体" w:hAnsi="宋体" w:eastAsia="宋体" w:cs="宋体"/>
          <w:color w:val="auto"/>
          <w:sz w:val="24"/>
          <w:szCs w:val="24"/>
          <w:highlight w:val="none"/>
          <w:u w:val="none"/>
          <w:lang w:val="en-US" w:eastAsia="zh-CN"/>
        </w:rPr>
        <w:t>采购人</w:t>
      </w:r>
      <w:r>
        <w:rPr>
          <w:rFonts w:hint="eastAsia" w:ascii="宋体" w:hAnsi="宋体" w:eastAsia="宋体" w:cs="宋体"/>
          <w:color w:val="auto"/>
          <w:sz w:val="24"/>
          <w:szCs w:val="24"/>
          <w:highlight w:val="none"/>
          <w:u w:val="none"/>
        </w:rPr>
        <w:t>同意更换的除外）；</w:t>
      </w:r>
    </w:p>
    <w:p>
      <w:pPr>
        <w:pStyle w:val="2"/>
        <w:pageBreakBefore w:val="0"/>
        <w:numPr>
          <w:ilvl w:val="0"/>
          <w:numId w:val="9"/>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项目验收资料齐全；</w:t>
      </w:r>
    </w:p>
    <w:p>
      <w:pPr>
        <w:pStyle w:val="2"/>
        <w:pageBreakBefore w:val="0"/>
        <w:numPr>
          <w:ilvl w:val="0"/>
          <w:numId w:val="9"/>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年度考核</w:t>
      </w:r>
      <w:r>
        <w:rPr>
          <w:rFonts w:hint="eastAsia" w:ascii="宋体" w:hAnsi="宋体" w:eastAsia="宋体" w:cs="宋体"/>
          <w:color w:val="auto"/>
          <w:sz w:val="24"/>
          <w:szCs w:val="24"/>
          <w:highlight w:val="none"/>
          <w:lang w:val="en-US" w:eastAsia="zh-CN"/>
        </w:rPr>
        <w:t>合格</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项目成果：（包含但不仅限于）</w:t>
      </w:r>
    </w:p>
    <w:p>
      <w:pPr>
        <w:pStyle w:val="2"/>
        <w:numPr>
          <w:ilvl w:val="0"/>
          <w:numId w:val="10"/>
        </w:num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行业运行分析报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包含</w:t>
      </w:r>
      <w:r>
        <w:rPr>
          <w:rFonts w:hint="eastAsia" w:ascii="宋体" w:hAnsi="宋体" w:eastAsia="宋体" w:cs="宋体"/>
          <w:color w:val="auto"/>
          <w:sz w:val="24"/>
          <w:szCs w:val="24"/>
          <w:highlight w:val="none"/>
          <w:lang w:eastAsia="zh-CN"/>
        </w:rPr>
        <w:t>《杭州市出租汽车行业运行分析月报》，《月度专题分析报告》、《公众出行及行业监管信息服务项目季报》、《季度专题分析报告》、《杭州市出租汽车行业运行分析季报》、《新能源出租汽车车载智能终端运行监测工作汇报》、《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年杭州市出租汽车行业运行分析年报》</w:t>
      </w:r>
      <w:r>
        <w:rPr>
          <w:rFonts w:hint="eastAsia" w:ascii="宋体" w:hAnsi="宋体" w:eastAsia="宋体" w:cs="宋体"/>
          <w:color w:val="auto"/>
          <w:sz w:val="24"/>
          <w:szCs w:val="24"/>
          <w:highlight w:val="none"/>
          <w:lang w:val="en-US" w:eastAsia="zh-CN"/>
        </w:rPr>
        <w:t>等；</w:t>
      </w:r>
    </w:p>
    <w:p>
      <w:pPr>
        <w:pStyle w:val="2"/>
        <w:numPr>
          <w:ilvl w:val="0"/>
          <w:numId w:val="10"/>
        </w:num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日常监测分析服务报表：</w:t>
      </w:r>
      <w:r>
        <w:rPr>
          <w:rFonts w:hint="eastAsia" w:ascii="宋体" w:hAnsi="宋体" w:eastAsia="宋体" w:cs="宋体"/>
          <w:color w:val="auto"/>
          <w:sz w:val="24"/>
          <w:szCs w:val="24"/>
          <w:highlight w:val="none"/>
          <w:lang w:val="en-US" w:eastAsia="zh-CN"/>
        </w:rPr>
        <w:t>包含《月营运数据》，《月均营运数据》，《节假日营运数据》，《网约车行业发展运行情况月度报表》，《网约车行业发展运行情况季度报表》等；</w:t>
      </w:r>
    </w:p>
    <w:p>
      <w:pPr>
        <w:pStyle w:val="2"/>
        <w:numPr>
          <w:ilvl w:val="0"/>
          <w:numId w:val="10"/>
        </w:num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行业维稳保障：出租汽车行业信息排查清单；出租汽车行业人车户数据分析报表、出租汽车行业数据审查台账、违章投诉数据表；</w:t>
      </w:r>
      <w:r>
        <w:rPr>
          <w:rFonts w:hint="eastAsia" w:ascii="宋体" w:hAnsi="宋体" w:eastAsia="宋体" w:cs="宋体"/>
          <w:color w:val="auto"/>
          <w:sz w:val="24"/>
          <w:szCs w:val="24"/>
          <w:highlight w:val="none"/>
          <w:lang w:val="en-US" w:eastAsia="zh-CN"/>
        </w:rPr>
        <w:t>浙大外来车辆超速清单：《巡游-浙江大学外来车辆超速清单》，《网约-浙江大学外来车辆超速清单》等；</w:t>
      </w:r>
    </w:p>
    <w:p>
      <w:pPr>
        <w:pStyle w:val="2"/>
        <w:numPr>
          <w:ilvl w:val="0"/>
          <w:numId w:val="1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巡网融合技术支持服务：巡网融合数据分析报表；巡网融合热线台账等。</w:t>
      </w:r>
    </w:p>
    <w:p>
      <w:pPr>
        <w:pStyle w:val="2"/>
        <w:numPr>
          <w:ilvl w:val="0"/>
          <w:numId w:val="10"/>
        </w:num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其他：《排班及考勤》等；</w:t>
      </w:r>
    </w:p>
    <w:p>
      <w:pPr>
        <w:pStyle w:val="2"/>
        <w:numPr>
          <w:ilvl w:val="0"/>
          <w:numId w:val="1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项目数据（含过程采集数据等）全部刻盘移交。</w:t>
      </w:r>
    </w:p>
    <w:p>
      <w:pPr>
        <w:rPr>
          <w:rFonts w:hint="eastAsia" w:ascii="宋体" w:hAnsi="宋体" w:eastAsia="宋体" w:cs="宋体"/>
          <w:color w:val="auto"/>
          <w:sz w:val="24"/>
          <w:szCs w:val="24"/>
          <w:highlight w:val="none"/>
          <w:lang w:val="en-US" w:eastAsia="zh-CN"/>
        </w:rPr>
      </w:pPr>
    </w:p>
    <w:p>
      <w:pPr>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履约验收其他事项</w:t>
      </w:r>
    </w:p>
    <w:p>
      <w:pPr>
        <w:pStyle w:val="977"/>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采购人在供应商提供相关服务的过程中，有权</w:t>
      </w:r>
      <w:r>
        <w:rPr>
          <w:rFonts w:hint="eastAsia" w:ascii="宋体" w:hAnsi="宋体" w:eastAsia="宋体" w:cs="宋体"/>
          <w:color w:val="auto"/>
          <w:sz w:val="24"/>
          <w:szCs w:val="24"/>
          <w:highlight w:val="none"/>
          <w:lang w:val="en-US" w:eastAsia="zh-CN"/>
        </w:rPr>
        <w:t>采用定期或</w:t>
      </w:r>
      <w:r>
        <w:rPr>
          <w:rFonts w:hint="eastAsia" w:ascii="宋体" w:hAnsi="宋体" w:eastAsia="宋体" w:cs="宋体"/>
          <w:color w:val="auto"/>
          <w:sz w:val="24"/>
          <w:szCs w:val="24"/>
          <w:highlight w:val="none"/>
        </w:rPr>
        <w:t>不定期对服务内容和质量进行考核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考核内容详见《服务质量考核表》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。供应商提供相关服务过程中有违反合同约定、不达约定标准情况的，采购人有权要求供应商限期整改，供应商未按采购人要求整改的，采购人有权拒绝验收，供应商应承担相应的违约责任。</w:t>
      </w:r>
    </w:p>
    <w:p>
      <w:pPr>
        <w:pStyle w:val="977"/>
        <w:pageBreakBefore w:val="0"/>
        <w:widowControl w:val="0"/>
        <w:shd w:val="clear" w:color="auto" w:fill="FFFFFF"/>
        <w:kinsoku/>
        <w:wordWrap/>
        <w:overflowPunct/>
        <w:topLinePunct w:val="0"/>
        <w:bidi w:val="0"/>
        <w:adjustRightInd/>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供应商服务成果未通过采购人验收，采购人有权要求供应商进行整改，相关费用（包括但不限于重新组织验收等费用）由供应商承担；如供应商未在采购人要求期限内整改或整改后仍不合格或已经无法整改的，采购人有权要求供应商承担相应的违约责任。</w:t>
      </w:r>
    </w:p>
    <w:p>
      <w:pPr>
        <w:pageBreakBefore w:val="0"/>
        <w:kinsoku/>
        <w:wordWrap/>
        <w:overflowPunct/>
        <w:topLinePunct w:val="0"/>
        <w:autoSpaceDE/>
        <w:autoSpaceDN/>
        <w:bidi w:val="0"/>
        <w:adjustRightInd/>
        <w:spacing w:line="360" w:lineRule="auto"/>
        <w:textAlignment w:val="auto"/>
        <w:rPr>
          <w:rFonts w:hint="eastAsia" w:ascii="宋体" w:hAnsi="宋体" w:eastAsia="宋体" w:cs="宋体"/>
          <w:b/>
          <w:color w:val="auto"/>
          <w:sz w:val="24"/>
          <w:szCs w:val="24"/>
          <w:highlight w:val="none"/>
          <w:lang w:val="en-US" w:eastAsia="zh-CN"/>
        </w:rPr>
      </w:pPr>
    </w:p>
    <w:p>
      <w:pPr>
        <w:pageBreakBefore w:val="0"/>
        <w:kinsoku/>
        <w:wordWrap/>
        <w:overflowPunct/>
        <w:topLinePunct w:val="0"/>
        <w:autoSpaceDE/>
        <w:autoSpaceDN/>
        <w:bidi w:val="0"/>
        <w:adjustRightIn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、投标文件中需提供</w:t>
      </w:r>
      <w:r>
        <w:rPr>
          <w:rFonts w:hint="eastAsia" w:ascii="宋体" w:hAnsi="宋体" w:eastAsia="宋体" w:cs="宋体"/>
          <w:b/>
          <w:color w:val="auto"/>
          <w:sz w:val="24"/>
          <w:szCs w:val="24"/>
          <w:highlight w:val="none"/>
          <w:lang w:val="en-US" w:eastAsia="zh-CN"/>
        </w:rPr>
        <w:t>包含但不限于</w:t>
      </w:r>
      <w:r>
        <w:rPr>
          <w:rFonts w:hint="eastAsia" w:ascii="宋体" w:hAnsi="宋体" w:eastAsia="宋体" w:cs="宋体"/>
          <w:b/>
          <w:color w:val="auto"/>
          <w:sz w:val="24"/>
          <w:szCs w:val="24"/>
          <w:highlight w:val="none"/>
        </w:rPr>
        <w:t>以下资料</w:t>
      </w:r>
    </w:p>
    <w:p>
      <w:pPr>
        <w:pageBreakBefore w:val="0"/>
        <w:numPr>
          <w:ilvl w:val="0"/>
          <w:numId w:val="11"/>
        </w:numPr>
        <w:kinsoku/>
        <w:wordWrap/>
        <w:overflowPunct/>
        <w:topLinePunct w:val="0"/>
        <w:autoSpaceDE/>
        <w:autoSpaceDN/>
        <w:bidi w:val="0"/>
        <w:adjustRightInd/>
        <w:spacing w:line="360" w:lineRule="auto"/>
        <w:ind w:firstLine="42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技术和服务组织方案</w:t>
      </w:r>
      <w:r>
        <w:rPr>
          <w:rFonts w:hint="eastAsia" w:ascii="宋体" w:hAnsi="宋体" w:eastAsia="宋体" w:cs="宋体"/>
          <w:bCs/>
          <w:color w:val="auto"/>
          <w:sz w:val="24"/>
          <w:szCs w:val="24"/>
          <w:highlight w:val="none"/>
        </w:rPr>
        <w:t>；</w:t>
      </w:r>
    </w:p>
    <w:p>
      <w:pPr>
        <w:pageBreakBefore w:val="0"/>
        <w:numPr>
          <w:ilvl w:val="0"/>
          <w:numId w:val="11"/>
        </w:numPr>
        <w:kinsoku/>
        <w:wordWrap/>
        <w:overflowPunct/>
        <w:topLinePunct w:val="0"/>
        <w:autoSpaceDE/>
        <w:autoSpaceDN/>
        <w:bidi w:val="0"/>
        <w:adjustRightInd/>
        <w:spacing w:line="360" w:lineRule="auto"/>
        <w:ind w:firstLine="42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项目功能的细化和完善情况</w:t>
      </w:r>
      <w:r>
        <w:rPr>
          <w:rFonts w:hint="eastAsia" w:ascii="宋体" w:hAnsi="宋体" w:eastAsia="宋体" w:cs="宋体"/>
          <w:bCs/>
          <w:color w:val="auto"/>
          <w:sz w:val="24"/>
          <w:szCs w:val="24"/>
          <w:highlight w:val="none"/>
        </w:rPr>
        <w:t>；</w:t>
      </w:r>
    </w:p>
    <w:p>
      <w:pPr>
        <w:pageBreakBefore w:val="0"/>
        <w:numPr>
          <w:ilvl w:val="0"/>
          <w:numId w:val="11"/>
        </w:numPr>
        <w:kinsoku/>
        <w:wordWrap/>
        <w:overflowPunct/>
        <w:topLinePunct w:val="0"/>
        <w:autoSpaceDE/>
        <w:autoSpaceDN/>
        <w:bidi w:val="0"/>
        <w:adjustRightInd/>
        <w:spacing w:line="360" w:lineRule="auto"/>
        <w:ind w:firstLine="42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shd w:val="clear" w:color="auto" w:fill="FFFFFF"/>
        </w:rPr>
        <w:t>交通数据处理能力</w:t>
      </w:r>
      <w:r>
        <w:rPr>
          <w:rFonts w:hint="eastAsia" w:ascii="宋体" w:hAnsi="宋体" w:eastAsia="宋体" w:cs="宋体"/>
          <w:bCs/>
          <w:color w:val="auto"/>
          <w:sz w:val="24"/>
          <w:szCs w:val="24"/>
          <w:highlight w:val="none"/>
        </w:rPr>
        <w:t>；</w:t>
      </w:r>
    </w:p>
    <w:p>
      <w:pPr>
        <w:pageBreakBefore w:val="0"/>
        <w:numPr>
          <w:ilvl w:val="0"/>
          <w:numId w:val="11"/>
        </w:numPr>
        <w:kinsoku/>
        <w:wordWrap/>
        <w:overflowPunct/>
        <w:topLinePunct w:val="0"/>
        <w:autoSpaceDE/>
        <w:autoSpaceDN/>
        <w:bidi w:val="0"/>
        <w:adjustRightInd/>
        <w:spacing w:line="360" w:lineRule="auto"/>
        <w:ind w:firstLine="42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val="en-US" w:eastAsia="zh-CN"/>
        </w:rPr>
        <w:t>软</w:t>
      </w:r>
      <w:r>
        <w:rPr>
          <w:rFonts w:hint="eastAsia" w:ascii="宋体" w:hAnsi="宋体" w:eastAsia="宋体" w:cs="宋体"/>
          <w:color w:val="auto"/>
          <w:kern w:val="0"/>
          <w:sz w:val="24"/>
          <w:szCs w:val="24"/>
          <w:highlight w:val="none"/>
        </w:rPr>
        <w:t>硬件配备</w:t>
      </w:r>
      <w:r>
        <w:rPr>
          <w:rFonts w:hint="eastAsia" w:ascii="宋体" w:hAnsi="宋体" w:eastAsia="宋体" w:cs="宋体"/>
          <w:bCs/>
          <w:color w:val="auto"/>
          <w:sz w:val="24"/>
          <w:szCs w:val="24"/>
          <w:highlight w:val="none"/>
        </w:rPr>
        <w:t>；</w:t>
      </w:r>
    </w:p>
    <w:p>
      <w:pPr>
        <w:pageBreakBefore w:val="0"/>
        <w:numPr>
          <w:ilvl w:val="0"/>
          <w:numId w:val="11"/>
        </w:numPr>
        <w:kinsoku/>
        <w:wordWrap/>
        <w:overflowPunct/>
        <w:topLinePunct w:val="0"/>
        <w:autoSpaceDE/>
        <w:autoSpaceDN/>
        <w:bidi w:val="0"/>
        <w:adjustRightInd/>
        <w:spacing w:line="360" w:lineRule="auto"/>
        <w:ind w:firstLine="42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shd w:val="clear" w:color="auto" w:fill="FFFFFF"/>
        </w:rPr>
        <w:t>组织实施方案</w:t>
      </w:r>
      <w:r>
        <w:rPr>
          <w:rFonts w:hint="eastAsia" w:ascii="宋体" w:hAnsi="宋体" w:eastAsia="宋体" w:cs="宋体"/>
          <w:bCs/>
          <w:color w:val="auto"/>
          <w:sz w:val="24"/>
          <w:szCs w:val="24"/>
          <w:highlight w:val="none"/>
        </w:rPr>
        <w:t>；</w:t>
      </w:r>
    </w:p>
    <w:p>
      <w:pPr>
        <w:pageBreakBefore w:val="0"/>
        <w:numPr>
          <w:ilvl w:val="0"/>
          <w:numId w:val="11"/>
        </w:numPr>
        <w:kinsoku/>
        <w:wordWrap/>
        <w:overflowPunct/>
        <w:topLinePunct w:val="0"/>
        <w:autoSpaceDE/>
        <w:autoSpaceDN/>
        <w:bidi w:val="0"/>
        <w:adjustRightInd/>
        <w:spacing w:line="360" w:lineRule="auto"/>
        <w:ind w:firstLine="42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质量保障措施；</w:t>
      </w:r>
    </w:p>
    <w:p>
      <w:pPr>
        <w:pageBreakBefore w:val="0"/>
        <w:numPr>
          <w:ilvl w:val="0"/>
          <w:numId w:val="11"/>
        </w:numPr>
        <w:kinsoku/>
        <w:wordWrap/>
        <w:overflowPunct/>
        <w:topLinePunct w:val="0"/>
        <w:autoSpaceDE/>
        <w:autoSpaceDN/>
        <w:bidi w:val="0"/>
        <w:adjustRightInd/>
        <w:spacing w:line="360" w:lineRule="auto"/>
        <w:ind w:firstLine="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过渡措施应对方案</w:t>
      </w:r>
      <w:r>
        <w:rPr>
          <w:rFonts w:hint="eastAsia" w:ascii="宋体" w:hAnsi="宋体" w:eastAsia="宋体" w:cs="宋体"/>
          <w:color w:val="auto"/>
          <w:sz w:val="24"/>
          <w:szCs w:val="24"/>
          <w:highlight w:val="none"/>
          <w:lang w:bidi="ar"/>
        </w:rPr>
        <w:t>。</w:t>
      </w:r>
    </w:p>
    <w:bookmarkEnd w:id="30"/>
    <w:p>
      <w:pPr>
        <w:pageBreakBefore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bCs/>
          <w:color w:val="auto"/>
          <w:sz w:val="30"/>
          <w:szCs w:val="30"/>
          <w:highlight w:val="none"/>
        </w:rPr>
        <w:sectPr>
          <w:footerReference r:id="rId8" w:type="default"/>
          <w:pgSz w:w="11907" w:h="16840"/>
          <w:pgMar w:top="1417" w:right="1417" w:bottom="1417" w:left="1417" w:header="851" w:footer="850" w:gutter="0"/>
          <w:pgNumType w:fmt="decimal" w:start="1"/>
          <w:cols w:space="720" w:num="1"/>
          <w:rtlGutter w:val="0"/>
          <w:docGrid w:linePitch="1" w:charSpace="0"/>
        </w:sectPr>
      </w:pPr>
    </w:p>
    <w:p>
      <w:pPr>
        <w:pStyle w:val="24"/>
        <w:pageBreakBefore w:val="0"/>
        <w:widowControl w:val="0"/>
        <w:shd w:val="clear" w:color="auto" w:fill="FFFFFF"/>
        <w:kinsoku/>
        <w:wordWrap/>
        <w:overflowPunct/>
        <w:topLinePunct w:val="0"/>
        <w:bidi w:val="0"/>
        <w:adjustRightInd/>
        <w:snapToGrid w:val="0"/>
        <w:spacing w:after="0" w:line="240" w:lineRule="auto"/>
        <w:ind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highlight w:val="none"/>
          <w:lang w:val="en-US" w:eastAsia="zh-CN"/>
        </w:rPr>
        <w:t>附表：</w:t>
      </w:r>
      <w:r>
        <w:rPr>
          <w:rFonts w:hint="eastAsia" w:ascii="宋体" w:hAnsi="宋体" w:eastAsia="宋体" w:cs="宋体"/>
          <w:color w:val="auto"/>
          <w:sz w:val="24"/>
          <w:szCs w:val="24"/>
          <w:highlight w:val="none"/>
          <w:lang w:val="en-US" w:eastAsia="zh-CN"/>
        </w:rPr>
        <w:t>服务质量考核表</w:t>
      </w:r>
    </w:p>
    <w:tbl>
      <w:tblPr>
        <w:tblStyle w:val="62"/>
        <w:tblW w:w="155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4"/>
        <w:gridCol w:w="555"/>
        <w:gridCol w:w="1153"/>
        <w:gridCol w:w="9993"/>
        <w:gridCol w:w="1365"/>
        <w:gridCol w:w="19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5583"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44"/>
                <w:szCs w:val="44"/>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杭州市出租汽车行业监管和执法保障信息服务项目考评表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255" w:type="dxa"/>
            <w:gridSpan w:val="4"/>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考核期间：</w:t>
            </w:r>
          </w:p>
        </w:tc>
        <w:tc>
          <w:tcPr>
            <w:tcW w:w="3328" w:type="dxa"/>
            <w:gridSpan w:val="2"/>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考核时间：202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7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考核内容</w:t>
            </w:r>
          </w:p>
        </w:tc>
        <w:tc>
          <w:tcPr>
            <w:tcW w:w="9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评分标准</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扣分</w:t>
            </w:r>
          </w:p>
        </w:tc>
        <w:tc>
          <w:tcPr>
            <w:tcW w:w="1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扣分理由</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（可另附）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55"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技术要求</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行业数据监测与分析服务</w:t>
            </w:r>
          </w:p>
        </w:tc>
        <w:tc>
          <w:tcPr>
            <w:tcW w:w="9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照项目要求提供行业运行分析、行业营运情况监测、行业运力需求及规模监测、场站枢纽以及景区数据监测、行业收入水平情况监测、行业运价水平监测、出租汽车运行数据对接等服务，监测模型科学、结果合理、监测及时，异常情况处置规范，每出现一次服务不及时或信息不准确的情况扣1分，每出差错一次扣2分，考核期内总扣分不超过10分。</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c>
          <w:tcPr>
            <w:tcW w:w="196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5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管理保障服务</w:t>
            </w:r>
          </w:p>
        </w:tc>
        <w:tc>
          <w:tcPr>
            <w:tcW w:w="9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业维稳保障、城市文明创建、应急处置、公共卫生事件防控、重大活动等保障服务按要求及时到位，提供的信息与技术支持准确有效，每出现一次服务不及时或信息不准确的情况扣1分,考核期内总扣分不超过10分。</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c>
          <w:tcPr>
            <w:tcW w:w="196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5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执法保障服务</w:t>
            </w:r>
          </w:p>
        </w:tc>
        <w:tc>
          <w:tcPr>
            <w:tcW w:w="9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营运违章情况监测、执法辅助支持、行业服务质量数据保障等服务按要求及时到位，提供的信息与技术支持准确有效，每出现一次服务不及时或信息不准确的情况扣1分,考核期内总扣分不超过10分。</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c>
          <w:tcPr>
            <w:tcW w:w="196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5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巡网融合技术支持服务</w:t>
            </w:r>
          </w:p>
        </w:tc>
        <w:tc>
          <w:tcPr>
            <w:tcW w:w="9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巡网融合数据推送、数据分析、业务热线等服务按要求及时到位，提供的信息与技术支持准确有效，每出现一次服务不及时或信息不准确的情况扣1分,每出差错一次扣2分，考核期内总扣分不超过10分。</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c>
          <w:tcPr>
            <w:tcW w:w="196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7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人员配置要求</w:t>
            </w:r>
          </w:p>
        </w:tc>
        <w:tc>
          <w:tcPr>
            <w:tcW w:w="9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按照项目要求配置不少于18人的服务团队，</w:t>
            </w:r>
            <w:r>
              <w:rPr>
                <w:rStyle w:val="124"/>
                <w:rFonts w:hint="eastAsia" w:ascii="宋体" w:hAnsi="宋体" w:eastAsia="宋体" w:cs="宋体"/>
                <w:color w:val="auto"/>
                <w:sz w:val="22"/>
                <w:szCs w:val="22"/>
                <w:highlight w:val="none"/>
                <w:lang w:val="en-US" w:eastAsia="zh-CN" w:bidi="ar"/>
              </w:rPr>
              <w:t>人员确需调整的，提前一周向采购人申请变更</w:t>
            </w:r>
            <w:r>
              <w:rPr>
                <w:rStyle w:val="208"/>
                <w:rFonts w:hint="eastAsia" w:ascii="宋体" w:hAnsi="宋体" w:eastAsia="宋体" w:cs="宋体"/>
                <w:color w:val="auto"/>
                <w:sz w:val="22"/>
                <w:szCs w:val="22"/>
                <w:highlight w:val="none"/>
                <w:lang w:val="en-US" w:eastAsia="zh-CN" w:bidi="ar"/>
              </w:rPr>
              <w:t>，更换人员资格不低于对应岗位要求</w:t>
            </w:r>
            <w:r>
              <w:rPr>
                <w:rStyle w:val="124"/>
                <w:rFonts w:hint="eastAsia" w:ascii="宋体" w:hAnsi="宋体" w:eastAsia="宋体" w:cs="宋体"/>
                <w:color w:val="auto"/>
                <w:sz w:val="22"/>
                <w:szCs w:val="22"/>
                <w:highlight w:val="none"/>
                <w:lang w:val="en-US" w:eastAsia="zh-CN" w:bidi="ar"/>
              </w:rPr>
              <w:t>。</w:t>
            </w:r>
            <w:r>
              <w:rPr>
                <w:rStyle w:val="208"/>
                <w:rFonts w:hint="eastAsia" w:ascii="宋体" w:hAnsi="宋体" w:eastAsia="宋体" w:cs="宋体"/>
                <w:color w:val="auto"/>
                <w:sz w:val="22"/>
                <w:szCs w:val="22"/>
                <w:highlight w:val="none"/>
                <w:lang w:val="en-US" w:eastAsia="zh-CN" w:bidi="ar"/>
              </w:rPr>
              <w:t>每发现一次岗位空岗扣2分，擅自变更人员每次扣5分，本项扣分不设上限。</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c>
          <w:tcPr>
            <w:tcW w:w="196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7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项目管理要求</w:t>
            </w:r>
          </w:p>
        </w:tc>
        <w:tc>
          <w:tcPr>
            <w:tcW w:w="9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按照项目要求做好工作台账，及时[下一周期初（5个工作日内）]向管理部门提供项目成果清单内的各项分析报告、报表等，未及时提供每次扣1分，</w:t>
            </w:r>
            <w:r>
              <w:rPr>
                <w:rStyle w:val="208"/>
                <w:rFonts w:hint="eastAsia" w:ascii="宋体" w:hAnsi="宋体" w:eastAsia="宋体" w:cs="宋体"/>
                <w:color w:val="auto"/>
                <w:sz w:val="22"/>
                <w:szCs w:val="22"/>
                <w:highlight w:val="none"/>
                <w:lang w:val="en-US" w:eastAsia="zh-CN" w:bidi="ar"/>
              </w:rPr>
              <w:t>每出差错一次扣2分，</w:t>
            </w:r>
            <w:r>
              <w:rPr>
                <w:rStyle w:val="124"/>
                <w:rFonts w:hint="eastAsia" w:ascii="宋体" w:hAnsi="宋体" w:eastAsia="宋体" w:cs="宋体"/>
                <w:color w:val="auto"/>
                <w:sz w:val="22"/>
                <w:szCs w:val="22"/>
                <w:highlight w:val="none"/>
                <w:lang w:val="en-US" w:eastAsia="zh-CN" w:bidi="ar"/>
              </w:rPr>
              <w:t>考核期内总扣分不超过10分。</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c>
          <w:tcPr>
            <w:tcW w:w="196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7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数据安全保密要求</w:t>
            </w:r>
          </w:p>
        </w:tc>
        <w:tc>
          <w:tcPr>
            <w:tcW w:w="9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依据国家网络与信息安全有关规定,安全管理制度完善，信息系统安全防范措施有效，供应商签订保密承诺书，确保信息保密，保障系统数据及系统运行环境网络安全。发生一般性数据失密事件，每次扣</w:t>
            </w:r>
            <w:r>
              <w:rPr>
                <w:rStyle w:val="208"/>
                <w:rFonts w:hint="eastAsia" w:ascii="宋体" w:hAnsi="宋体" w:eastAsia="宋体" w:cs="宋体"/>
                <w:color w:val="auto"/>
                <w:sz w:val="22"/>
                <w:szCs w:val="22"/>
                <w:highlight w:val="none"/>
                <w:lang w:val="en-US" w:eastAsia="zh-CN" w:bidi="ar"/>
              </w:rPr>
              <w:t>10分，</w:t>
            </w:r>
            <w:r>
              <w:rPr>
                <w:rStyle w:val="124"/>
                <w:rFonts w:hint="eastAsia" w:ascii="宋体" w:hAnsi="宋体" w:eastAsia="宋体" w:cs="宋体"/>
                <w:color w:val="auto"/>
                <w:sz w:val="22"/>
                <w:szCs w:val="22"/>
                <w:highlight w:val="none"/>
                <w:lang w:val="en-US" w:eastAsia="zh-CN" w:bidi="ar"/>
              </w:rPr>
              <w:t>本项扣分不设上限；如对行业管理、国家安全造成重大影响，采购人有权单方中止合同。</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c>
          <w:tcPr>
            <w:tcW w:w="196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26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得分（满分100分）</w:t>
            </w:r>
          </w:p>
        </w:tc>
        <w:tc>
          <w:tcPr>
            <w:tcW w:w="99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c>
          <w:tcPr>
            <w:tcW w:w="332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26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评价意见</w:t>
            </w:r>
          </w:p>
        </w:tc>
        <w:tc>
          <w:tcPr>
            <w:tcW w:w="1332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54" w:type="dxa"/>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c>
          <w:tcPr>
            <w:tcW w:w="555" w:type="dxa"/>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c>
          <w:tcPr>
            <w:tcW w:w="1153" w:type="dxa"/>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c>
          <w:tcPr>
            <w:tcW w:w="9993"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考评人：</w:t>
            </w:r>
          </w:p>
        </w:tc>
        <w:tc>
          <w:tcPr>
            <w:tcW w:w="1365" w:type="dxa"/>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c>
          <w:tcPr>
            <w:tcW w:w="1963" w:type="dxa"/>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r>
    </w:tbl>
    <w:p>
      <w:pPr>
        <w:spacing w:line="360" w:lineRule="auto"/>
        <w:jc w:val="center"/>
        <w:outlineLvl w:val="0"/>
        <w:rPr>
          <w:rFonts w:hint="eastAsia" w:ascii="宋体" w:hAnsi="宋体" w:eastAsia="宋体" w:cs="宋体"/>
          <w:b/>
          <w:color w:val="auto"/>
          <w:sz w:val="24"/>
          <w:highlight w:val="none"/>
        </w:rPr>
        <w:sectPr>
          <w:footerReference r:id="rId9" w:type="default"/>
          <w:pgSz w:w="16840" w:h="11907" w:orient="landscape"/>
          <w:pgMar w:top="1417" w:right="1417" w:bottom="1417" w:left="1417" w:header="851" w:footer="850" w:gutter="0"/>
          <w:pgNumType w:fmt="decimal"/>
          <w:cols w:space="720" w:num="1"/>
          <w:rtlGutter w:val="0"/>
          <w:docGrid w:linePitch="1" w:charSpace="0"/>
        </w:sectPr>
      </w:pPr>
      <w:r>
        <w:rPr>
          <w:rFonts w:hint="eastAsia" w:ascii="宋体" w:hAnsi="宋体" w:eastAsia="宋体" w:cs="宋体"/>
          <w:b/>
          <w:color w:val="auto"/>
          <w:sz w:val="24"/>
          <w:highlight w:val="none"/>
        </w:rPr>
        <w:br w:type="page"/>
      </w: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7" w:name="_Toc184314417"/>
      <w:bookmarkEnd w:id="37"/>
      <w:bookmarkStart w:id="38" w:name="_Toc184310283"/>
      <w:bookmarkEnd w:id="38"/>
      <w:bookmarkStart w:id="39" w:name="_Toc184313254"/>
      <w:bookmarkEnd w:id="39"/>
      <w:bookmarkStart w:id="40" w:name="_Toc184312128"/>
      <w:bookmarkEnd w:id="40"/>
      <w:bookmarkStart w:id="41" w:name="_Toc184312073"/>
      <w:bookmarkEnd w:id="41"/>
      <w:bookmarkStart w:id="42" w:name="_Toc184313251"/>
      <w:bookmarkEnd w:id="42"/>
      <w:bookmarkStart w:id="43" w:name="_Toc184313248"/>
      <w:bookmarkEnd w:id="43"/>
      <w:bookmarkStart w:id="44" w:name="_Toc184310334"/>
      <w:bookmarkEnd w:id="44"/>
      <w:bookmarkStart w:id="45" w:name="_Toc184308095"/>
      <w:bookmarkEnd w:id="45"/>
      <w:bookmarkStart w:id="46" w:name="_Toc184314448"/>
      <w:bookmarkEnd w:id="46"/>
      <w:bookmarkStart w:id="47" w:name="_Toc184314413"/>
      <w:bookmarkEnd w:id="47"/>
      <w:bookmarkStart w:id="48" w:name="_Toc184313289"/>
      <w:bookmarkEnd w:id="48"/>
      <w:bookmarkStart w:id="49" w:name="_Toc184308048"/>
      <w:bookmarkEnd w:id="49"/>
      <w:bookmarkStart w:id="50" w:name="_Toc184313253"/>
      <w:bookmarkEnd w:id="50"/>
      <w:bookmarkStart w:id="51" w:name="_Toc184312102"/>
      <w:bookmarkEnd w:id="51"/>
      <w:bookmarkStart w:id="52" w:name="_Toc184308058"/>
      <w:bookmarkEnd w:id="52"/>
      <w:bookmarkStart w:id="53" w:name="_Toc184314427"/>
      <w:bookmarkEnd w:id="53"/>
      <w:bookmarkStart w:id="54" w:name="_Toc184312111"/>
      <w:bookmarkEnd w:id="54"/>
      <w:bookmarkStart w:id="55" w:name="_Toc184314473"/>
      <w:bookmarkEnd w:id="55"/>
      <w:bookmarkStart w:id="56" w:name="_Toc184314461"/>
      <w:bookmarkEnd w:id="56"/>
      <w:bookmarkStart w:id="57" w:name="_Toc184312106"/>
      <w:bookmarkEnd w:id="57"/>
      <w:bookmarkStart w:id="58" w:name="_Toc184310321"/>
      <w:bookmarkEnd w:id="58"/>
      <w:bookmarkStart w:id="59" w:name="_Toc184310341"/>
      <w:bookmarkEnd w:id="59"/>
      <w:bookmarkStart w:id="60" w:name="_Toc184308105"/>
      <w:bookmarkEnd w:id="60"/>
      <w:bookmarkStart w:id="61" w:name="_Toc184312118"/>
      <w:bookmarkEnd w:id="61"/>
      <w:bookmarkStart w:id="62" w:name="_Toc184308070"/>
      <w:bookmarkEnd w:id="62"/>
      <w:bookmarkStart w:id="63" w:name="_Toc184314431"/>
      <w:bookmarkEnd w:id="63"/>
      <w:bookmarkStart w:id="64" w:name="_Toc184310297"/>
      <w:bookmarkEnd w:id="64"/>
      <w:bookmarkStart w:id="65" w:name="_Toc184313262"/>
      <w:bookmarkEnd w:id="65"/>
      <w:bookmarkStart w:id="66" w:name="_Toc184313293"/>
      <w:bookmarkEnd w:id="66"/>
      <w:bookmarkStart w:id="67" w:name="_Toc184308042"/>
      <w:bookmarkEnd w:id="67"/>
      <w:bookmarkStart w:id="68" w:name="_Toc184314414"/>
      <w:bookmarkEnd w:id="68"/>
      <w:bookmarkStart w:id="69" w:name="_Toc184308064"/>
      <w:bookmarkEnd w:id="69"/>
      <w:bookmarkStart w:id="70" w:name="_Toc184313271"/>
      <w:bookmarkEnd w:id="70"/>
      <w:bookmarkStart w:id="71" w:name="_Toc184314436"/>
      <w:bookmarkEnd w:id="71"/>
      <w:bookmarkStart w:id="72" w:name="_Toc184313304"/>
      <w:bookmarkEnd w:id="72"/>
      <w:bookmarkStart w:id="73" w:name="_Toc184308038"/>
      <w:bookmarkEnd w:id="73"/>
      <w:bookmarkStart w:id="74" w:name="_Toc184313282"/>
      <w:bookmarkEnd w:id="74"/>
      <w:bookmarkStart w:id="75" w:name="_Toc184310304"/>
      <w:bookmarkEnd w:id="75"/>
      <w:bookmarkStart w:id="76" w:name="_Toc184314416"/>
      <w:bookmarkEnd w:id="76"/>
      <w:bookmarkStart w:id="77" w:name="_Toc184308044"/>
      <w:bookmarkEnd w:id="77"/>
      <w:bookmarkStart w:id="78" w:name="_Toc184314410"/>
      <w:bookmarkEnd w:id="78"/>
      <w:bookmarkStart w:id="79" w:name="_Toc184312124"/>
      <w:bookmarkEnd w:id="79"/>
      <w:bookmarkStart w:id="80" w:name="_Toc184312068"/>
      <w:bookmarkEnd w:id="80"/>
      <w:bookmarkStart w:id="81" w:name="_Toc184313277"/>
      <w:bookmarkEnd w:id="81"/>
      <w:bookmarkStart w:id="82" w:name="_Toc184310323"/>
      <w:bookmarkEnd w:id="82"/>
      <w:bookmarkStart w:id="83" w:name="_Toc184312139"/>
      <w:bookmarkEnd w:id="83"/>
      <w:bookmarkStart w:id="84" w:name="_Toc184314440"/>
      <w:bookmarkEnd w:id="84"/>
      <w:bookmarkStart w:id="85" w:name="_Toc184308061"/>
      <w:bookmarkEnd w:id="85"/>
      <w:bookmarkStart w:id="86" w:name="_Toc184312112"/>
      <w:bookmarkEnd w:id="86"/>
      <w:bookmarkStart w:id="87" w:name="_Toc184313268"/>
      <w:bookmarkEnd w:id="87"/>
      <w:bookmarkStart w:id="88" w:name="_Toc184314475"/>
      <w:bookmarkEnd w:id="88"/>
      <w:bookmarkStart w:id="89" w:name="_Toc184308050"/>
      <w:bookmarkEnd w:id="89"/>
      <w:bookmarkStart w:id="90" w:name="_Toc184314412"/>
      <w:bookmarkEnd w:id="90"/>
      <w:bookmarkStart w:id="91" w:name="_Toc184310328"/>
      <w:bookmarkEnd w:id="91"/>
      <w:bookmarkStart w:id="92" w:name="_Toc184313286"/>
      <w:bookmarkEnd w:id="92"/>
      <w:bookmarkStart w:id="93" w:name="_Toc184310318"/>
      <w:bookmarkEnd w:id="93"/>
      <w:bookmarkStart w:id="94" w:name="_Toc184308088"/>
      <w:bookmarkEnd w:id="94"/>
      <w:bookmarkStart w:id="95" w:name="_Toc184308108"/>
      <w:bookmarkEnd w:id="95"/>
      <w:bookmarkStart w:id="96" w:name="_Toc184313298"/>
      <w:bookmarkEnd w:id="96"/>
      <w:bookmarkStart w:id="97" w:name="_Toc184313269"/>
      <w:bookmarkEnd w:id="97"/>
      <w:bookmarkStart w:id="98" w:name="_Toc184308074"/>
      <w:bookmarkEnd w:id="98"/>
      <w:bookmarkStart w:id="99" w:name="_Toc184310277"/>
      <w:bookmarkEnd w:id="99"/>
      <w:bookmarkStart w:id="100" w:name="_Toc184312109"/>
      <w:bookmarkEnd w:id="100"/>
      <w:bookmarkStart w:id="101" w:name="_Toc184310309"/>
      <w:bookmarkEnd w:id="101"/>
      <w:bookmarkStart w:id="102" w:name="_Toc184310286"/>
      <w:bookmarkEnd w:id="102"/>
      <w:bookmarkStart w:id="103" w:name="_Toc184308103"/>
      <w:bookmarkEnd w:id="103"/>
      <w:bookmarkStart w:id="104" w:name="_Toc184314468"/>
      <w:bookmarkEnd w:id="104"/>
      <w:bookmarkStart w:id="105" w:name="_Toc184308078"/>
      <w:bookmarkEnd w:id="105"/>
      <w:bookmarkStart w:id="106" w:name="_Toc184308090"/>
      <w:bookmarkEnd w:id="106"/>
      <w:bookmarkStart w:id="107" w:name="_Toc184312094"/>
      <w:bookmarkEnd w:id="107"/>
      <w:bookmarkStart w:id="108" w:name="_Toc184314411"/>
      <w:bookmarkEnd w:id="108"/>
      <w:bookmarkStart w:id="109" w:name="_Toc184310291"/>
      <w:bookmarkEnd w:id="109"/>
      <w:bookmarkStart w:id="110" w:name="_Toc184313287"/>
      <w:bookmarkEnd w:id="110"/>
      <w:bookmarkStart w:id="111" w:name="_Toc184312085"/>
      <w:bookmarkEnd w:id="111"/>
      <w:bookmarkStart w:id="112" w:name="_Toc184313260"/>
      <w:bookmarkEnd w:id="112"/>
      <w:bookmarkStart w:id="113" w:name="_Toc184310303"/>
      <w:bookmarkEnd w:id="113"/>
      <w:bookmarkStart w:id="114" w:name="_Toc184313283"/>
      <w:bookmarkEnd w:id="114"/>
      <w:bookmarkStart w:id="115" w:name="_Toc184313255"/>
      <w:bookmarkEnd w:id="115"/>
      <w:bookmarkStart w:id="116" w:name="_Toc184314423"/>
      <w:bookmarkEnd w:id="116"/>
      <w:bookmarkStart w:id="117" w:name="_Toc184308057"/>
      <w:bookmarkEnd w:id="117"/>
      <w:bookmarkStart w:id="118" w:name="_Toc184312092"/>
      <w:bookmarkEnd w:id="118"/>
      <w:bookmarkStart w:id="119" w:name="_Toc184310273"/>
      <w:bookmarkEnd w:id="119"/>
      <w:bookmarkStart w:id="120" w:name="_Toc184314472"/>
      <w:bookmarkEnd w:id="120"/>
      <w:bookmarkStart w:id="121" w:name="_Toc184314464"/>
      <w:bookmarkEnd w:id="121"/>
      <w:bookmarkStart w:id="122" w:name="_Toc184312067"/>
      <w:bookmarkEnd w:id="122"/>
      <w:bookmarkStart w:id="123" w:name="_Toc184308051"/>
      <w:bookmarkEnd w:id="123"/>
      <w:bookmarkStart w:id="124" w:name="_Toc184310337"/>
      <w:bookmarkEnd w:id="124"/>
      <w:bookmarkStart w:id="125" w:name="_Toc184310305"/>
      <w:bookmarkEnd w:id="125"/>
      <w:bookmarkStart w:id="126" w:name="_Toc184308056"/>
      <w:bookmarkEnd w:id="126"/>
      <w:bookmarkStart w:id="127" w:name="_Toc184310314"/>
      <w:bookmarkEnd w:id="127"/>
      <w:bookmarkStart w:id="128" w:name="_Toc184310327"/>
      <w:bookmarkEnd w:id="128"/>
      <w:bookmarkStart w:id="129" w:name="_Toc184314443"/>
      <w:bookmarkEnd w:id="129"/>
      <w:bookmarkStart w:id="130" w:name="_Toc184312127"/>
      <w:bookmarkEnd w:id="130"/>
      <w:bookmarkStart w:id="131" w:name="_Toc184308069"/>
      <w:bookmarkEnd w:id="131"/>
      <w:bookmarkStart w:id="132" w:name="_Toc184310299"/>
      <w:bookmarkEnd w:id="132"/>
      <w:bookmarkStart w:id="133" w:name="_Toc184310317"/>
      <w:bookmarkEnd w:id="133"/>
      <w:bookmarkStart w:id="134" w:name="_Toc184310340"/>
      <w:bookmarkEnd w:id="134"/>
      <w:bookmarkStart w:id="135" w:name="_Toc184308062"/>
      <w:bookmarkEnd w:id="135"/>
      <w:bookmarkStart w:id="136" w:name="_Toc184312071"/>
      <w:bookmarkEnd w:id="136"/>
      <w:bookmarkStart w:id="137" w:name="_Toc184312087"/>
      <w:bookmarkEnd w:id="137"/>
      <w:bookmarkStart w:id="138" w:name="_Toc184308043"/>
      <w:bookmarkEnd w:id="138"/>
      <w:bookmarkStart w:id="139" w:name="_Toc184312136"/>
      <w:bookmarkEnd w:id="139"/>
      <w:bookmarkStart w:id="140" w:name="_Toc184314479"/>
      <w:bookmarkEnd w:id="140"/>
      <w:bookmarkStart w:id="141" w:name="_Toc184314449"/>
      <w:bookmarkEnd w:id="141"/>
      <w:bookmarkStart w:id="142" w:name="_Toc184308079"/>
      <w:bookmarkEnd w:id="142"/>
      <w:bookmarkStart w:id="143" w:name="_Toc184314466"/>
      <w:bookmarkEnd w:id="143"/>
      <w:bookmarkStart w:id="144" w:name="_Toc184310272"/>
      <w:bookmarkEnd w:id="144"/>
      <w:bookmarkStart w:id="145" w:name="_Toc184314438"/>
      <w:bookmarkEnd w:id="145"/>
      <w:bookmarkStart w:id="146" w:name="_Toc184313284"/>
      <w:bookmarkEnd w:id="146"/>
      <w:bookmarkStart w:id="147" w:name="_Toc184313263"/>
      <w:bookmarkEnd w:id="147"/>
      <w:bookmarkStart w:id="148" w:name="_Toc184313241"/>
      <w:bookmarkEnd w:id="148"/>
      <w:bookmarkStart w:id="149" w:name="_Toc184310294"/>
      <w:bookmarkEnd w:id="149"/>
      <w:bookmarkStart w:id="150" w:name="_Toc184312135"/>
      <w:bookmarkEnd w:id="150"/>
      <w:bookmarkStart w:id="151" w:name="_Toc184312113"/>
      <w:bookmarkEnd w:id="151"/>
      <w:bookmarkStart w:id="152" w:name="_Toc184312103"/>
      <w:bookmarkEnd w:id="152"/>
      <w:bookmarkStart w:id="153" w:name="_Toc184313243"/>
      <w:bookmarkEnd w:id="153"/>
      <w:bookmarkStart w:id="154" w:name="_Toc184313252"/>
      <w:bookmarkEnd w:id="154"/>
      <w:bookmarkStart w:id="155" w:name="_Toc184314418"/>
      <w:bookmarkEnd w:id="155"/>
      <w:bookmarkStart w:id="156" w:name="_Toc184314441"/>
      <w:bookmarkEnd w:id="156"/>
      <w:bookmarkStart w:id="157" w:name="_Toc184313305"/>
      <w:bookmarkEnd w:id="157"/>
      <w:bookmarkStart w:id="158" w:name="_Toc184313307"/>
      <w:bookmarkEnd w:id="158"/>
      <w:bookmarkStart w:id="159" w:name="_Toc184314451"/>
      <w:bookmarkEnd w:id="159"/>
      <w:bookmarkStart w:id="160" w:name="_Toc184312072"/>
      <w:bookmarkEnd w:id="160"/>
      <w:bookmarkStart w:id="161" w:name="_Toc184313280"/>
      <w:bookmarkEnd w:id="161"/>
      <w:bookmarkStart w:id="162" w:name="_Toc184314432"/>
      <w:bookmarkEnd w:id="162"/>
      <w:bookmarkStart w:id="163" w:name="_Toc184312098"/>
      <w:bookmarkEnd w:id="163"/>
      <w:bookmarkStart w:id="164" w:name="_Toc184308082"/>
      <w:bookmarkEnd w:id="164"/>
      <w:bookmarkStart w:id="165" w:name="_Toc184308059"/>
      <w:bookmarkEnd w:id="165"/>
      <w:bookmarkStart w:id="166" w:name="_Toc184310279"/>
      <w:bookmarkEnd w:id="166"/>
      <w:bookmarkStart w:id="167" w:name="_Toc184313294"/>
      <w:bookmarkEnd w:id="167"/>
      <w:bookmarkStart w:id="168" w:name="_Toc184314446"/>
      <w:bookmarkEnd w:id="168"/>
      <w:bookmarkStart w:id="169" w:name="_Toc184314433"/>
      <w:bookmarkEnd w:id="169"/>
      <w:bookmarkStart w:id="170" w:name="_Toc184314454"/>
      <w:bookmarkEnd w:id="170"/>
      <w:bookmarkStart w:id="171" w:name="_Toc184308037"/>
      <w:bookmarkEnd w:id="171"/>
      <w:bookmarkStart w:id="172" w:name="_Toc184310333"/>
      <w:bookmarkEnd w:id="172"/>
      <w:bookmarkStart w:id="173" w:name="_Toc184308097"/>
      <w:bookmarkEnd w:id="173"/>
      <w:bookmarkStart w:id="174" w:name="_Toc184314465"/>
      <w:bookmarkEnd w:id="174"/>
      <w:bookmarkStart w:id="175" w:name="_Toc184312107"/>
      <w:bookmarkEnd w:id="175"/>
      <w:bookmarkStart w:id="176" w:name="_Toc184313256"/>
      <w:bookmarkEnd w:id="176"/>
      <w:bookmarkStart w:id="177" w:name="_Toc184308092"/>
      <w:bookmarkEnd w:id="177"/>
      <w:bookmarkStart w:id="178" w:name="_Toc184308096"/>
      <w:bookmarkEnd w:id="178"/>
      <w:bookmarkStart w:id="179" w:name="_Toc184313273"/>
      <w:bookmarkEnd w:id="179"/>
      <w:bookmarkStart w:id="180" w:name="_Toc184308084"/>
      <w:bookmarkEnd w:id="180"/>
      <w:bookmarkStart w:id="181" w:name="_Toc184310332"/>
      <w:bookmarkEnd w:id="181"/>
      <w:bookmarkStart w:id="182" w:name="_Toc184308072"/>
      <w:bookmarkEnd w:id="182"/>
      <w:bookmarkStart w:id="183" w:name="_Toc184313247"/>
      <w:bookmarkEnd w:id="183"/>
      <w:bookmarkStart w:id="184" w:name="_Toc184312093"/>
      <w:bookmarkEnd w:id="184"/>
      <w:bookmarkStart w:id="185" w:name="_Toc184310302"/>
      <w:bookmarkEnd w:id="185"/>
      <w:bookmarkStart w:id="186" w:name="_Toc184308102"/>
      <w:bookmarkEnd w:id="186"/>
      <w:bookmarkStart w:id="187" w:name="_Toc184310280"/>
      <w:bookmarkEnd w:id="187"/>
      <w:bookmarkStart w:id="188" w:name="_Toc184310316"/>
      <w:bookmarkEnd w:id="188"/>
      <w:bookmarkStart w:id="189" w:name="_Toc184313292"/>
      <w:bookmarkEnd w:id="189"/>
      <w:bookmarkStart w:id="190" w:name="_Toc184310295"/>
      <w:bookmarkEnd w:id="190"/>
      <w:bookmarkStart w:id="191" w:name="_Toc184313246"/>
      <w:bookmarkEnd w:id="191"/>
      <w:bookmarkStart w:id="192" w:name="_Toc184313301"/>
      <w:bookmarkEnd w:id="192"/>
      <w:bookmarkStart w:id="193" w:name="_Toc184314462"/>
      <w:bookmarkEnd w:id="193"/>
      <w:bookmarkStart w:id="194" w:name="_Toc184312123"/>
      <w:bookmarkEnd w:id="194"/>
      <w:bookmarkStart w:id="195" w:name="_Toc184312096"/>
      <w:bookmarkEnd w:id="195"/>
      <w:bookmarkStart w:id="196" w:name="_Toc184312120"/>
      <w:bookmarkEnd w:id="196"/>
      <w:bookmarkStart w:id="197" w:name="_Toc184308100"/>
      <w:bookmarkEnd w:id="197"/>
      <w:bookmarkStart w:id="198" w:name="_Toc184314455"/>
      <w:bookmarkEnd w:id="198"/>
      <w:bookmarkStart w:id="199" w:name="_Toc184310298"/>
      <w:bookmarkEnd w:id="199"/>
      <w:bookmarkStart w:id="200" w:name="_Toc184310330"/>
      <w:bookmarkEnd w:id="200"/>
      <w:bookmarkStart w:id="201" w:name="_Toc184310301"/>
      <w:bookmarkEnd w:id="201"/>
      <w:bookmarkStart w:id="202" w:name="_Toc184308073"/>
      <w:bookmarkEnd w:id="202"/>
      <w:bookmarkStart w:id="203" w:name="_Toc184313285"/>
      <w:bookmarkEnd w:id="203"/>
      <w:bookmarkStart w:id="204" w:name="_Toc184314442"/>
      <w:bookmarkEnd w:id="204"/>
      <w:bookmarkStart w:id="205" w:name="_Toc184313302"/>
      <w:bookmarkEnd w:id="205"/>
      <w:bookmarkStart w:id="206" w:name="_Toc184310336"/>
      <w:bookmarkEnd w:id="206"/>
      <w:bookmarkStart w:id="207" w:name="_Toc184310288"/>
      <w:bookmarkEnd w:id="207"/>
      <w:bookmarkStart w:id="208" w:name="_Toc184310276"/>
      <w:bookmarkEnd w:id="208"/>
      <w:bookmarkStart w:id="209" w:name="_Toc184312131"/>
      <w:bookmarkEnd w:id="209"/>
      <w:bookmarkStart w:id="210" w:name="_Toc184310300"/>
      <w:bookmarkEnd w:id="210"/>
      <w:bookmarkStart w:id="211" w:name="_Toc184310308"/>
      <w:bookmarkEnd w:id="211"/>
      <w:bookmarkStart w:id="212" w:name="_Toc184310289"/>
      <w:bookmarkEnd w:id="212"/>
      <w:bookmarkStart w:id="213" w:name="_Toc184313261"/>
      <w:bookmarkEnd w:id="213"/>
      <w:bookmarkStart w:id="214" w:name="_Toc184314481"/>
      <w:bookmarkEnd w:id="214"/>
      <w:bookmarkStart w:id="215" w:name="_Toc184313264"/>
      <w:bookmarkEnd w:id="215"/>
      <w:bookmarkStart w:id="216" w:name="_Toc184314459"/>
      <w:bookmarkEnd w:id="216"/>
      <w:bookmarkStart w:id="217" w:name="_Toc184312082"/>
      <w:bookmarkEnd w:id="217"/>
      <w:bookmarkStart w:id="218" w:name="_Toc184308053"/>
      <w:bookmarkEnd w:id="218"/>
      <w:bookmarkStart w:id="219" w:name="_Toc184308036"/>
      <w:bookmarkEnd w:id="219"/>
      <w:bookmarkStart w:id="220" w:name="_Toc184312091"/>
      <w:bookmarkEnd w:id="220"/>
      <w:bookmarkStart w:id="221" w:name="_Toc184314445"/>
      <w:bookmarkEnd w:id="221"/>
      <w:bookmarkStart w:id="222" w:name="_Toc184310290"/>
      <w:bookmarkEnd w:id="222"/>
      <w:bookmarkStart w:id="223" w:name="_Toc184313291"/>
      <w:bookmarkEnd w:id="223"/>
      <w:bookmarkStart w:id="224" w:name="_Toc184312125"/>
      <w:bookmarkEnd w:id="224"/>
      <w:bookmarkStart w:id="225" w:name="_Toc184308040"/>
      <w:bookmarkEnd w:id="225"/>
      <w:bookmarkStart w:id="226" w:name="_Toc184313250"/>
      <w:bookmarkEnd w:id="226"/>
      <w:bookmarkStart w:id="227" w:name="_Toc184308045"/>
      <w:bookmarkEnd w:id="227"/>
      <w:bookmarkStart w:id="228" w:name="_Toc184308063"/>
      <w:bookmarkEnd w:id="228"/>
      <w:bookmarkStart w:id="229" w:name="_Toc184308101"/>
      <w:bookmarkEnd w:id="229"/>
      <w:bookmarkStart w:id="230" w:name="_Toc184314476"/>
      <w:bookmarkEnd w:id="230"/>
      <w:bookmarkStart w:id="231" w:name="_Toc184313281"/>
      <w:bookmarkEnd w:id="231"/>
      <w:bookmarkStart w:id="232" w:name="_Toc184313259"/>
      <w:bookmarkEnd w:id="232"/>
      <w:bookmarkStart w:id="233" w:name="_Toc184312116"/>
      <w:bookmarkEnd w:id="233"/>
      <w:bookmarkStart w:id="234" w:name="_Toc184314457"/>
      <w:bookmarkEnd w:id="234"/>
      <w:bookmarkStart w:id="235" w:name="_Toc184312133"/>
      <w:bookmarkEnd w:id="235"/>
      <w:bookmarkStart w:id="236" w:name="_Toc184313266"/>
      <w:bookmarkEnd w:id="236"/>
      <w:bookmarkStart w:id="237" w:name="_Toc184308071"/>
      <w:bookmarkEnd w:id="237"/>
      <w:bookmarkStart w:id="238" w:name="_Toc184308091"/>
      <w:bookmarkEnd w:id="238"/>
      <w:bookmarkStart w:id="239" w:name="_Toc184313258"/>
      <w:bookmarkEnd w:id="239"/>
      <w:bookmarkStart w:id="240" w:name="_Toc184313290"/>
      <w:bookmarkEnd w:id="240"/>
      <w:bookmarkStart w:id="241" w:name="_Toc184310320"/>
      <w:bookmarkEnd w:id="241"/>
      <w:bookmarkStart w:id="242" w:name="_Toc184308089"/>
      <w:bookmarkEnd w:id="242"/>
      <w:bookmarkStart w:id="243" w:name="_Toc184308094"/>
      <w:bookmarkEnd w:id="243"/>
      <w:bookmarkStart w:id="244" w:name="_Toc184308046"/>
      <w:bookmarkEnd w:id="244"/>
      <w:bookmarkStart w:id="245" w:name="_Toc184314478"/>
      <w:bookmarkEnd w:id="245"/>
      <w:bookmarkStart w:id="246" w:name="_Toc184313295"/>
      <w:bookmarkEnd w:id="246"/>
      <w:bookmarkStart w:id="247" w:name="_Toc184313297"/>
      <w:bookmarkEnd w:id="247"/>
      <w:bookmarkStart w:id="248" w:name="_Toc184312114"/>
      <w:bookmarkEnd w:id="248"/>
      <w:bookmarkStart w:id="249" w:name="_Toc184312099"/>
      <w:bookmarkEnd w:id="249"/>
      <w:bookmarkStart w:id="250" w:name="_Toc184314477"/>
      <w:bookmarkEnd w:id="250"/>
      <w:bookmarkStart w:id="251" w:name="_Toc184308104"/>
      <w:bookmarkEnd w:id="251"/>
      <w:bookmarkStart w:id="252" w:name="_Toc184313306"/>
      <w:bookmarkEnd w:id="252"/>
      <w:bookmarkStart w:id="253" w:name="_Toc184312100"/>
      <w:bookmarkEnd w:id="253"/>
      <w:bookmarkStart w:id="254" w:name="_Toc184312110"/>
      <w:bookmarkEnd w:id="254"/>
      <w:bookmarkStart w:id="255" w:name="_Toc184312088"/>
      <w:bookmarkEnd w:id="255"/>
      <w:bookmarkStart w:id="256" w:name="_Toc184312075"/>
      <w:bookmarkEnd w:id="256"/>
      <w:bookmarkStart w:id="257" w:name="_Toc184314450"/>
      <w:bookmarkEnd w:id="257"/>
      <w:bookmarkStart w:id="258" w:name="_Toc184310292"/>
      <w:bookmarkEnd w:id="258"/>
      <w:bookmarkStart w:id="259" w:name="_Toc184310285"/>
      <w:bookmarkEnd w:id="259"/>
      <w:bookmarkStart w:id="260" w:name="_Toc184310319"/>
      <w:bookmarkEnd w:id="260"/>
      <w:bookmarkStart w:id="261" w:name="_Toc184314434"/>
      <w:bookmarkEnd w:id="261"/>
      <w:bookmarkStart w:id="262" w:name="_Toc184310282"/>
      <w:bookmarkEnd w:id="262"/>
      <w:bookmarkStart w:id="263" w:name="_Toc184312129"/>
      <w:bookmarkEnd w:id="263"/>
      <w:bookmarkStart w:id="264" w:name="_Toc184314435"/>
      <w:bookmarkEnd w:id="264"/>
      <w:bookmarkStart w:id="265" w:name="_Toc184310281"/>
      <w:bookmarkEnd w:id="265"/>
      <w:bookmarkStart w:id="266" w:name="_Toc184310275"/>
      <w:bookmarkEnd w:id="266"/>
      <w:bookmarkStart w:id="267" w:name="_Toc184313245"/>
      <w:bookmarkEnd w:id="267"/>
      <w:bookmarkStart w:id="268" w:name="_Toc184314422"/>
      <w:bookmarkEnd w:id="268"/>
      <w:bookmarkStart w:id="269" w:name="_Toc184313276"/>
      <w:bookmarkEnd w:id="269"/>
      <w:bookmarkStart w:id="270" w:name="_Toc184313303"/>
      <w:bookmarkEnd w:id="270"/>
      <w:bookmarkStart w:id="271" w:name="_Toc184313279"/>
      <w:bookmarkEnd w:id="271"/>
      <w:bookmarkStart w:id="272" w:name="_Toc184312134"/>
      <w:bookmarkEnd w:id="272"/>
      <w:bookmarkStart w:id="273" w:name="_Toc184310331"/>
      <w:bookmarkEnd w:id="273"/>
      <w:bookmarkStart w:id="274" w:name="_Toc184312108"/>
      <w:bookmarkEnd w:id="274"/>
      <w:bookmarkStart w:id="275" w:name="_Toc184308039"/>
      <w:bookmarkEnd w:id="275"/>
      <w:bookmarkStart w:id="276" w:name="_Toc184314419"/>
      <w:bookmarkEnd w:id="276"/>
      <w:bookmarkStart w:id="277" w:name="_Toc184314425"/>
      <w:bookmarkEnd w:id="277"/>
      <w:bookmarkStart w:id="278" w:name="_Toc184312070"/>
      <w:bookmarkEnd w:id="278"/>
      <w:bookmarkStart w:id="279" w:name="_Toc184308065"/>
      <w:bookmarkEnd w:id="279"/>
      <w:bookmarkStart w:id="280" w:name="_Toc184312077"/>
      <w:bookmarkEnd w:id="280"/>
      <w:bookmarkStart w:id="281" w:name="_Toc184314452"/>
      <w:bookmarkEnd w:id="281"/>
      <w:bookmarkStart w:id="282" w:name="_Toc184312069"/>
      <w:bookmarkEnd w:id="282"/>
      <w:bookmarkStart w:id="283" w:name="_Toc184308081"/>
      <w:bookmarkEnd w:id="283"/>
      <w:bookmarkStart w:id="284" w:name="_Toc184312079"/>
      <w:bookmarkEnd w:id="284"/>
      <w:bookmarkStart w:id="285" w:name="_Toc184310293"/>
      <w:bookmarkEnd w:id="285"/>
      <w:bookmarkStart w:id="286" w:name="_Toc184313267"/>
      <w:bookmarkEnd w:id="286"/>
      <w:bookmarkStart w:id="287" w:name="_Toc184314456"/>
      <w:bookmarkEnd w:id="287"/>
      <w:bookmarkStart w:id="288" w:name="_Toc184312081"/>
      <w:bookmarkEnd w:id="288"/>
      <w:bookmarkStart w:id="289" w:name="_Toc184314424"/>
      <w:bookmarkEnd w:id="289"/>
      <w:bookmarkStart w:id="290" w:name="_Toc184310329"/>
      <w:bookmarkEnd w:id="290"/>
      <w:bookmarkStart w:id="291" w:name="_Toc184308086"/>
      <w:bookmarkEnd w:id="291"/>
      <w:bookmarkStart w:id="292" w:name="_Toc184310306"/>
      <w:bookmarkEnd w:id="292"/>
      <w:bookmarkStart w:id="293" w:name="_Toc184314429"/>
      <w:bookmarkEnd w:id="293"/>
      <w:bookmarkStart w:id="294" w:name="_Toc184312117"/>
      <w:bookmarkEnd w:id="294"/>
      <w:bookmarkStart w:id="295" w:name="_Toc184308060"/>
      <w:bookmarkEnd w:id="295"/>
      <w:bookmarkStart w:id="296" w:name="_Toc184312084"/>
      <w:bookmarkEnd w:id="296"/>
      <w:bookmarkStart w:id="297" w:name="_Toc184313238"/>
      <w:bookmarkEnd w:id="297"/>
      <w:bookmarkStart w:id="298" w:name="_Toc184312090"/>
      <w:bookmarkEnd w:id="298"/>
      <w:bookmarkStart w:id="299" w:name="_Toc184312122"/>
      <w:bookmarkEnd w:id="299"/>
      <w:bookmarkStart w:id="300" w:name="_Toc184313239"/>
      <w:bookmarkEnd w:id="300"/>
      <w:bookmarkStart w:id="301" w:name="_Toc184312137"/>
      <w:bookmarkEnd w:id="301"/>
      <w:bookmarkStart w:id="302" w:name="_Toc184310296"/>
      <w:bookmarkEnd w:id="302"/>
      <w:bookmarkStart w:id="303" w:name="_Toc184313309"/>
      <w:bookmarkEnd w:id="303"/>
      <w:bookmarkStart w:id="304" w:name="_Toc184313249"/>
      <w:bookmarkEnd w:id="304"/>
      <w:bookmarkStart w:id="305" w:name="_Toc184312104"/>
      <w:bookmarkEnd w:id="305"/>
      <w:bookmarkStart w:id="306" w:name="_Toc184310312"/>
      <w:bookmarkEnd w:id="306"/>
      <w:bookmarkStart w:id="307" w:name="_Toc184308068"/>
      <w:bookmarkEnd w:id="307"/>
      <w:bookmarkStart w:id="308" w:name="_Toc184314453"/>
      <w:bookmarkEnd w:id="308"/>
      <w:bookmarkStart w:id="309" w:name="_Toc184308066"/>
      <w:bookmarkEnd w:id="309"/>
      <w:bookmarkStart w:id="310" w:name="_Toc184314420"/>
      <w:bookmarkEnd w:id="310"/>
      <w:bookmarkStart w:id="311" w:name="_Toc184313275"/>
      <w:bookmarkEnd w:id="311"/>
      <w:bookmarkStart w:id="312" w:name="_Toc184310313"/>
      <w:bookmarkEnd w:id="312"/>
      <w:bookmarkStart w:id="313" w:name="_Toc184308077"/>
      <w:bookmarkEnd w:id="313"/>
      <w:bookmarkStart w:id="314" w:name="_Toc184314447"/>
      <w:bookmarkEnd w:id="314"/>
      <w:bookmarkStart w:id="315" w:name="_Toc184314482"/>
      <w:bookmarkEnd w:id="315"/>
      <w:bookmarkStart w:id="316" w:name="_Toc184313242"/>
      <w:bookmarkEnd w:id="316"/>
      <w:bookmarkStart w:id="317" w:name="_Toc184312138"/>
      <w:bookmarkEnd w:id="317"/>
      <w:bookmarkStart w:id="318" w:name="_Toc184312115"/>
      <w:bookmarkEnd w:id="318"/>
      <w:bookmarkStart w:id="319" w:name="_Toc184310339"/>
      <w:bookmarkEnd w:id="319"/>
      <w:bookmarkStart w:id="320" w:name="_Toc184313257"/>
      <w:bookmarkEnd w:id="320"/>
      <w:bookmarkStart w:id="321" w:name="_Toc184310325"/>
      <w:bookmarkEnd w:id="321"/>
      <w:bookmarkStart w:id="322" w:name="_Toc184310322"/>
      <w:bookmarkEnd w:id="322"/>
      <w:bookmarkStart w:id="323" w:name="_Toc184310326"/>
      <w:bookmarkEnd w:id="323"/>
      <w:bookmarkStart w:id="324" w:name="_Toc184314470"/>
      <w:bookmarkEnd w:id="324"/>
      <w:bookmarkStart w:id="325" w:name="_Toc184313288"/>
      <w:bookmarkEnd w:id="325"/>
      <w:bookmarkStart w:id="326" w:name="_Toc184314428"/>
      <w:bookmarkEnd w:id="326"/>
      <w:bookmarkStart w:id="327" w:name="_Toc184310335"/>
      <w:bookmarkEnd w:id="327"/>
      <w:bookmarkStart w:id="328" w:name="_Toc184312105"/>
      <w:bookmarkEnd w:id="328"/>
      <w:bookmarkStart w:id="329" w:name="_Toc184313300"/>
      <w:bookmarkEnd w:id="329"/>
      <w:bookmarkStart w:id="330" w:name="_Toc184313278"/>
      <w:bookmarkEnd w:id="330"/>
      <w:bookmarkStart w:id="331" w:name="_Toc184313296"/>
      <w:bookmarkEnd w:id="331"/>
      <w:bookmarkStart w:id="332" w:name="_Toc184314437"/>
      <w:bookmarkEnd w:id="332"/>
      <w:bookmarkStart w:id="333" w:name="_Toc184308085"/>
      <w:bookmarkEnd w:id="333"/>
      <w:bookmarkStart w:id="334" w:name="_Toc184314463"/>
      <w:bookmarkEnd w:id="334"/>
      <w:bookmarkStart w:id="335" w:name="_Toc184308076"/>
      <w:bookmarkEnd w:id="335"/>
      <w:bookmarkStart w:id="336" w:name="_Toc184308080"/>
      <w:bookmarkEnd w:id="336"/>
      <w:bookmarkStart w:id="337" w:name="_Toc184308075"/>
      <w:bookmarkEnd w:id="337"/>
      <w:bookmarkStart w:id="338" w:name="_Toc184310274"/>
      <w:bookmarkEnd w:id="338"/>
      <w:bookmarkStart w:id="339" w:name="_Toc184314460"/>
      <w:bookmarkEnd w:id="339"/>
      <w:bookmarkStart w:id="340" w:name="_Toc184312086"/>
      <w:bookmarkEnd w:id="340"/>
      <w:bookmarkStart w:id="341" w:name="_Toc184310343"/>
      <w:bookmarkEnd w:id="341"/>
      <w:bookmarkStart w:id="342" w:name="_Toc184310324"/>
      <w:bookmarkEnd w:id="342"/>
      <w:bookmarkStart w:id="343" w:name="_Toc184310307"/>
      <w:bookmarkEnd w:id="343"/>
      <w:bookmarkStart w:id="344" w:name="_Toc184313265"/>
      <w:bookmarkEnd w:id="344"/>
      <w:bookmarkStart w:id="345" w:name="_Toc184314415"/>
      <w:bookmarkEnd w:id="345"/>
      <w:bookmarkStart w:id="346" w:name="_Toc184312126"/>
      <w:bookmarkEnd w:id="346"/>
      <w:bookmarkStart w:id="347" w:name="_Toc184312074"/>
      <w:bookmarkEnd w:id="347"/>
      <w:bookmarkStart w:id="348" w:name="_Toc184312132"/>
      <w:bookmarkEnd w:id="348"/>
      <w:bookmarkStart w:id="349" w:name="_Toc184312101"/>
      <w:bookmarkEnd w:id="349"/>
      <w:bookmarkStart w:id="350" w:name="_Toc184308099"/>
      <w:bookmarkEnd w:id="350"/>
      <w:bookmarkStart w:id="351" w:name="_Toc184310311"/>
      <w:bookmarkEnd w:id="351"/>
      <w:bookmarkStart w:id="352" w:name="_Toc184313270"/>
      <w:bookmarkEnd w:id="352"/>
      <w:bookmarkStart w:id="353" w:name="_Toc184308067"/>
      <w:bookmarkEnd w:id="353"/>
      <w:bookmarkStart w:id="354" w:name="_Toc184312078"/>
      <w:bookmarkEnd w:id="354"/>
      <w:bookmarkStart w:id="355" w:name="_Toc184313310"/>
      <w:bookmarkEnd w:id="355"/>
      <w:bookmarkStart w:id="356" w:name="_Toc184308093"/>
      <w:bookmarkEnd w:id="356"/>
      <w:bookmarkStart w:id="357" w:name="_Toc184308083"/>
      <w:bookmarkEnd w:id="357"/>
      <w:bookmarkStart w:id="358" w:name="_Toc184314421"/>
      <w:bookmarkEnd w:id="358"/>
      <w:bookmarkStart w:id="359" w:name="_Toc184308054"/>
      <w:bookmarkEnd w:id="359"/>
      <w:bookmarkStart w:id="360" w:name="_Toc184314471"/>
      <w:bookmarkEnd w:id="360"/>
      <w:bookmarkStart w:id="361" w:name="_Toc184308106"/>
      <w:bookmarkEnd w:id="361"/>
      <w:bookmarkStart w:id="362" w:name="_Toc184312097"/>
      <w:bookmarkEnd w:id="362"/>
      <w:bookmarkStart w:id="363" w:name="_Toc184313274"/>
      <w:bookmarkEnd w:id="363"/>
      <w:bookmarkStart w:id="364" w:name="_Toc184314430"/>
      <w:bookmarkEnd w:id="364"/>
      <w:bookmarkStart w:id="365" w:name="_Toc184310278"/>
      <w:bookmarkEnd w:id="365"/>
      <w:bookmarkStart w:id="366" w:name="_Toc184314426"/>
      <w:bookmarkEnd w:id="366"/>
      <w:bookmarkStart w:id="367" w:name="_Toc184310344"/>
      <w:bookmarkEnd w:id="367"/>
      <w:bookmarkStart w:id="368" w:name="_Toc184308098"/>
      <w:bookmarkEnd w:id="368"/>
      <w:bookmarkStart w:id="369" w:name="_Toc184312121"/>
      <w:bookmarkEnd w:id="369"/>
      <w:bookmarkStart w:id="370" w:name="_Toc184314469"/>
      <w:bookmarkEnd w:id="370"/>
      <w:bookmarkStart w:id="371" w:name="_Toc184312089"/>
      <w:bookmarkEnd w:id="371"/>
      <w:bookmarkStart w:id="372" w:name="_Toc184313272"/>
      <w:bookmarkEnd w:id="372"/>
      <w:bookmarkStart w:id="373" w:name="_Toc184308087"/>
      <w:bookmarkEnd w:id="373"/>
      <w:bookmarkStart w:id="374" w:name="_Toc184308041"/>
      <w:bookmarkEnd w:id="374"/>
      <w:bookmarkStart w:id="375" w:name="_Toc184314467"/>
      <w:bookmarkEnd w:id="375"/>
      <w:bookmarkStart w:id="376" w:name="_Toc184312095"/>
      <w:bookmarkEnd w:id="376"/>
      <w:bookmarkStart w:id="377" w:name="_Toc184308107"/>
      <w:bookmarkEnd w:id="377"/>
      <w:bookmarkStart w:id="378" w:name="_Toc184310310"/>
      <w:bookmarkEnd w:id="378"/>
      <w:bookmarkStart w:id="379" w:name="_Toc184312080"/>
      <w:bookmarkEnd w:id="379"/>
      <w:bookmarkStart w:id="380" w:name="_Toc184314458"/>
      <w:bookmarkEnd w:id="380"/>
      <w:bookmarkStart w:id="381" w:name="_Toc184308055"/>
      <w:bookmarkEnd w:id="381"/>
      <w:bookmarkStart w:id="382" w:name="_Toc184313299"/>
      <w:bookmarkEnd w:id="382"/>
      <w:bookmarkStart w:id="383" w:name="_Toc184312130"/>
      <w:bookmarkEnd w:id="383"/>
      <w:bookmarkStart w:id="384" w:name="_Toc184310338"/>
      <w:bookmarkEnd w:id="384"/>
      <w:bookmarkStart w:id="385" w:name="_Toc184314444"/>
      <w:bookmarkEnd w:id="385"/>
      <w:bookmarkStart w:id="386" w:name="_Toc184308047"/>
      <w:bookmarkEnd w:id="386"/>
      <w:bookmarkStart w:id="387" w:name="_Toc184314480"/>
      <w:bookmarkEnd w:id="387"/>
      <w:bookmarkStart w:id="388" w:name="_Toc184312076"/>
      <w:bookmarkEnd w:id="388"/>
      <w:bookmarkStart w:id="389" w:name="_Toc184308052"/>
      <w:bookmarkEnd w:id="389"/>
      <w:bookmarkStart w:id="390" w:name="_Toc184310315"/>
      <w:bookmarkEnd w:id="390"/>
      <w:bookmarkStart w:id="391" w:name="_Toc184313240"/>
      <w:bookmarkEnd w:id="391"/>
      <w:bookmarkStart w:id="392" w:name="_Toc184312083"/>
      <w:bookmarkEnd w:id="392"/>
      <w:bookmarkStart w:id="393" w:name="_Toc184310287"/>
      <w:bookmarkEnd w:id="393"/>
      <w:bookmarkStart w:id="394" w:name="_Toc184312119"/>
      <w:bookmarkEnd w:id="394"/>
      <w:bookmarkStart w:id="395" w:name="_Toc184310342"/>
      <w:bookmarkEnd w:id="395"/>
      <w:bookmarkStart w:id="396" w:name="_Toc184310284"/>
      <w:bookmarkEnd w:id="396"/>
      <w:bookmarkStart w:id="397" w:name="_Toc184308049"/>
      <w:bookmarkEnd w:id="397"/>
      <w:bookmarkStart w:id="398" w:name="_Toc184313244"/>
      <w:bookmarkEnd w:id="398"/>
      <w:bookmarkStart w:id="399" w:name="_Toc184314439"/>
      <w:bookmarkEnd w:id="399"/>
      <w:bookmarkStart w:id="400" w:name="_Toc184314474"/>
      <w:bookmarkEnd w:id="400"/>
      <w:bookmarkStart w:id="401" w:name="_Toc184313308"/>
      <w:bookmarkEnd w:id="401"/>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7719"/>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386"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序号</w:t>
            </w:r>
          </w:p>
        </w:tc>
        <w:tc>
          <w:tcPr>
            <w:tcW w:w="4182"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评标标准</w:t>
            </w:r>
          </w:p>
        </w:tc>
        <w:tc>
          <w:tcPr>
            <w:tcW w:w="431"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p>
        </w:tc>
        <w:tc>
          <w:tcPr>
            <w:tcW w:w="4182"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有效投标报价的最低价作为评标基准价，其最低报价为满分；按［投标报价得分=（评标基准价/投标报价）*</w:t>
            </w:r>
            <w:r>
              <w:rPr>
                <w:rFonts w:hint="eastAsia" w:ascii="宋体" w:hAnsi="宋体" w:eastAsia="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］的计算公式计算。</w:t>
            </w:r>
          </w:p>
          <w:p>
            <w:pPr>
              <w:keepNext w:val="0"/>
              <w:keepLines w:val="0"/>
              <w:pageBreakBefore w:val="0"/>
              <w:widowControl/>
              <w:kinsoku/>
              <w:wordWrap/>
              <w:overflowPunct/>
              <w:topLinePunct w:val="0"/>
              <w:autoSpaceDE/>
              <w:autoSpaceDN/>
              <w:bidi w:val="0"/>
              <w:snapToGrid/>
              <w:spacing w:line="288"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评标过程中，不得去掉报价中的最高报价和最低报价。</w:t>
            </w:r>
          </w:p>
          <w:p>
            <w:pPr>
              <w:keepNext w:val="0"/>
              <w:keepLines w:val="0"/>
              <w:pageBreakBefore w:val="0"/>
              <w:widowControl/>
              <w:kinsoku/>
              <w:wordWrap/>
              <w:overflowPunct/>
              <w:topLinePunct w:val="0"/>
              <w:autoSpaceDE/>
              <w:autoSpaceDN/>
              <w:bidi w:val="0"/>
              <w:snapToGrid/>
              <w:spacing w:line="288"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因落实政府采购政策需要进行价格调整的，以调整后的价格计算评标基准价和投标报价。</w:t>
            </w:r>
          </w:p>
        </w:tc>
        <w:tc>
          <w:tcPr>
            <w:tcW w:w="431"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182" w:type="pct"/>
            <w:noWrap w:val="0"/>
            <w:vAlign w:val="center"/>
          </w:tcPr>
          <w:p>
            <w:pPr>
              <w:keepNext w:val="0"/>
              <w:keepLines w:val="0"/>
              <w:pageBreakBefore w:val="0"/>
              <w:kinsoku/>
              <w:wordWrap/>
              <w:overflowPunct/>
              <w:topLinePunct w:val="0"/>
              <w:autoSpaceDE/>
              <w:autoSpaceDN/>
              <w:bidi w:val="0"/>
              <w:snapToGrid/>
              <w:spacing w:line="288"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客观分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投标人的成功经验</w:t>
            </w:r>
            <w:r>
              <w:rPr>
                <w:rFonts w:hint="eastAsia" w:ascii="宋体" w:hAnsi="宋体" w:eastAsia="宋体" w:cs="宋体"/>
                <w:color w:val="auto"/>
                <w:kern w:val="0"/>
                <w:sz w:val="24"/>
                <w:szCs w:val="24"/>
                <w:highlight w:val="none"/>
                <w:lang w:eastAsia="zh-CN"/>
              </w:rPr>
              <w:t>：</w:t>
            </w:r>
          </w:p>
          <w:p>
            <w:pPr>
              <w:keepNext w:val="0"/>
              <w:keepLines w:val="0"/>
              <w:pageBreakBefore w:val="0"/>
              <w:kinsoku/>
              <w:wordWrap/>
              <w:overflowPunct/>
              <w:topLinePunct w:val="0"/>
              <w:autoSpaceDE/>
              <w:autoSpaceDN/>
              <w:bidi w:val="0"/>
              <w:snapToGrid/>
              <w:spacing w:line="288"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r>
              <w:rPr>
                <w:rFonts w:hint="eastAsia" w:ascii="宋体" w:hAnsi="宋体" w:eastAsia="宋体" w:cs="宋体"/>
                <w:color w:val="auto"/>
                <w:kern w:val="0"/>
                <w:sz w:val="24"/>
                <w:szCs w:val="24"/>
                <w:highlight w:val="none"/>
                <w:lang w:val="en-US" w:eastAsia="zh-CN"/>
              </w:rPr>
              <w:t>22</w:t>
            </w:r>
            <w:r>
              <w:rPr>
                <w:rFonts w:hint="eastAsia" w:ascii="宋体" w:hAnsi="宋体" w:eastAsia="宋体" w:cs="宋体"/>
                <w:color w:val="auto"/>
                <w:kern w:val="0"/>
                <w:sz w:val="24"/>
                <w:szCs w:val="24"/>
                <w:highlight w:val="none"/>
              </w:rPr>
              <w:t>年1月1日至投标截止时间，投标人具有类似运营服务项目业绩的，每提供一个业绩证明材料得</w:t>
            </w:r>
            <w:r>
              <w:rPr>
                <w:rFonts w:hint="eastAsia" w:ascii="宋体" w:hAnsi="宋体" w:eastAsia="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分，最高得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分。（提供合同复印件加盖公章）</w:t>
            </w:r>
          </w:p>
        </w:tc>
        <w:tc>
          <w:tcPr>
            <w:tcW w:w="431" w:type="pct"/>
            <w:noWrap/>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4182" w:type="pct"/>
            <w:noWrap w:val="0"/>
            <w:vAlign w:val="center"/>
          </w:tcPr>
          <w:p>
            <w:pPr>
              <w:keepNext w:val="0"/>
              <w:keepLines w:val="0"/>
              <w:pageBreakBefore w:val="0"/>
              <w:kinsoku/>
              <w:wordWrap/>
              <w:overflowPunct/>
              <w:topLinePunct w:val="0"/>
              <w:autoSpaceDE/>
              <w:autoSpaceDN/>
              <w:bidi w:val="0"/>
              <w:snapToGrid/>
              <w:spacing w:line="288" w:lineRule="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客观分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shd w:val="clear" w:color="auto" w:fill="FFFFFF"/>
              </w:rPr>
              <w:t>自主知识产权</w:t>
            </w:r>
            <w:r>
              <w:rPr>
                <w:rFonts w:hint="eastAsia" w:ascii="宋体" w:hAnsi="宋体" w:eastAsia="宋体" w:cs="宋体"/>
                <w:color w:val="auto"/>
                <w:sz w:val="24"/>
                <w:szCs w:val="24"/>
                <w:highlight w:val="none"/>
                <w:shd w:val="clear" w:color="auto" w:fill="FFFFFF"/>
                <w:lang w:eastAsia="zh-CN"/>
              </w:rPr>
              <w:t>：</w:t>
            </w:r>
          </w:p>
          <w:p>
            <w:pPr>
              <w:keepNext w:val="0"/>
              <w:keepLines w:val="0"/>
              <w:pageBreakBefore w:val="0"/>
              <w:kinsoku/>
              <w:wordWrap/>
              <w:overflowPunct/>
              <w:topLinePunct w:val="0"/>
              <w:autoSpaceDE/>
              <w:autoSpaceDN/>
              <w:bidi w:val="0"/>
              <w:snapToGrid/>
              <w:spacing w:line="288"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投标人具备以下类别软件著作权，每具备一项得1分，最高得</w:t>
            </w: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分：</w:t>
            </w:r>
          </w:p>
          <w:p>
            <w:pPr>
              <w:keepNext w:val="0"/>
              <w:keepLines w:val="0"/>
              <w:pageBreakBefore w:val="0"/>
              <w:kinsoku/>
              <w:wordWrap/>
              <w:overflowPunct/>
              <w:topLinePunct w:val="0"/>
              <w:autoSpaceDE/>
              <w:autoSpaceDN/>
              <w:bidi w:val="0"/>
              <w:snapToGrid/>
              <w:spacing w:line="288"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（1）出租汽车定位监控调度系统类软件</w:t>
            </w:r>
          </w:p>
          <w:p>
            <w:pPr>
              <w:keepNext w:val="0"/>
              <w:keepLines w:val="0"/>
              <w:pageBreakBefore w:val="0"/>
              <w:kinsoku/>
              <w:wordWrap/>
              <w:overflowPunct/>
              <w:topLinePunct w:val="0"/>
              <w:autoSpaceDE/>
              <w:autoSpaceDN/>
              <w:bidi w:val="0"/>
              <w:snapToGrid/>
              <w:spacing w:line="288"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（2）出租汽车动态监管类软件</w:t>
            </w:r>
          </w:p>
          <w:p>
            <w:pPr>
              <w:keepNext w:val="0"/>
              <w:keepLines w:val="0"/>
              <w:pageBreakBefore w:val="0"/>
              <w:kinsoku/>
              <w:wordWrap/>
              <w:overflowPunct/>
              <w:topLinePunct w:val="0"/>
              <w:autoSpaceDE/>
              <w:autoSpaceDN/>
              <w:bidi w:val="0"/>
              <w:snapToGrid/>
              <w:spacing w:line="288"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（3）出租汽车综合业务查询与报表统计类软件</w:t>
            </w:r>
          </w:p>
          <w:p>
            <w:pPr>
              <w:keepNext w:val="0"/>
              <w:keepLines w:val="0"/>
              <w:pageBreakBefore w:val="0"/>
              <w:kinsoku/>
              <w:wordWrap/>
              <w:overflowPunct/>
              <w:topLinePunct w:val="0"/>
              <w:autoSpaceDE/>
              <w:autoSpaceDN/>
              <w:bidi w:val="0"/>
              <w:snapToGrid/>
              <w:spacing w:line="288"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shd w:val="clear" w:color="auto" w:fill="FFFFFF"/>
              </w:rPr>
              <w:t>注：重复项仅算一项，提供</w:t>
            </w:r>
            <w:r>
              <w:rPr>
                <w:rFonts w:hint="eastAsia" w:ascii="宋体" w:hAnsi="宋体" w:eastAsia="宋体" w:cs="宋体"/>
                <w:color w:val="auto"/>
                <w:sz w:val="24"/>
                <w:szCs w:val="24"/>
                <w:highlight w:val="none"/>
                <w:shd w:val="clear" w:color="auto" w:fill="FFFFFF"/>
                <w:lang w:eastAsia="zh-CN"/>
              </w:rPr>
              <w:t>有效</w:t>
            </w:r>
            <w:r>
              <w:rPr>
                <w:rFonts w:hint="eastAsia" w:ascii="宋体" w:hAnsi="宋体" w:eastAsia="宋体" w:cs="宋体"/>
                <w:color w:val="auto"/>
                <w:sz w:val="24"/>
                <w:szCs w:val="24"/>
                <w:highlight w:val="none"/>
                <w:shd w:val="clear" w:color="auto" w:fill="FFFFFF"/>
              </w:rPr>
              <w:t>证书复印件加盖公章</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不符合要求</w:t>
            </w:r>
            <w:r>
              <w:rPr>
                <w:rFonts w:hint="eastAsia" w:ascii="宋体" w:hAnsi="宋体" w:eastAsia="宋体" w:cs="宋体"/>
                <w:color w:val="auto"/>
                <w:sz w:val="24"/>
                <w:szCs w:val="24"/>
                <w:highlight w:val="none"/>
                <w:shd w:val="clear" w:color="auto" w:fill="FFFFFF"/>
                <w:lang w:eastAsia="zh-CN"/>
              </w:rPr>
              <w:t>或未提供</w:t>
            </w:r>
            <w:r>
              <w:rPr>
                <w:rFonts w:hint="eastAsia" w:ascii="宋体" w:hAnsi="宋体" w:eastAsia="宋体" w:cs="宋体"/>
                <w:color w:val="auto"/>
                <w:sz w:val="24"/>
                <w:szCs w:val="24"/>
                <w:highlight w:val="none"/>
                <w:shd w:val="clear" w:color="auto" w:fill="FFFFFF"/>
              </w:rPr>
              <w:t>不得分。</w:t>
            </w:r>
          </w:p>
        </w:tc>
        <w:tc>
          <w:tcPr>
            <w:tcW w:w="431" w:type="pct"/>
            <w:noWrap/>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4182" w:type="pct"/>
            <w:noWrap w:val="0"/>
            <w:vAlign w:val="center"/>
          </w:tcPr>
          <w:p>
            <w:pPr>
              <w:keepNext w:val="0"/>
              <w:keepLines w:val="0"/>
              <w:pageBreakBefore w:val="0"/>
              <w:kinsoku/>
              <w:wordWrap/>
              <w:overflowPunct/>
              <w:topLinePunct w:val="0"/>
              <w:autoSpaceDE/>
              <w:autoSpaceDN/>
              <w:bidi w:val="0"/>
              <w:snapToGrid/>
              <w:spacing w:line="288" w:lineRule="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客观分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shd w:val="clear" w:color="auto" w:fill="FFFFFF"/>
              </w:rPr>
              <w:t>投标人资质</w:t>
            </w:r>
            <w:r>
              <w:rPr>
                <w:rFonts w:hint="eastAsia" w:ascii="宋体" w:hAnsi="宋体" w:eastAsia="宋体" w:cs="宋体"/>
                <w:color w:val="auto"/>
                <w:sz w:val="24"/>
                <w:szCs w:val="24"/>
                <w:highlight w:val="none"/>
                <w:shd w:val="clear" w:color="auto" w:fill="FFFFFF"/>
                <w:lang w:eastAsia="zh-CN"/>
              </w:rPr>
              <w:t>：</w:t>
            </w:r>
          </w:p>
          <w:p>
            <w:pPr>
              <w:keepNext w:val="0"/>
              <w:keepLines w:val="0"/>
              <w:pageBreakBefore w:val="0"/>
              <w:kinsoku/>
              <w:wordWrap/>
              <w:overflowPunct/>
              <w:topLinePunct w:val="0"/>
              <w:autoSpaceDE/>
              <w:autoSpaceDN/>
              <w:bidi w:val="0"/>
              <w:snapToGrid/>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投标人具备以下</w:t>
            </w:r>
            <w:r>
              <w:rPr>
                <w:rFonts w:hint="eastAsia" w:ascii="宋体" w:hAnsi="宋体" w:eastAsia="宋体" w:cs="宋体"/>
                <w:color w:val="auto"/>
                <w:sz w:val="24"/>
                <w:szCs w:val="24"/>
                <w:highlight w:val="none"/>
                <w:shd w:val="clear" w:color="auto" w:fill="FFFFFF"/>
                <w:lang w:eastAsia="zh-CN"/>
              </w:rPr>
              <w:t>认证体系，</w:t>
            </w:r>
            <w:r>
              <w:rPr>
                <w:rFonts w:hint="eastAsia" w:ascii="宋体" w:hAnsi="宋体" w:eastAsia="宋体" w:cs="宋体"/>
                <w:color w:val="auto"/>
                <w:sz w:val="24"/>
                <w:szCs w:val="24"/>
                <w:highlight w:val="none"/>
                <w:shd w:val="clear" w:color="auto" w:fill="FFFFFF"/>
              </w:rPr>
              <w:t>每具备一项得1分，最高得</w:t>
            </w: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分：</w:t>
            </w:r>
          </w:p>
          <w:p>
            <w:pPr>
              <w:keepNext w:val="0"/>
              <w:keepLines w:val="0"/>
              <w:pageBreakBefore w:val="0"/>
              <w:numPr>
                <w:ilvl w:val="0"/>
                <w:numId w:val="12"/>
              </w:numPr>
              <w:kinsoku/>
              <w:wordWrap/>
              <w:overflowPunct/>
              <w:topLinePunct w:val="0"/>
              <w:autoSpaceDE/>
              <w:autoSpaceDN/>
              <w:bidi w:val="0"/>
              <w:snapToGrid/>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ISO9001质量管理体系</w:t>
            </w:r>
            <w:r>
              <w:rPr>
                <w:rFonts w:hint="eastAsia" w:ascii="宋体" w:hAnsi="宋体" w:cs="宋体"/>
                <w:color w:val="auto"/>
                <w:sz w:val="24"/>
                <w:szCs w:val="24"/>
                <w:highlight w:val="none"/>
                <w:lang w:val="en-US" w:eastAsia="zh-CN"/>
              </w:rPr>
              <w:t>认证证书</w:t>
            </w:r>
          </w:p>
          <w:p>
            <w:pPr>
              <w:keepNext w:val="0"/>
              <w:keepLines w:val="0"/>
              <w:pageBreakBefore w:val="0"/>
              <w:numPr>
                <w:ilvl w:val="0"/>
                <w:numId w:val="12"/>
              </w:numPr>
              <w:kinsoku/>
              <w:wordWrap/>
              <w:overflowPunct/>
              <w:topLinePunct w:val="0"/>
              <w:autoSpaceDE/>
              <w:autoSpaceDN/>
              <w:bidi w:val="0"/>
              <w:snapToGrid/>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ISO27001 信息安全管理体系</w:t>
            </w:r>
            <w:r>
              <w:rPr>
                <w:rFonts w:hint="eastAsia" w:ascii="宋体" w:hAnsi="宋体" w:cs="宋体"/>
                <w:color w:val="auto"/>
                <w:sz w:val="24"/>
                <w:szCs w:val="24"/>
                <w:highlight w:val="none"/>
                <w:lang w:val="en-US" w:eastAsia="zh-CN"/>
              </w:rPr>
              <w:t>认证证书</w:t>
            </w:r>
          </w:p>
          <w:p>
            <w:pPr>
              <w:keepNext w:val="0"/>
              <w:keepLines w:val="0"/>
              <w:pageBreakBefore w:val="0"/>
              <w:numPr>
                <w:ilvl w:val="0"/>
                <w:numId w:val="12"/>
              </w:numPr>
              <w:kinsoku/>
              <w:wordWrap/>
              <w:overflowPunct/>
              <w:topLinePunct w:val="0"/>
              <w:autoSpaceDE/>
              <w:autoSpaceDN/>
              <w:bidi w:val="0"/>
              <w:snapToGrid/>
              <w:spacing w:line="288"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ISO20000 信息技术服务管理体系</w:t>
            </w:r>
            <w:r>
              <w:rPr>
                <w:rFonts w:hint="eastAsia" w:ascii="宋体" w:hAnsi="宋体" w:cs="宋体"/>
                <w:color w:val="auto"/>
                <w:sz w:val="24"/>
                <w:szCs w:val="24"/>
                <w:highlight w:val="none"/>
                <w:lang w:val="en-US" w:eastAsia="zh-CN"/>
              </w:rPr>
              <w:t>认证证书</w:t>
            </w:r>
          </w:p>
          <w:p>
            <w:pPr>
              <w:keepNext w:val="0"/>
              <w:keepLines w:val="0"/>
              <w:pageBreakBefore w:val="0"/>
              <w:numPr>
                <w:ilvl w:val="0"/>
                <w:numId w:val="0"/>
              </w:numPr>
              <w:kinsoku/>
              <w:wordWrap/>
              <w:overflowPunct/>
              <w:topLinePunct w:val="0"/>
              <w:autoSpaceDE/>
              <w:autoSpaceDN/>
              <w:bidi w:val="0"/>
              <w:snapToGrid/>
              <w:spacing w:line="288"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lang w:eastAsia="zh-CN"/>
              </w:rPr>
              <w:t>注：</w:t>
            </w:r>
            <w:r>
              <w:rPr>
                <w:rFonts w:hint="eastAsia" w:ascii="宋体" w:hAnsi="宋体" w:eastAsia="宋体" w:cs="宋体"/>
                <w:color w:val="auto"/>
                <w:sz w:val="24"/>
                <w:szCs w:val="24"/>
                <w:highlight w:val="none"/>
                <w:shd w:val="clear" w:color="auto" w:fill="FFFFFF"/>
              </w:rPr>
              <w:t>提供</w:t>
            </w:r>
            <w:r>
              <w:rPr>
                <w:rFonts w:hint="eastAsia" w:ascii="宋体" w:hAnsi="宋体" w:eastAsia="宋体" w:cs="宋体"/>
                <w:color w:val="auto"/>
                <w:sz w:val="24"/>
                <w:szCs w:val="24"/>
                <w:highlight w:val="none"/>
                <w:shd w:val="clear" w:color="auto" w:fill="FFFFFF"/>
                <w:lang w:eastAsia="zh-CN"/>
              </w:rPr>
              <w:t>有效</w:t>
            </w:r>
            <w:r>
              <w:rPr>
                <w:rFonts w:hint="eastAsia" w:ascii="宋体" w:hAnsi="宋体" w:eastAsia="宋体" w:cs="宋体"/>
                <w:color w:val="auto"/>
                <w:sz w:val="24"/>
                <w:szCs w:val="24"/>
                <w:highlight w:val="none"/>
                <w:shd w:val="clear" w:color="auto" w:fill="FFFFFF"/>
              </w:rPr>
              <w:t>证书复印件加盖公章</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不符合要求</w:t>
            </w:r>
            <w:r>
              <w:rPr>
                <w:rFonts w:hint="eastAsia" w:ascii="宋体" w:hAnsi="宋体" w:eastAsia="宋体" w:cs="宋体"/>
                <w:color w:val="auto"/>
                <w:sz w:val="24"/>
                <w:szCs w:val="24"/>
                <w:highlight w:val="none"/>
                <w:shd w:val="clear" w:color="auto" w:fill="FFFFFF"/>
                <w:lang w:eastAsia="zh-CN"/>
              </w:rPr>
              <w:t>或未提供</w:t>
            </w:r>
            <w:r>
              <w:rPr>
                <w:rFonts w:hint="eastAsia" w:ascii="宋体" w:hAnsi="宋体" w:eastAsia="宋体" w:cs="宋体"/>
                <w:color w:val="auto"/>
                <w:sz w:val="24"/>
                <w:szCs w:val="24"/>
                <w:highlight w:val="none"/>
                <w:shd w:val="clear" w:color="auto" w:fill="FFFFFF"/>
              </w:rPr>
              <w:t>不得分。</w:t>
            </w:r>
          </w:p>
        </w:tc>
        <w:tc>
          <w:tcPr>
            <w:tcW w:w="431" w:type="pct"/>
            <w:noWrap/>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4182" w:type="pct"/>
            <w:noWrap w:val="0"/>
            <w:vAlign w:val="center"/>
          </w:tcPr>
          <w:p>
            <w:pPr>
              <w:keepNext w:val="0"/>
              <w:keepLines w:val="0"/>
              <w:pageBreakBefore w:val="0"/>
              <w:kinsoku/>
              <w:wordWrap/>
              <w:overflowPunct/>
              <w:topLinePunct w:val="0"/>
              <w:autoSpaceDE/>
              <w:autoSpaceDN/>
              <w:bidi w:val="0"/>
              <w:snapToGrid/>
              <w:spacing w:line="288"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技术和服务组织方案</w:t>
            </w:r>
          </w:p>
        </w:tc>
        <w:tc>
          <w:tcPr>
            <w:tcW w:w="431" w:type="pct"/>
            <w:noWrap/>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4.1</w:t>
            </w:r>
          </w:p>
        </w:tc>
        <w:tc>
          <w:tcPr>
            <w:tcW w:w="4182"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投标方案对项目背景、业务现状及分析、建设目标、项目需求及部署环境等</w:t>
            </w:r>
            <w:r>
              <w:rPr>
                <w:rFonts w:hint="eastAsia" w:ascii="宋体" w:hAnsi="宋体" w:eastAsia="宋体" w:cs="宋体"/>
                <w:color w:val="auto"/>
                <w:kern w:val="0"/>
                <w:sz w:val="24"/>
                <w:szCs w:val="24"/>
                <w:highlight w:val="none"/>
                <w:lang w:val="en-US" w:eastAsia="zh-CN"/>
              </w:rPr>
              <w:t>了解情况；根据需求</w:t>
            </w:r>
            <w:r>
              <w:rPr>
                <w:rFonts w:hint="eastAsia" w:ascii="宋体" w:hAnsi="宋体" w:eastAsia="宋体" w:cs="宋体"/>
                <w:color w:val="auto"/>
                <w:kern w:val="0"/>
                <w:sz w:val="24"/>
                <w:szCs w:val="24"/>
                <w:highlight w:val="none"/>
              </w:rPr>
              <w:t>理解程度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前期调查</w:t>
            </w:r>
            <w:r>
              <w:rPr>
                <w:rFonts w:hint="eastAsia" w:ascii="宋体" w:hAnsi="宋体" w:eastAsia="宋体" w:cs="宋体"/>
                <w:color w:val="auto"/>
                <w:kern w:val="0"/>
                <w:sz w:val="24"/>
                <w:szCs w:val="24"/>
                <w:highlight w:val="none"/>
                <w:lang w:val="en-US" w:eastAsia="zh-CN"/>
              </w:rPr>
              <w:t>是否全面合理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对本项目的了解</w:t>
            </w:r>
            <w:r>
              <w:rPr>
                <w:rFonts w:hint="eastAsia" w:ascii="宋体" w:hAnsi="宋体" w:eastAsia="宋体" w:cs="宋体"/>
                <w:color w:val="auto"/>
                <w:kern w:val="0"/>
                <w:sz w:val="24"/>
                <w:szCs w:val="24"/>
                <w:highlight w:val="none"/>
                <w:lang w:val="en-US" w:eastAsia="zh-CN"/>
              </w:rPr>
              <w:t>程度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平台运行的熟悉</w:t>
            </w:r>
            <w:r>
              <w:rPr>
                <w:rFonts w:hint="eastAsia" w:ascii="宋体" w:hAnsi="宋体" w:eastAsia="宋体" w:cs="宋体"/>
                <w:color w:val="auto"/>
                <w:kern w:val="0"/>
                <w:sz w:val="24"/>
                <w:szCs w:val="24"/>
                <w:highlight w:val="none"/>
                <w:lang w:val="en-US" w:eastAsia="zh-CN"/>
              </w:rPr>
              <w:t>程度等进行综合评审。（评分分值：5,4,3,2,1,0）</w:t>
            </w:r>
          </w:p>
        </w:tc>
        <w:tc>
          <w:tcPr>
            <w:tcW w:w="431"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4.2</w:t>
            </w:r>
          </w:p>
        </w:tc>
        <w:tc>
          <w:tcPr>
            <w:tcW w:w="4182"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结合需求理解，对项目进行重难点分析，并提出合理化建议或解决措施，重难点分析对口，且合理化建议或解决措施可行的，每条1分，最高得5分。</w:t>
            </w:r>
            <w:r>
              <w:rPr>
                <w:rFonts w:hint="eastAsia" w:ascii="宋体" w:hAnsi="宋体" w:eastAsia="宋体" w:cs="宋体"/>
                <w:color w:val="auto"/>
                <w:kern w:val="0"/>
                <w:sz w:val="24"/>
                <w:szCs w:val="24"/>
                <w:highlight w:val="none"/>
                <w:lang w:val="en-US" w:eastAsia="zh-CN"/>
              </w:rPr>
              <w:t>（评分分值：5,4,3,2,1,0）</w:t>
            </w:r>
          </w:p>
        </w:tc>
        <w:tc>
          <w:tcPr>
            <w:tcW w:w="431"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4182"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技术服务方案</w:t>
            </w:r>
          </w:p>
        </w:tc>
        <w:tc>
          <w:tcPr>
            <w:tcW w:w="431"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w:t>
            </w:r>
          </w:p>
        </w:tc>
        <w:tc>
          <w:tcPr>
            <w:tcW w:w="4182"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textAlignment w:val="center"/>
              <w:rPr>
                <w:rFonts w:hint="eastAsia" w:ascii="宋体" w:hAnsi="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rPr>
              <w:t>行业数据监测与分析服务</w:t>
            </w:r>
            <w:r>
              <w:rPr>
                <w:rFonts w:hint="eastAsia" w:ascii="宋体" w:hAnsi="宋体" w:eastAsia="宋体" w:cs="宋体"/>
                <w:bCs w:val="0"/>
                <w:color w:val="auto"/>
                <w:sz w:val="24"/>
                <w:szCs w:val="24"/>
                <w:highlight w:val="none"/>
                <w:lang w:val="en-US" w:eastAsia="zh-CN"/>
              </w:rPr>
              <w:t>方案</w:t>
            </w:r>
            <w:r>
              <w:rPr>
                <w:rFonts w:hint="eastAsia" w:ascii="宋体" w:hAnsi="宋体" w:cs="宋体"/>
                <w:bCs w:val="0"/>
                <w:color w:val="auto"/>
                <w:sz w:val="24"/>
                <w:szCs w:val="24"/>
                <w:highlight w:val="none"/>
                <w:lang w:val="en-US" w:eastAsia="zh-CN"/>
              </w:rPr>
              <w:t>：</w:t>
            </w:r>
          </w:p>
          <w:p>
            <w:pPr>
              <w:keepNext w:val="0"/>
              <w:keepLines w:val="0"/>
              <w:pageBreakBefore w:val="0"/>
              <w:widowControl/>
              <w:kinsoku/>
              <w:wordWrap/>
              <w:overflowPunct/>
              <w:topLinePunct w:val="0"/>
              <w:autoSpaceDE/>
              <w:autoSpaceDN/>
              <w:bidi w:val="0"/>
              <w:snapToGrid/>
              <w:spacing w:line="288" w:lineRule="auto"/>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Cs w:val="0"/>
                <w:color w:val="auto"/>
                <w:sz w:val="24"/>
                <w:szCs w:val="24"/>
                <w:highlight w:val="none"/>
                <w:lang w:val="en-US" w:eastAsia="zh-CN"/>
              </w:rPr>
              <w:t>包含出租汽车行业运行分析服务、行业营运情况监测服务、行业运力需求及规模监测服务、场站枢纽以及景区数据监测服务、行业收入水平监测服务、行业运价水平监测服务、出租汽车运行数据对接服务等7个行业数据监测与分析服务；根据每项服务内容的完善合理程度、可实施性强弱等进行综合评审。每项1分（评分分值1,0.5,0），本项最高得7分。</w:t>
            </w:r>
          </w:p>
        </w:tc>
        <w:tc>
          <w:tcPr>
            <w:tcW w:w="431"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w:t>
            </w:r>
          </w:p>
        </w:tc>
        <w:tc>
          <w:tcPr>
            <w:tcW w:w="4182"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textAlignment w:val="center"/>
              <w:rPr>
                <w:rFonts w:hint="eastAsia" w:ascii="宋体" w:hAnsi="宋体" w:eastAsia="宋体" w:cs="宋体"/>
                <w:bCs w:val="0"/>
                <w:color w:val="auto"/>
                <w:sz w:val="24"/>
                <w:szCs w:val="24"/>
                <w:highlight w:val="none"/>
                <w:lang w:eastAsia="zh-CN"/>
              </w:rPr>
            </w:pPr>
            <w:r>
              <w:rPr>
                <w:rFonts w:hint="eastAsia" w:ascii="宋体" w:hAnsi="宋体" w:eastAsia="宋体" w:cs="宋体"/>
                <w:bCs w:val="0"/>
                <w:color w:val="auto"/>
                <w:sz w:val="24"/>
                <w:szCs w:val="24"/>
                <w:highlight w:val="none"/>
              </w:rPr>
              <w:t>管理保障服务</w:t>
            </w:r>
            <w:r>
              <w:rPr>
                <w:rFonts w:hint="eastAsia" w:ascii="宋体" w:hAnsi="宋体" w:eastAsia="宋体" w:cs="宋体"/>
                <w:bCs w:val="0"/>
                <w:color w:val="auto"/>
                <w:sz w:val="24"/>
                <w:szCs w:val="24"/>
                <w:highlight w:val="none"/>
                <w:lang w:val="en-US" w:eastAsia="zh-CN"/>
              </w:rPr>
              <w:t>方案</w:t>
            </w:r>
            <w:r>
              <w:rPr>
                <w:rFonts w:hint="eastAsia" w:ascii="宋体" w:hAnsi="宋体" w:eastAsia="宋体" w:cs="宋体"/>
                <w:bCs w:val="0"/>
                <w:color w:val="auto"/>
                <w:sz w:val="24"/>
                <w:szCs w:val="24"/>
                <w:highlight w:val="none"/>
                <w:lang w:eastAsia="zh-CN"/>
              </w:rPr>
              <w:t>：</w:t>
            </w:r>
          </w:p>
          <w:p>
            <w:pPr>
              <w:keepNext w:val="0"/>
              <w:keepLines w:val="0"/>
              <w:pageBreakBefore w:val="0"/>
              <w:widowControl/>
              <w:kinsoku/>
              <w:wordWrap/>
              <w:overflowPunct/>
              <w:topLinePunct w:val="0"/>
              <w:autoSpaceDE/>
              <w:autoSpaceDN/>
              <w:bidi w:val="0"/>
              <w:snapToGrid/>
              <w:spacing w:line="288" w:lineRule="auto"/>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Cs w:val="0"/>
                <w:color w:val="auto"/>
                <w:sz w:val="24"/>
                <w:szCs w:val="24"/>
                <w:highlight w:val="none"/>
                <w:lang w:val="en-US" w:eastAsia="zh-CN"/>
              </w:rPr>
              <w:t>包含</w:t>
            </w:r>
            <w:r>
              <w:rPr>
                <w:rFonts w:hint="eastAsia" w:ascii="宋体" w:hAnsi="宋体" w:eastAsia="宋体" w:cs="宋体"/>
                <w:bCs/>
                <w:color w:val="auto"/>
                <w:sz w:val="24"/>
                <w:szCs w:val="24"/>
                <w:highlight w:val="none"/>
              </w:rPr>
              <w:t>行业维稳保障服务、城市文明创建保障服务、应急处置保障、公共卫生事件防控保障、重大活动保障等5个管理保障服务</w:t>
            </w:r>
            <w:r>
              <w:rPr>
                <w:rFonts w:hint="eastAsia" w:ascii="宋体" w:hAnsi="宋体" w:eastAsia="宋体" w:cs="宋体"/>
                <w:bCs/>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根据每项服务内容的完善合理程度、可实施性强弱等进行综合评审。每项1分（评分分值1,0.5,0），本项最高得5分。</w:t>
            </w:r>
          </w:p>
        </w:tc>
        <w:tc>
          <w:tcPr>
            <w:tcW w:w="431"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w:t>
            </w:r>
          </w:p>
        </w:tc>
        <w:tc>
          <w:tcPr>
            <w:tcW w:w="4182"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textAlignment w:val="center"/>
              <w:rPr>
                <w:rFonts w:hint="eastAsia" w:ascii="宋体" w:hAnsi="宋体" w:eastAsia="宋体" w:cs="宋体"/>
                <w:bCs w:val="0"/>
                <w:color w:val="auto"/>
                <w:sz w:val="24"/>
                <w:szCs w:val="24"/>
                <w:highlight w:val="none"/>
                <w:lang w:eastAsia="zh-CN"/>
              </w:rPr>
            </w:pPr>
            <w:r>
              <w:rPr>
                <w:rFonts w:hint="eastAsia" w:ascii="宋体" w:hAnsi="宋体" w:eastAsia="宋体" w:cs="宋体"/>
                <w:bCs w:val="0"/>
                <w:color w:val="auto"/>
                <w:sz w:val="24"/>
                <w:szCs w:val="24"/>
                <w:highlight w:val="none"/>
              </w:rPr>
              <w:t>执法保障服务</w:t>
            </w:r>
            <w:r>
              <w:rPr>
                <w:rFonts w:hint="eastAsia" w:ascii="宋体" w:hAnsi="宋体" w:eastAsia="宋体" w:cs="宋体"/>
                <w:bCs w:val="0"/>
                <w:color w:val="auto"/>
                <w:sz w:val="24"/>
                <w:szCs w:val="24"/>
                <w:highlight w:val="none"/>
                <w:lang w:val="en-US" w:eastAsia="zh-CN"/>
              </w:rPr>
              <w:t>方案</w:t>
            </w:r>
            <w:r>
              <w:rPr>
                <w:rFonts w:hint="eastAsia" w:ascii="宋体" w:hAnsi="宋体" w:eastAsia="宋体" w:cs="宋体"/>
                <w:bCs w:val="0"/>
                <w:color w:val="auto"/>
                <w:sz w:val="24"/>
                <w:szCs w:val="24"/>
                <w:highlight w:val="none"/>
                <w:lang w:eastAsia="zh-CN"/>
              </w:rPr>
              <w:t>：</w:t>
            </w:r>
          </w:p>
          <w:p>
            <w:pPr>
              <w:keepNext w:val="0"/>
              <w:keepLines w:val="0"/>
              <w:pageBreakBefore w:val="0"/>
              <w:widowControl/>
              <w:kinsoku/>
              <w:wordWrap/>
              <w:overflowPunct/>
              <w:topLinePunct w:val="0"/>
              <w:autoSpaceDE/>
              <w:autoSpaceDN/>
              <w:bidi w:val="0"/>
              <w:snapToGrid/>
              <w:spacing w:line="288" w:lineRule="auto"/>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Cs w:val="0"/>
                <w:color w:val="auto"/>
                <w:sz w:val="24"/>
                <w:szCs w:val="24"/>
                <w:highlight w:val="none"/>
                <w:lang w:val="en-US" w:eastAsia="zh-CN"/>
              </w:rPr>
              <w:t>包含</w:t>
            </w:r>
            <w:r>
              <w:rPr>
                <w:rFonts w:hint="eastAsia" w:ascii="宋体" w:hAnsi="宋体" w:eastAsia="宋体" w:cs="宋体"/>
                <w:bCs/>
                <w:color w:val="auto"/>
                <w:sz w:val="24"/>
                <w:szCs w:val="24"/>
                <w:highlight w:val="none"/>
              </w:rPr>
              <w:t>营运违章情况监测服务、执法辅助支持服务</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行业服务质量数据保障服务等</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个执法保障服务</w:t>
            </w:r>
            <w:r>
              <w:rPr>
                <w:rFonts w:hint="eastAsia" w:ascii="宋体" w:hAnsi="宋体" w:eastAsia="宋体" w:cs="宋体"/>
                <w:bCs/>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根据每项服务内容的完善合理程度、可实施性强弱等进行综合评审。每项2分（评分分值2,1,0），本项最高得6分。</w:t>
            </w:r>
          </w:p>
        </w:tc>
        <w:tc>
          <w:tcPr>
            <w:tcW w:w="431"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w:t>
            </w:r>
          </w:p>
        </w:tc>
        <w:tc>
          <w:tcPr>
            <w:tcW w:w="4182"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巡网融合技术支持服务</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snapToGrid/>
              <w:spacing w:line="288" w:lineRule="auto"/>
              <w:textAlignment w:val="center"/>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包</w:t>
            </w:r>
            <w:r>
              <w:rPr>
                <w:rFonts w:hint="eastAsia" w:ascii="宋体" w:hAnsi="宋体" w:eastAsia="宋体" w:cs="宋体"/>
                <w:color w:val="auto"/>
                <w:kern w:val="0"/>
                <w:sz w:val="24"/>
                <w:szCs w:val="24"/>
                <w:highlight w:val="none"/>
              </w:rPr>
              <w:t>含巡网融合数据推送服务、巡网融合数据分析服务、巡网融合业务热线服务</w:t>
            </w:r>
            <w:r>
              <w:rPr>
                <w:rFonts w:hint="eastAsia" w:ascii="宋体" w:hAnsi="宋体" w:eastAsia="宋体" w:cs="宋体"/>
                <w:color w:val="auto"/>
                <w:kern w:val="0"/>
                <w:sz w:val="24"/>
                <w:szCs w:val="24"/>
                <w:highlight w:val="none"/>
                <w:lang w:val="en-US" w:eastAsia="zh-CN"/>
              </w:rPr>
              <w:t>等3个技术支持服务</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val="0"/>
                <w:color w:val="auto"/>
                <w:sz w:val="24"/>
                <w:szCs w:val="24"/>
                <w:highlight w:val="none"/>
                <w:lang w:val="en-US" w:eastAsia="zh-CN"/>
              </w:rPr>
              <w:t>根据每项服务内容的完善合理程度、可实施性强弱等进行综合评审。每项2分（评分分值2,1,0），本项最高得6分。</w:t>
            </w:r>
          </w:p>
        </w:tc>
        <w:tc>
          <w:tcPr>
            <w:tcW w:w="431"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w:t>
            </w:r>
          </w:p>
        </w:tc>
        <w:tc>
          <w:tcPr>
            <w:tcW w:w="4182" w:type="pct"/>
            <w:shd w:val="clear" w:color="auto" w:fill="FFFFFF"/>
            <w:noWrap w:val="0"/>
            <w:vAlign w:val="top"/>
          </w:tcPr>
          <w:p>
            <w:pPr>
              <w:keepNext w:val="0"/>
              <w:keepLines w:val="0"/>
              <w:pageBreakBefore w:val="0"/>
              <w:widowControl/>
              <w:kinsoku/>
              <w:wordWrap/>
              <w:overflowPunct/>
              <w:topLinePunct w:val="0"/>
              <w:autoSpaceDE/>
              <w:autoSpaceDN/>
              <w:bidi w:val="0"/>
              <w:snapToGrid/>
              <w:spacing w:line="288" w:lineRule="auto"/>
              <w:textAlignment w:val="center"/>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交通数据处理能力</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针对同类服务和监管要求，投标人需要基于对行业的理解，提供</w:t>
            </w:r>
            <w:r>
              <w:rPr>
                <w:rFonts w:hint="eastAsia" w:ascii="宋体" w:hAnsi="宋体" w:eastAsia="宋体" w:cs="宋体"/>
                <w:color w:val="auto"/>
                <w:sz w:val="24"/>
                <w:szCs w:val="24"/>
                <w:highlight w:val="none"/>
                <w:shd w:val="clear" w:color="auto" w:fill="FFFFFF"/>
                <w:lang w:eastAsia="zh-CN"/>
              </w:rPr>
              <w:t>：</w:t>
            </w:r>
          </w:p>
          <w:p>
            <w:pPr>
              <w:keepNext w:val="0"/>
              <w:keepLines w:val="0"/>
              <w:pageBreakBefore w:val="0"/>
              <w:widowControl/>
              <w:kinsoku/>
              <w:wordWrap/>
              <w:overflowPunct/>
              <w:topLinePunct w:val="0"/>
              <w:autoSpaceDE/>
              <w:autoSpaceDN/>
              <w:bidi w:val="0"/>
              <w:snapToGrid/>
              <w:spacing w:line="288" w:lineRule="auto"/>
              <w:textAlignment w:val="center"/>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val="en-US" w:eastAsia="zh-CN"/>
              </w:rPr>
              <w:t>（1）</w:t>
            </w:r>
            <w:r>
              <w:rPr>
                <w:rFonts w:hint="eastAsia" w:ascii="宋体" w:hAnsi="宋体" w:eastAsia="宋体" w:cs="宋体"/>
                <w:color w:val="auto"/>
                <w:sz w:val="24"/>
                <w:szCs w:val="24"/>
                <w:highlight w:val="none"/>
                <w:shd w:val="clear" w:color="auto" w:fill="FFFFFF"/>
              </w:rPr>
              <w:t>项目系统服务的整体架构设计</w:t>
            </w:r>
            <w:r>
              <w:rPr>
                <w:rFonts w:hint="eastAsia" w:ascii="宋体" w:hAnsi="宋体" w:eastAsia="宋体" w:cs="宋体"/>
                <w:color w:val="auto"/>
                <w:sz w:val="24"/>
                <w:szCs w:val="24"/>
                <w:highlight w:val="none"/>
                <w:shd w:val="clear" w:color="auto" w:fill="FFFFFF"/>
                <w:lang w:val="en-US" w:eastAsia="zh-CN"/>
              </w:rPr>
              <w:t>完善合理程度打分（评分分值：2,1,0）</w:t>
            </w:r>
            <w:r>
              <w:rPr>
                <w:rFonts w:hint="eastAsia" w:ascii="宋体" w:hAnsi="宋体" w:eastAsia="宋体" w:cs="宋体"/>
                <w:color w:val="auto"/>
                <w:sz w:val="24"/>
                <w:szCs w:val="24"/>
                <w:highlight w:val="none"/>
                <w:shd w:val="clear" w:color="auto" w:fill="FFFFFF"/>
                <w:lang w:eastAsia="zh-CN"/>
              </w:rPr>
              <w:t>；</w:t>
            </w:r>
          </w:p>
          <w:p>
            <w:pPr>
              <w:keepNext w:val="0"/>
              <w:keepLines w:val="0"/>
              <w:pageBreakBefore w:val="0"/>
              <w:widowControl/>
              <w:kinsoku/>
              <w:wordWrap/>
              <w:overflowPunct/>
              <w:topLinePunct w:val="0"/>
              <w:autoSpaceDE/>
              <w:autoSpaceDN/>
              <w:bidi w:val="0"/>
              <w:snapToGrid/>
              <w:spacing w:line="288" w:lineRule="auto"/>
              <w:textAlignment w:val="center"/>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rPr>
              <w:t>相关数据模型说明</w:t>
            </w:r>
            <w:r>
              <w:rPr>
                <w:rFonts w:hint="eastAsia" w:ascii="宋体" w:hAnsi="宋体" w:eastAsia="宋体" w:cs="宋体"/>
                <w:color w:val="auto"/>
                <w:sz w:val="24"/>
                <w:szCs w:val="24"/>
                <w:highlight w:val="none"/>
                <w:shd w:val="clear" w:color="auto" w:fill="FFFFFF"/>
                <w:lang w:val="en-US" w:eastAsia="zh-CN"/>
              </w:rPr>
              <w:t>合理程度打分（评分分值：2,1,0）</w:t>
            </w:r>
            <w:r>
              <w:rPr>
                <w:rFonts w:hint="eastAsia" w:ascii="宋体" w:hAnsi="宋体" w:eastAsia="宋体" w:cs="宋体"/>
                <w:color w:val="auto"/>
                <w:sz w:val="24"/>
                <w:szCs w:val="24"/>
                <w:highlight w:val="none"/>
                <w:shd w:val="clear" w:color="auto" w:fill="FFFFFF"/>
                <w:lang w:eastAsia="zh-CN"/>
              </w:rPr>
              <w:t>；</w:t>
            </w:r>
          </w:p>
          <w:p>
            <w:pPr>
              <w:keepNext w:val="0"/>
              <w:keepLines w:val="0"/>
              <w:pageBreakBefore w:val="0"/>
              <w:widowControl/>
              <w:kinsoku/>
              <w:wordWrap/>
              <w:overflowPunct/>
              <w:topLinePunct w:val="0"/>
              <w:autoSpaceDE/>
              <w:autoSpaceDN/>
              <w:bidi w:val="0"/>
              <w:snapToGrid/>
              <w:spacing w:line="288" w:lineRule="auto"/>
              <w:textAlignment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数据</w:t>
            </w:r>
            <w:r>
              <w:rPr>
                <w:rFonts w:hint="eastAsia" w:ascii="宋体" w:hAnsi="宋体" w:eastAsia="宋体" w:cs="宋体"/>
                <w:color w:val="auto"/>
                <w:sz w:val="24"/>
                <w:szCs w:val="24"/>
                <w:highlight w:val="none"/>
                <w:shd w:val="clear" w:color="auto" w:fill="FFFFFF"/>
              </w:rPr>
              <w:t>字典定义</w:t>
            </w:r>
            <w:r>
              <w:rPr>
                <w:rFonts w:hint="eastAsia" w:ascii="宋体" w:hAnsi="宋体" w:eastAsia="宋体" w:cs="宋体"/>
                <w:color w:val="auto"/>
                <w:sz w:val="24"/>
                <w:szCs w:val="24"/>
                <w:highlight w:val="none"/>
                <w:shd w:val="clear" w:color="auto" w:fill="FFFFFF"/>
                <w:lang w:val="en-US" w:eastAsia="zh-CN"/>
              </w:rPr>
              <w:t>合理程度打分（评分分值：2,1,0）</w:t>
            </w:r>
            <w:r>
              <w:rPr>
                <w:rFonts w:hint="eastAsia" w:ascii="宋体" w:hAnsi="宋体" w:eastAsia="宋体" w:cs="宋体"/>
                <w:color w:val="auto"/>
                <w:sz w:val="24"/>
                <w:szCs w:val="24"/>
                <w:highlight w:val="none"/>
                <w:shd w:val="clear" w:color="auto" w:fill="FFFFFF"/>
                <w:lang w:eastAsia="zh-CN"/>
              </w:rPr>
              <w:t>；</w:t>
            </w:r>
          </w:p>
          <w:p>
            <w:pPr>
              <w:keepNext w:val="0"/>
              <w:keepLines w:val="0"/>
              <w:pageBreakBefore w:val="0"/>
              <w:widowControl/>
              <w:kinsoku/>
              <w:wordWrap/>
              <w:overflowPunct/>
              <w:topLinePunct w:val="0"/>
              <w:autoSpaceDE/>
              <w:autoSpaceDN/>
              <w:bidi w:val="0"/>
              <w:snapToGrid/>
              <w:spacing w:line="288" w:lineRule="auto"/>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shd w:val="clear" w:color="auto" w:fill="FFFFFF"/>
                <w:lang w:eastAsia="zh-CN"/>
              </w:rPr>
              <w:t>上述三项内容</w:t>
            </w:r>
            <w:r>
              <w:rPr>
                <w:rFonts w:hint="eastAsia" w:ascii="宋体" w:hAnsi="宋体" w:eastAsia="宋体" w:cs="宋体"/>
                <w:color w:val="auto"/>
                <w:sz w:val="24"/>
                <w:szCs w:val="24"/>
                <w:highlight w:val="none"/>
                <w:shd w:val="clear" w:color="auto" w:fill="FFFFFF"/>
              </w:rPr>
              <w:t>方案不合理或未提供方案不得分</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本项最高得6分。</w:t>
            </w:r>
          </w:p>
        </w:tc>
        <w:tc>
          <w:tcPr>
            <w:tcW w:w="431"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w:t>
            </w:r>
          </w:p>
        </w:tc>
        <w:tc>
          <w:tcPr>
            <w:tcW w:w="4182" w:type="pct"/>
            <w:shd w:val="clear" w:color="auto" w:fill="FFFFFF"/>
            <w:noWrap w:val="0"/>
            <w:vAlign w:val="top"/>
          </w:tcPr>
          <w:p>
            <w:pPr>
              <w:keepNext w:val="0"/>
              <w:keepLines w:val="0"/>
              <w:pageBreakBefore w:val="0"/>
              <w:widowControl/>
              <w:kinsoku/>
              <w:wordWrap/>
              <w:overflowPunct/>
              <w:topLinePunct w:val="0"/>
              <w:autoSpaceDE/>
              <w:autoSpaceDN/>
              <w:bidi w:val="0"/>
              <w:snapToGrid/>
              <w:spacing w:line="288" w:lineRule="auto"/>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软</w:t>
            </w:r>
            <w:r>
              <w:rPr>
                <w:rFonts w:hint="eastAsia" w:ascii="宋体" w:hAnsi="宋体" w:eastAsia="宋体" w:cs="宋体"/>
                <w:color w:val="auto"/>
                <w:kern w:val="0"/>
                <w:sz w:val="24"/>
                <w:szCs w:val="24"/>
                <w:highlight w:val="none"/>
              </w:rPr>
              <w:t>硬件配备</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snapToGrid/>
              <w:spacing w:line="288" w:lineRule="auto"/>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sz w:val="24"/>
                <w:szCs w:val="24"/>
                <w:highlight w:val="none"/>
                <w:shd w:val="clear" w:color="auto" w:fill="FFFFFF"/>
                <w:lang w:val="en-US" w:eastAsia="zh-CN"/>
              </w:rPr>
              <w:t>拟投入项目软</w:t>
            </w:r>
            <w:r>
              <w:rPr>
                <w:rFonts w:hint="eastAsia" w:ascii="宋体" w:hAnsi="宋体" w:eastAsia="宋体" w:cs="宋体"/>
                <w:color w:val="auto"/>
                <w:sz w:val="24"/>
                <w:szCs w:val="24"/>
                <w:highlight w:val="none"/>
                <w:shd w:val="clear" w:color="auto" w:fill="FFFFFF"/>
              </w:rPr>
              <w:t>硬件</w:t>
            </w:r>
            <w:r>
              <w:rPr>
                <w:rFonts w:hint="eastAsia" w:ascii="宋体" w:hAnsi="宋体" w:eastAsia="宋体" w:cs="宋体"/>
                <w:color w:val="auto"/>
                <w:sz w:val="24"/>
                <w:szCs w:val="24"/>
                <w:highlight w:val="none"/>
                <w:shd w:val="clear" w:color="auto" w:fill="FFFFFF"/>
                <w:lang w:val="en-US" w:eastAsia="zh-CN"/>
              </w:rPr>
              <w:t>设备设施</w:t>
            </w:r>
            <w:r>
              <w:rPr>
                <w:rFonts w:hint="eastAsia" w:ascii="宋体" w:hAnsi="宋体" w:eastAsia="宋体" w:cs="宋体"/>
                <w:color w:val="auto"/>
                <w:sz w:val="24"/>
                <w:szCs w:val="24"/>
                <w:highlight w:val="none"/>
                <w:shd w:val="clear" w:color="auto" w:fill="FFFFFF"/>
              </w:rPr>
              <w:t>配备</w:t>
            </w:r>
            <w:r>
              <w:rPr>
                <w:rFonts w:hint="eastAsia" w:ascii="宋体" w:hAnsi="宋体" w:eastAsia="宋体" w:cs="宋体"/>
                <w:color w:val="auto"/>
                <w:sz w:val="24"/>
                <w:szCs w:val="24"/>
                <w:highlight w:val="none"/>
                <w:shd w:val="clear" w:color="auto" w:fill="FFFFFF"/>
                <w:lang w:val="en-US" w:eastAsia="zh-CN"/>
              </w:rPr>
              <w:t>完善</w:t>
            </w:r>
            <w:r>
              <w:rPr>
                <w:rFonts w:hint="eastAsia" w:ascii="宋体" w:hAnsi="宋体" w:eastAsia="宋体" w:cs="宋体"/>
                <w:color w:val="auto"/>
                <w:sz w:val="24"/>
                <w:szCs w:val="24"/>
                <w:highlight w:val="none"/>
                <w:shd w:val="clear" w:color="auto" w:fill="FFFFFF"/>
              </w:rPr>
              <w:t>合理</w:t>
            </w:r>
            <w:r>
              <w:rPr>
                <w:rFonts w:hint="eastAsia" w:ascii="宋体" w:hAnsi="宋体" w:eastAsia="宋体" w:cs="宋体"/>
                <w:color w:val="auto"/>
                <w:sz w:val="24"/>
                <w:szCs w:val="24"/>
                <w:highlight w:val="none"/>
                <w:shd w:val="clear" w:color="auto" w:fill="FFFFFF"/>
                <w:lang w:val="en-US" w:eastAsia="zh-CN"/>
              </w:rPr>
              <w:t>程度</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lang w:val="en-US" w:eastAsia="zh-CN"/>
              </w:rPr>
              <w:t>可实施性强弱、是否</w:t>
            </w:r>
            <w:r>
              <w:rPr>
                <w:rFonts w:hint="eastAsia" w:ascii="宋体" w:hAnsi="宋体" w:eastAsia="宋体" w:cs="宋体"/>
                <w:color w:val="auto"/>
                <w:sz w:val="24"/>
                <w:szCs w:val="24"/>
                <w:highlight w:val="none"/>
                <w:shd w:val="clear" w:color="auto" w:fill="FFFFFF"/>
              </w:rPr>
              <w:t>符合本项目要求，具备扩容的需求</w:t>
            </w:r>
            <w:r>
              <w:rPr>
                <w:rFonts w:hint="eastAsia" w:ascii="宋体" w:hAnsi="宋体" w:cs="宋体"/>
                <w:color w:val="auto"/>
                <w:sz w:val="24"/>
                <w:szCs w:val="24"/>
                <w:highlight w:val="none"/>
                <w:shd w:val="clear" w:color="auto" w:fill="FFFFFF"/>
                <w:lang w:val="en-US" w:eastAsia="zh-CN"/>
              </w:rPr>
              <w:t>等</w:t>
            </w:r>
            <w:r>
              <w:rPr>
                <w:rFonts w:hint="eastAsia" w:ascii="宋体" w:hAnsi="宋体" w:eastAsia="宋体" w:cs="宋体"/>
                <w:color w:val="auto"/>
                <w:sz w:val="24"/>
                <w:szCs w:val="24"/>
                <w:highlight w:val="none"/>
                <w:shd w:val="clear" w:color="auto" w:fill="FFFFFF"/>
                <w:lang w:val="en-US" w:eastAsia="zh-CN"/>
              </w:rPr>
              <w:t>进行综合评审</w:t>
            </w:r>
            <w:r>
              <w:rPr>
                <w:rFonts w:hint="eastAsia" w:ascii="宋体" w:hAnsi="宋体" w:eastAsia="宋体" w:cs="宋体"/>
                <w:color w:val="auto"/>
                <w:sz w:val="24"/>
                <w:szCs w:val="24"/>
                <w:highlight w:val="none"/>
                <w:shd w:val="clear" w:color="auto" w:fill="FFFFFF"/>
              </w:rPr>
              <w:t>（提供硬件清单及详细参数）。</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评分分值：3,2,1,0</w:t>
            </w:r>
            <w:r>
              <w:rPr>
                <w:rFonts w:hint="eastAsia" w:ascii="宋体" w:hAnsi="宋体" w:eastAsia="宋体" w:cs="宋体"/>
                <w:color w:val="auto"/>
                <w:sz w:val="24"/>
                <w:szCs w:val="24"/>
                <w:highlight w:val="none"/>
                <w:shd w:val="clear" w:color="auto" w:fill="FFFFFF"/>
                <w:lang w:eastAsia="zh-CN"/>
              </w:rPr>
              <w:t>）</w:t>
            </w:r>
          </w:p>
        </w:tc>
        <w:tc>
          <w:tcPr>
            <w:tcW w:w="431"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386"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w:t>
            </w:r>
          </w:p>
        </w:tc>
        <w:tc>
          <w:tcPr>
            <w:tcW w:w="4182" w:type="pct"/>
            <w:shd w:val="clear" w:color="auto" w:fill="FFFFFF"/>
            <w:noWrap w:val="0"/>
            <w:vAlign w:val="top"/>
          </w:tcPr>
          <w:p>
            <w:pPr>
              <w:keepNext w:val="0"/>
              <w:keepLines w:val="0"/>
              <w:pageBreakBefore w:val="0"/>
              <w:widowControl/>
              <w:kinsoku/>
              <w:wordWrap/>
              <w:overflowPunct/>
              <w:topLinePunct w:val="0"/>
              <w:autoSpaceDE/>
              <w:autoSpaceDN/>
              <w:bidi w:val="0"/>
              <w:snapToGrid/>
              <w:spacing w:line="288" w:lineRule="auto"/>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客观分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运营场地</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snapToGrid/>
              <w:spacing w:line="288"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shd w:val="clear" w:color="auto" w:fill="FFFFFF"/>
                <w:lang w:val="en-US" w:eastAsia="zh-CN"/>
              </w:rPr>
              <w:t>供应商在服务范围具有</w:t>
            </w:r>
            <w:r>
              <w:rPr>
                <w:rFonts w:hint="eastAsia" w:ascii="宋体" w:hAnsi="宋体" w:eastAsia="宋体" w:cs="宋体"/>
                <w:color w:val="auto"/>
                <w:sz w:val="24"/>
                <w:szCs w:val="24"/>
                <w:highlight w:val="none"/>
                <w:shd w:val="clear" w:color="auto" w:fill="FFFFFF"/>
              </w:rPr>
              <w:t>运营场地（或承诺合同签订后10日内新设运营场地），交通便利，场地面积及功能区域划分与本项目相符，不少于100平米（提供相关证明材料及详细地址或新设运营场地的承诺函）得</w:t>
            </w: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分，不符合要求不得分。</w:t>
            </w:r>
          </w:p>
        </w:tc>
        <w:tc>
          <w:tcPr>
            <w:tcW w:w="431"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86"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w:t>
            </w:r>
          </w:p>
        </w:tc>
        <w:tc>
          <w:tcPr>
            <w:tcW w:w="4182" w:type="pct"/>
            <w:shd w:val="clear" w:color="auto" w:fill="FFFFFF"/>
            <w:noWrap w:val="0"/>
            <w:vAlign w:val="top"/>
          </w:tcPr>
          <w:p>
            <w:pPr>
              <w:keepNext w:val="0"/>
              <w:keepLines w:val="0"/>
              <w:pageBreakBefore w:val="0"/>
              <w:widowControl/>
              <w:kinsoku/>
              <w:wordWrap/>
              <w:overflowPunct/>
              <w:topLinePunct w:val="0"/>
              <w:autoSpaceDE/>
              <w:autoSpaceDN/>
              <w:bidi w:val="0"/>
              <w:snapToGrid/>
              <w:spacing w:line="288" w:lineRule="auto"/>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组织实施方案</w:t>
            </w:r>
          </w:p>
        </w:tc>
        <w:tc>
          <w:tcPr>
            <w:tcW w:w="431"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9.1</w:t>
            </w:r>
          </w:p>
        </w:tc>
        <w:tc>
          <w:tcPr>
            <w:tcW w:w="4182" w:type="pct"/>
            <w:shd w:val="clear" w:color="auto" w:fill="FFFFFF"/>
            <w:noWrap w:val="0"/>
            <w:vAlign w:val="top"/>
          </w:tcPr>
          <w:p>
            <w:pPr>
              <w:keepNext w:val="0"/>
              <w:keepLines w:val="0"/>
              <w:pageBreakBefore w:val="0"/>
              <w:widowControl/>
              <w:kinsoku/>
              <w:wordWrap/>
              <w:overflowPunct/>
              <w:topLinePunct w:val="0"/>
              <w:autoSpaceDE/>
              <w:autoSpaceDN/>
              <w:bidi w:val="0"/>
              <w:snapToGrid/>
              <w:spacing w:line="288"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坐席及班次组织方案：</w:t>
            </w:r>
          </w:p>
          <w:p>
            <w:pPr>
              <w:keepNext w:val="0"/>
              <w:keepLines w:val="0"/>
              <w:pageBreakBefore w:val="0"/>
              <w:widowControl/>
              <w:kinsoku/>
              <w:wordWrap/>
              <w:overflowPunct/>
              <w:topLinePunct w:val="0"/>
              <w:autoSpaceDE/>
              <w:autoSpaceDN/>
              <w:bidi w:val="0"/>
              <w:snapToGrid/>
              <w:spacing w:line="288" w:lineRule="auto"/>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根据投标人提供的</w:t>
            </w:r>
            <w:r>
              <w:rPr>
                <w:rFonts w:hint="eastAsia" w:ascii="宋体" w:hAnsi="宋体" w:eastAsia="宋体" w:cs="宋体"/>
                <w:color w:val="auto"/>
                <w:kern w:val="0"/>
                <w:sz w:val="24"/>
                <w:szCs w:val="24"/>
                <w:highlight w:val="none"/>
              </w:rPr>
              <w:t>坐席及班次组织方案</w:t>
            </w:r>
            <w:r>
              <w:rPr>
                <w:rFonts w:hint="eastAsia" w:ascii="宋体" w:hAnsi="宋体" w:eastAsia="宋体" w:cs="宋体"/>
                <w:color w:val="auto"/>
                <w:kern w:val="0"/>
                <w:sz w:val="24"/>
                <w:szCs w:val="24"/>
                <w:highlight w:val="none"/>
                <w:lang w:val="en-US" w:eastAsia="zh-CN"/>
              </w:rPr>
              <w:t>的完善合理性、与需求的吻合程度、是否具有</w:t>
            </w:r>
            <w:r>
              <w:rPr>
                <w:rFonts w:hint="eastAsia" w:ascii="宋体" w:hAnsi="宋体" w:eastAsia="宋体" w:cs="宋体"/>
                <w:color w:val="auto"/>
                <w:kern w:val="0"/>
                <w:sz w:val="24"/>
                <w:szCs w:val="24"/>
                <w:highlight w:val="none"/>
              </w:rPr>
              <w:t>前瞻性</w:t>
            </w:r>
            <w:r>
              <w:rPr>
                <w:rFonts w:hint="eastAsia" w:ascii="宋体" w:hAnsi="宋体" w:eastAsia="宋体" w:cs="宋体"/>
                <w:color w:val="auto"/>
                <w:kern w:val="0"/>
                <w:sz w:val="24"/>
                <w:szCs w:val="24"/>
                <w:highlight w:val="none"/>
                <w:lang w:val="en-US" w:eastAsia="zh-CN"/>
              </w:rPr>
              <w:t>等进行综合评审。（评分分值：3,2,1,0）</w:t>
            </w:r>
          </w:p>
        </w:tc>
        <w:tc>
          <w:tcPr>
            <w:tcW w:w="431"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9.2</w:t>
            </w:r>
          </w:p>
        </w:tc>
        <w:tc>
          <w:tcPr>
            <w:tcW w:w="4182" w:type="pct"/>
            <w:shd w:val="clear" w:color="auto" w:fill="FFFFFF"/>
            <w:noWrap w:val="0"/>
            <w:vAlign w:val="top"/>
          </w:tcPr>
          <w:p>
            <w:pPr>
              <w:keepNext w:val="0"/>
              <w:keepLines w:val="0"/>
              <w:pageBreakBefore w:val="0"/>
              <w:widowControl/>
              <w:kinsoku/>
              <w:wordWrap/>
              <w:overflowPunct/>
              <w:topLinePunct w:val="0"/>
              <w:autoSpaceDE/>
              <w:autoSpaceDN/>
              <w:bidi w:val="0"/>
              <w:snapToGrid/>
              <w:spacing w:line="288"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人员需求组织方案</w:t>
            </w:r>
          </w:p>
        </w:tc>
        <w:tc>
          <w:tcPr>
            <w:tcW w:w="431"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9.2.1</w:t>
            </w:r>
          </w:p>
        </w:tc>
        <w:tc>
          <w:tcPr>
            <w:tcW w:w="4182"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根据整体团队计划</w:t>
            </w:r>
            <w:r>
              <w:rPr>
                <w:rFonts w:hint="eastAsia" w:ascii="宋体" w:hAnsi="宋体" w:eastAsia="宋体" w:cs="宋体"/>
                <w:color w:val="auto"/>
                <w:kern w:val="0"/>
                <w:sz w:val="24"/>
                <w:szCs w:val="24"/>
                <w:highlight w:val="none"/>
              </w:rPr>
              <w:t>方案内容</w:t>
            </w:r>
            <w:r>
              <w:rPr>
                <w:rFonts w:hint="eastAsia" w:ascii="宋体" w:hAnsi="宋体" w:eastAsia="宋体" w:cs="宋体"/>
                <w:color w:val="auto"/>
                <w:kern w:val="0"/>
                <w:sz w:val="24"/>
                <w:szCs w:val="24"/>
                <w:highlight w:val="none"/>
                <w:lang w:val="en-US" w:eastAsia="zh-CN"/>
              </w:rPr>
              <w:t>的完善合理性进行综合评审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（评分分值：2,1,0）</w:t>
            </w:r>
          </w:p>
          <w:p>
            <w:pPr>
              <w:keepNext w:val="0"/>
              <w:keepLines w:val="0"/>
              <w:pageBreakBefore w:val="0"/>
              <w:widowControl/>
              <w:kinsoku/>
              <w:wordWrap/>
              <w:overflowPunct/>
              <w:topLinePunct w:val="0"/>
              <w:autoSpaceDE/>
              <w:autoSpaceDN/>
              <w:bidi w:val="0"/>
              <w:snapToGrid/>
              <w:spacing w:line="288"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根据</w:t>
            </w:r>
            <w:r>
              <w:rPr>
                <w:rFonts w:hint="eastAsia" w:ascii="宋体" w:hAnsi="宋体" w:eastAsia="宋体" w:cs="宋体"/>
                <w:color w:val="auto"/>
                <w:kern w:val="0"/>
                <w:sz w:val="24"/>
                <w:szCs w:val="24"/>
                <w:highlight w:val="none"/>
              </w:rPr>
              <w:t>日常工作人员的配备计划</w:t>
            </w:r>
            <w:r>
              <w:rPr>
                <w:rFonts w:hint="eastAsia" w:ascii="宋体" w:hAnsi="宋体" w:eastAsia="宋体" w:cs="宋体"/>
                <w:color w:val="auto"/>
                <w:kern w:val="0"/>
                <w:sz w:val="24"/>
                <w:szCs w:val="24"/>
                <w:highlight w:val="none"/>
                <w:lang w:val="en-US" w:eastAsia="zh-CN"/>
              </w:rPr>
              <w:t>的完善</w:t>
            </w:r>
            <w:r>
              <w:rPr>
                <w:rFonts w:hint="eastAsia" w:ascii="宋体" w:hAnsi="宋体" w:eastAsia="宋体" w:cs="宋体"/>
                <w:color w:val="auto"/>
                <w:kern w:val="0"/>
                <w:sz w:val="24"/>
                <w:szCs w:val="24"/>
                <w:highlight w:val="none"/>
              </w:rPr>
              <w:t>合理</w:t>
            </w:r>
            <w:r>
              <w:rPr>
                <w:rFonts w:hint="eastAsia" w:ascii="宋体" w:hAnsi="宋体" w:eastAsia="宋体" w:cs="宋体"/>
                <w:color w:val="auto"/>
                <w:kern w:val="0"/>
                <w:sz w:val="24"/>
                <w:szCs w:val="24"/>
                <w:highlight w:val="none"/>
                <w:lang w:val="en-US" w:eastAsia="zh-CN"/>
              </w:rPr>
              <w:t>性</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可实施性强弱等进行综合评审。（评分分值：2,1,0）</w:t>
            </w:r>
          </w:p>
          <w:p>
            <w:pPr>
              <w:keepNext w:val="0"/>
              <w:keepLines w:val="0"/>
              <w:pageBreakBefore w:val="0"/>
              <w:widowControl/>
              <w:kinsoku/>
              <w:wordWrap/>
              <w:overflowPunct/>
              <w:topLinePunct w:val="0"/>
              <w:autoSpaceDE/>
              <w:autoSpaceDN/>
              <w:bidi w:val="0"/>
              <w:snapToGrid/>
              <w:spacing w:line="288"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根据</w:t>
            </w:r>
            <w:r>
              <w:rPr>
                <w:rFonts w:hint="eastAsia" w:ascii="宋体" w:hAnsi="宋体" w:eastAsia="宋体" w:cs="宋体"/>
                <w:color w:val="auto"/>
                <w:kern w:val="0"/>
                <w:sz w:val="24"/>
                <w:szCs w:val="24"/>
                <w:highlight w:val="none"/>
              </w:rPr>
              <w:t>服务实施团队的组成及工作能力</w:t>
            </w:r>
            <w:r>
              <w:rPr>
                <w:rFonts w:hint="eastAsia" w:ascii="宋体" w:hAnsi="宋体" w:eastAsia="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rPr>
              <w:t>强</w:t>
            </w:r>
            <w:r>
              <w:rPr>
                <w:rFonts w:hint="eastAsia" w:ascii="宋体" w:hAnsi="宋体" w:eastAsia="宋体" w:cs="宋体"/>
                <w:color w:val="auto"/>
                <w:kern w:val="0"/>
                <w:sz w:val="24"/>
                <w:szCs w:val="24"/>
                <w:highlight w:val="none"/>
                <w:lang w:val="en-US" w:eastAsia="zh-CN"/>
              </w:rPr>
              <w:t>弱</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完善</w:t>
            </w:r>
            <w:r>
              <w:rPr>
                <w:rFonts w:hint="eastAsia" w:ascii="宋体" w:hAnsi="宋体" w:eastAsia="宋体" w:cs="宋体"/>
                <w:color w:val="auto"/>
                <w:kern w:val="0"/>
                <w:sz w:val="24"/>
                <w:szCs w:val="24"/>
                <w:highlight w:val="none"/>
              </w:rPr>
              <w:t>合理</w:t>
            </w:r>
            <w:r>
              <w:rPr>
                <w:rFonts w:hint="eastAsia" w:ascii="宋体" w:hAnsi="宋体" w:eastAsia="宋体" w:cs="宋体"/>
                <w:color w:val="auto"/>
                <w:kern w:val="0"/>
                <w:sz w:val="24"/>
                <w:szCs w:val="24"/>
                <w:highlight w:val="none"/>
                <w:lang w:val="en-US" w:eastAsia="zh-CN"/>
              </w:rPr>
              <w:t>性</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可实施性强弱等进行综合评审。（评分分值：2,1,0）</w:t>
            </w:r>
          </w:p>
          <w:p>
            <w:pPr>
              <w:keepNext w:val="0"/>
              <w:keepLines w:val="0"/>
              <w:pageBreakBefore w:val="0"/>
              <w:widowControl/>
              <w:kinsoku/>
              <w:wordWrap/>
              <w:overflowPunct/>
              <w:topLinePunct w:val="0"/>
              <w:autoSpaceDE/>
              <w:autoSpaceDN/>
              <w:bidi w:val="0"/>
              <w:snapToGrid/>
              <w:spacing w:line="288"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人员激励计划(包含人员薪酬等，投标人需在商务技术文件中提供人员薪酬标准)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是否</w:t>
            </w:r>
            <w:r>
              <w:rPr>
                <w:rFonts w:hint="eastAsia" w:ascii="宋体" w:hAnsi="宋体" w:eastAsia="宋体" w:cs="宋体"/>
                <w:color w:val="auto"/>
                <w:kern w:val="0"/>
                <w:sz w:val="24"/>
                <w:szCs w:val="24"/>
                <w:highlight w:val="none"/>
              </w:rPr>
              <w:t>有利于保持队伍稳定</w:t>
            </w:r>
            <w:r>
              <w:rPr>
                <w:rFonts w:hint="eastAsia" w:ascii="宋体" w:hAnsi="宋体" w:eastAsia="宋体" w:cs="宋体"/>
                <w:color w:val="auto"/>
                <w:kern w:val="0"/>
                <w:sz w:val="24"/>
                <w:szCs w:val="24"/>
                <w:highlight w:val="none"/>
                <w:lang w:val="en-US" w:eastAsia="zh-CN"/>
              </w:rPr>
              <w:t>情况进行综合评审。（评分分值：2,1,0）</w:t>
            </w:r>
          </w:p>
          <w:p>
            <w:pPr>
              <w:keepNext w:val="0"/>
              <w:keepLines w:val="0"/>
              <w:pageBreakBefore w:val="0"/>
              <w:kinsoku/>
              <w:wordWrap/>
              <w:overflowPunct/>
              <w:topLinePunct w:val="0"/>
              <w:autoSpaceDE/>
              <w:autoSpaceDN/>
              <w:bidi w:val="0"/>
              <w:adjustRightInd/>
              <w:snapToGrid/>
              <w:spacing w:line="288" w:lineRule="auto"/>
              <w:jc w:val="left"/>
              <w:outlineLvl w:val="0"/>
              <w:rPr>
                <w:rFonts w:hint="eastAsia" w:ascii="宋体" w:hAnsi="宋体" w:eastAsia="宋体" w:cs="宋体"/>
                <w:bCs w:val="0"/>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为保证项目实施的平稳，本项目所配项目组人员为本单位现有在职人员数不低于总人数的50%，需提供社保缴纳证明材料</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勾选团队成员</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，如未提供</w:t>
            </w:r>
            <w:r>
              <w:rPr>
                <w:rFonts w:hint="eastAsia" w:ascii="宋体" w:hAnsi="宋体" w:eastAsia="宋体" w:cs="宋体"/>
                <w:color w:val="auto"/>
                <w:kern w:val="0"/>
                <w:sz w:val="24"/>
                <w:szCs w:val="24"/>
                <w:highlight w:val="none"/>
                <w:lang w:val="en-US" w:eastAsia="zh-CN"/>
              </w:rPr>
              <w:t>人员社保</w:t>
            </w:r>
            <w:r>
              <w:rPr>
                <w:rFonts w:hint="eastAsia" w:ascii="宋体" w:hAnsi="宋体" w:eastAsia="宋体" w:cs="宋体"/>
                <w:color w:val="auto"/>
                <w:kern w:val="0"/>
                <w:sz w:val="24"/>
                <w:szCs w:val="24"/>
                <w:highlight w:val="none"/>
              </w:rPr>
              <w:t>，该项不得分。</w:t>
            </w:r>
          </w:p>
        </w:tc>
        <w:tc>
          <w:tcPr>
            <w:tcW w:w="431"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9.2.2</w:t>
            </w:r>
          </w:p>
        </w:tc>
        <w:tc>
          <w:tcPr>
            <w:tcW w:w="4182"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rPr>
                <w:rFonts w:hint="default" w:ascii="宋体" w:hAnsi="宋体" w:eastAsia="宋体" w:cs="宋体"/>
                <w:bCs w:val="0"/>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客观分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管理人员</w:t>
            </w:r>
            <w:r>
              <w:rPr>
                <w:rFonts w:hint="eastAsia" w:ascii="宋体" w:hAnsi="宋体" w:eastAsia="宋体" w:cs="宋体"/>
                <w:color w:val="auto"/>
                <w:kern w:val="0"/>
                <w:sz w:val="24"/>
                <w:szCs w:val="24"/>
                <w:highlight w:val="none"/>
                <w:lang w:val="en-US" w:eastAsia="zh-CN"/>
              </w:rPr>
              <w:t>具有信息系统高级职称得2分，中级职称得1分，其余不得分，提供职称证书复印件加盖公章，未提供不得分。</w:t>
            </w:r>
          </w:p>
        </w:tc>
        <w:tc>
          <w:tcPr>
            <w:tcW w:w="431"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9.3</w:t>
            </w:r>
          </w:p>
        </w:tc>
        <w:tc>
          <w:tcPr>
            <w:tcW w:w="4182"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人员培训方案：</w:t>
            </w:r>
          </w:p>
          <w:p>
            <w:pPr>
              <w:keepNext w:val="0"/>
              <w:keepLines w:val="0"/>
              <w:pageBreakBefore w:val="0"/>
              <w:widowControl/>
              <w:kinsoku/>
              <w:wordWrap/>
              <w:overflowPunct/>
              <w:topLinePunct w:val="0"/>
              <w:autoSpaceDE/>
              <w:autoSpaceDN/>
              <w:bidi w:val="0"/>
              <w:snapToGrid/>
              <w:spacing w:line="288"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工作人员话务技能培训方案</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snapToGrid/>
              <w:spacing w:line="288"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工作人员业务技能培训方案</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snapToGrid/>
              <w:spacing w:line="288"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工作人员形体礼仪培训方案</w:t>
            </w:r>
            <w:r>
              <w:rPr>
                <w:rFonts w:hint="eastAsia" w:ascii="宋体" w:hAnsi="宋体" w:eastAsia="宋体" w:cs="宋体"/>
                <w:color w:val="auto"/>
                <w:kern w:val="0"/>
                <w:sz w:val="24"/>
                <w:szCs w:val="24"/>
                <w:highlight w:val="none"/>
                <w:lang w:eastAsia="zh-CN"/>
              </w:rPr>
              <w:t>。</w:t>
            </w:r>
          </w:p>
          <w:p>
            <w:pPr>
              <w:keepNext w:val="0"/>
              <w:keepLines w:val="0"/>
              <w:pageBreakBefore w:val="0"/>
              <w:kinsoku/>
              <w:wordWrap/>
              <w:overflowPunct/>
              <w:topLinePunct w:val="0"/>
              <w:autoSpaceDE/>
              <w:autoSpaceDN/>
              <w:bidi w:val="0"/>
              <w:adjustRightInd/>
              <w:snapToGrid/>
              <w:spacing w:line="288" w:lineRule="auto"/>
              <w:jc w:val="left"/>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val="0"/>
                <w:color w:val="auto"/>
                <w:sz w:val="24"/>
                <w:szCs w:val="24"/>
                <w:highlight w:val="none"/>
                <w:lang w:val="en-US" w:eastAsia="zh-CN"/>
              </w:rPr>
              <w:t>根据每项方案内容的完善合理程度、可实施性强弱等进行综合评审。每项1分（评分分值：1,0.5,0），本项最高得3分。</w:t>
            </w:r>
          </w:p>
        </w:tc>
        <w:tc>
          <w:tcPr>
            <w:tcW w:w="431"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9.4</w:t>
            </w:r>
          </w:p>
        </w:tc>
        <w:tc>
          <w:tcPr>
            <w:tcW w:w="4182"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考核和管理方案：</w:t>
            </w:r>
          </w:p>
          <w:p>
            <w:pPr>
              <w:keepNext w:val="0"/>
              <w:keepLines w:val="0"/>
              <w:pageBreakBefore w:val="0"/>
              <w:widowControl/>
              <w:kinsoku/>
              <w:wordWrap/>
              <w:overflowPunct/>
              <w:topLinePunct w:val="0"/>
              <w:autoSpaceDE/>
              <w:autoSpaceDN/>
              <w:bidi w:val="0"/>
              <w:snapToGrid/>
              <w:spacing w:line="288"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运营管理制度</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snapToGrid/>
              <w:spacing w:line="288"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员工绩效考核办法</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snapToGrid/>
              <w:spacing w:line="288"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考勤及保密管理</w:t>
            </w:r>
            <w:r>
              <w:rPr>
                <w:rFonts w:hint="eastAsia" w:ascii="宋体" w:hAnsi="宋体" w:eastAsia="宋体" w:cs="宋体"/>
                <w:color w:val="auto"/>
                <w:kern w:val="0"/>
                <w:sz w:val="24"/>
                <w:szCs w:val="24"/>
                <w:highlight w:val="none"/>
                <w:lang w:eastAsia="zh-CN"/>
              </w:rPr>
              <w:t>。</w:t>
            </w:r>
          </w:p>
          <w:p>
            <w:pPr>
              <w:keepNext w:val="0"/>
              <w:keepLines w:val="0"/>
              <w:pageBreakBefore w:val="0"/>
              <w:kinsoku/>
              <w:wordWrap/>
              <w:overflowPunct/>
              <w:topLinePunct w:val="0"/>
              <w:autoSpaceDE/>
              <w:autoSpaceDN/>
              <w:bidi w:val="0"/>
              <w:adjustRightInd/>
              <w:snapToGrid/>
              <w:spacing w:line="288" w:lineRule="auto"/>
              <w:jc w:val="left"/>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val="0"/>
                <w:color w:val="auto"/>
                <w:sz w:val="24"/>
                <w:szCs w:val="24"/>
                <w:highlight w:val="none"/>
                <w:lang w:val="en-US" w:eastAsia="zh-CN"/>
              </w:rPr>
              <w:t>根据每项方案内容的完善合理程度、可实施性强弱等进行综合评审。每项1分（评分分值：1,0.5,0），本项最高得3分。</w:t>
            </w:r>
          </w:p>
        </w:tc>
        <w:tc>
          <w:tcPr>
            <w:tcW w:w="431"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w:t>
            </w:r>
          </w:p>
        </w:tc>
        <w:tc>
          <w:tcPr>
            <w:tcW w:w="4182" w:type="pct"/>
            <w:shd w:val="clear" w:color="auto" w:fill="FFFFFF"/>
            <w:noWrap w:val="0"/>
            <w:vAlign w:val="top"/>
          </w:tcPr>
          <w:p>
            <w:pPr>
              <w:keepNext w:val="0"/>
              <w:keepLines w:val="0"/>
              <w:pageBreakBefore w:val="0"/>
              <w:widowControl/>
              <w:kinsoku/>
              <w:wordWrap/>
              <w:overflowPunct/>
              <w:topLinePunct w:val="0"/>
              <w:autoSpaceDE/>
              <w:autoSpaceDN/>
              <w:bidi w:val="0"/>
              <w:snapToGrid/>
              <w:spacing w:line="288"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业务及工作流程方案：</w:t>
            </w:r>
          </w:p>
          <w:p>
            <w:pPr>
              <w:keepNext w:val="0"/>
              <w:keepLines w:val="0"/>
              <w:pageBreakBefore w:val="0"/>
              <w:widowControl/>
              <w:kinsoku/>
              <w:wordWrap/>
              <w:overflowPunct/>
              <w:topLinePunct w:val="0"/>
              <w:autoSpaceDE/>
              <w:autoSpaceDN/>
              <w:bidi w:val="0"/>
              <w:snapToGrid/>
              <w:spacing w:line="288" w:lineRule="auto"/>
              <w:ind w:firstLine="480" w:firstLineChars="200"/>
              <w:textAlignment w:val="center"/>
              <w:rPr>
                <w:rFonts w:hint="eastAsia" w:ascii="宋体" w:hAnsi="宋体" w:eastAsia="宋体" w:cs="宋体"/>
                <w:bCs/>
                <w:color w:val="auto"/>
                <w:sz w:val="24"/>
                <w:szCs w:val="24"/>
                <w:highlight w:val="none"/>
                <w:lang w:eastAsia="zh-CN"/>
              </w:rPr>
            </w:pPr>
            <w:r>
              <w:rPr>
                <w:rFonts w:hint="eastAsia" w:ascii="宋体" w:hAnsi="宋体" w:eastAsia="宋体" w:cs="宋体"/>
                <w:color w:val="auto"/>
                <w:kern w:val="0"/>
                <w:sz w:val="24"/>
                <w:szCs w:val="24"/>
                <w:highlight w:val="none"/>
              </w:rPr>
              <w:t>对</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val="0"/>
                <w:color w:val="auto"/>
                <w:sz w:val="24"/>
                <w:szCs w:val="24"/>
                <w:highlight w:val="none"/>
              </w:rPr>
              <w:t>行业数据监测与分析服务</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包含</w:t>
            </w:r>
            <w:r>
              <w:rPr>
                <w:rFonts w:hint="eastAsia" w:ascii="宋体" w:hAnsi="宋体" w:eastAsia="宋体" w:cs="宋体"/>
                <w:color w:val="auto"/>
                <w:kern w:val="0"/>
                <w:sz w:val="24"/>
                <w:szCs w:val="24"/>
                <w:highlight w:val="none"/>
              </w:rPr>
              <w:t>出租汽车行业运行分析服务、行业营运情况监测服务、行业运力需求及规模监测服务、场站枢纽</w:t>
            </w:r>
            <w:r>
              <w:rPr>
                <w:rFonts w:hint="eastAsia" w:ascii="宋体" w:hAnsi="宋体" w:eastAsia="宋体" w:cs="宋体"/>
                <w:color w:val="auto"/>
                <w:kern w:val="0"/>
                <w:sz w:val="24"/>
                <w:szCs w:val="24"/>
                <w:highlight w:val="none"/>
                <w:lang w:val="en-US" w:eastAsia="zh-CN"/>
              </w:rPr>
              <w:t>以及景区</w:t>
            </w:r>
            <w:r>
              <w:rPr>
                <w:rFonts w:hint="eastAsia" w:ascii="宋体" w:hAnsi="宋体" w:eastAsia="宋体" w:cs="宋体"/>
                <w:color w:val="auto"/>
                <w:kern w:val="0"/>
                <w:sz w:val="24"/>
                <w:szCs w:val="24"/>
                <w:highlight w:val="none"/>
              </w:rPr>
              <w:t>数据监测服务、行业收入水平监测服务、行业运价水平监测服务</w:t>
            </w:r>
            <w:r>
              <w:rPr>
                <w:rFonts w:hint="eastAsia" w:ascii="宋体" w:hAnsi="宋体" w:eastAsia="宋体" w:cs="宋体"/>
                <w:color w:val="auto"/>
                <w:kern w:val="0"/>
                <w:sz w:val="24"/>
                <w:szCs w:val="24"/>
                <w:highlight w:val="none"/>
                <w:lang w:eastAsia="zh-CN"/>
              </w:rPr>
              <w:t>、出租汽车运行数据对接服务</w:t>
            </w:r>
            <w:r>
              <w:rPr>
                <w:rFonts w:hint="eastAsia" w:ascii="宋体" w:hAnsi="宋体" w:eastAsia="宋体" w:cs="宋体"/>
                <w:color w:val="auto"/>
                <w:kern w:val="0"/>
                <w:sz w:val="24"/>
                <w:szCs w:val="24"/>
                <w:highlight w:val="none"/>
              </w:rPr>
              <w:t>等</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个</w:t>
            </w:r>
            <w:r>
              <w:rPr>
                <w:rFonts w:hint="eastAsia" w:ascii="宋体" w:hAnsi="宋体" w:eastAsia="宋体" w:cs="宋体"/>
                <w:bCs/>
                <w:color w:val="auto"/>
                <w:sz w:val="24"/>
                <w:szCs w:val="24"/>
                <w:highlight w:val="none"/>
              </w:rPr>
              <w:t>行业数据监测与分析服务</w:t>
            </w:r>
            <w:r>
              <w:rPr>
                <w:rFonts w:hint="eastAsia" w:ascii="宋体" w:hAnsi="宋体" w:eastAsia="宋体" w:cs="宋体"/>
                <w:bCs/>
                <w:color w:val="auto"/>
                <w:sz w:val="24"/>
                <w:szCs w:val="24"/>
                <w:highlight w:val="none"/>
                <w:lang w:eastAsia="zh-CN"/>
              </w:rPr>
              <w:t>；</w:t>
            </w:r>
          </w:p>
          <w:p>
            <w:pPr>
              <w:keepNext w:val="0"/>
              <w:keepLines w:val="0"/>
              <w:pageBreakBefore w:val="0"/>
              <w:widowControl/>
              <w:kinsoku/>
              <w:wordWrap/>
              <w:overflowPunct/>
              <w:topLinePunct w:val="0"/>
              <w:autoSpaceDE/>
              <w:autoSpaceDN/>
              <w:bidi w:val="0"/>
              <w:snapToGrid/>
              <w:spacing w:line="288" w:lineRule="auto"/>
              <w:ind w:firstLine="480" w:firstLineChars="200"/>
              <w:textAlignment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对（二）</w:t>
            </w:r>
            <w:r>
              <w:rPr>
                <w:rFonts w:hint="eastAsia" w:ascii="宋体" w:hAnsi="宋体" w:eastAsia="宋体" w:cs="宋体"/>
                <w:bCs w:val="0"/>
                <w:color w:val="auto"/>
                <w:sz w:val="24"/>
                <w:szCs w:val="24"/>
                <w:highlight w:val="none"/>
              </w:rPr>
              <w:t>管理保障服务</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包含</w:t>
            </w:r>
            <w:r>
              <w:rPr>
                <w:rFonts w:hint="eastAsia" w:ascii="宋体" w:hAnsi="宋体" w:eastAsia="宋体" w:cs="宋体"/>
                <w:bCs/>
                <w:color w:val="auto"/>
                <w:sz w:val="24"/>
                <w:szCs w:val="24"/>
                <w:highlight w:val="none"/>
              </w:rPr>
              <w:t>行业维稳保障服务、城市文明创建保障服务、应急处置保障、公共卫生事件防控保障、重大活动保障等5个管理保障服务</w:t>
            </w:r>
            <w:r>
              <w:rPr>
                <w:rFonts w:hint="eastAsia" w:ascii="宋体" w:hAnsi="宋体" w:eastAsia="宋体" w:cs="宋体"/>
                <w:bCs/>
                <w:color w:val="auto"/>
                <w:sz w:val="24"/>
                <w:szCs w:val="24"/>
                <w:highlight w:val="none"/>
                <w:lang w:eastAsia="zh-CN"/>
              </w:rPr>
              <w:t>；</w:t>
            </w:r>
          </w:p>
          <w:p>
            <w:pPr>
              <w:keepNext w:val="0"/>
              <w:keepLines w:val="0"/>
              <w:pageBreakBefore w:val="0"/>
              <w:widowControl/>
              <w:kinsoku/>
              <w:wordWrap/>
              <w:overflowPunct/>
              <w:topLinePunct w:val="0"/>
              <w:autoSpaceDE/>
              <w:autoSpaceDN/>
              <w:bidi w:val="0"/>
              <w:snapToGrid/>
              <w:spacing w:line="288" w:lineRule="auto"/>
              <w:ind w:firstLine="480" w:firstLineChars="200"/>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对</w:t>
            </w:r>
            <w:r>
              <w:rPr>
                <w:rFonts w:hint="eastAsia" w:ascii="宋体" w:hAnsi="宋体" w:eastAsia="宋体" w:cs="宋体"/>
                <w:bCs w:val="0"/>
                <w:color w:val="auto"/>
                <w:sz w:val="24"/>
                <w:szCs w:val="24"/>
                <w:highlight w:val="none"/>
              </w:rPr>
              <w:t>（三）执法保障服务</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包含</w:t>
            </w:r>
            <w:r>
              <w:rPr>
                <w:rFonts w:hint="eastAsia" w:ascii="宋体" w:hAnsi="宋体" w:eastAsia="宋体" w:cs="宋体"/>
                <w:bCs/>
                <w:color w:val="auto"/>
                <w:sz w:val="24"/>
                <w:szCs w:val="24"/>
                <w:highlight w:val="none"/>
              </w:rPr>
              <w:t>营运违章情况监测服务、执法辅助支持服务</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行业服务质量数据保障服务等</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个执法保障服务。</w:t>
            </w:r>
          </w:p>
          <w:p>
            <w:pPr>
              <w:keepNext w:val="0"/>
              <w:keepLines w:val="0"/>
              <w:pageBreakBefore w:val="0"/>
              <w:widowControl/>
              <w:kinsoku/>
              <w:wordWrap/>
              <w:overflowPunct/>
              <w:topLinePunct w:val="0"/>
              <w:autoSpaceDE/>
              <w:autoSpaceDN/>
              <w:bidi w:val="0"/>
              <w:snapToGrid/>
              <w:spacing w:line="288" w:lineRule="auto"/>
              <w:ind w:firstLine="480" w:firstLineChars="200"/>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对</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四</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巡网融合技术支持服务</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含巡网融合数据推送服务、巡网融合数据分析服务、巡网融合业务热线服务</w:t>
            </w:r>
            <w:r>
              <w:rPr>
                <w:rFonts w:hint="eastAsia" w:ascii="宋体" w:hAnsi="宋体" w:eastAsia="宋体" w:cs="宋体"/>
                <w:bCs/>
                <w:color w:val="auto"/>
                <w:sz w:val="24"/>
                <w:szCs w:val="24"/>
                <w:highlight w:val="none"/>
              </w:rPr>
              <w:t>等</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个</w:t>
            </w:r>
            <w:r>
              <w:rPr>
                <w:rFonts w:hint="eastAsia" w:ascii="宋体" w:hAnsi="宋体" w:eastAsia="宋体" w:cs="宋体"/>
                <w:bCs/>
                <w:color w:val="auto"/>
                <w:sz w:val="24"/>
                <w:szCs w:val="24"/>
                <w:highlight w:val="none"/>
                <w:lang w:val="en-US" w:eastAsia="zh-CN"/>
              </w:rPr>
              <w:t>技术支持</w:t>
            </w:r>
            <w:r>
              <w:rPr>
                <w:rFonts w:hint="eastAsia" w:ascii="宋体" w:hAnsi="宋体" w:eastAsia="宋体" w:cs="宋体"/>
                <w:bCs/>
                <w:color w:val="auto"/>
                <w:sz w:val="24"/>
                <w:szCs w:val="24"/>
                <w:highlight w:val="none"/>
              </w:rPr>
              <w:t>服务</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snapToGrid/>
              <w:spacing w:line="288" w:lineRule="auto"/>
              <w:ind w:firstLine="480" w:firstLineChars="200"/>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rPr>
              <w:t>对</w:t>
            </w:r>
            <w:r>
              <w:rPr>
                <w:rFonts w:hint="eastAsia" w:ascii="宋体" w:hAnsi="宋体" w:eastAsia="宋体" w:cs="宋体"/>
                <w:color w:val="auto"/>
                <w:kern w:val="0"/>
                <w:sz w:val="24"/>
                <w:szCs w:val="24"/>
                <w:highlight w:val="none"/>
                <w:lang w:val="en-US" w:eastAsia="zh-CN"/>
              </w:rPr>
              <w:t>上述</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个服务流程的理解到位、熟悉程度高。符合要求每个</w:t>
            </w:r>
            <w:r>
              <w:rPr>
                <w:rFonts w:hint="eastAsia" w:ascii="宋体" w:hAnsi="宋体" w:eastAsia="宋体" w:cs="宋体"/>
                <w:color w:val="auto"/>
                <w:kern w:val="0"/>
                <w:sz w:val="24"/>
                <w:szCs w:val="24"/>
                <w:highlight w:val="none"/>
                <w:lang w:eastAsia="zh-CN"/>
              </w:rPr>
              <w:t>得</w:t>
            </w:r>
            <w:r>
              <w:rPr>
                <w:rFonts w:hint="eastAsia" w:ascii="宋体" w:hAnsi="宋体" w:eastAsia="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不符合或未提供</w:t>
            </w:r>
            <w:r>
              <w:rPr>
                <w:rFonts w:hint="eastAsia" w:ascii="宋体" w:hAnsi="宋体" w:eastAsia="宋体" w:cs="宋体"/>
                <w:color w:val="auto"/>
                <w:kern w:val="0"/>
                <w:sz w:val="24"/>
                <w:szCs w:val="24"/>
                <w:highlight w:val="none"/>
              </w:rPr>
              <w:t>不得分。</w:t>
            </w:r>
            <w:r>
              <w:rPr>
                <w:rFonts w:hint="eastAsia" w:ascii="宋体" w:hAnsi="宋体" w:eastAsia="宋体" w:cs="宋体"/>
                <w:color w:val="auto"/>
                <w:kern w:val="0"/>
                <w:sz w:val="24"/>
                <w:szCs w:val="24"/>
                <w:highlight w:val="none"/>
                <w:lang w:val="en-US" w:eastAsia="zh-CN"/>
              </w:rPr>
              <w:t>本项最高得9分。</w:t>
            </w:r>
          </w:p>
        </w:tc>
        <w:tc>
          <w:tcPr>
            <w:tcW w:w="431"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11</w:t>
            </w:r>
          </w:p>
        </w:tc>
        <w:tc>
          <w:tcPr>
            <w:tcW w:w="4182" w:type="pct"/>
            <w:shd w:val="clear" w:color="auto" w:fill="FFFFFF"/>
            <w:noWrap w:val="0"/>
            <w:vAlign w:val="center"/>
          </w:tcPr>
          <w:p>
            <w:pPr>
              <w:keepNext w:val="0"/>
              <w:keepLines w:val="0"/>
              <w:pageBreakBefore w:val="0"/>
              <w:kinsoku/>
              <w:wordWrap/>
              <w:overflowPunct/>
              <w:topLinePunct w:val="0"/>
              <w:autoSpaceDE/>
              <w:autoSpaceDN/>
              <w:bidi w:val="0"/>
              <w:adjustRightInd/>
              <w:snapToGrid/>
              <w:spacing w:line="288" w:lineRule="auto"/>
              <w:jc w:val="left"/>
              <w:outlineLvl w:val="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质量保障措施</w:t>
            </w:r>
            <w:r>
              <w:rPr>
                <w:rFonts w:hint="eastAsia" w:ascii="宋体" w:hAnsi="宋体" w:eastAsia="宋体" w:cs="宋体"/>
                <w:color w:val="auto"/>
                <w:kern w:val="0"/>
                <w:sz w:val="24"/>
                <w:szCs w:val="24"/>
                <w:highlight w:val="none"/>
                <w:lang w:eastAsia="zh-CN"/>
              </w:rPr>
              <w:t>：</w:t>
            </w:r>
          </w:p>
          <w:p>
            <w:pPr>
              <w:keepNext w:val="0"/>
              <w:keepLines w:val="0"/>
              <w:pageBreakBefore w:val="0"/>
              <w:kinsoku/>
              <w:wordWrap/>
              <w:overflowPunct/>
              <w:topLinePunct w:val="0"/>
              <w:autoSpaceDE/>
              <w:autoSpaceDN/>
              <w:bidi w:val="0"/>
              <w:adjustRightInd/>
              <w:snapToGrid/>
              <w:spacing w:line="288" w:lineRule="auto"/>
              <w:jc w:val="left"/>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根据</w:t>
            </w:r>
            <w:r>
              <w:rPr>
                <w:rFonts w:hint="eastAsia" w:ascii="宋体" w:hAnsi="宋体" w:eastAsia="宋体" w:cs="宋体"/>
                <w:color w:val="auto"/>
                <w:kern w:val="0"/>
                <w:sz w:val="24"/>
                <w:szCs w:val="24"/>
                <w:highlight w:val="none"/>
              </w:rPr>
              <w:t>投标人提供的运行及维护总体方案、服务承诺的可行性、完整性以及服务承诺落实的保障措施</w:t>
            </w:r>
            <w:r>
              <w:rPr>
                <w:rFonts w:hint="eastAsia" w:ascii="宋体" w:hAnsi="宋体" w:eastAsia="宋体" w:cs="宋体"/>
                <w:color w:val="auto"/>
                <w:kern w:val="0"/>
                <w:sz w:val="24"/>
                <w:szCs w:val="24"/>
                <w:highlight w:val="none"/>
                <w:lang w:val="en-US" w:eastAsia="zh-CN"/>
              </w:rPr>
              <w:t>的完善</w:t>
            </w:r>
            <w:r>
              <w:rPr>
                <w:rFonts w:hint="eastAsia" w:ascii="宋体" w:hAnsi="宋体" w:eastAsia="宋体" w:cs="宋体"/>
                <w:color w:val="auto"/>
                <w:kern w:val="0"/>
                <w:sz w:val="24"/>
                <w:szCs w:val="24"/>
                <w:highlight w:val="none"/>
              </w:rPr>
              <w:t>合理</w:t>
            </w:r>
            <w:r>
              <w:rPr>
                <w:rFonts w:hint="eastAsia" w:ascii="宋体" w:hAnsi="宋体" w:eastAsia="宋体" w:cs="宋体"/>
                <w:color w:val="auto"/>
                <w:kern w:val="0"/>
                <w:sz w:val="24"/>
                <w:szCs w:val="24"/>
                <w:highlight w:val="none"/>
                <w:lang w:val="en-US" w:eastAsia="zh-CN"/>
              </w:rPr>
              <w:t>性</w:t>
            </w:r>
            <w:r>
              <w:rPr>
                <w:rFonts w:hint="eastAsia" w:ascii="宋体" w:hAnsi="宋体" w:eastAsia="宋体" w:cs="宋体"/>
                <w:color w:val="auto"/>
                <w:kern w:val="0"/>
                <w:sz w:val="24"/>
                <w:szCs w:val="24"/>
                <w:highlight w:val="none"/>
              </w:rPr>
              <w:t>、可</w:t>
            </w:r>
            <w:r>
              <w:rPr>
                <w:rFonts w:hint="eastAsia" w:ascii="宋体" w:hAnsi="宋体" w:eastAsia="宋体" w:cs="宋体"/>
                <w:color w:val="auto"/>
                <w:kern w:val="0"/>
                <w:sz w:val="24"/>
                <w:szCs w:val="24"/>
                <w:highlight w:val="none"/>
                <w:lang w:val="en-US" w:eastAsia="zh-CN"/>
              </w:rPr>
              <w:t>实施性强弱等进行综合评审。</w:t>
            </w:r>
            <w:r>
              <w:rPr>
                <w:rFonts w:hint="eastAsia" w:ascii="宋体" w:hAnsi="宋体" w:eastAsia="宋体" w:cs="宋体"/>
                <w:bCs w:val="0"/>
                <w:color w:val="auto"/>
                <w:sz w:val="24"/>
                <w:szCs w:val="24"/>
                <w:highlight w:val="none"/>
                <w:lang w:val="en-US" w:eastAsia="zh-CN"/>
              </w:rPr>
              <w:t>（评分分值：3,2,1,0）</w:t>
            </w:r>
          </w:p>
        </w:tc>
        <w:tc>
          <w:tcPr>
            <w:tcW w:w="431"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12</w:t>
            </w:r>
          </w:p>
        </w:tc>
        <w:tc>
          <w:tcPr>
            <w:tcW w:w="4182" w:type="pct"/>
            <w:shd w:val="clear" w:color="auto" w:fill="FFFFFF"/>
            <w:noWrap w:val="0"/>
            <w:vAlign w:val="center"/>
          </w:tcPr>
          <w:p>
            <w:pPr>
              <w:keepNext w:val="0"/>
              <w:keepLines w:val="0"/>
              <w:pageBreakBefore w:val="0"/>
              <w:kinsoku/>
              <w:wordWrap/>
              <w:overflowPunct/>
              <w:topLinePunct w:val="0"/>
              <w:autoSpaceDE/>
              <w:autoSpaceDN/>
              <w:bidi w:val="0"/>
              <w:adjustRightInd/>
              <w:snapToGrid/>
              <w:spacing w:line="288" w:lineRule="auto"/>
              <w:jc w:val="left"/>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过渡措施应对方案的可行性</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288" w:lineRule="auto"/>
              <w:jc w:val="left"/>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平稳过渡的方案和保障措施到位</w:t>
            </w:r>
            <w:r>
              <w:rPr>
                <w:rFonts w:hint="eastAsia" w:ascii="宋体" w:hAnsi="宋体" w:eastAsia="宋体" w:cs="宋体"/>
                <w:color w:val="auto"/>
                <w:sz w:val="24"/>
                <w:szCs w:val="24"/>
                <w:highlight w:val="none"/>
                <w:lang w:val="en-US" w:eastAsia="zh-CN"/>
              </w:rPr>
              <w:t>情况</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能有效保证项目持续保障，不出现空档期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根据投标人提供的方案进行综合评审。（</w:t>
            </w:r>
            <w:r>
              <w:rPr>
                <w:rFonts w:hint="eastAsia" w:ascii="宋体" w:hAnsi="宋体" w:eastAsia="宋体" w:cs="宋体"/>
                <w:bCs w:val="0"/>
                <w:color w:val="auto"/>
                <w:sz w:val="24"/>
                <w:szCs w:val="24"/>
                <w:highlight w:val="none"/>
                <w:lang w:val="en-US" w:eastAsia="zh-CN"/>
              </w:rPr>
              <w:t>评分分值：3,2,1,0</w:t>
            </w:r>
            <w:r>
              <w:rPr>
                <w:rFonts w:hint="eastAsia" w:ascii="宋体" w:hAnsi="宋体" w:eastAsia="宋体" w:cs="宋体"/>
                <w:color w:val="auto"/>
                <w:sz w:val="24"/>
                <w:szCs w:val="24"/>
                <w:highlight w:val="none"/>
                <w:lang w:val="en-US" w:eastAsia="zh-CN"/>
              </w:rPr>
              <w:t>）</w:t>
            </w:r>
          </w:p>
        </w:tc>
        <w:tc>
          <w:tcPr>
            <w:tcW w:w="431"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13</w:t>
            </w:r>
          </w:p>
        </w:tc>
        <w:tc>
          <w:tcPr>
            <w:tcW w:w="4182"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演示系统的理解情况，</w:t>
            </w:r>
            <w:r>
              <w:rPr>
                <w:rFonts w:hint="eastAsia" w:ascii="宋体" w:hAnsi="宋体" w:eastAsia="宋体" w:cs="宋体"/>
                <w:bCs/>
                <w:color w:val="auto"/>
                <w:sz w:val="24"/>
                <w:szCs w:val="24"/>
                <w:highlight w:val="none"/>
              </w:rPr>
              <w:t>投标人需提供演示，不演示不得分；演示环境自行搭建，演示时间不超过</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分钟（演示内容投标人拍摄视频，密封后</w:t>
            </w:r>
            <w:r>
              <w:rPr>
                <w:rFonts w:hint="eastAsia" w:ascii="宋体" w:hAnsi="宋体" w:eastAsia="宋体" w:cs="宋体"/>
                <w:bCs/>
                <w:color w:val="auto"/>
                <w:sz w:val="24"/>
                <w:szCs w:val="24"/>
                <w:highlight w:val="none"/>
                <w:lang w:val="en-US" w:eastAsia="zh-CN"/>
              </w:rPr>
              <w:t>可</w:t>
            </w:r>
            <w:r>
              <w:rPr>
                <w:rFonts w:hint="eastAsia" w:ascii="宋体" w:hAnsi="宋体" w:eastAsia="宋体" w:cs="宋体"/>
                <w:bCs/>
                <w:color w:val="auto"/>
                <w:sz w:val="24"/>
                <w:szCs w:val="24"/>
                <w:highlight w:val="none"/>
              </w:rPr>
              <w:t>随加密文件一并寄达</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w:t>
            </w:r>
            <w:r>
              <w:rPr>
                <w:rFonts w:hint="eastAsia" w:ascii="宋体" w:hAnsi="宋体" w:eastAsia="宋体" w:cs="宋体"/>
                <w:color w:val="auto"/>
                <w:kern w:val="0"/>
                <w:sz w:val="24"/>
                <w:szCs w:val="24"/>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巡游出租车网约订单分析服务</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2分</w:t>
            </w:r>
            <w:r>
              <w:rPr>
                <w:rFonts w:hint="eastAsia" w:ascii="宋体" w:hAnsi="宋体" w:eastAsia="宋体" w:cs="宋体"/>
                <w:color w:val="auto"/>
                <w:kern w:val="0"/>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演示巡游出租车在巡网融合发展背景下，通过网约车平台线上接单的相关数据接入渠道以及相关系统功能，能够清晰展示巡游出租车采用线下接单和线上接单之间的关系，并以图表形式展示相关数据的分析和报表，清晰展示发展趋势分析。</w:t>
            </w:r>
            <w:r>
              <w:rPr>
                <w:rFonts w:hint="eastAsia" w:ascii="宋体" w:hAnsi="宋体" w:eastAsia="宋体" w:cs="宋体"/>
                <w:color w:val="auto"/>
                <w:kern w:val="0"/>
                <w:sz w:val="24"/>
                <w:szCs w:val="24"/>
                <w:highlight w:val="none"/>
                <w:lang w:val="en-US" w:eastAsia="zh-CN"/>
              </w:rPr>
              <w:t>根据</w:t>
            </w:r>
            <w:r>
              <w:rPr>
                <w:rFonts w:hint="eastAsia" w:ascii="宋体" w:hAnsi="宋体" w:eastAsia="宋体" w:cs="宋体"/>
                <w:color w:val="auto"/>
                <w:kern w:val="0"/>
                <w:sz w:val="24"/>
                <w:szCs w:val="24"/>
                <w:highlight w:val="none"/>
              </w:rPr>
              <w:t>功能齐全</w:t>
            </w:r>
            <w:r>
              <w:rPr>
                <w:rFonts w:hint="eastAsia" w:ascii="宋体" w:hAnsi="宋体" w:eastAsia="宋体" w:cs="宋体"/>
                <w:color w:val="auto"/>
                <w:kern w:val="0"/>
                <w:sz w:val="24"/>
                <w:szCs w:val="24"/>
                <w:highlight w:val="none"/>
                <w:lang w:val="en-US" w:eastAsia="zh-CN"/>
              </w:rPr>
              <w:t>程度</w:t>
            </w:r>
            <w:r>
              <w:rPr>
                <w:rFonts w:hint="eastAsia" w:ascii="宋体" w:hAnsi="宋体" w:eastAsia="宋体" w:cs="宋体"/>
                <w:color w:val="auto"/>
                <w:kern w:val="0"/>
                <w:sz w:val="24"/>
                <w:szCs w:val="24"/>
                <w:highlight w:val="none"/>
              </w:rPr>
              <w:t>、操作界面美观简单合理</w:t>
            </w:r>
            <w:r>
              <w:rPr>
                <w:rFonts w:hint="eastAsia" w:ascii="宋体" w:hAnsi="宋体" w:eastAsia="宋体" w:cs="宋体"/>
                <w:color w:val="auto"/>
                <w:kern w:val="0"/>
                <w:sz w:val="24"/>
                <w:szCs w:val="24"/>
                <w:highlight w:val="none"/>
                <w:lang w:val="en-US" w:eastAsia="zh-CN"/>
              </w:rPr>
              <w:t>情况</w:t>
            </w:r>
            <w:r>
              <w:rPr>
                <w:rFonts w:hint="eastAsia" w:ascii="宋体" w:hAnsi="宋体" w:eastAsia="宋体" w:cs="宋体"/>
                <w:color w:val="auto"/>
                <w:kern w:val="0"/>
                <w:sz w:val="24"/>
                <w:szCs w:val="24"/>
                <w:highlight w:val="none"/>
              </w:rPr>
              <w:t>、系统设计思路合理</w:t>
            </w:r>
            <w:r>
              <w:rPr>
                <w:rFonts w:hint="eastAsia" w:ascii="宋体" w:hAnsi="宋体" w:eastAsia="宋体" w:cs="宋体"/>
                <w:color w:val="auto"/>
                <w:kern w:val="0"/>
                <w:sz w:val="24"/>
                <w:szCs w:val="24"/>
                <w:highlight w:val="none"/>
                <w:lang w:val="en-US" w:eastAsia="zh-CN"/>
              </w:rPr>
              <w:t>情况等进行综合评审。</w:t>
            </w:r>
            <w:r>
              <w:rPr>
                <w:rFonts w:hint="eastAsia" w:ascii="宋体" w:hAnsi="宋体" w:eastAsia="宋体" w:cs="宋体"/>
                <w:color w:val="auto"/>
                <w:sz w:val="24"/>
                <w:szCs w:val="24"/>
                <w:highlight w:val="none"/>
                <w:lang w:val="en-US" w:eastAsia="zh-CN"/>
              </w:rPr>
              <w:t>（</w:t>
            </w:r>
            <w:r>
              <w:rPr>
                <w:rFonts w:hint="eastAsia" w:ascii="宋体" w:hAnsi="宋体" w:eastAsia="宋体" w:cs="宋体"/>
                <w:bCs w:val="0"/>
                <w:color w:val="auto"/>
                <w:sz w:val="24"/>
                <w:szCs w:val="24"/>
                <w:highlight w:val="none"/>
                <w:lang w:val="en-US" w:eastAsia="zh-CN"/>
              </w:rPr>
              <w:t>评分分值：2,1,0</w:t>
            </w:r>
            <w:r>
              <w:rPr>
                <w:rFonts w:hint="eastAsia" w:ascii="宋体" w:hAnsi="宋体" w:eastAsia="宋体" w:cs="宋体"/>
                <w:color w:val="auto"/>
                <w:sz w:val="24"/>
                <w:szCs w:val="24"/>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巡游出租汽车营运数据分析</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2分</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snapToGrid/>
              <w:spacing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演示巡游出租车车辆计价器明细数据和营运数据车辆报表、日报表、月报表等数据统计分析。</w:t>
            </w:r>
            <w:r>
              <w:rPr>
                <w:rFonts w:hint="eastAsia" w:ascii="宋体" w:hAnsi="宋体" w:eastAsia="宋体" w:cs="宋体"/>
                <w:color w:val="auto"/>
                <w:kern w:val="0"/>
                <w:sz w:val="24"/>
                <w:szCs w:val="24"/>
                <w:highlight w:val="none"/>
                <w:lang w:val="en-US" w:eastAsia="zh-CN"/>
              </w:rPr>
              <w:t>根据</w:t>
            </w:r>
            <w:r>
              <w:rPr>
                <w:rFonts w:hint="eastAsia" w:ascii="宋体" w:hAnsi="宋体" w:eastAsia="宋体" w:cs="宋体"/>
                <w:color w:val="auto"/>
                <w:kern w:val="0"/>
                <w:sz w:val="24"/>
                <w:szCs w:val="24"/>
                <w:highlight w:val="none"/>
              </w:rPr>
              <w:t>功能齐全</w:t>
            </w:r>
            <w:r>
              <w:rPr>
                <w:rFonts w:hint="eastAsia" w:ascii="宋体" w:hAnsi="宋体" w:eastAsia="宋体" w:cs="宋体"/>
                <w:color w:val="auto"/>
                <w:kern w:val="0"/>
                <w:sz w:val="24"/>
                <w:szCs w:val="24"/>
                <w:highlight w:val="none"/>
                <w:lang w:val="en-US" w:eastAsia="zh-CN"/>
              </w:rPr>
              <w:t>程度</w:t>
            </w:r>
            <w:r>
              <w:rPr>
                <w:rFonts w:hint="eastAsia" w:ascii="宋体" w:hAnsi="宋体" w:eastAsia="宋体" w:cs="宋体"/>
                <w:color w:val="auto"/>
                <w:kern w:val="0"/>
                <w:sz w:val="24"/>
                <w:szCs w:val="24"/>
                <w:highlight w:val="none"/>
              </w:rPr>
              <w:t>、操作界面美观简单合理</w:t>
            </w:r>
            <w:r>
              <w:rPr>
                <w:rFonts w:hint="eastAsia" w:ascii="宋体" w:hAnsi="宋体" w:eastAsia="宋体" w:cs="宋体"/>
                <w:color w:val="auto"/>
                <w:kern w:val="0"/>
                <w:sz w:val="24"/>
                <w:szCs w:val="24"/>
                <w:highlight w:val="none"/>
                <w:lang w:val="en-US" w:eastAsia="zh-CN"/>
              </w:rPr>
              <w:t>情况</w:t>
            </w:r>
            <w:r>
              <w:rPr>
                <w:rFonts w:hint="eastAsia" w:ascii="宋体" w:hAnsi="宋体" w:eastAsia="宋体" w:cs="宋体"/>
                <w:color w:val="auto"/>
                <w:kern w:val="0"/>
                <w:sz w:val="24"/>
                <w:szCs w:val="24"/>
                <w:highlight w:val="none"/>
              </w:rPr>
              <w:t>、系统设计思路合理</w:t>
            </w:r>
            <w:r>
              <w:rPr>
                <w:rFonts w:hint="eastAsia" w:ascii="宋体" w:hAnsi="宋体" w:eastAsia="宋体" w:cs="宋体"/>
                <w:color w:val="auto"/>
                <w:kern w:val="0"/>
                <w:sz w:val="24"/>
                <w:szCs w:val="24"/>
                <w:highlight w:val="none"/>
                <w:lang w:val="en-US" w:eastAsia="zh-CN"/>
              </w:rPr>
              <w:t>情况等进行综合评审。</w:t>
            </w:r>
            <w:r>
              <w:rPr>
                <w:rFonts w:hint="eastAsia" w:ascii="宋体" w:hAnsi="宋体" w:eastAsia="宋体" w:cs="宋体"/>
                <w:color w:val="auto"/>
                <w:sz w:val="24"/>
                <w:szCs w:val="24"/>
                <w:highlight w:val="none"/>
                <w:lang w:val="en-US" w:eastAsia="zh-CN"/>
              </w:rPr>
              <w:t>（</w:t>
            </w:r>
            <w:r>
              <w:rPr>
                <w:rFonts w:hint="eastAsia" w:ascii="宋体" w:hAnsi="宋体" w:eastAsia="宋体" w:cs="宋体"/>
                <w:bCs w:val="0"/>
                <w:color w:val="auto"/>
                <w:sz w:val="24"/>
                <w:szCs w:val="24"/>
                <w:highlight w:val="none"/>
                <w:lang w:val="en-US" w:eastAsia="zh-CN"/>
              </w:rPr>
              <w:t>评分分值：2,1,0</w:t>
            </w:r>
            <w:r>
              <w:rPr>
                <w:rFonts w:hint="eastAsia" w:ascii="宋体" w:hAnsi="宋体" w:eastAsia="宋体" w:cs="宋体"/>
                <w:color w:val="auto"/>
                <w:sz w:val="24"/>
                <w:szCs w:val="24"/>
                <w:highlight w:val="none"/>
                <w:lang w:val="en-US" w:eastAsia="zh-CN"/>
              </w:rPr>
              <w:t>）</w:t>
            </w:r>
          </w:p>
        </w:tc>
        <w:tc>
          <w:tcPr>
            <w:tcW w:w="431" w:type="pct"/>
            <w:shd w:val="clear" w:color="auto" w:fill="FFFFFF"/>
            <w:noWrap w:val="0"/>
            <w:vAlign w:val="center"/>
          </w:tcPr>
          <w:p>
            <w:pPr>
              <w:keepNext w:val="0"/>
              <w:keepLines w:val="0"/>
              <w:pageBreakBefore w:val="0"/>
              <w:widowControl/>
              <w:kinsoku/>
              <w:wordWrap/>
              <w:overflowPunct/>
              <w:topLinePunct w:val="0"/>
              <w:autoSpaceDE/>
              <w:autoSpaceDN/>
              <w:bidi w:val="0"/>
              <w:snapToGrid/>
              <w:spacing w:line="288"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bl>
    <w:p>
      <w:pPr>
        <w:rPr>
          <w:color w:val="auto"/>
          <w:highlight w:val="none"/>
        </w:rPr>
      </w:pPr>
    </w:p>
    <w:p>
      <w:pPr>
        <w:keepNext w:val="0"/>
        <w:keepLines w:val="0"/>
        <w:pageBreakBefore w:val="0"/>
        <w:widowControl w:val="0"/>
        <w:kinsoku/>
        <w:wordWrap/>
        <w:overflowPunct/>
        <w:topLinePunct w:val="0"/>
        <w:autoSpaceDE/>
        <w:autoSpaceDN/>
        <w:bidi w:val="0"/>
        <w:snapToGrid w:val="0"/>
        <w:spacing w:line="360" w:lineRule="auto"/>
        <w:textAlignment w:val="auto"/>
        <w:rPr>
          <w:rFonts w:ascii="宋体" w:hAnsi="宋体" w:cs="宋体"/>
          <w:b/>
          <w:color w:val="auto"/>
          <w:sz w:val="24"/>
          <w:szCs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color w:val="auto"/>
          <w:sz w:val="24"/>
          <w:szCs w:val="24"/>
          <w:highlight w:val="none"/>
          <w:shd w:val="clear" w:color="auto" w:fill="FFFFFF"/>
        </w:rPr>
        <w:t>*</w:t>
      </w:r>
      <w:r>
        <w:rPr>
          <w:rFonts w:hint="eastAsia" w:ascii="宋体" w:hAnsi="宋体" w:cs="宋体"/>
          <w:b/>
          <w:color w:val="auto"/>
          <w:sz w:val="24"/>
          <w:szCs w:val="24"/>
          <w:highlight w:val="none"/>
        </w:rPr>
        <w:t>备注：</w:t>
      </w:r>
      <w:r>
        <w:rPr>
          <w:rFonts w:hint="eastAsia" w:ascii="宋体" w:hAnsi="宋体" w:cs="宋体"/>
          <w:color w:val="auto"/>
          <w:sz w:val="24"/>
          <w:szCs w:val="24"/>
          <w:highlight w:val="none"/>
        </w:rPr>
        <w:t>投标人编制投标文件（商务技术文件部分）时，建议按此目录（序号和内容）提供评标标准相应的商务技术资料。 </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一、评标方法</w:t>
      </w:r>
    </w:p>
    <w:p>
      <w:pPr>
        <w:keepNext w:val="0"/>
        <w:keepLines w:val="0"/>
        <w:pageBreakBefore w:val="0"/>
        <w:widowControl w:val="0"/>
        <w:kinsoku/>
        <w:wordWrap/>
        <w:overflowPunct/>
        <w:topLinePunct w:val="0"/>
        <w:autoSpaceDE/>
        <w:autoSpaceDN/>
        <w:bidi w:val="0"/>
        <w:adjustRightInd/>
        <w:spacing w:line="360" w:lineRule="auto"/>
        <w:ind w:firstLine="472" w:firstLineChars="196"/>
        <w:textAlignment w:val="auto"/>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1.本项目采用综合评分法。</w:t>
      </w:r>
      <w:r>
        <w:rPr>
          <w:rFonts w:hint="eastAsia" w:ascii="宋体" w:hAnsi="宋体" w:cs="宋体"/>
          <w:color w:val="auto"/>
          <w:kern w:val="0"/>
          <w:sz w:val="24"/>
          <w:szCs w:val="24"/>
          <w:highlight w:val="none"/>
        </w:rPr>
        <w:t>综合评分法，是指投标文件满足招标文件全部实质性要求，且按照评审因素的量化指标评审得分最高的投标人为中标候选人的评标方法。</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kern w:val="0"/>
          <w:sz w:val="24"/>
          <w:szCs w:val="24"/>
          <w:highlight w:val="none"/>
        </w:rPr>
      </w:pPr>
      <w:r>
        <w:rPr>
          <w:rFonts w:hint="eastAsia" w:ascii="宋体" w:hAnsi="宋体" w:cs="宋体"/>
          <w:b/>
          <w:color w:val="auto"/>
          <w:sz w:val="24"/>
          <w:szCs w:val="24"/>
          <w:highlight w:val="none"/>
        </w:rPr>
        <w:t>二、评标标准</w:t>
      </w:r>
    </w:p>
    <w:p>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2.</w:t>
      </w:r>
      <w:r>
        <w:rPr>
          <w:rFonts w:hint="eastAsia" w:ascii="宋体" w:hAnsi="宋体" w:cs="宋体"/>
          <w:color w:val="auto"/>
          <w:sz w:val="24"/>
          <w:szCs w:val="24"/>
          <w:highlight w:val="none"/>
        </w:rPr>
        <w:t xml:space="preserve"> </w:t>
      </w:r>
      <w:r>
        <w:rPr>
          <w:rFonts w:hint="eastAsia" w:ascii="宋体" w:hAnsi="宋体" w:cs="宋体"/>
          <w:b/>
          <w:color w:val="auto"/>
          <w:sz w:val="24"/>
          <w:szCs w:val="24"/>
          <w:highlight w:val="none"/>
        </w:rPr>
        <w:t>评标标准：</w:t>
      </w:r>
      <w:r>
        <w:rPr>
          <w:rFonts w:hint="eastAsia" w:ascii="宋体" w:hAnsi="宋体" w:cs="宋体"/>
          <w:color w:val="auto"/>
          <w:kern w:val="0"/>
          <w:sz w:val="24"/>
          <w:szCs w:val="24"/>
          <w:highlight w:val="none"/>
        </w:rPr>
        <w:t>见评标办法前附表。</w:t>
      </w:r>
    </w:p>
    <w:p>
      <w:pPr>
        <w:keepNext w:val="0"/>
        <w:keepLines w:val="0"/>
        <w:pageBreakBefore w:val="0"/>
        <w:widowControl w:val="0"/>
        <w:kinsoku/>
        <w:wordWrap/>
        <w:overflowPunct/>
        <w:topLinePunct w:val="0"/>
        <w:autoSpaceDE/>
        <w:autoSpaceDN/>
        <w:bidi w:val="0"/>
        <w:spacing w:line="360" w:lineRule="auto"/>
        <w:textAlignment w:val="auto"/>
        <w:outlineLvl w:val="0"/>
        <w:rPr>
          <w:rFonts w:ascii="宋体" w:hAnsi="宋体" w:cs="宋体"/>
          <w:b/>
          <w:color w:val="auto"/>
          <w:sz w:val="24"/>
          <w:szCs w:val="24"/>
          <w:highlight w:val="none"/>
        </w:rPr>
      </w:pPr>
      <w:r>
        <w:rPr>
          <w:rFonts w:hint="eastAsia" w:ascii="宋体" w:hAnsi="宋体" w:cs="宋体"/>
          <w:b/>
          <w:color w:val="auto"/>
          <w:sz w:val="24"/>
          <w:szCs w:val="24"/>
          <w:highlight w:val="none"/>
        </w:rPr>
        <w:t>三、评标程序</w:t>
      </w:r>
    </w:p>
    <w:p>
      <w:pPr>
        <w:spacing w:line="360" w:lineRule="auto"/>
        <w:ind w:firstLine="472" w:firstLineChars="196"/>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3.1符合性审查。</w:t>
      </w:r>
      <w:r>
        <w:rPr>
          <w:rFonts w:hint="eastAsia" w:ascii="宋体" w:hAnsi="宋体" w:cs="宋体"/>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3.2 比较与评价。</w:t>
      </w:r>
      <w:r>
        <w:rPr>
          <w:rFonts w:hint="eastAsia" w:ascii="宋体" w:hAnsi="宋体" w:cs="宋体"/>
          <w:color w:val="auto"/>
          <w:kern w:val="0"/>
          <w:sz w:val="24"/>
          <w:szCs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3.3汇总商务技术得分。</w:t>
      </w:r>
      <w:r>
        <w:rPr>
          <w:rFonts w:hint="eastAsia" w:ascii="宋体" w:hAnsi="宋体" w:cs="宋体"/>
          <w:color w:val="auto"/>
          <w:kern w:val="0"/>
          <w:sz w:val="24"/>
          <w:szCs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3.4报价评审。</w:t>
      </w:r>
    </w:p>
    <w:p>
      <w:pPr>
        <w:pStyle w:val="133"/>
        <w:spacing w:before="0"/>
        <w:ind w:firstLine="508" w:firstLineChars="212"/>
        <w:rPr>
          <w:rFonts w:ascii="宋体" w:hAnsi="宋体" w:cs="宋体"/>
          <w:color w:val="auto"/>
          <w:kern w:val="0"/>
          <w:sz w:val="24"/>
          <w:szCs w:val="24"/>
          <w:highlight w:val="none"/>
        </w:rPr>
      </w:pPr>
      <w:r>
        <w:rPr>
          <w:rFonts w:hint="eastAsia" w:ascii="宋体" w:hAnsi="宋体" w:cs="宋体"/>
          <w:color w:val="auto"/>
          <w:kern w:val="0"/>
          <w:sz w:val="24"/>
          <w:szCs w:val="24"/>
          <w:highlight w:val="none"/>
        </w:rPr>
        <w:t>3.4.1投标文件报价出现前后不一致的，按照下列规定修正：</w:t>
      </w:r>
    </w:p>
    <w:p>
      <w:pPr>
        <w:pStyle w:val="133"/>
        <w:spacing w:before="0"/>
        <w:ind w:firstLine="48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3.4.1.1投标文件中开标一览表(报价表)内容与投标文件中相应内容不一致的，以开标一览表(报价表)为准</w:t>
      </w:r>
      <w:r>
        <w:rPr>
          <w:rFonts w:hint="eastAsia" w:ascii="宋体" w:hAnsi="宋体" w:cs="宋体"/>
          <w:color w:val="auto"/>
          <w:kern w:val="0"/>
          <w:sz w:val="24"/>
          <w:szCs w:val="24"/>
          <w:highlight w:val="none"/>
          <w:lang w:eastAsia="zh-CN"/>
        </w:rPr>
        <w:t>；</w:t>
      </w:r>
    </w:p>
    <w:p>
      <w:pPr>
        <w:pStyle w:val="133"/>
        <w:spacing w:before="0"/>
        <w:ind w:firstLine="48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3.4.1.2大写金额和小写金额不一致的，以大写金额为准</w:t>
      </w:r>
      <w:r>
        <w:rPr>
          <w:rFonts w:hint="eastAsia" w:ascii="宋体" w:hAnsi="宋体" w:cs="宋体"/>
          <w:color w:val="auto"/>
          <w:kern w:val="0"/>
          <w:sz w:val="24"/>
          <w:szCs w:val="24"/>
          <w:highlight w:val="none"/>
          <w:lang w:eastAsia="zh-CN"/>
        </w:rPr>
        <w:t>；</w:t>
      </w:r>
    </w:p>
    <w:p>
      <w:pPr>
        <w:pStyle w:val="133"/>
        <w:spacing w:before="0"/>
        <w:ind w:firstLine="48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3.4.1.3单价金额小数点或者百分比有明显错位的，以开标一览表的总价为准，并修改单价</w:t>
      </w:r>
      <w:r>
        <w:rPr>
          <w:rFonts w:hint="eastAsia" w:ascii="宋体" w:hAnsi="宋体" w:cs="宋体"/>
          <w:color w:val="auto"/>
          <w:kern w:val="0"/>
          <w:sz w:val="24"/>
          <w:szCs w:val="24"/>
          <w:highlight w:val="none"/>
          <w:lang w:eastAsia="zh-CN"/>
        </w:rPr>
        <w:t>；</w:t>
      </w:r>
    </w:p>
    <w:p>
      <w:pPr>
        <w:pStyle w:val="133"/>
        <w:spacing w:before="0"/>
        <w:ind w:firstLine="48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3.4.1.4总价金额与按单价汇总金额不一致的，以单价金额计算结果为准</w:t>
      </w:r>
      <w:r>
        <w:rPr>
          <w:rFonts w:hint="eastAsia" w:ascii="宋体" w:hAnsi="宋体" w:cs="宋体"/>
          <w:color w:val="auto"/>
          <w:kern w:val="0"/>
          <w:sz w:val="24"/>
          <w:szCs w:val="24"/>
          <w:highlight w:val="none"/>
          <w:lang w:eastAsia="zh-CN"/>
        </w:rPr>
        <w:t>；</w:t>
      </w:r>
    </w:p>
    <w:p>
      <w:pPr>
        <w:pStyle w:val="133"/>
        <w:spacing w:before="0"/>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3.4.3投标报价超过招标文件中规定的预算金额或者最高限价的，投标无效。</w:t>
      </w:r>
    </w:p>
    <w:p>
      <w:pPr>
        <w:pStyle w:val="133"/>
        <w:spacing w:before="0"/>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3"/>
        <w:spacing w:before="0"/>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 w:val="24"/>
          <w:szCs w:val="24"/>
          <w:highlight w:val="none"/>
        </w:rPr>
        <w:t>20</w:t>
      </w:r>
      <w:r>
        <w:rPr>
          <w:rFonts w:hint="eastAsia" w:ascii="宋体" w:hAnsi="宋体" w:cs="宋体"/>
          <w:color w:val="auto"/>
          <w:kern w:val="0"/>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 w:val="24"/>
          <w:szCs w:val="24"/>
          <w:highlight w:val="none"/>
        </w:rPr>
        <w:t>6</w:t>
      </w:r>
      <w:r>
        <w:rPr>
          <w:rFonts w:hint="eastAsia" w:ascii="宋体" w:hAnsi="宋体" w:cs="宋体"/>
          <w:color w:val="auto"/>
          <w:kern w:val="0"/>
          <w:sz w:val="24"/>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3.5排序与推荐。</w:t>
      </w:r>
      <w:r>
        <w:rPr>
          <w:rFonts w:hint="eastAsia" w:ascii="宋体" w:hAnsi="宋体" w:cs="宋体"/>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szCs w:val="24"/>
          <w:highlight w:val="none"/>
          <w:lang w:val="en" w:eastAsia="zh-CN"/>
        </w:rPr>
        <w:t>本项目推荐的中标候选人数量：</w:t>
      </w:r>
      <w:r>
        <w:rPr>
          <w:rFonts w:hint="eastAsia" w:ascii="宋体" w:hAnsi="宋体" w:cs="宋体"/>
          <w:color w:val="auto"/>
          <w:kern w:val="0"/>
          <w:sz w:val="24"/>
          <w:szCs w:val="24"/>
          <w:highlight w:val="none"/>
          <w:u w:val="single"/>
          <w:lang w:val="en-US" w:eastAsia="zh-CN"/>
        </w:rPr>
        <w:t xml:space="preserve">  详见前附表     </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 w:eastAsia="zh-CN"/>
        </w:rPr>
        <w:t>。</w:t>
      </w:r>
    </w:p>
    <w:p>
      <w:pPr>
        <w:spacing w:line="360" w:lineRule="auto"/>
        <w:ind w:firstLine="480" w:firstLineChars="200"/>
        <w:rPr>
          <w:rFonts w:ascii="宋体" w:hAnsi="宋体" w:cs="宋体"/>
          <w:b/>
          <w:color w:val="auto"/>
          <w:kern w:val="0"/>
          <w:sz w:val="24"/>
          <w:szCs w:val="24"/>
          <w:highlight w:val="none"/>
        </w:rPr>
      </w:pPr>
      <w:r>
        <w:rPr>
          <w:rFonts w:hint="eastAsia" w:ascii="宋体" w:hAnsi="宋体" w:cs="宋体"/>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3.6编写评标报告。</w:t>
      </w:r>
      <w:r>
        <w:rPr>
          <w:rFonts w:hint="eastAsia" w:ascii="宋体" w:hAnsi="宋体" w:cs="宋体"/>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24"/>
          <w:szCs w:val="24"/>
          <w:highlight w:val="none"/>
        </w:rPr>
      </w:pPr>
      <w:r>
        <w:rPr>
          <w:rFonts w:hint="eastAsia" w:ascii="宋体" w:hAnsi="宋体" w:cs="宋体"/>
          <w:b/>
          <w:color w:val="auto"/>
          <w:sz w:val="24"/>
          <w:szCs w:val="24"/>
          <w:highlight w:val="none"/>
        </w:rPr>
        <w:t>四、评标中的其他事项</w:t>
      </w:r>
    </w:p>
    <w:p>
      <w:pPr>
        <w:pStyle w:val="133"/>
        <w:spacing w:before="0"/>
        <w:ind w:firstLine="472" w:firstLineChars="196"/>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4.1投标人澄清、说明或者补正。</w:t>
      </w:r>
      <w:r>
        <w:rPr>
          <w:rFonts w:hint="eastAsia" w:ascii="宋体" w:hAnsi="宋体" w:cs="宋体"/>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cs="宋体"/>
          <w:color w:val="auto"/>
          <w:sz w:val="24"/>
          <w:szCs w:val="24"/>
          <w:highlight w:val="none"/>
        </w:rPr>
      </w:pPr>
      <w:r>
        <w:rPr>
          <w:rFonts w:hint="eastAsia" w:cs="宋体"/>
          <w:b/>
          <w:color w:val="auto"/>
          <w:kern w:val="0"/>
          <w:sz w:val="24"/>
          <w:szCs w:val="24"/>
          <w:highlight w:val="none"/>
        </w:rPr>
        <w:t>4.2投标无效。</w:t>
      </w:r>
      <w:r>
        <w:rPr>
          <w:rFonts w:hint="eastAsia" w:cs="宋体"/>
          <w:color w:val="auto"/>
          <w:sz w:val="24"/>
          <w:szCs w:val="24"/>
          <w:highlight w:val="none"/>
        </w:rPr>
        <w:t>有下列情形之一的，投标无效：</w:t>
      </w:r>
    </w:p>
    <w:p>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4.2.2投标文件未按照招标文件要求签署、盖章的；</w:t>
      </w:r>
    </w:p>
    <w:p>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4.2.4投标文件含有采购人不能接受的附加条件的；</w:t>
      </w:r>
    </w:p>
    <w:p>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4.2.6投标文件出现不是唯一的、有选择性投标报价的;</w:t>
      </w: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4.2.</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投标人对根据修正原则修正后的报价不确认的；</w:t>
      </w:r>
    </w:p>
    <w:p>
      <w:pPr>
        <w:spacing w:line="360" w:lineRule="auto"/>
        <w:ind w:firstLine="480" w:firstLineChars="200"/>
        <w:rPr>
          <w:color w:val="auto"/>
          <w:sz w:val="24"/>
          <w:szCs w:val="24"/>
          <w:highlight w:val="none"/>
        </w:rPr>
      </w:pPr>
      <w:r>
        <w:rPr>
          <w:rFonts w:hint="eastAsia" w:ascii="宋体" w:hAnsi="宋体" w:cs="宋体"/>
          <w:color w:val="auto"/>
          <w:kern w:val="0"/>
          <w:sz w:val="24"/>
          <w:szCs w:val="24"/>
          <w:highlight w:val="none"/>
        </w:rPr>
        <w:t>4.2.</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rPr>
        <w:t>投标人提供虚假材料投标的；</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4.2.1</w:t>
      </w:r>
      <w:r>
        <w:rPr>
          <w:rFonts w:hint="eastAsia" w:ascii="宋体" w:hAnsi="宋体" w:cs="宋体"/>
          <w:color w:val="auto"/>
          <w:kern w:val="0"/>
          <w:sz w:val="24"/>
          <w:szCs w:val="24"/>
          <w:highlight w:val="none"/>
          <w:lang w:val="en-US" w:eastAsia="zh-CN"/>
        </w:rPr>
        <w:t>0</w:t>
      </w:r>
      <w:r>
        <w:rPr>
          <w:rFonts w:hint="eastAsia" w:ascii="宋体" w:hAnsi="宋体" w:cs="宋体"/>
          <w:color w:val="auto"/>
          <w:kern w:val="0"/>
          <w:sz w:val="24"/>
          <w:szCs w:val="24"/>
          <w:highlight w:val="none"/>
        </w:rPr>
        <w:t>投标人有恶意串通、妨碍其他投标人的竞争行为、损害采购人或者其他投标人的合法权益情形的；</w:t>
      </w:r>
    </w:p>
    <w:p>
      <w:pPr>
        <w:spacing w:line="360" w:lineRule="auto"/>
        <w:ind w:firstLine="480" w:firstLineChars="200"/>
        <w:rPr>
          <w:color w:val="auto"/>
          <w:sz w:val="24"/>
          <w:szCs w:val="24"/>
          <w:highlight w:val="none"/>
        </w:rPr>
      </w:pPr>
      <w:r>
        <w:rPr>
          <w:rFonts w:hint="eastAsia" w:ascii="宋体" w:hAnsi="宋体" w:eastAsia="宋体" w:cs="宋体"/>
          <w:color w:val="auto"/>
          <w:kern w:val="0"/>
          <w:sz w:val="24"/>
          <w:szCs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4.2.1</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投标人仅提交备份投标文件，未在电子交易平台传输递交投标文件的，投标无效；</w:t>
      </w:r>
    </w:p>
    <w:p>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4.2.1</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法律、法规、规章（适用本市的）及省级以上规范性文件（适用本市的）规定的其他无效情形。</w:t>
      </w:r>
    </w:p>
    <w:p>
      <w:pPr>
        <w:pStyle w:val="2"/>
        <w:snapToGrid w:val="0"/>
        <w:spacing w:line="360" w:lineRule="auto"/>
        <w:ind w:firstLine="472" w:firstLineChars="196"/>
        <w:rPr>
          <w:rFonts w:cs="宋体"/>
          <w:color w:val="auto"/>
          <w:sz w:val="24"/>
          <w:szCs w:val="24"/>
          <w:highlight w:val="none"/>
        </w:rPr>
      </w:pPr>
      <w:r>
        <w:rPr>
          <w:rFonts w:hint="eastAsia" w:cs="宋体"/>
          <w:b/>
          <w:color w:val="auto"/>
          <w:sz w:val="24"/>
          <w:szCs w:val="24"/>
          <w:highlight w:val="none"/>
        </w:rPr>
        <w:t>5.废标。</w:t>
      </w:r>
      <w:r>
        <w:rPr>
          <w:rFonts w:hint="eastAsia" w:cs="宋体"/>
          <w:color w:val="auto"/>
          <w:sz w:val="24"/>
          <w:szCs w:val="24"/>
          <w:highlight w:val="none"/>
        </w:rPr>
        <w:t>根据《中华人民共和国政府采购法》第三十六条之规定，在采购中，出现下列情形之一的，应予废标：</w:t>
      </w:r>
    </w:p>
    <w:p>
      <w:pPr>
        <w:pStyle w:val="2"/>
        <w:snapToGrid w:val="0"/>
        <w:spacing w:line="360" w:lineRule="auto"/>
        <w:rPr>
          <w:rFonts w:cs="宋体"/>
          <w:color w:val="auto"/>
          <w:sz w:val="24"/>
          <w:szCs w:val="24"/>
          <w:highlight w:val="none"/>
        </w:rPr>
      </w:pPr>
      <w:r>
        <w:rPr>
          <w:rFonts w:hint="eastAsia" w:cs="宋体"/>
          <w:color w:val="auto"/>
          <w:sz w:val="24"/>
          <w:szCs w:val="24"/>
          <w:highlight w:val="none"/>
        </w:rPr>
        <w:t>5.1符合专业条件的供应商或者对招标文件作实质响应的供应商不足3家的；</w:t>
      </w:r>
    </w:p>
    <w:p>
      <w:pPr>
        <w:pStyle w:val="2"/>
        <w:snapToGrid w:val="0"/>
        <w:spacing w:line="360" w:lineRule="auto"/>
        <w:rPr>
          <w:rFonts w:cs="宋体"/>
          <w:color w:val="auto"/>
          <w:sz w:val="24"/>
          <w:szCs w:val="24"/>
          <w:highlight w:val="none"/>
        </w:rPr>
      </w:pPr>
      <w:r>
        <w:rPr>
          <w:rFonts w:hint="eastAsia" w:cs="宋体"/>
          <w:color w:val="auto"/>
          <w:sz w:val="24"/>
          <w:szCs w:val="24"/>
          <w:highlight w:val="none"/>
        </w:rPr>
        <w:t>5.2出现影响采购公正的违法、违规行为的；</w:t>
      </w:r>
    </w:p>
    <w:p>
      <w:pPr>
        <w:pStyle w:val="2"/>
        <w:snapToGrid w:val="0"/>
        <w:spacing w:line="360" w:lineRule="auto"/>
        <w:rPr>
          <w:rFonts w:cs="宋体"/>
          <w:color w:val="auto"/>
          <w:sz w:val="24"/>
          <w:szCs w:val="24"/>
          <w:highlight w:val="none"/>
        </w:rPr>
      </w:pPr>
      <w:r>
        <w:rPr>
          <w:rFonts w:hint="eastAsia" w:cs="宋体"/>
          <w:color w:val="auto"/>
          <w:sz w:val="24"/>
          <w:szCs w:val="24"/>
          <w:highlight w:val="none"/>
        </w:rPr>
        <w:t>5.3投标人的报价均超过了采购预算，采购人不能支付的；</w:t>
      </w:r>
    </w:p>
    <w:p>
      <w:pPr>
        <w:pStyle w:val="2"/>
        <w:snapToGrid w:val="0"/>
        <w:spacing w:line="360" w:lineRule="auto"/>
        <w:rPr>
          <w:rFonts w:cs="宋体"/>
          <w:color w:val="auto"/>
          <w:sz w:val="24"/>
          <w:szCs w:val="24"/>
          <w:highlight w:val="none"/>
        </w:rPr>
      </w:pPr>
      <w:r>
        <w:rPr>
          <w:rFonts w:hint="eastAsia" w:cs="宋体"/>
          <w:color w:val="auto"/>
          <w:sz w:val="24"/>
          <w:szCs w:val="24"/>
          <w:highlight w:val="none"/>
        </w:rPr>
        <w:t>5.4因重大变故，采购任务取消的。</w:t>
      </w:r>
    </w:p>
    <w:p>
      <w:pPr>
        <w:pStyle w:val="2"/>
        <w:snapToGrid w:val="0"/>
        <w:spacing w:line="360" w:lineRule="auto"/>
        <w:rPr>
          <w:rFonts w:cs="宋体"/>
          <w:color w:val="auto"/>
          <w:sz w:val="24"/>
          <w:szCs w:val="24"/>
          <w:highlight w:val="none"/>
        </w:rPr>
      </w:pPr>
      <w:r>
        <w:rPr>
          <w:rFonts w:hint="eastAsia" w:cs="宋体"/>
          <w:color w:val="auto"/>
          <w:sz w:val="24"/>
          <w:szCs w:val="24"/>
          <w:highlight w:val="none"/>
        </w:rPr>
        <w:t>废标后，</w:t>
      </w:r>
      <w:r>
        <w:rPr>
          <w:rFonts w:hint="eastAsia" w:cs="宋体"/>
          <w:color w:val="auto"/>
          <w:sz w:val="24"/>
          <w:szCs w:val="24"/>
          <w:highlight w:val="none"/>
          <w:lang w:eastAsia="zh-CN"/>
        </w:rPr>
        <w:t>采购代理机构</w:t>
      </w:r>
      <w:r>
        <w:rPr>
          <w:rFonts w:hint="eastAsia" w:cs="宋体"/>
          <w:color w:val="auto"/>
          <w:sz w:val="24"/>
          <w:szCs w:val="24"/>
          <w:highlight w:val="none"/>
        </w:rPr>
        <w:t>应当将废标理由通知所有投标人。</w:t>
      </w:r>
    </w:p>
    <w:p>
      <w:pPr>
        <w:pStyle w:val="2"/>
        <w:snapToGrid w:val="0"/>
        <w:spacing w:line="360" w:lineRule="auto"/>
        <w:ind w:firstLine="590" w:firstLineChars="245"/>
        <w:rPr>
          <w:rFonts w:cs="宋体"/>
          <w:color w:val="auto"/>
          <w:sz w:val="24"/>
          <w:szCs w:val="24"/>
          <w:highlight w:val="none"/>
        </w:rPr>
      </w:pPr>
      <w:r>
        <w:rPr>
          <w:rFonts w:hint="eastAsia" w:cs="宋体"/>
          <w:b/>
          <w:color w:val="auto"/>
          <w:sz w:val="24"/>
          <w:szCs w:val="24"/>
          <w:highlight w:val="none"/>
        </w:rPr>
        <w:t>6.修改招标文件，重新组织采购活动。</w:t>
      </w:r>
      <w:r>
        <w:rPr>
          <w:rFonts w:hint="eastAsia" w:cs="宋体"/>
          <w:color w:val="auto"/>
          <w:sz w:val="24"/>
          <w:szCs w:val="24"/>
          <w:highlight w:val="none"/>
        </w:rPr>
        <w:t>评标委员会发现招标文件存在歧义、重大缺陷导致评标工作无法进行，或者招标文件内容违反国家有关强制性规定的，将停止评标工作，并与采购人、</w:t>
      </w:r>
      <w:r>
        <w:rPr>
          <w:rFonts w:hint="eastAsia" w:cs="宋体"/>
          <w:color w:val="auto"/>
          <w:sz w:val="24"/>
          <w:szCs w:val="24"/>
          <w:highlight w:val="none"/>
          <w:lang w:eastAsia="zh-CN"/>
        </w:rPr>
        <w:t>采购代理机构</w:t>
      </w:r>
      <w:r>
        <w:rPr>
          <w:rFonts w:hint="eastAsia" w:cs="宋体"/>
          <w:color w:val="auto"/>
          <w:sz w:val="24"/>
          <w:szCs w:val="24"/>
          <w:highlight w:val="none"/>
        </w:rPr>
        <w:t>沟通并作书面记录。采购人、</w:t>
      </w:r>
      <w:r>
        <w:rPr>
          <w:rFonts w:hint="eastAsia" w:cs="宋体"/>
          <w:color w:val="auto"/>
          <w:sz w:val="24"/>
          <w:szCs w:val="24"/>
          <w:highlight w:val="none"/>
          <w:lang w:eastAsia="zh-CN"/>
        </w:rPr>
        <w:t>采购代理机构</w:t>
      </w:r>
      <w:r>
        <w:rPr>
          <w:rFonts w:hint="eastAsia" w:cs="宋体"/>
          <w:color w:val="auto"/>
          <w:sz w:val="24"/>
          <w:szCs w:val="24"/>
          <w:highlight w:val="none"/>
        </w:rPr>
        <w:t>确认后，将修改招标文件，重新组织采购活动。</w:t>
      </w:r>
    </w:p>
    <w:p>
      <w:pPr>
        <w:pStyle w:val="2"/>
        <w:snapToGrid w:val="0"/>
        <w:spacing w:line="360" w:lineRule="auto"/>
        <w:ind w:firstLine="482"/>
        <w:rPr>
          <w:rFonts w:cs="宋体"/>
          <w:color w:val="auto"/>
          <w:sz w:val="24"/>
          <w:szCs w:val="24"/>
          <w:highlight w:val="none"/>
        </w:rPr>
      </w:pPr>
      <w:r>
        <w:rPr>
          <w:rFonts w:hint="eastAsia" w:cs="宋体"/>
          <w:b/>
          <w:color w:val="auto"/>
          <w:kern w:val="0"/>
          <w:sz w:val="24"/>
          <w:szCs w:val="24"/>
          <w:highlight w:val="none"/>
        </w:rPr>
        <w:t>7.重新开展采购。</w:t>
      </w:r>
      <w:r>
        <w:rPr>
          <w:rFonts w:hint="eastAsia" w:cs="宋体"/>
          <w:color w:val="auto"/>
          <w:sz w:val="24"/>
          <w:szCs w:val="24"/>
          <w:highlight w:val="none"/>
        </w:rPr>
        <w:t>有政府采购法第七十一条、第七十二条规定的违法行为之一，影响或者可能影响中标结果的，依照下列规定处理：</w:t>
      </w:r>
    </w:p>
    <w:p>
      <w:pPr>
        <w:pStyle w:val="2"/>
        <w:snapToGrid w:val="0"/>
        <w:spacing w:line="360" w:lineRule="auto"/>
        <w:rPr>
          <w:rFonts w:cs="宋体"/>
          <w:color w:val="auto"/>
          <w:sz w:val="24"/>
          <w:szCs w:val="24"/>
          <w:highlight w:val="none"/>
        </w:rPr>
      </w:pPr>
      <w:r>
        <w:rPr>
          <w:rFonts w:hint="eastAsia" w:cs="宋体"/>
          <w:color w:val="auto"/>
          <w:sz w:val="24"/>
          <w:szCs w:val="24"/>
          <w:highlight w:val="none"/>
        </w:rPr>
        <w:t>7.1未确定中标供应商的，终止本次政府采购活动，重新开展政府采购活动。</w:t>
      </w:r>
    </w:p>
    <w:p>
      <w:pPr>
        <w:pStyle w:val="2"/>
        <w:snapToGrid w:val="0"/>
        <w:spacing w:line="360" w:lineRule="auto"/>
        <w:rPr>
          <w:rFonts w:cs="宋体"/>
          <w:color w:val="auto"/>
          <w:sz w:val="24"/>
          <w:szCs w:val="24"/>
          <w:highlight w:val="none"/>
        </w:rPr>
      </w:pPr>
      <w:r>
        <w:rPr>
          <w:rFonts w:hint="eastAsia" w:cs="宋体"/>
          <w:color w:val="auto"/>
          <w:sz w:val="24"/>
          <w:szCs w:val="24"/>
          <w:highlight w:val="none"/>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cs="宋体"/>
          <w:color w:val="auto"/>
          <w:sz w:val="24"/>
          <w:szCs w:val="24"/>
          <w:highlight w:val="none"/>
        </w:rPr>
      </w:pPr>
      <w:r>
        <w:rPr>
          <w:rFonts w:hint="eastAsia" w:cs="宋体"/>
          <w:color w:val="auto"/>
          <w:sz w:val="24"/>
          <w:szCs w:val="24"/>
          <w:highlight w:val="none"/>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cs="宋体"/>
          <w:color w:val="auto"/>
          <w:sz w:val="24"/>
          <w:szCs w:val="24"/>
          <w:highlight w:val="none"/>
        </w:rPr>
      </w:pPr>
      <w:r>
        <w:rPr>
          <w:rFonts w:hint="eastAsia" w:cs="宋体"/>
          <w:color w:val="auto"/>
          <w:sz w:val="24"/>
          <w:szCs w:val="24"/>
          <w:highlight w:val="none"/>
        </w:rPr>
        <w:t>7.4政府采购合同已经履行，给采购人、供应商造成损失的，由责任人承担赔偿责任。</w:t>
      </w:r>
    </w:p>
    <w:p>
      <w:pPr>
        <w:pStyle w:val="2"/>
        <w:snapToGrid w:val="0"/>
        <w:spacing w:line="360" w:lineRule="auto"/>
        <w:rPr>
          <w:rFonts w:ascii="宋体" w:hAnsi="宋体" w:cs="宋体"/>
          <w:b/>
          <w:color w:val="auto"/>
          <w:sz w:val="24"/>
          <w:szCs w:val="24"/>
          <w:highlight w:val="none"/>
        </w:rPr>
      </w:pPr>
      <w:r>
        <w:rPr>
          <w:rFonts w:hint="eastAsia" w:cs="宋体"/>
          <w:color w:val="auto"/>
          <w:sz w:val="24"/>
          <w:szCs w:val="24"/>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8"/>
      <w:bookmarkStart w:id="402" w:name="第五部分"/>
      <w:bookmarkStart w:id="403" w:name="_Toc86217003"/>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pPr>
        <w:spacing w:line="480" w:lineRule="auto"/>
        <w:jc w:val="center"/>
        <w:rPr>
          <w:rFonts w:hint="eastAsia" w:ascii="宋体" w:hAnsi="宋体" w:eastAsia="宋体" w:cs="宋体"/>
          <w:b/>
          <w:color w:val="auto"/>
          <w:sz w:val="28"/>
          <w:szCs w:val="28"/>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pPr>
        <w:pStyle w:val="704"/>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pPr>
        <w:spacing w:before="120" w:line="22" w:lineRule="atLeast"/>
        <w:rPr>
          <w:rFonts w:hint="eastAsia" w:ascii="宋体" w:hAnsi="宋体" w:eastAsia="宋体" w:cs="宋体"/>
          <w:color w:val="auto"/>
          <w:sz w:val="24"/>
          <w:highlight w:val="none"/>
        </w:rPr>
      </w:pPr>
    </w:p>
    <w:p>
      <w:pPr>
        <w:pStyle w:val="4"/>
        <w:rPr>
          <w:rFonts w:hint="eastAsia" w:ascii="宋体" w:hAnsi="宋体" w:eastAsia="宋体" w:cs="宋体"/>
          <w:color w:val="auto"/>
          <w:highlight w:val="none"/>
        </w:rPr>
      </w:pPr>
    </w:p>
    <w:p>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杭州市出租车行业监管和执法保障信息服务</w:t>
      </w:r>
      <w:r>
        <w:rPr>
          <w:rFonts w:hint="eastAsia" w:ascii="宋体" w:hAnsi="宋体" w:eastAsia="宋体" w:cs="宋体"/>
          <w:color w:val="auto"/>
          <w:sz w:val="24"/>
          <w:highlight w:val="none"/>
          <w:u w:val="single"/>
        </w:rPr>
        <w:t xml:space="preserve">  </w:t>
      </w:r>
    </w:p>
    <w:p>
      <w:pPr>
        <w:pStyle w:val="601"/>
        <w:spacing w:before="120" w:line="22" w:lineRule="atLeast"/>
        <w:rPr>
          <w:rFonts w:hint="eastAsia" w:ascii="宋体" w:hAnsi="宋体" w:eastAsia="宋体" w:cs="宋体"/>
          <w:color w:val="auto"/>
          <w:szCs w:val="24"/>
          <w:highlight w:val="none"/>
        </w:rPr>
      </w:pPr>
    </w:p>
    <w:p>
      <w:pPr>
        <w:pStyle w:val="601"/>
        <w:spacing w:before="120" w:line="22" w:lineRule="atLeast"/>
        <w:rPr>
          <w:rFonts w:hint="eastAsia" w:ascii="宋体" w:hAnsi="宋体" w:eastAsia="宋体" w:cs="宋体"/>
          <w:color w:val="auto"/>
          <w:szCs w:val="24"/>
          <w:highlight w:val="none"/>
        </w:rPr>
      </w:pPr>
    </w:p>
    <w:p>
      <w:pPr>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杭州市道路运输管理服务中心          </w:t>
      </w: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杭州</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2025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widowControl/>
        <w:jc w:val="left"/>
        <w:rPr>
          <w:rFonts w:hint="eastAsia" w:ascii="宋体" w:hAnsi="宋体" w:eastAsia="宋体" w:cs="宋体"/>
          <w:color w:val="auto"/>
          <w:kern w:val="0"/>
          <w:sz w:val="24"/>
          <w:highlight w:val="none"/>
        </w:rPr>
        <w:sectPr>
          <w:pgSz w:w="11907" w:h="16840"/>
          <w:pgMar w:top="1417" w:right="1417" w:bottom="1417" w:left="1417" w:header="851" w:footer="850" w:gutter="0"/>
          <w:pgNumType w:fmt="decimal"/>
          <w:cols w:space="720" w:num="1"/>
          <w:rtlGutter w:val="0"/>
          <w:docGrid w:linePitch="1" w:charSpace="0"/>
        </w:sect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杭州市道路运输管理服务中心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公开招标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杭州市出租车行业监管和执法保障信息服务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评标委员会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杭州市道路运输管理服务中心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color w:val="auto"/>
          <w:sz w:val="24"/>
          <w:highlight w:val="none"/>
        </w:rPr>
      </w:pPr>
      <w:bookmarkStart w:id="404" w:name="_Toc28855"/>
      <w:bookmarkStart w:id="405" w:name="_Toc22967"/>
      <w:bookmarkStart w:id="406" w:name="_Toc19273"/>
      <w:bookmarkStart w:id="407" w:name="_Toc20421"/>
      <w:bookmarkStart w:id="408" w:name="_Toc15367"/>
      <w:r>
        <w:rPr>
          <w:rFonts w:hint="eastAsia" w:ascii="宋体" w:hAnsi="宋体" w:eastAsia="宋体" w:cs="宋体"/>
          <w:b/>
          <w:color w:val="auto"/>
          <w:sz w:val="24"/>
          <w:highlight w:val="none"/>
        </w:rPr>
        <w:t>1.1 合同组成部分</w:t>
      </w:r>
      <w:bookmarkEnd w:id="404"/>
      <w:bookmarkEnd w:id="405"/>
      <w:bookmarkEnd w:id="406"/>
      <w:bookmarkEnd w:id="407"/>
      <w:bookmarkEnd w:id="408"/>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09" w:name="_Toc22185"/>
      <w:bookmarkStart w:id="410" w:name="_Toc6773"/>
      <w:bookmarkStart w:id="411" w:name="_Toc2918"/>
      <w:bookmarkStart w:id="412" w:name="_Toc6311"/>
      <w:bookmarkStart w:id="413" w:name="_Toc18585"/>
      <w:r>
        <w:rPr>
          <w:rFonts w:hint="eastAsia" w:ascii="宋体" w:hAnsi="宋体" w:eastAsia="宋体" w:cs="宋体"/>
          <w:b/>
          <w:color w:val="auto"/>
          <w:sz w:val="24"/>
          <w:highlight w:val="none"/>
        </w:rPr>
        <w:t>1.2 标的</w:t>
      </w:r>
      <w:bookmarkEnd w:id="409"/>
      <w:bookmarkEnd w:id="410"/>
      <w:bookmarkEnd w:id="411"/>
      <w:bookmarkEnd w:id="412"/>
      <w:bookmarkEnd w:id="413"/>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pStyle w:val="96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否</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bookmarkStart w:id="414" w:name="_Toc1386"/>
      <w:bookmarkStart w:id="415" w:name="_Toc4929"/>
      <w:bookmarkStart w:id="416" w:name="_Toc13918"/>
      <w:bookmarkStart w:id="417" w:name="_Toc21124"/>
      <w:bookmarkStart w:id="418" w:name="_Toc5635"/>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14"/>
      <w:bookmarkEnd w:id="415"/>
      <w:bookmarkEnd w:id="416"/>
      <w:bookmarkEnd w:id="417"/>
      <w:bookmarkEnd w:id="418"/>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1.3.1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4415"/>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8" w:type="pct"/>
            <w:noWrap w:val="0"/>
            <w:vAlign w:val="center"/>
          </w:tcPr>
          <w:p>
            <w:pPr>
              <w:pStyle w:val="32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377" w:type="pct"/>
            <w:noWrap w:val="0"/>
            <w:vAlign w:val="center"/>
          </w:tcPr>
          <w:p>
            <w:pPr>
              <w:pStyle w:val="322"/>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1783" w:type="pct"/>
            <w:noWrap w:val="0"/>
            <w:vAlign w:val="center"/>
          </w:tcPr>
          <w:p>
            <w:pPr>
              <w:pStyle w:val="32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8" w:type="pct"/>
            <w:noWrap w:val="0"/>
            <w:vAlign w:val="center"/>
          </w:tcPr>
          <w:p>
            <w:pPr>
              <w:pStyle w:val="322"/>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rPr>
                <w:rFonts w:hint="eastAsia" w:ascii="宋体" w:hAnsi="宋体" w:eastAsia="宋体" w:cs="宋体"/>
                <w:color w:val="auto"/>
                <w:sz w:val="24"/>
                <w:szCs w:val="24"/>
                <w:highlight w:val="none"/>
              </w:rPr>
            </w:pPr>
          </w:p>
        </w:tc>
        <w:tc>
          <w:tcPr>
            <w:tcW w:w="2377" w:type="pct"/>
            <w:noWrap w:val="0"/>
            <w:vAlign w:val="center"/>
          </w:tcPr>
          <w:p>
            <w:pPr>
              <w:pStyle w:val="322"/>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rPr>
                <w:rFonts w:hint="eastAsia" w:ascii="宋体" w:hAnsi="宋体" w:eastAsia="宋体" w:cs="宋体"/>
                <w:color w:val="auto"/>
                <w:sz w:val="24"/>
                <w:szCs w:val="24"/>
                <w:highlight w:val="none"/>
              </w:rPr>
            </w:pPr>
          </w:p>
        </w:tc>
        <w:tc>
          <w:tcPr>
            <w:tcW w:w="1783" w:type="pct"/>
            <w:noWrap w:val="0"/>
            <w:vAlign w:val="center"/>
          </w:tcPr>
          <w:p>
            <w:pPr>
              <w:pStyle w:val="322"/>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8" w:type="pct"/>
            <w:noWrap w:val="0"/>
            <w:vAlign w:val="center"/>
          </w:tcPr>
          <w:p>
            <w:pPr>
              <w:pStyle w:val="322"/>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rPr>
                <w:rFonts w:hint="eastAsia" w:ascii="宋体" w:hAnsi="宋体" w:eastAsia="宋体" w:cs="宋体"/>
                <w:color w:val="auto"/>
                <w:sz w:val="24"/>
                <w:szCs w:val="24"/>
                <w:highlight w:val="none"/>
              </w:rPr>
            </w:pPr>
          </w:p>
        </w:tc>
        <w:tc>
          <w:tcPr>
            <w:tcW w:w="2377" w:type="pct"/>
            <w:noWrap w:val="0"/>
            <w:vAlign w:val="center"/>
          </w:tcPr>
          <w:p>
            <w:pPr>
              <w:pStyle w:val="322"/>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rPr>
                <w:rFonts w:hint="eastAsia" w:ascii="宋体" w:hAnsi="宋体" w:eastAsia="宋体" w:cs="宋体"/>
                <w:color w:val="auto"/>
                <w:sz w:val="24"/>
                <w:szCs w:val="24"/>
                <w:highlight w:val="none"/>
              </w:rPr>
            </w:pPr>
          </w:p>
        </w:tc>
        <w:tc>
          <w:tcPr>
            <w:tcW w:w="1783" w:type="pct"/>
            <w:noWrap w:val="0"/>
            <w:vAlign w:val="center"/>
          </w:tcPr>
          <w:p>
            <w:pPr>
              <w:pStyle w:val="322"/>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16" w:type="pct"/>
            <w:gridSpan w:val="2"/>
            <w:noWrap w:val="0"/>
            <w:vAlign w:val="center"/>
          </w:tcPr>
          <w:p>
            <w:pPr>
              <w:pStyle w:val="322"/>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783" w:type="pct"/>
            <w:noWrap w:val="0"/>
            <w:vAlign w:val="center"/>
          </w:tcPr>
          <w:p>
            <w:pPr>
              <w:pStyle w:val="322"/>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rPr>
                <w:rFonts w:hint="eastAsia" w:ascii="宋体" w:hAnsi="宋体" w:eastAsia="宋体" w:cs="宋体"/>
                <w:color w:val="auto"/>
                <w:sz w:val="24"/>
                <w:szCs w:val="24"/>
                <w:highlight w:val="none"/>
              </w:rPr>
            </w:pPr>
          </w:p>
        </w:tc>
      </w:tr>
    </w:tbl>
    <w:p>
      <w:pPr>
        <w:pStyle w:val="962"/>
        <w:keepNext w:val="0"/>
        <w:keepLines w:val="0"/>
        <w:pageBreakBefore w:val="0"/>
        <w:kinsoku/>
        <w:wordWrap/>
        <w:overflowPunct/>
        <w:topLinePunct w:val="0"/>
        <w:bidi w:val="0"/>
        <w:adjustRightInd/>
        <w:snapToGrid/>
        <w:spacing w:before="0" w:beforeAutospacing="0" w:after="0" w:afterAutospacing="0" w:line="360" w:lineRule="auto"/>
        <w:ind w:firstLine="480"/>
        <w:textAlignment w:val="auto"/>
        <w:rPr>
          <w:rFonts w:hint="eastAsia" w:ascii="宋体" w:hAnsi="宋体" w:eastAsia="宋体" w:cs="宋体"/>
          <w:b/>
          <w:color w:val="auto"/>
          <w:highlight w:val="none"/>
        </w:rPr>
      </w:pPr>
      <w:bookmarkStart w:id="419" w:name="_Toc1814"/>
      <w:bookmarkStart w:id="420" w:name="_Toc10340"/>
      <w:bookmarkStart w:id="421" w:name="_Toc22618"/>
      <w:bookmarkStart w:id="422" w:name="_Toc4760"/>
      <w:bookmarkStart w:id="423" w:name="_Toc31421"/>
      <w:bookmarkStart w:id="424" w:name="_Toc8772"/>
      <w:bookmarkStart w:id="425" w:name="_Toc3625"/>
      <w:bookmarkStart w:id="426" w:name="_Toc11108"/>
      <w:r>
        <w:rPr>
          <w:rFonts w:hint="eastAsia" w:ascii="宋体" w:hAnsi="宋体" w:eastAsia="宋体" w:cs="宋体"/>
          <w:b/>
          <w:color w:val="auto"/>
          <w:highlight w:val="none"/>
        </w:rPr>
        <w:t>1.4履约保证金</w:t>
      </w:r>
    </w:p>
    <w:p>
      <w:pPr>
        <w:pStyle w:val="962"/>
        <w:keepNext w:val="0"/>
        <w:keepLines w:val="0"/>
        <w:pageBreakBefore w:val="0"/>
        <w:kinsoku/>
        <w:wordWrap/>
        <w:overflowPunct/>
        <w:topLinePunct w:val="0"/>
        <w:bidi w:val="0"/>
        <w:adjustRightInd/>
        <w:snapToGrid/>
        <w:spacing w:before="0" w:beforeAutospacing="0" w:after="0" w:afterAutospacing="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否</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pPr>
        <w:keepNext w:val="0"/>
        <w:keepLines w:val="0"/>
        <w:pageBreakBefore w:val="0"/>
        <w:kinsoku/>
        <w:wordWrap/>
        <w:overflowPunct/>
        <w:topLinePunct w:val="0"/>
        <w:bidi w:val="0"/>
        <w:adjustRightInd/>
        <w:snapToGrid/>
        <w:spacing w:line="360" w:lineRule="auto"/>
        <w:ind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keepNext w:val="0"/>
        <w:keepLines w:val="0"/>
        <w:pageBreakBefore w:val="0"/>
        <w:kinsoku/>
        <w:wordWrap/>
        <w:overflowPunct/>
        <w:topLinePunct w:val="0"/>
        <w:bidi w:val="0"/>
        <w:adjustRightInd/>
        <w:snapToGrid/>
        <w:spacing w:line="360" w:lineRule="auto"/>
        <w:ind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4"/>
        <w:keepNext w:val="0"/>
        <w:keepLines w:val="0"/>
        <w:pageBreakBefore w:val="0"/>
        <w:widowControl w:val="0"/>
        <w:tabs>
          <w:tab w:val="left" w:pos="0"/>
        </w:tabs>
        <w:kinsoku/>
        <w:wordWrap/>
        <w:overflowPunct/>
        <w:topLinePunct w:val="0"/>
        <w:autoSpaceDE/>
        <w:autoSpaceDN/>
        <w:bidi w:val="0"/>
        <w:adjustRightInd/>
        <w:snapToGrid/>
        <w:spacing w:before="0" w:after="0" w:line="360" w:lineRule="auto"/>
        <w:ind w:left="0" w:firstLine="480" w:firstLineChars="200"/>
        <w:textAlignment w:val="auto"/>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eepNext w:val="0"/>
        <w:keepLines w:val="0"/>
        <w:pageBreakBefore w:val="0"/>
        <w:kinsoku/>
        <w:wordWrap/>
        <w:overflowPunct/>
        <w:topLinePunct w:val="0"/>
        <w:bidi w:val="0"/>
        <w:adjustRightInd/>
        <w:snapToGrid/>
        <w:spacing w:line="360" w:lineRule="auto"/>
        <w:ind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pPr>
        <w:keepNext w:val="0"/>
        <w:keepLines w:val="0"/>
        <w:pageBreakBefore w:val="0"/>
        <w:kinsoku/>
        <w:wordWrap/>
        <w:overflowPunct/>
        <w:topLinePunct w:val="0"/>
        <w:bidi w:val="0"/>
        <w:adjustRightInd/>
        <w:snapToGrid/>
        <w:spacing w:line="360" w:lineRule="auto"/>
        <w:ind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19"/>
      <w:bookmarkEnd w:id="420"/>
      <w:bookmarkEnd w:id="421"/>
      <w:r>
        <w:rPr>
          <w:rFonts w:hint="eastAsia" w:ascii="宋体" w:hAnsi="宋体" w:eastAsia="宋体" w:cs="宋体"/>
          <w:b/>
          <w:color w:val="auto"/>
          <w:sz w:val="24"/>
          <w:highlight w:val="none"/>
        </w:rPr>
        <w:t>预付款</w:t>
      </w:r>
    </w:p>
    <w:p>
      <w:pPr>
        <w:pStyle w:val="962"/>
        <w:keepNext w:val="0"/>
        <w:keepLines w:val="0"/>
        <w:pageBreakBefore w:val="0"/>
        <w:kinsoku/>
        <w:wordWrap/>
        <w:overflowPunct/>
        <w:topLinePunct w:val="0"/>
        <w:bidi w:val="0"/>
        <w:adjustRightInd/>
        <w:snapToGrid/>
        <w:spacing w:before="0" w:beforeAutospacing="0" w:after="0" w:afterAutospacing="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是</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962"/>
        <w:keepNext w:val="0"/>
        <w:keepLines w:val="0"/>
        <w:pageBreakBefore w:val="0"/>
        <w:kinsoku/>
        <w:wordWrap/>
        <w:overflowPunct/>
        <w:topLinePunct w:val="0"/>
        <w:bidi w:val="0"/>
        <w:adjustRightInd/>
        <w:snapToGrid/>
        <w:spacing w:before="0" w:beforeAutospacing="0" w:after="0" w:afterAutospacing="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962"/>
        <w:keepNext w:val="0"/>
        <w:keepLines w:val="0"/>
        <w:pageBreakBefore w:val="0"/>
        <w:kinsoku/>
        <w:wordWrap/>
        <w:overflowPunct/>
        <w:topLinePunct w:val="0"/>
        <w:bidi w:val="0"/>
        <w:adjustRightInd/>
        <w:snapToGrid/>
        <w:spacing w:before="0" w:beforeAutospacing="0" w:after="0" w:afterAutospacing="0" w:line="360" w:lineRule="auto"/>
        <w:ind w:firstLine="48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962"/>
        <w:keepNext w:val="0"/>
        <w:keepLines w:val="0"/>
        <w:pageBreakBefore w:val="0"/>
        <w:kinsoku/>
        <w:wordWrap/>
        <w:overflowPunct/>
        <w:topLinePunct w:val="0"/>
        <w:bidi w:val="0"/>
        <w:adjustRightInd/>
        <w:snapToGrid/>
        <w:spacing w:before="0" w:beforeAutospacing="0" w:after="0" w:afterAutospacing="0" w:line="360" w:lineRule="auto"/>
        <w:ind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pPr>
        <w:pStyle w:val="962"/>
        <w:keepNext w:val="0"/>
        <w:keepLines w:val="0"/>
        <w:pageBreakBefore w:val="0"/>
        <w:kinsoku/>
        <w:wordWrap/>
        <w:overflowPunct/>
        <w:topLinePunct w:val="0"/>
        <w:bidi w:val="0"/>
        <w:adjustRightInd/>
        <w:snapToGrid/>
        <w:spacing w:before="0" w:beforeAutospacing="0" w:after="0" w:afterAutospacing="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keepNext w:val="0"/>
        <w:keepLines w:val="0"/>
        <w:pageBreakBefore w:val="0"/>
        <w:kinsoku/>
        <w:wordWrap/>
        <w:overflowPunct/>
        <w:topLinePunct w:val="0"/>
        <w:bidi w:val="0"/>
        <w:adjustRightInd/>
        <w:snapToGrid/>
        <w:spacing w:line="360" w:lineRule="auto"/>
        <w:ind w:firstLine="480" w:firstLineChars="200"/>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adjustRightInd/>
        <w:snapToGrid/>
        <w:spacing w:line="360" w:lineRule="auto"/>
        <w:ind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22"/>
      <w:bookmarkEnd w:id="423"/>
      <w:bookmarkEnd w:id="424"/>
      <w:bookmarkEnd w:id="425"/>
      <w:bookmarkEnd w:id="426"/>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adjustRightInd/>
        <w:snapToGrid/>
        <w:spacing w:line="360" w:lineRule="auto"/>
        <w:ind w:firstLine="480" w:firstLineChars="200"/>
        <w:textAlignment w:val="auto"/>
        <w:outlineLvl w:val="0"/>
        <w:rPr>
          <w:rFonts w:hint="eastAsia" w:ascii="宋体" w:hAnsi="宋体" w:eastAsia="宋体" w:cs="宋体"/>
          <w:bCs/>
          <w:color w:val="auto"/>
          <w:sz w:val="24"/>
          <w:highlight w:val="none"/>
        </w:rPr>
      </w:pPr>
      <w:bookmarkStart w:id="427" w:name="_Toc8586"/>
      <w:bookmarkStart w:id="428" w:name="_Toc2375"/>
      <w:bookmarkStart w:id="429" w:name="_Toc24662"/>
      <w:bookmarkStart w:id="430" w:name="_Toc5698"/>
      <w:bookmarkStart w:id="431" w:name="_Toc3079"/>
      <w:r>
        <w:rPr>
          <w:rFonts w:hint="eastAsia" w:ascii="宋体" w:hAnsi="宋体" w:eastAsia="宋体" w:cs="宋体"/>
          <w:bCs/>
          <w:color w:val="auto"/>
          <w:sz w:val="24"/>
          <w:highlight w:val="none"/>
        </w:rPr>
        <w:t>1.7.4若服务涉及货物的，则货物的：</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adjustRightInd/>
        <w:snapToGrid/>
        <w:spacing w:line="360" w:lineRule="auto"/>
        <w:ind w:firstLine="482" w:firstLineChars="200"/>
        <w:textAlignment w:val="auto"/>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27"/>
      <w:bookmarkEnd w:id="428"/>
      <w:bookmarkEnd w:id="429"/>
      <w:bookmarkEnd w:id="430"/>
      <w:bookmarkEnd w:id="431"/>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keepNext w:val="0"/>
        <w:keepLines w:val="0"/>
        <w:pageBreakBefore w:val="0"/>
        <w:kinsoku/>
        <w:wordWrap/>
        <w:overflowPunct/>
        <w:topLinePunct w:val="0"/>
        <w:bidi w:val="0"/>
        <w:adjustRightInd/>
        <w:snapToGrid/>
        <w:spacing w:line="360" w:lineRule="auto"/>
        <w:ind w:right="-420" w:righ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p>
      <w:pPr>
        <w:keepNext w:val="0"/>
        <w:keepLines w:val="0"/>
        <w:pageBreakBefore w:val="0"/>
        <w:kinsoku/>
        <w:wordWrap/>
        <w:overflowPunct/>
        <w:topLinePunct w:val="0"/>
        <w:bidi w:val="0"/>
        <w:adjustRightInd/>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32" w:name="_Toc28375"/>
      <w:bookmarkStart w:id="433" w:name="_Toc16021"/>
      <w:bookmarkStart w:id="434" w:name="_Toc15583"/>
      <w:r>
        <w:rPr>
          <w:rFonts w:hint="eastAsia" w:ascii="宋体" w:hAnsi="宋体" w:eastAsia="宋体" w:cs="宋体"/>
          <w:b/>
          <w:color w:val="auto"/>
          <w:sz w:val="24"/>
          <w:highlight w:val="none"/>
        </w:rPr>
        <w:t>1.9合同争议的解决</w:t>
      </w:r>
      <w:bookmarkEnd w:id="432"/>
      <w:bookmarkEnd w:id="433"/>
      <w:bookmarkEnd w:id="434"/>
    </w:p>
    <w:p>
      <w:pPr>
        <w:keepNext w:val="0"/>
        <w:keepLines w:val="0"/>
        <w:pageBreakBefore w:val="0"/>
        <w:kinsoku/>
        <w:wordWrap/>
        <w:overflowPunct/>
        <w:topLinePunct w:val="0"/>
        <w:bidi w:val="0"/>
        <w:adjustRightInd/>
        <w:snapToGrid/>
        <w:spacing w:line="360" w:lineRule="auto"/>
        <w:ind w:left="-61" w:leftChars="-29" w:right="-420" w:rightChars="-200"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b/>
          <w:i/>
          <w:color w:val="auto"/>
          <w:sz w:val="24"/>
          <w:highlight w:val="none"/>
          <w:u w:val="single"/>
          <w:lang w:val="en-US" w:eastAsia="zh-CN"/>
        </w:rPr>
        <w:t>1.9.2</w:t>
      </w:r>
      <w:r>
        <w:rPr>
          <w:rFonts w:hint="eastAsia" w:ascii="宋体" w:hAnsi="宋体" w:eastAsia="宋体" w:cs="宋体"/>
          <w:b/>
          <w:i/>
          <w:color w:val="auto"/>
          <w:sz w:val="24"/>
          <w:highlight w:val="none"/>
          <w:u w:val="single"/>
        </w:rPr>
        <w:t xml:space="preserve"> </w:t>
      </w:r>
      <w:r>
        <w:rPr>
          <w:rFonts w:hint="eastAsia" w:ascii="宋体" w:hAnsi="宋体" w:eastAsia="宋体" w:cs="宋体"/>
          <w:b/>
          <w:i/>
          <w:color w:val="auto"/>
          <w:sz w:val="24"/>
          <w:highlight w:val="none"/>
          <w:u w:val="single"/>
          <w:lang w:val="en-US" w:eastAsia="zh-CN"/>
        </w:rPr>
        <w:t xml:space="preserve"> </w:t>
      </w:r>
      <w:r>
        <w:rPr>
          <w:rFonts w:hint="eastAsia" w:ascii="宋体" w:hAnsi="宋体" w:eastAsia="宋体" w:cs="宋体"/>
          <w:color w:val="auto"/>
          <w:sz w:val="24"/>
          <w:highlight w:val="none"/>
        </w:rPr>
        <w:t>条款规定的方式解决：</w:t>
      </w:r>
    </w:p>
    <w:p>
      <w:pPr>
        <w:keepNext w:val="0"/>
        <w:keepLines w:val="0"/>
        <w:pageBreakBefore w:val="0"/>
        <w:kinsoku/>
        <w:wordWrap/>
        <w:overflowPunct/>
        <w:topLinePunct w:val="0"/>
        <w:bidi w:val="0"/>
        <w:adjustRightInd/>
        <w:snapToGrid/>
        <w:spacing w:line="360" w:lineRule="auto"/>
        <w:ind w:left="-420" w:leftChars="-200" w:right="-420" w:rightChars="-200"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pPr>
        <w:keepNext w:val="0"/>
        <w:keepLines w:val="0"/>
        <w:pageBreakBefore w:val="0"/>
        <w:kinsoku/>
        <w:wordWrap/>
        <w:overflowPunct/>
        <w:topLinePunct w:val="0"/>
        <w:bidi w:val="0"/>
        <w:adjustRightInd/>
        <w:snapToGrid/>
        <w:spacing w:line="360" w:lineRule="auto"/>
        <w:ind w:left="-420" w:leftChars="-200" w:right="-420" w:rightChars="-200"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pPr>
        <w:keepNext w:val="0"/>
        <w:keepLines w:val="0"/>
        <w:pageBreakBefore w:val="0"/>
        <w:kinsoku/>
        <w:wordWrap/>
        <w:overflowPunct/>
        <w:topLinePunct w:val="0"/>
        <w:bidi w:val="0"/>
        <w:adjustRightInd/>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35" w:name="_Toc7245"/>
      <w:bookmarkStart w:id="436" w:name="_Toc11173"/>
      <w:bookmarkStart w:id="437" w:name="_Toc15322"/>
      <w:r>
        <w:rPr>
          <w:rFonts w:hint="eastAsia" w:ascii="宋体" w:hAnsi="宋体" w:eastAsia="宋体" w:cs="宋体"/>
          <w:b/>
          <w:color w:val="auto"/>
          <w:sz w:val="24"/>
          <w:highlight w:val="none"/>
        </w:rPr>
        <w:t>2.0 合同生效</w:t>
      </w:r>
      <w:bookmarkEnd w:id="435"/>
      <w:bookmarkEnd w:id="436"/>
      <w:bookmarkEnd w:id="437"/>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联系地址</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lang w:val="en-US" w:eastAsia="zh-CN"/>
        </w:rPr>
        <w:t>联系地址</w:t>
      </w:r>
      <w:r>
        <w:rPr>
          <w:rFonts w:hint="eastAsia" w:ascii="宋体" w:hAnsi="宋体" w:eastAsia="宋体" w:cs="宋体"/>
          <w:color w:val="auto"/>
          <w:sz w:val="24"/>
          <w:highlight w:val="none"/>
          <w:lang w:val="zh-CN"/>
        </w:rPr>
        <w:t>：</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电话</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zh-CN"/>
        </w:rPr>
        <w:t xml:space="preserve">                                   电话： </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pPr>
        <w:pStyle w:val="704"/>
        <w:spacing w:line="560" w:lineRule="exact"/>
        <w:ind w:firstLine="482"/>
        <w:jc w:val="center"/>
        <w:rPr>
          <w:rFonts w:hint="eastAsia" w:ascii="宋体" w:hAnsi="宋体" w:eastAsia="宋体" w:cs="宋体"/>
          <w:b/>
          <w:color w:val="auto"/>
          <w:szCs w:val="24"/>
          <w:highlight w:val="none"/>
        </w:rPr>
      </w:pPr>
    </w:p>
    <w:p>
      <w:pPr>
        <w:pStyle w:val="704"/>
        <w:spacing w:line="560" w:lineRule="exact"/>
        <w:ind w:left="0" w:leftChars="0" w:firstLine="0" w:firstLineChars="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br w:type="page"/>
      </w:r>
      <w:r>
        <w:rPr>
          <w:rFonts w:hint="eastAsia" w:ascii="宋体" w:hAnsi="宋体" w:eastAsia="宋体" w:cs="宋体"/>
          <w:b/>
          <w:color w:val="auto"/>
          <w:szCs w:val="24"/>
          <w:highlight w:val="none"/>
        </w:rPr>
        <w:t>第二部分 合同一般条款</w:t>
      </w:r>
    </w:p>
    <w:p>
      <w:pPr>
        <w:spacing w:line="360" w:lineRule="auto"/>
        <w:ind w:firstLine="482" w:firstLineChars="200"/>
        <w:outlineLvl w:val="0"/>
        <w:rPr>
          <w:rFonts w:hint="eastAsia" w:ascii="宋体" w:hAnsi="宋体" w:eastAsia="宋体" w:cs="宋体"/>
          <w:b/>
          <w:color w:val="auto"/>
          <w:sz w:val="24"/>
          <w:highlight w:val="none"/>
        </w:rPr>
      </w:pPr>
      <w:bookmarkStart w:id="438" w:name="_Toc5228"/>
      <w:bookmarkStart w:id="439" w:name="_Toc14021"/>
      <w:bookmarkStart w:id="440" w:name="_Toc25079"/>
      <w:bookmarkStart w:id="441" w:name="_Toc19680"/>
      <w:bookmarkStart w:id="442" w:name="_Toc31297"/>
      <w:r>
        <w:rPr>
          <w:rFonts w:hint="eastAsia" w:ascii="宋体" w:hAnsi="宋体" w:eastAsia="宋体" w:cs="宋体"/>
          <w:b/>
          <w:color w:val="auto"/>
          <w:sz w:val="24"/>
          <w:highlight w:val="none"/>
        </w:rPr>
        <w:t>2.1 定义</w:t>
      </w:r>
      <w:bookmarkEnd w:id="438"/>
      <w:bookmarkEnd w:id="439"/>
      <w:bookmarkEnd w:id="440"/>
      <w:bookmarkEnd w:id="441"/>
      <w:bookmarkEnd w:id="442"/>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pPr>
        <w:spacing w:line="360" w:lineRule="auto"/>
        <w:ind w:firstLine="482" w:firstLineChars="200"/>
        <w:outlineLvl w:val="0"/>
        <w:rPr>
          <w:rFonts w:hint="eastAsia" w:ascii="宋体" w:hAnsi="宋体" w:eastAsia="宋体" w:cs="宋体"/>
          <w:b/>
          <w:color w:val="auto"/>
          <w:sz w:val="24"/>
          <w:highlight w:val="none"/>
        </w:rPr>
      </w:pPr>
      <w:bookmarkStart w:id="443" w:name="_Toc19539"/>
      <w:bookmarkStart w:id="444" w:name="_Toc31402"/>
      <w:bookmarkStart w:id="445" w:name="_Toc16752"/>
      <w:bookmarkStart w:id="446" w:name="_Toc3769"/>
      <w:bookmarkStart w:id="447" w:name="_Toc23289"/>
      <w:r>
        <w:rPr>
          <w:rFonts w:hint="eastAsia" w:ascii="宋体" w:hAnsi="宋体" w:eastAsia="宋体" w:cs="宋体"/>
          <w:b/>
          <w:color w:val="auto"/>
          <w:sz w:val="24"/>
          <w:highlight w:val="none"/>
        </w:rPr>
        <w:t>2.2 技术规范</w:t>
      </w:r>
      <w:bookmarkEnd w:id="443"/>
      <w:bookmarkEnd w:id="444"/>
      <w:bookmarkEnd w:id="445"/>
      <w:bookmarkEnd w:id="446"/>
      <w:bookmarkEnd w:id="447"/>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hint="eastAsia" w:ascii="宋体" w:hAnsi="宋体" w:eastAsia="宋体" w:cs="宋体"/>
          <w:b/>
          <w:color w:val="auto"/>
          <w:sz w:val="24"/>
          <w:highlight w:val="none"/>
        </w:rPr>
      </w:pPr>
      <w:bookmarkStart w:id="448" w:name="_Toc12412"/>
      <w:bookmarkStart w:id="449" w:name="_Toc9161"/>
      <w:bookmarkStart w:id="450" w:name="_Toc4133"/>
      <w:bookmarkStart w:id="451" w:name="_Toc13673"/>
      <w:bookmarkStart w:id="452" w:name="_Toc27945"/>
      <w:r>
        <w:rPr>
          <w:rFonts w:hint="eastAsia" w:ascii="宋体" w:hAnsi="宋体" w:eastAsia="宋体" w:cs="宋体"/>
          <w:b/>
          <w:color w:val="auto"/>
          <w:sz w:val="24"/>
          <w:highlight w:val="none"/>
        </w:rPr>
        <w:t>2.3 知识产权</w:t>
      </w:r>
      <w:bookmarkEnd w:id="448"/>
      <w:bookmarkEnd w:id="449"/>
      <w:bookmarkEnd w:id="450"/>
      <w:bookmarkEnd w:id="451"/>
      <w:bookmarkEnd w:id="452"/>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pPr>
        <w:spacing w:line="360" w:lineRule="auto"/>
        <w:ind w:firstLine="482" w:firstLineChars="200"/>
        <w:outlineLvl w:val="0"/>
        <w:rPr>
          <w:rFonts w:hint="eastAsia" w:ascii="宋体" w:hAnsi="宋体" w:eastAsia="宋体" w:cs="宋体"/>
          <w:b/>
          <w:color w:val="auto"/>
          <w:sz w:val="24"/>
          <w:highlight w:val="none"/>
        </w:rPr>
      </w:pPr>
      <w:bookmarkStart w:id="453" w:name="_Toc32670"/>
      <w:bookmarkStart w:id="454" w:name="_Toc31233"/>
      <w:bookmarkStart w:id="455" w:name="_Toc22011"/>
      <w:bookmarkStart w:id="456" w:name="_Toc15447"/>
      <w:bookmarkStart w:id="457" w:name="_Toc26555"/>
      <w:r>
        <w:rPr>
          <w:rFonts w:hint="eastAsia" w:ascii="宋体" w:hAnsi="宋体" w:eastAsia="宋体" w:cs="宋体"/>
          <w:b/>
          <w:color w:val="auto"/>
          <w:sz w:val="24"/>
          <w:highlight w:val="none"/>
        </w:rPr>
        <w:t>2.5 结算方式和付款条件</w:t>
      </w:r>
      <w:bookmarkEnd w:id="453"/>
      <w:bookmarkEnd w:id="454"/>
      <w:bookmarkEnd w:id="455"/>
      <w:bookmarkEnd w:id="456"/>
      <w:bookmarkEnd w:id="457"/>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360" w:lineRule="auto"/>
        <w:ind w:firstLine="482" w:firstLineChars="200"/>
        <w:outlineLvl w:val="0"/>
        <w:rPr>
          <w:rFonts w:hint="eastAsia" w:ascii="宋体" w:hAnsi="宋体" w:eastAsia="宋体" w:cs="宋体"/>
          <w:b/>
          <w:color w:val="auto"/>
          <w:sz w:val="24"/>
          <w:highlight w:val="none"/>
        </w:rPr>
      </w:pPr>
      <w:bookmarkStart w:id="458" w:name="_Toc30507"/>
      <w:bookmarkStart w:id="459" w:name="_Toc13154"/>
      <w:bookmarkStart w:id="460" w:name="_Toc18990"/>
      <w:bookmarkStart w:id="461" w:name="_Toc16163"/>
      <w:bookmarkStart w:id="462" w:name="_Toc13467"/>
      <w:r>
        <w:rPr>
          <w:rFonts w:hint="eastAsia" w:ascii="宋体" w:hAnsi="宋体" w:eastAsia="宋体" w:cs="宋体"/>
          <w:b/>
          <w:color w:val="auto"/>
          <w:sz w:val="24"/>
          <w:highlight w:val="none"/>
        </w:rPr>
        <w:t>2.6 技术资料和保密义务</w:t>
      </w:r>
      <w:bookmarkEnd w:id="458"/>
      <w:bookmarkEnd w:id="459"/>
      <w:bookmarkEnd w:id="460"/>
      <w:bookmarkEnd w:id="461"/>
      <w:bookmarkEnd w:id="462"/>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hint="eastAsia" w:ascii="宋体" w:hAnsi="宋体" w:eastAsia="宋体" w:cs="宋体"/>
          <w:b/>
          <w:color w:val="auto"/>
          <w:sz w:val="24"/>
          <w:highlight w:val="none"/>
        </w:rPr>
      </w:pPr>
      <w:bookmarkStart w:id="463" w:name="_Toc19069"/>
      <w:r>
        <w:rPr>
          <w:rFonts w:hint="eastAsia" w:ascii="宋体" w:hAnsi="宋体" w:eastAsia="宋体" w:cs="宋体"/>
          <w:b/>
          <w:color w:val="auto"/>
          <w:sz w:val="24"/>
          <w:highlight w:val="none"/>
        </w:rPr>
        <w:t>2.7 质量保证</w:t>
      </w:r>
      <w:bookmarkEnd w:id="463"/>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hint="eastAsia" w:ascii="宋体" w:hAnsi="宋体" w:eastAsia="宋体" w:cs="宋体"/>
          <w:b/>
          <w:color w:val="auto"/>
          <w:sz w:val="24"/>
          <w:highlight w:val="none"/>
        </w:rPr>
      </w:pPr>
      <w:bookmarkStart w:id="464" w:name="_Toc22267"/>
      <w:r>
        <w:rPr>
          <w:rFonts w:hint="eastAsia" w:ascii="宋体" w:hAnsi="宋体" w:eastAsia="宋体" w:cs="宋体"/>
          <w:b/>
          <w:color w:val="auto"/>
          <w:sz w:val="24"/>
          <w:highlight w:val="none"/>
        </w:rPr>
        <w:t>2.8 延迟履行</w:t>
      </w:r>
      <w:bookmarkEnd w:id="464"/>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82" w:firstLineChars="200"/>
        <w:outlineLvl w:val="0"/>
        <w:rPr>
          <w:rFonts w:hint="eastAsia" w:ascii="宋体" w:hAnsi="宋体" w:eastAsia="宋体" w:cs="宋体"/>
          <w:b/>
          <w:color w:val="auto"/>
          <w:sz w:val="24"/>
          <w:highlight w:val="none"/>
        </w:rPr>
      </w:pPr>
      <w:bookmarkStart w:id="465" w:name="_Toc10611"/>
      <w:r>
        <w:rPr>
          <w:rFonts w:hint="eastAsia" w:ascii="宋体" w:hAnsi="宋体" w:eastAsia="宋体" w:cs="宋体"/>
          <w:b/>
          <w:color w:val="auto"/>
          <w:sz w:val="24"/>
          <w:highlight w:val="none"/>
        </w:rPr>
        <w:t>2.9 合同变更</w:t>
      </w:r>
      <w:bookmarkEnd w:id="465"/>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outlineLvl w:val="0"/>
        <w:rPr>
          <w:rFonts w:hint="eastAsia" w:ascii="宋体" w:hAnsi="宋体" w:eastAsia="宋体" w:cs="宋体"/>
          <w:b/>
          <w:color w:val="auto"/>
          <w:sz w:val="24"/>
          <w:highlight w:val="none"/>
        </w:rPr>
      </w:pPr>
      <w:bookmarkStart w:id="466" w:name="_Toc23368"/>
      <w:bookmarkStart w:id="467" w:name="_Toc21830"/>
      <w:bookmarkStart w:id="468" w:name="_Toc10663"/>
      <w:bookmarkStart w:id="469" w:name="_Toc42"/>
      <w:bookmarkStart w:id="470" w:name="_Toc26689"/>
      <w:r>
        <w:rPr>
          <w:rFonts w:hint="eastAsia" w:ascii="宋体" w:hAnsi="宋体" w:eastAsia="宋体" w:cs="宋体"/>
          <w:b/>
          <w:color w:val="auto"/>
          <w:sz w:val="24"/>
          <w:highlight w:val="none"/>
        </w:rPr>
        <w:t>2.10 合同转让和分包</w:t>
      </w:r>
      <w:bookmarkEnd w:id="466"/>
      <w:bookmarkEnd w:id="467"/>
      <w:bookmarkEnd w:id="468"/>
      <w:bookmarkEnd w:id="469"/>
      <w:bookmarkEnd w:id="470"/>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2" w:firstLineChars="200"/>
        <w:outlineLvl w:val="0"/>
        <w:rPr>
          <w:rFonts w:hint="eastAsia" w:ascii="宋体" w:hAnsi="宋体" w:eastAsia="宋体" w:cs="宋体"/>
          <w:b/>
          <w:color w:val="auto"/>
          <w:sz w:val="24"/>
          <w:highlight w:val="none"/>
        </w:rPr>
      </w:pPr>
      <w:bookmarkStart w:id="471" w:name="_Toc25571"/>
      <w:bookmarkStart w:id="472" w:name="_Toc26633"/>
      <w:bookmarkStart w:id="473" w:name="_Toc32494"/>
      <w:bookmarkStart w:id="474" w:name="_Toc4720"/>
      <w:bookmarkStart w:id="475" w:name="_Toc14371"/>
      <w:r>
        <w:rPr>
          <w:rFonts w:hint="eastAsia" w:ascii="宋体" w:hAnsi="宋体" w:eastAsia="宋体" w:cs="宋体"/>
          <w:b/>
          <w:color w:val="auto"/>
          <w:sz w:val="24"/>
          <w:highlight w:val="none"/>
        </w:rPr>
        <w:t>2.11 不可抗力</w:t>
      </w:r>
      <w:bookmarkEnd w:id="471"/>
      <w:bookmarkEnd w:id="472"/>
      <w:bookmarkEnd w:id="473"/>
      <w:bookmarkEnd w:id="474"/>
      <w:bookmarkEnd w:id="475"/>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pPr>
        <w:spacing w:line="360" w:lineRule="auto"/>
        <w:ind w:firstLine="482" w:firstLineChars="200"/>
        <w:outlineLvl w:val="0"/>
        <w:rPr>
          <w:rFonts w:hint="eastAsia" w:ascii="宋体" w:hAnsi="宋体" w:eastAsia="宋体" w:cs="宋体"/>
          <w:b/>
          <w:color w:val="auto"/>
          <w:sz w:val="24"/>
          <w:highlight w:val="none"/>
        </w:rPr>
      </w:pPr>
      <w:bookmarkStart w:id="476" w:name="_Toc3638"/>
      <w:bookmarkStart w:id="477" w:name="_Toc23854"/>
      <w:bookmarkStart w:id="478" w:name="_Toc14115"/>
      <w:bookmarkStart w:id="479" w:name="_Toc24465"/>
      <w:bookmarkStart w:id="480" w:name="_Toc25783"/>
      <w:r>
        <w:rPr>
          <w:rFonts w:hint="eastAsia" w:ascii="宋体" w:hAnsi="宋体" w:eastAsia="宋体" w:cs="宋体"/>
          <w:b/>
          <w:color w:val="auto"/>
          <w:sz w:val="24"/>
          <w:highlight w:val="none"/>
        </w:rPr>
        <w:t>2.12 税费</w:t>
      </w:r>
      <w:bookmarkEnd w:id="476"/>
      <w:bookmarkEnd w:id="477"/>
      <w:bookmarkEnd w:id="478"/>
      <w:bookmarkEnd w:id="479"/>
      <w:bookmarkEnd w:id="480"/>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pPr>
        <w:spacing w:line="360" w:lineRule="auto"/>
        <w:ind w:firstLine="482" w:firstLineChars="200"/>
        <w:outlineLvl w:val="0"/>
        <w:rPr>
          <w:rFonts w:hint="eastAsia" w:ascii="宋体" w:hAnsi="宋体" w:eastAsia="宋体" w:cs="宋体"/>
          <w:b/>
          <w:color w:val="auto"/>
          <w:sz w:val="24"/>
          <w:highlight w:val="none"/>
        </w:rPr>
      </w:pPr>
      <w:bookmarkStart w:id="481" w:name="_Toc7315"/>
      <w:bookmarkStart w:id="482" w:name="_Toc30105"/>
      <w:bookmarkStart w:id="483" w:name="_Toc14814"/>
      <w:bookmarkStart w:id="484" w:name="_Toc25525"/>
      <w:bookmarkStart w:id="485" w:name="_Toc26883"/>
      <w:r>
        <w:rPr>
          <w:rFonts w:hint="eastAsia" w:ascii="宋体" w:hAnsi="宋体" w:eastAsia="宋体" w:cs="宋体"/>
          <w:b/>
          <w:color w:val="auto"/>
          <w:sz w:val="24"/>
          <w:highlight w:val="none"/>
        </w:rPr>
        <w:t>2.13 乙方破产</w:t>
      </w:r>
      <w:bookmarkEnd w:id="481"/>
      <w:bookmarkEnd w:id="482"/>
      <w:bookmarkEnd w:id="483"/>
      <w:bookmarkEnd w:id="484"/>
      <w:bookmarkEnd w:id="485"/>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hint="eastAsia" w:ascii="宋体" w:hAnsi="宋体" w:eastAsia="宋体" w:cs="宋体"/>
          <w:b/>
          <w:color w:val="auto"/>
          <w:sz w:val="24"/>
          <w:highlight w:val="none"/>
        </w:rPr>
      </w:pPr>
      <w:bookmarkStart w:id="486" w:name="_Toc1123"/>
      <w:bookmarkStart w:id="487" w:name="_Toc2016"/>
      <w:bookmarkStart w:id="488" w:name="_Toc23323"/>
      <w:r>
        <w:rPr>
          <w:rFonts w:hint="eastAsia" w:ascii="宋体" w:hAnsi="宋体" w:eastAsia="宋体" w:cs="宋体"/>
          <w:b/>
          <w:color w:val="auto"/>
          <w:sz w:val="24"/>
          <w:highlight w:val="none"/>
        </w:rPr>
        <w:t>2.14 合同中止、终止</w:t>
      </w:r>
      <w:bookmarkEnd w:id="486"/>
      <w:bookmarkEnd w:id="487"/>
      <w:bookmarkEnd w:id="488"/>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hint="eastAsia" w:ascii="宋体" w:hAnsi="宋体" w:eastAsia="宋体" w:cs="宋体"/>
          <w:b/>
          <w:color w:val="auto"/>
          <w:sz w:val="24"/>
          <w:highlight w:val="none"/>
        </w:rPr>
      </w:pPr>
      <w:bookmarkStart w:id="489" w:name="_Toc14525"/>
      <w:bookmarkStart w:id="490" w:name="_Toc17363"/>
      <w:bookmarkStart w:id="491" w:name="_Toc1969"/>
      <w:r>
        <w:rPr>
          <w:rFonts w:hint="eastAsia" w:ascii="宋体" w:hAnsi="宋体" w:eastAsia="宋体" w:cs="宋体"/>
          <w:b/>
          <w:color w:val="auto"/>
          <w:sz w:val="24"/>
          <w:highlight w:val="none"/>
        </w:rPr>
        <w:t>2.15 检验和验收</w:t>
      </w:r>
      <w:bookmarkEnd w:id="489"/>
      <w:bookmarkEnd w:id="490"/>
      <w:bookmarkEnd w:id="491"/>
    </w:p>
    <w:p>
      <w:pPr>
        <w:tabs>
          <w:tab w:val="left" w:pos="360"/>
          <w:tab w:val="left" w:pos="540"/>
          <w:tab w:val="left" w:pos="10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pPr>
        <w:tabs>
          <w:tab w:val="left" w:pos="360"/>
          <w:tab w:val="left" w:pos="540"/>
          <w:tab w:val="left" w:pos="10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pPr>
        <w:spacing w:line="360" w:lineRule="auto"/>
        <w:ind w:firstLine="482" w:firstLineChars="200"/>
        <w:outlineLvl w:val="0"/>
        <w:rPr>
          <w:rFonts w:hint="eastAsia" w:ascii="宋体" w:hAnsi="宋体" w:eastAsia="宋体" w:cs="宋体"/>
          <w:b/>
          <w:color w:val="auto"/>
          <w:sz w:val="24"/>
          <w:highlight w:val="none"/>
        </w:rPr>
      </w:pPr>
      <w:bookmarkStart w:id="492" w:name="_Toc9808"/>
      <w:bookmarkStart w:id="493" w:name="_Toc2308"/>
      <w:bookmarkStart w:id="494" w:name="_Toc12666"/>
      <w:bookmarkStart w:id="495" w:name="_Toc31892"/>
      <w:bookmarkStart w:id="496" w:name="_Toc25198"/>
      <w:r>
        <w:rPr>
          <w:rFonts w:hint="eastAsia" w:ascii="宋体" w:hAnsi="宋体" w:eastAsia="宋体" w:cs="宋体"/>
          <w:b/>
          <w:color w:val="auto"/>
          <w:sz w:val="24"/>
          <w:highlight w:val="none"/>
        </w:rPr>
        <w:t>2.16 通知和送达</w:t>
      </w:r>
      <w:bookmarkEnd w:id="492"/>
      <w:bookmarkEnd w:id="493"/>
      <w:bookmarkEnd w:id="494"/>
      <w:bookmarkEnd w:id="495"/>
      <w:bookmarkEnd w:id="496"/>
    </w:p>
    <w:p>
      <w:pPr>
        <w:spacing w:line="360" w:lineRule="auto"/>
        <w:ind w:firstLine="480" w:firstLineChars="200"/>
        <w:rPr>
          <w:rFonts w:hint="eastAsia" w:ascii="宋体" w:hAnsi="宋体" w:eastAsia="宋体" w:cs="宋体"/>
          <w:color w:val="auto"/>
          <w:sz w:val="24"/>
          <w:highlight w:val="none"/>
        </w:rPr>
      </w:pPr>
      <w:bookmarkStart w:id="497" w:name="_Toc27674"/>
      <w:bookmarkStart w:id="498"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7"/>
      <w:bookmarkEnd w:id="498"/>
    </w:p>
    <w:p>
      <w:pPr>
        <w:spacing w:line="360" w:lineRule="auto"/>
        <w:ind w:firstLine="482" w:firstLineChars="200"/>
        <w:outlineLvl w:val="0"/>
        <w:rPr>
          <w:rFonts w:hint="eastAsia" w:ascii="宋体" w:hAnsi="宋体" w:eastAsia="宋体" w:cs="宋体"/>
          <w:b/>
          <w:color w:val="auto"/>
          <w:sz w:val="24"/>
          <w:highlight w:val="none"/>
        </w:rPr>
      </w:pPr>
      <w:bookmarkStart w:id="499" w:name="_Toc5063"/>
      <w:bookmarkStart w:id="500" w:name="_Toc12254"/>
      <w:bookmarkStart w:id="501" w:name="_Toc20808"/>
      <w:bookmarkStart w:id="502" w:name="_Toc28906"/>
      <w:bookmarkStart w:id="503" w:name="_Toc27644"/>
      <w:r>
        <w:rPr>
          <w:rFonts w:hint="eastAsia" w:ascii="宋体" w:hAnsi="宋体" w:eastAsia="宋体" w:cs="宋体"/>
          <w:b/>
          <w:color w:val="auto"/>
          <w:sz w:val="24"/>
          <w:highlight w:val="none"/>
        </w:rPr>
        <w:t>2.17 合同使用的文字和适用的法律</w:t>
      </w:r>
      <w:bookmarkEnd w:id="499"/>
      <w:bookmarkEnd w:id="500"/>
      <w:bookmarkEnd w:id="501"/>
      <w:bookmarkEnd w:id="502"/>
      <w:bookmarkEnd w:id="503"/>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pPr>
        <w:spacing w:line="360" w:lineRule="auto"/>
        <w:ind w:firstLine="482" w:firstLineChars="200"/>
        <w:outlineLvl w:val="0"/>
        <w:rPr>
          <w:rFonts w:hint="eastAsia" w:ascii="宋体" w:hAnsi="宋体" w:eastAsia="宋体" w:cs="宋体"/>
          <w:b/>
          <w:color w:val="auto"/>
          <w:sz w:val="24"/>
          <w:highlight w:val="none"/>
        </w:rPr>
      </w:pPr>
      <w:bookmarkStart w:id="504" w:name="_Toc30599"/>
      <w:bookmarkStart w:id="505" w:name="_Toc4355"/>
      <w:bookmarkStart w:id="506" w:name="_Toc18540"/>
      <w:r>
        <w:rPr>
          <w:rFonts w:hint="eastAsia" w:ascii="宋体" w:hAnsi="宋体" w:eastAsia="宋体" w:cs="宋体"/>
          <w:b/>
          <w:color w:val="auto"/>
          <w:sz w:val="24"/>
          <w:highlight w:val="none"/>
        </w:rPr>
        <w:t>2.18 计量单位</w:t>
      </w:r>
      <w:bookmarkEnd w:id="504"/>
      <w:bookmarkEnd w:id="505"/>
      <w:bookmarkEnd w:id="506"/>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pPr>
        <w:snapToGrid w:val="0"/>
        <w:spacing w:line="36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 网络安全</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2.19.1 乙方要全面落实网络安全等级保护制度和关键信息基础设施安全保护制度及商用密码应用安全性评估管理办法，网络安全等级保护备案、商用密码应用安全性评估时间，原则上不得晚于项目正式上线运行时间。</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2.19.2 乙方在承担开发或维护服务责任过程中，全面按照《中华人民共和国网络安全法》和《浙江省信息技术服务外包网络安全管理办法》等法规标准，承担技术服务外包过程中的网络安全责任。</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2.19.3 乙方需提供系统应急服务，在系统出现重大隐患或黑客入侵等严重安全事件时，及时启动应急响应服务，指定专业技术团队协助甲方开展事件处置、整改，使系统恢复正常。</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2.19.4 服务过程中因乙方原因引发的系统瘫痪、数据丢失泄露等网络安全事件，将依照服务合同违约相关条款承担违约责任，并赔偿甲方直接及间接经济损失，并承担相应法律责任；若服务合同期限届满后，因乙方原因导致的问题，不影响乙方仍按照服务合同的约定承担相应的违约责任及赔偿责任。</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2.19.5 乙方要根据甲方要求提供服务，在甲方规定的场所开展实施工作，明确项目负责人、安全管理员，提供服务保障、培训、演练等服务。</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2.19.6 乙方需根据甲方要求签订保密协议。</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2.19.7 数据所有人为甲方，乙方需根据甲方规定合理使用数据，对数据有保护义务。</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2.19.8 乙方不得私自收集甲方数据，数据必须储存在甲方认可的机房或云平台，数据使用要符合甲方规范流程，根据等保或密评要求做好数据传输。</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2.19.9 乙方要确保数据使用和处理不出境。</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2.19.10 乙方不得将信息系统核心、关键功能转包。</w:t>
      </w:r>
    </w:p>
    <w:p>
      <w:pPr>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sz w:val="24"/>
          <w:highlight w:val="none"/>
        </w:rPr>
        <w:t>2.19.11 服务合同终止后，乙方需继续履行数据安全及保密义务。</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2.20</w:t>
      </w:r>
      <w:r>
        <w:rPr>
          <w:rFonts w:hint="eastAsia" w:ascii="宋体" w:hAnsi="宋体" w:eastAsia="宋体" w:cs="宋体"/>
          <w:b/>
          <w:color w:val="auto"/>
          <w:sz w:val="24"/>
          <w:highlight w:val="none"/>
        </w:rPr>
        <w:t>合同份数</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2.21双方</w:t>
      </w:r>
      <w:r>
        <w:rPr>
          <w:rFonts w:hint="eastAsia" w:ascii="宋体" w:hAnsi="宋体" w:eastAsia="宋体" w:cs="宋体"/>
          <w:b/>
          <w:color w:val="auto"/>
          <w:sz w:val="24"/>
          <w:highlight w:val="none"/>
        </w:rPr>
        <w:t>的责任和义务</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w:t>
      </w:r>
      <w:r>
        <w:rPr>
          <w:rFonts w:hint="eastAsia" w:ascii="宋体" w:hAnsi="宋体" w:eastAsia="宋体" w:cs="宋体"/>
          <w:color w:val="auto"/>
          <w:sz w:val="24"/>
          <w:highlight w:val="none"/>
          <w:lang w:eastAsia="zh-CN"/>
        </w:rPr>
        <w:t>。</w:t>
      </w:r>
    </w:p>
    <w:p>
      <w:pPr>
        <w:spacing w:line="360" w:lineRule="auto"/>
        <w:ind w:firstLine="482" w:firstLineChars="200"/>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2.2</w:t>
      </w:r>
      <w:r>
        <w:rPr>
          <w:rFonts w:hint="eastAsia" w:ascii="宋体" w:hAnsi="宋体" w:eastAsia="宋体" w:cs="宋体"/>
          <w:b/>
          <w:bCs w:val="0"/>
          <w:color w:val="auto"/>
          <w:sz w:val="24"/>
          <w:highlight w:val="none"/>
          <w:lang w:val="en-US" w:eastAsia="zh-CN"/>
        </w:rPr>
        <w:t>2</w:t>
      </w:r>
      <w:r>
        <w:rPr>
          <w:rFonts w:hint="eastAsia" w:ascii="宋体" w:hAnsi="宋体" w:eastAsia="宋体" w:cs="宋体"/>
          <w:b/>
          <w:bCs w:val="0"/>
          <w:color w:val="auto"/>
          <w:sz w:val="24"/>
          <w:highlight w:val="none"/>
        </w:rPr>
        <w:t>质量保证及后续服务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w:t>
      </w:r>
    </w:p>
    <w:p>
      <w:pPr>
        <w:spacing w:line="360" w:lineRule="auto"/>
        <w:ind w:firstLine="480" w:firstLineChars="200"/>
        <w:rPr>
          <w:rFonts w:hint="eastAsia" w:ascii="宋体" w:hAnsi="宋体" w:eastAsia="宋体" w:cs="宋体"/>
          <w:color w:val="auto"/>
          <w:sz w:val="24"/>
          <w:highlight w:val="none"/>
          <w:lang w:eastAsia="zh-CN"/>
        </w:rPr>
      </w:pPr>
    </w:p>
    <w:p>
      <w:pPr>
        <w:spacing w:line="360" w:lineRule="auto"/>
        <w:ind w:left="0" w:leftChars="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bookmarkStart w:id="507" w:name="_Toc331685784"/>
      <w:r>
        <w:rPr>
          <w:rFonts w:hint="eastAsia" w:ascii="宋体" w:hAnsi="宋体" w:eastAsia="宋体" w:cs="宋体"/>
          <w:b/>
          <w:color w:val="auto"/>
          <w:sz w:val="24"/>
          <w:highlight w:val="none"/>
        </w:rPr>
        <w:t xml:space="preserve"> </w:t>
      </w:r>
      <w:bookmarkEnd w:id="507"/>
      <w:r>
        <w:rPr>
          <w:rFonts w:hint="eastAsia" w:ascii="宋体" w:hAnsi="宋体" w:eastAsia="宋体" w:cs="宋体"/>
          <w:b/>
          <w:color w:val="auto"/>
          <w:sz w:val="24"/>
          <w:highlight w:val="none"/>
        </w:rPr>
        <w:t>第三部分  合同专用条款</w:t>
      </w:r>
    </w:p>
    <w:p>
      <w:pPr>
        <w:spacing w:line="360" w:lineRule="auto"/>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64" w:type="pct"/>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4464" w:type="pct"/>
            <w:noWrap w:val="0"/>
            <w:vAlign w:val="center"/>
          </w:tcPr>
          <w:p>
            <w:pPr>
              <w:pStyle w:val="3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464" w:type="pct"/>
            <w:noWrap w:val="0"/>
            <w:vAlign w:val="center"/>
          </w:tcPr>
          <w:p>
            <w:pPr>
              <w:pStyle w:val="3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4464" w:type="pct"/>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合同签订后，具备实施条件，乙方提供发票，5个工作日内甲方预付乙方当年财政下达预算金额的70%合同款</w:t>
            </w:r>
            <w:r>
              <w:rPr>
                <w:rFonts w:hint="eastAsia" w:ascii="宋体" w:hAnsi="宋体" w:eastAsia="宋体" w:cs="宋体"/>
                <w:color w:val="auto"/>
                <w:kern w:val="0"/>
                <w:sz w:val="24"/>
                <w:highlight w:val="none"/>
                <w:lang w:val="en-US" w:eastAsia="zh-CN"/>
              </w:rPr>
              <w:t>，计</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US" w:eastAsia="zh-CN"/>
              </w:rPr>
              <w:t>元</w:t>
            </w:r>
            <w:r>
              <w:rPr>
                <w:rFonts w:hint="eastAsia" w:ascii="宋体" w:hAnsi="宋体" w:eastAsia="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464" w:type="pct"/>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4464" w:type="pct"/>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464" w:type="pct"/>
            <w:noWrap w:val="0"/>
            <w:vAlign w:val="center"/>
          </w:tcPr>
          <w:p>
            <w:pPr>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第二期：</w:t>
            </w:r>
            <w:r>
              <w:rPr>
                <w:rFonts w:hint="eastAsia" w:ascii="宋体" w:hAnsi="宋体" w:eastAsia="宋体" w:cs="宋体"/>
                <w:color w:val="auto"/>
                <w:kern w:val="0"/>
                <w:sz w:val="24"/>
                <w:highlight w:val="none"/>
                <w:lang w:val="en-US" w:eastAsia="zh-CN"/>
              </w:rPr>
              <w:t>2025年12月15日前，提供本服务期阶段性报告，支付当年财政下达预算的剩余款项</w:t>
            </w:r>
            <w:r>
              <w:rPr>
                <w:rFonts w:hint="eastAsia" w:ascii="宋体" w:hAnsi="宋体" w:eastAsia="宋体" w:cs="宋体"/>
                <w:color w:val="auto"/>
                <w:kern w:val="0"/>
                <w:sz w:val="24"/>
                <w:highlight w:val="none"/>
                <w:lang w:val="en-US" w:eastAsia="zh-CN"/>
              </w:rPr>
              <w:t>，计</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US" w:eastAsia="zh-CN"/>
              </w:rPr>
              <w:t>元；</w:t>
            </w:r>
          </w:p>
          <w:p>
            <w:pPr>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第三期：</w:t>
            </w:r>
            <w:r>
              <w:rPr>
                <w:rFonts w:hint="eastAsia" w:ascii="宋体" w:hAnsi="宋体" w:eastAsia="宋体" w:cs="宋体"/>
                <w:color w:val="auto"/>
                <w:kern w:val="0"/>
                <w:sz w:val="24"/>
                <w:highlight w:val="none"/>
                <w:lang w:val="en-US" w:eastAsia="zh-CN"/>
              </w:rPr>
              <w:t>2026年6月15日前，提供本服务期阶段性报告，支付当年财政下达预算金额的70%</w:t>
            </w:r>
            <w:r>
              <w:rPr>
                <w:rFonts w:hint="eastAsia" w:ascii="宋体" w:hAnsi="宋体" w:cs="宋体"/>
                <w:color w:val="auto"/>
                <w:kern w:val="0"/>
                <w:sz w:val="24"/>
                <w:highlight w:val="none"/>
                <w:lang w:val="en-US" w:eastAsia="zh-CN"/>
              </w:rPr>
              <w:t>（不超合同总价）</w:t>
            </w:r>
            <w:r>
              <w:rPr>
                <w:rFonts w:hint="eastAsia" w:ascii="宋体" w:hAnsi="宋体" w:eastAsia="宋体" w:cs="宋体"/>
                <w:color w:val="auto"/>
                <w:kern w:val="0"/>
                <w:sz w:val="24"/>
                <w:highlight w:val="none"/>
                <w:lang w:val="en-US" w:eastAsia="zh-CN"/>
              </w:rPr>
              <w:t>，计</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US" w:eastAsia="zh-CN"/>
              </w:rPr>
              <w:t>元；</w:t>
            </w:r>
          </w:p>
          <w:p>
            <w:pPr>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第四期：项目结束后1个月内完成验收，根据服务质量考核情况支付尾款</w:t>
            </w:r>
            <w:r>
              <w:rPr>
                <w:rFonts w:hint="eastAsia" w:ascii="宋体" w:hAnsi="宋体" w:cs="宋体"/>
                <w:color w:val="auto"/>
                <w:kern w:val="0"/>
                <w:sz w:val="24"/>
                <w:highlight w:val="none"/>
                <w:lang w:val="en-US" w:eastAsia="zh-CN"/>
              </w:rPr>
              <w:t>（不超合同总价）</w:t>
            </w:r>
            <w:r>
              <w:rPr>
                <w:rFonts w:hint="eastAsia" w:ascii="宋体" w:hAnsi="宋体" w:eastAsia="宋体" w:cs="宋体"/>
                <w:color w:val="auto"/>
                <w:kern w:val="0"/>
                <w:sz w:val="24"/>
                <w:highlight w:val="none"/>
                <w:lang w:val="en-US" w:eastAsia="zh-CN"/>
              </w:rPr>
              <w:t>，计</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US" w:eastAsia="zh-CN"/>
              </w:rPr>
              <w:t>元。</w:t>
            </w:r>
          </w:p>
          <w:p>
            <w:pPr>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项目结束后如最终验收未通过乙方需返还相关合同款项。</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合同签订后两个月内完成与原公司的交接工作，确保平台正常运行，并支付前公司自合同签订之日至交接完成止，该时间段内的相关费用。如未做好工作衔接，采购人有权终止合同并拒绝支付本项目款项。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464" w:type="pct"/>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服务期限：</w:t>
            </w:r>
            <w:r>
              <w:rPr>
                <w:rFonts w:hint="eastAsia" w:ascii="宋体" w:hAnsi="宋体" w:eastAsia="宋体" w:cs="宋体"/>
                <w:color w:val="auto"/>
                <w:sz w:val="24"/>
                <w:highlight w:val="none"/>
                <w:u w:val="none"/>
              </w:rPr>
              <w:t>1年，自202</w:t>
            </w:r>
            <w:r>
              <w:rPr>
                <w:rFonts w:hint="eastAsia" w:ascii="宋体" w:hAnsi="宋体" w:eastAsia="宋体" w:cs="宋体"/>
                <w:color w:val="auto"/>
                <w:sz w:val="24"/>
                <w:highlight w:val="none"/>
                <w:u w:val="none"/>
                <w:lang w:val="en-US" w:eastAsia="zh-CN"/>
              </w:rPr>
              <w:t>5</w:t>
            </w:r>
            <w:r>
              <w:rPr>
                <w:rFonts w:hint="eastAsia" w:ascii="宋体" w:hAnsi="宋体" w:eastAsia="宋体" w:cs="宋体"/>
                <w:color w:val="auto"/>
                <w:sz w:val="24"/>
                <w:highlight w:val="none"/>
                <w:u w:val="none"/>
              </w:rPr>
              <w:t>年7月30日起至202</w:t>
            </w:r>
            <w:r>
              <w:rPr>
                <w:rFonts w:hint="eastAsia" w:ascii="宋体" w:hAnsi="宋体" w:eastAsia="宋体" w:cs="宋体"/>
                <w:color w:val="auto"/>
                <w:sz w:val="24"/>
                <w:highlight w:val="none"/>
                <w:u w:val="none"/>
                <w:lang w:val="en-US" w:eastAsia="zh-CN"/>
              </w:rPr>
              <w:t>6</w:t>
            </w:r>
            <w:r>
              <w:rPr>
                <w:rFonts w:hint="eastAsia" w:ascii="宋体" w:hAnsi="宋体" w:eastAsia="宋体" w:cs="宋体"/>
                <w:color w:val="auto"/>
                <w:sz w:val="24"/>
                <w:highlight w:val="none"/>
                <w:u w:val="none"/>
              </w:rPr>
              <w:t>年7月29日止。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464" w:type="pct"/>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服务地点：</w:t>
            </w:r>
            <w:r>
              <w:rPr>
                <w:rFonts w:hint="eastAsia" w:ascii="宋体" w:hAnsi="宋体" w:eastAsia="宋体" w:cs="宋体"/>
                <w:color w:val="auto"/>
                <w:sz w:val="24"/>
                <w:szCs w:val="22"/>
                <w:highlight w:val="none"/>
                <w:lang w:val="en-US" w:eastAsia="zh-CN"/>
              </w:rPr>
              <w:t>投标承诺营业场所：（地址）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464" w:type="pct"/>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服务方式：</w:t>
            </w:r>
            <w:r>
              <w:rPr>
                <w:rFonts w:hint="eastAsia" w:ascii="宋体" w:hAnsi="宋体" w:eastAsia="宋体" w:cs="宋体"/>
                <w:color w:val="auto"/>
                <w:sz w:val="24"/>
                <w:highlight w:val="none"/>
              </w:rPr>
              <w:t>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4464" w:type="pct"/>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4464" w:type="pct"/>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4464" w:type="pct"/>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4464" w:type="pct"/>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其他违约条款（可自行补充）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4464" w:type="pct"/>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4464" w:type="pct"/>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甲方单位所在地</w:t>
            </w:r>
            <w:r>
              <w:rPr>
                <w:rFonts w:hint="eastAsia" w:ascii="宋体" w:hAnsi="宋体" w:eastAsia="宋体" w:cs="宋体"/>
                <w:color w:val="auto"/>
                <w:sz w:val="24"/>
                <w:szCs w:val="24"/>
                <w:highlight w:val="none"/>
                <w:lang w:eastAsia="zh-Hans"/>
              </w:rPr>
              <w:t>有管辖权</w:t>
            </w:r>
            <w:r>
              <w:rPr>
                <w:rFonts w:hint="eastAsia" w:ascii="宋体" w:hAnsi="宋体" w:eastAsia="宋体" w:cs="宋体"/>
                <w:color w:val="auto"/>
                <w:sz w:val="24"/>
                <w:szCs w:val="24"/>
                <w:highlight w:val="none"/>
              </w:rPr>
              <w:t>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464" w:type="pct"/>
            <w:noWrap w:val="0"/>
            <w:vAlign w:val="center"/>
          </w:tcPr>
          <w:p>
            <w:pPr>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本项目成果知识产权归属采购人。（除厂商原已申报所得的知识产权除外）</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乙方应保证提供服务过程中不会侵犯任何第三方的知识产权。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4464" w:type="pct"/>
            <w:noWrap w:val="0"/>
            <w:vAlign w:val="center"/>
          </w:tcPr>
          <w:p>
            <w:pPr>
              <w:keepNext w:val="0"/>
              <w:keepLines w:val="0"/>
              <w:pageBreakBefore w:val="0"/>
              <w:widowControl w:val="0"/>
              <w:kinsoku/>
              <w:wordWrap/>
              <w:overflowPunct/>
              <w:topLinePunct w:val="0"/>
              <w:autoSpaceDE/>
              <w:autoSpaceDN/>
              <w:bidi w:val="0"/>
              <w:adjustRightInd/>
              <w:spacing w:line="360" w:lineRule="auto"/>
              <w:ind w:left="-420" w:leftChars="-200" w:right="-420" w:righ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总价包干，分期支付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4464" w:type="pct"/>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4464" w:type="pct"/>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不可抗力发生的当日</w:t>
            </w:r>
            <w:r>
              <w:rPr>
                <w:rFonts w:hint="eastAsia" w:ascii="宋体" w:hAnsi="宋体" w:eastAsia="宋体" w:cs="宋体"/>
                <w:color w:val="auto"/>
                <w:sz w:val="24"/>
                <w:highlight w:val="none"/>
                <w:lang w:val="en-US" w:eastAsia="zh-CN"/>
              </w:rPr>
              <w:t>起3个工作日内；7个工作日内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4464" w:type="pct"/>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4464" w:type="pct"/>
            <w:noWrap w:val="0"/>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采用本行业通用标准；满足所有采购需求及投标文件承诺；项目验收资料齐全。</w:t>
            </w:r>
          </w:p>
          <w:p>
            <w:pPr>
              <w:pStyle w:val="61"/>
              <w:tabs>
                <w:tab w:val="left" w:pos="0"/>
                <w:tab w:val="left" w:pos="993"/>
                <w:tab w:val="left" w:pos="1134"/>
              </w:tabs>
              <w:spacing w:line="36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2）采用</w:t>
            </w:r>
            <w:r>
              <w:rPr>
                <w:rFonts w:hint="eastAsia" w:ascii="宋体" w:hAnsi="宋体" w:eastAsia="宋体" w:cs="宋体"/>
                <w:color w:val="auto"/>
                <w:sz w:val="24"/>
                <w:highlight w:val="none"/>
                <w:lang w:val="en-US" w:eastAsia="zh-CN"/>
              </w:rPr>
              <w:t>一般流程、分期</w:t>
            </w:r>
            <w:r>
              <w:rPr>
                <w:rFonts w:hint="eastAsia" w:ascii="宋体" w:hAnsi="宋体" w:eastAsia="宋体" w:cs="宋体"/>
                <w:color w:val="auto"/>
                <w:sz w:val="24"/>
                <w:highlight w:val="none"/>
              </w:rPr>
              <w:t>验收方式。</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3）履约验收产生的费用，属于首次验收过程中产生的，由采购人承担；属于首次验收不合格，重新验收过程中产生的，如采购合同有约定按照约定执行，如无约定，由采购人承担。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20</w:t>
            </w:r>
          </w:p>
        </w:tc>
        <w:tc>
          <w:tcPr>
            <w:tcW w:w="4464" w:type="pct"/>
            <w:noWrap w:val="0"/>
            <w:vAlign w:val="top"/>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一式陆份，甲方执肆份，乙方执贰份。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w:t>
            </w:r>
          </w:p>
        </w:tc>
        <w:tc>
          <w:tcPr>
            <w:tcW w:w="4464" w:type="pct"/>
            <w:noWrap w:val="0"/>
            <w:vAlign w:val="top"/>
          </w:tcPr>
          <w:p>
            <w:pPr>
              <w:tabs>
                <w:tab w:val="left" w:pos="0"/>
              </w:tabs>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甲乙双方的</w:t>
            </w:r>
            <w:r>
              <w:rPr>
                <w:rFonts w:hint="eastAsia" w:ascii="宋体" w:hAnsi="宋体" w:eastAsia="宋体" w:cs="宋体"/>
                <w:b w:val="0"/>
                <w:bCs/>
                <w:color w:val="auto"/>
                <w:sz w:val="24"/>
                <w:szCs w:val="24"/>
                <w:highlight w:val="none"/>
              </w:rPr>
              <w:t>责任</w:t>
            </w:r>
            <w:r>
              <w:rPr>
                <w:rFonts w:hint="eastAsia" w:ascii="宋体" w:hAnsi="宋体" w:eastAsia="宋体" w:cs="宋体"/>
                <w:b w:val="0"/>
                <w:bCs/>
                <w:color w:val="auto"/>
                <w:sz w:val="24"/>
                <w:highlight w:val="none"/>
              </w:rPr>
              <w:t>和义务</w:t>
            </w:r>
          </w:p>
          <w:p>
            <w:pPr>
              <w:tabs>
                <w:tab w:val="left" w:pos="0"/>
              </w:tabs>
              <w:spacing w:line="360" w:lineRule="auto"/>
              <w:ind w:firstLine="240" w:firstLineChars="1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一、</w:t>
            </w:r>
            <w:bookmarkStart w:id="508" w:name="_Toc75692966"/>
            <w:r>
              <w:rPr>
                <w:rFonts w:hint="eastAsia" w:ascii="宋体" w:hAnsi="宋体" w:eastAsia="宋体" w:cs="宋体"/>
                <w:b/>
                <w:color w:val="auto"/>
                <w:sz w:val="24"/>
                <w:szCs w:val="24"/>
                <w:highlight w:val="none"/>
              </w:rPr>
              <w:t>甲方的责任和义务</w:t>
            </w:r>
            <w:bookmarkEnd w:id="508"/>
          </w:p>
          <w:p>
            <w:pPr>
              <w:pStyle w:val="14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甲方负责向乙方提供相关的支持与配合，为服务提出明确的规范要求、处理流程，以确保项目的顺利完成。</w:t>
            </w:r>
          </w:p>
          <w:p>
            <w:pPr>
              <w:pStyle w:val="14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甲方负责本项目保障的协调、解决和落实，并安排专人作为与乙方项目组的联系人。</w:t>
            </w:r>
          </w:p>
          <w:p>
            <w:pPr>
              <w:pStyle w:val="14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甲方根据项目进展情况及乙方的需求，协助乙方对受理人员进行有关政务类知识的培训。</w:t>
            </w:r>
          </w:p>
          <w:p>
            <w:pPr>
              <w:pStyle w:val="14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甲方承担本次合作外包服务所发生的费用，并根据双方约定条款进行费用支付。</w:t>
            </w:r>
          </w:p>
          <w:p>
            <w:pPr>
              <w:pStyle w:val="14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本服务项目中，需甲方提供的信息，由甲方负责信息内容的真实性、准确性，因此引发的用户投诉、法律纠纷，由甲方负责。</w:t>
            </w:r>
          </w:p>
          <w:p>
            <w:pPr>
              <w:pStyle w:val="14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甲方负责组织专人进行项目考核。</w:t>
            </w:r>
          </w:p>
          <w:p>
            <w:pPr>
              <w:pStyle w:val="142"/>
              <w:spacing w:line="360" w:lineRule="auto"/>
              <w:ind w:firstLine="240" w:firstLineChars="100"/>
              <w:outlineLvl w:val="0"/>
              <w:rPr>
                <w:rFonts w:hint="eastAsia" w:ascii="宋体" w:hAnsi="宋体" w:eastAsia="宋体" w:cs="宋体"/>
                <w:b/>
                <w:color w:val="auto"/>
                <w:sz w:val="24"/>
                <w:szCs w:val="24"/>
                <w:highlight w:val="none"/>
              </w:rPr>
            </w:pPr>
            <w:bookmarkStart w:id="509" w:name="_Toc75692967"/>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w:t>
            </w:r>
            <w:r>
              <w:rPr>
                <w:rFonts w:hint="eastAsia" w:ascii="宋体" w:hAnsi="宋体" w:eastAsia="宋体" w:cs="宋体"/>
                <w:b/>
                <w:color w:val="auto"/>
                <w:sz w:val="24"/>
                <w:szCs w:val="24"/>
                <w:highlight w:val="none"/>
              </w:rPr>
              <w:t>乙方的责任和义务</w:t>
            </w:r>
            <w:bookmarkEnd w:id="509"/>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负责提供行业数据监测与分析服务（含出租汽车行业运行分析服务、行业营运情况监测服务、行业运力需求及规模监测服务、场站枢纽以及景区数据监测服务、行业收入水平监测服务、行业运价水平监测服务、出租汽车运行数据对接服务）、管理保障服务（含行业维稳保障服务、城市文明创建保障服务、 应急处置保障、公共卫生事件防控保障、重大活动保障）、执法保障服务（含营运违章情况监测服务、执法辅助支持服务、行业服务质量数据保障服务）、巡网融合技术支持服务（含巡网融合数据推送服务、巡网融合数据分析服务、巡网融合业务热线服务）等</w:t>
            </w:r>
            <w:r>
              <w:rPr>
                <w:rFonts w:hint="eastAsia" w:ascii="宋体" w:hAnsi="宋体" w:eastAsia="宋体" w:cs="宋体"/>
                <w:color w:val="auto"/>
                <w:sz w:val="24"/>
                <w:szCs w:val="24"/>
                <w:highlight w:val="none"/>
                <w:lang w:val="en-US" w:eastAsia="zh-CN"/>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（2）负责服务平台建设，以满足本项目所规定服务的功能、性能、质量等需求。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（3）负责光纤通信和电话的通信链路保障。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（4）提供的服务需要满足情况监测科学规范、管理保障服务周到、数据管理安全保密等要求。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（5）成立专门的项目小组，配备满足项目要求的人员，负责采购人的一切合作事务，确保该项目按照合同要求执行。</w:t>
            </w:r>
          </w:p>
          <w:p>
            <w:pPr>
              <w:tabs>
                <w:tab w:val="left" w:pos="7396"/>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（6）负责提供项目服务所需的办公场地、耗材、工作服等。</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须与项目团队成员签订保密协议，对</w:t>
            </w:r>
            <w:r>
              <w:rPr>
                <w:rFonts w:hint="eastAsia" w:ascii="宋体" w:hAnsi="宋体" w:eastAsia="宋体" w:cs="宋体"/>
                <w:color w:val="auto"/>
                <w:sz w:val="24"/>
                <w:szCs w:val="24"/>
                <w:highlight w:val="none"/>
              </w:rPr>
              <w:t>本项目所签协议及补充协议、附件等所有内容承担无限期保密义务，直至上述内容被双方共同宣布解密或者秘密信息实际上已经公开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并向甲方进行抄送。</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（8）乙方项目负责人：姓名：     电话：     联系方式：     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noWrap w:val="0"/>
            <w:vAlign w:val="center"/>
          </w:tcPr>
          <w:p>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2.22</w:t>
            </w:r>
          </w:p>
        </w:tc>
        <w:tc>
          <w:tcPr>
            <w:tcW w:w="8149" w:type="dxa"/>
            <w:noWrap w:val="0"/>
            <w:vAlign w:val="top"/>
          </w:tcPr>
          <w:p>
            <w:pPr>
              <w:pStyle w:val="14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1、乙方应按采购文件规定向甲方提供服务,自合同签订之日起达到如下服务质量要求。</w:t>
            </w:r>
          </w:p>
          <w:p>
            <w:pPr>
              <w:pStyle w:val="14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（1）情况监测科学规范</w:t>
            </w:r>
          </w:p>
          <w:p>
            <w:pPr>
              <w:pStyle w:val="14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行业运行分析、行业营运情况监测、行业运力需求及规模监测、场站枢纽以及景区数据监测、行业收入水平情况</w:t>
            </w:r>
            <w:r>
              <w:rPr>
                <w:rFonts w:hint="eastAsia" w:ascii="宋体" w:hAnsi="宋体" w:eastAsia="宋体" w:cs="宋体"/>
                <w:color w:val="auto"/>
                <w:sz w:val="24"/>
                <w:szCs w:val="24"/>
                <w:highlight w:val="none"/>
                <w:lang w:val="en-US" w:eastAsia="zh-CN"/>
              </w:rPr>
              <w:t>监测</w:t>
            </w:r>
            <w:r>
              <w:rPr>
                <w:rFonts w:hint="eastAsia" w:ascii="宋体" w:hAnsi="宋体" w:eastAsia="宋体" w:cs="宋体"/>
                <w:color w:val="auto"/>
                <w:sz w:val="24"/>
                <w:szCs w:val="24"/>
                <w:highlight w:val="none"/>
              </w:rPr>
              <w:t>、行业运价水平监测、巡网融合技术支持、出租汽车运行数据对接等服务，监测模型科学、结果合理、监测及时，异常情况处置规范。</w:t>
            </w:r>
          </w:p>
          <w:p>
            <w:pPr>
              <w:pStyle w:val="14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（2）管理保障服务周到</w:t>
            </w:r>
          </w:p>
          <w:p>
            <w:pPr>
              <w:pStyle w:val="14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行业维稳保障、城市文明创建、应急处置、公共卫生事件</w:t>
            </w:r>
            <w:r>
              <w:rPr>
                <w:rFonts w:hint="eastAsia" w:ascii="宋体" w:hAnsi="宋体" w:eastAsia="宋体" w:cs="宋体"/>
                <w:color w:val="auto"/>
                <w:sz w:val="24"/>
                <w:szCs w:val="24"/>
                <w:highlight w:val="none"/>
                <w:lang w:val="en-US" w:eastAsia="zh-CN"/>
              </w:rPr>
              <w:t>防控</w:t>
            </w:r>
            <w:r>
              <w:rPr>
                <w:rFonts w:hint="eastAsia" w:ascii="宋体" w:hAnsi="宋体" w:eastAsia="宋体" w:cs="宋体"/>
                <w:color w:val="auto"/>
                <w:sz w:val="24"/>
                <w:szCs w:val="24"/>
                <w:highlight w:val="none"/>
              </w:rPr>
              <w:t>、重大活动、营运违章情况监测、执法辅助支持、行业服务质量数据保障等保障服务按要求及时到位，提供的信息与技术支持准确有效。</w:t>
            </w:r>
          </w:p>
          <w:p>
            <w:pPr>
              <w:pStyle w:val="14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（3）数据管理安全保密</w:t>
            </w:r>
          </w:p>
          <w:p>
            <w:pPr>
              <w:pStyle w:val="14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依据国家网络与信息安全有关规定,安全管理制度完善，信息系统安全防范措施有效，</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签订保密承诺书，确保信息保密，保障系统数据及系统运行环境网络安全。</w:t>
            </w:r>
          </w:p>
          <w:p>
            <w:pPr>
              <w:pStyle w:val="14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2、乙方提供的服务成果在服务质量保证期内发生故障，乙方应负责免费提供后续服务。对达不到要求者，根据实际情况，经双方协商，可按以下办法处理：</w:t>
            </w:r>
          </w:p>
          <w:p>
            <w:pPr>
              <w:pStyle w:val="14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（1）重做：由乙方承担所发生的全部费用。</w:t>
            </w:r>
          </w:p>
          <w:p>
            <w:pPr>
              <w:pStyle w:val="14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（2）解除合同。</w:t>
            </w:r>
          </w:p>
          <w:p>
            <w:pPr>
              <w:pStyle w:val="14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3、在服务期内，乙方应对出现的质量及安全问题负责处理解决并承担一切费用。</w:t>
            </w:r>
          </w:p>
          <w:p>
            <w:pPr>
              <w:pStyle w:val="142"/>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4、在服务期内，乙方造成数据失密事件，对行业管理、国家安全造成重大影响，甲方有权单方中止合同。</w:t>
            </w:r>
          </w:p>
        </w:tc>
      </w:tr>
    </w:tbl>
    <w:p>
      <w:pPr>
        <w:jc w:val="both"/>
        <w:rPr>
          <w:rFonts w:hint="eastAsia" w:asciiTheme="minorEastAsia" w:hAnsiTheme="minorEastAsia" w:eastAsiaTheme="minorEastAsia" w:cstheme="minorEastAsia"/>
          <w:b/>
          <w:color w:val="auto"/>
          <w:sz w:val="36"/>
          <w:szCs w:val="20"/>
          <w:highlight w:val="none"/>
        </w:rPr>
      </w:pPr>
    </w:p>
    <w:p>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2"/>
      <w:r>
        <w:rPr>
          <w:rFonts w:hint="eastAsia" w:ascii="宋体" w:hAnsi="宋体" w:cs="宋体"/>
          <w:b/>
          <w:color w:val="auto"/>
          <w:sz w:val="36"/>
          <w:szCs w:val="20"/>
          <w:highlight w:val="none"/>
        </w:rPr>
        <w:t xml:space="preserve"> </w:t>
      </w:r>
      <w:bookmarkEnd w:id="403"/>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13"/>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符合参加政府采购活动应当具备的一般条件的承诺函……………（页码）</w:t>
      </w:r>
    </w:p>
    <w:p>
      <w:pPr>
        <w:numPr>
          <w:ilvl w:val="0"/>
          <w:numId w:val="13"/>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snapToGrid w:val="0"/>
          <w:color w:val="auto"/>
          <w:kern w:val="28"/>
          <w:sz w:val="24"/>
          <w:szCs w:val="20"/>
          <w:highlight w:val="none"/>
        </w:rPr>
        <w:t>联合协议</w:t>
      </w:r>
      <w:r>
        <w:rPr>
          <w:rFonts w:hint="eastAsia" w:ascii="宋体" w:hAnsi="宋体" w:cs="宋体"/>
          <w:color w:val="auto"/>
          <w:sz w:val="24"/>
          <w:highlight w:val="none"/>
        </w:rPr>
        <w:t>………………………………………………………………（页码）</w:t>
      </w:r>
    </w:p>
    <w:p>
      <w:pPr>
        <w:numPr>
          <w:ilvl w:val="0"/>
          <w:numId w:val="13"/>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落实政府采购政策需满足的资格要求………………………………（页码）</w:t>
      </w:r>
    </w:p>
    <w:p>
      <w:pPr>
        <w:numPr>
          <w:ilvl w:val="0"/>
          <w:numId w:val="13"/>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杭州市道路运输管理服务中心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浙江省建设工程设备招标有限公司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杭州市出租车行业监管和执法保障信息服务</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color w:val="auto"/>
          <w:sz w:val="24"/>
          <w:highlight w:val="none"/>
          <w:lang w:eastAsia="zh-CN"/>
        </w:rPr>
        <w:t>ZJZBC-25-GK-9024</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left="0" w:leftChars="0" w:firstLine="0" w:firstLineChars="0"/>
        <w:jc w:val="center"/>
        <w:rPr>
          <w:rFonts w:hint="eastAsia" w:ascii="宋体" w:hAnsi="宋体" w:cs="宋体"/>
          <w:b/>
          <w:color w:val="auto"/>
          <w:sz w:val="28"/>
          <w:szCs w:val="28"/>
          <w:highlight w:val="none"/>
          <w:u w:val="single"/>
          <w:lang w:val="en-US" w:eastAsia="zh-CN"/>
        </w:rPr>
      </w:pPr>
    </w:p>
    <w:p>
      <w:pPr>
        <w:snapToGrid w:val="0"/>
        <w:spacing w:before="50" w:after="50" w:line="360" w:lineRule="auto"/>
        <w:ind w:left="0" w:leftChars="0" w:firstLine="0" w:firstLineChars="0"/>
        <w:jc w:val="center"/>
        <w:rPr>
          <w:rFonts w:hint="default" w:ascii="宋体" w:hAnsi="宋体" w:eastAsia="宋体" w:cs="宋体"/>
          <w:b/>
          <w:color w:val="auto"/>
          <w:sz w:val="28"/>
          <w:szCs w:val="28"/>
          <w:highlight w:val="none"/>
          <w:u w:val="single"/>
          <w:lang w:val="en-US" w:eastAsia="zh-CN"/>
        </w:rPr>
      </w:pPr>
      <w:r>
        <w:rPr>
          <w:rFonts w:hint="eastAsia" w:ascii="宋体" w:hAnsi="宋体" w:cs="宋体"/>
          <w:b/>
          <w:color w:val="auto"/>
          <w:sz w:val="28"/>
          <w:szCs w:val="28"/>
          <w:highlight w:val="none"/>
          <w:u w:val="single"/>
          <w:lang w:val="en-US" w:eastAsia="zh-CN"/>
        </w:rPr>
        <w:t>本项目专门面向中小企业，提供相应的中小企业声明函</w:t>
      </w:r>
    </w:p>
    <w:p>
      <w:pPr>
        <w:snapToGrid w:val="0"/>
        <w:spacing w:before="50" w:after="50" w:line="360" w:lineRule="auto"/>
        <w:ind w:firstLine="472" w:firstLineChars="196"/>
        <w:jc w:val="left"/>
        <w:rPr>
          <w:rFonts w:hint="eastAsia" w:ascii="宋体" w:hAnsi="宋体" w:cs="宋体"/>
          <w:b/>
          <w:color w:val="auto"/>
          <w:sz w:val="24"/>
          <w:highlight w:val="none"/>
        </w:rPr>
      </w:pP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numPr>
          <w:ilvl w:val="0"/>
          <w:numId w:val="14"/>
        </w:numPr>
        <w:snapToGrid w:val="0"/>
        <w:spacing w:line="360" w:lineRule="auto"/>
        <w:ind w:left="0" w:leftChars="0" w:firstLine="42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投标函…………………………………………………………………………（页码）</w:t>
      </w:r>
    </w:p>
    <w:p>
      <w:pPr>
        <w:numPr>
          <w:ilvl w:val="0"/>
          <w:numId w:val="14"/>
        </w:numPr>
        <w:snapToGrid w:val="0"/>
        <w:spacing w:line="360" w:lineRule="auto"/>
        <w:ind w:left="0" w:leftChars="0" w:firstLine="42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授权委托书或法定代表人（单位负责人、自然人本人）身份证明………（页码）</w:t>
      </w:r>
    </w:p>
    <w:p>
      <w:pPr>
        <w:numPr>
          <w:ilvl w:val="0"/>
          <w:numId w:val="14"/>
        </w:numPr>
        <w:snapToGrid w:val="0"/>
        <w:spacing w:line="360" w:lineRule="auto"/>
        <w:ind w:left="0" w:leftChars="0" w:firstLine="42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分包意向协议…………………………………………………………………（页码）</w:t>
      </w:r>
    </w:p>
    <w:p>
      <w:pPr>
        <w:numPr>
          <w:ilvl w:val="0"/>
          <w:numId w:val="14"/>
        </w:numPr>
        <w:snapToGrid w:val="0"/>
        <w:spacing w:line="360" w:lineRule="auto"/>
        <w:ind w:left="0" w:leftChars="0" w:firstLine="42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符合性审查资料………………………………………………………………（页码）</w:t>
      </w:r>
    </w:p>
    <w:p>
      <w:pPr>
        <w:numPr>
          <w:ilvl w:val="0"/>
          <w:numId w:val="14"/>
        </w:numPr>
        <w:snapToGrid w:val="0"/>
        <w:spacing w:line="360" w:lineRule="auto"/>
        <w:ind w:left="0" w:leftChars="0" w:firstLine="42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评标标准相应的商务技术资料………………………………………………（页码）</w:t>
      </w:r>
    </w:p>
    <w:p>
      <w:pPr>
        <w:numPr>
          <w:ilvl w:val="0"/>
          <w:numId w:val="14"/>
        </w:numPr>
        <w:snapToGrid w:val="0"/>
        <w:spacing w:line="360" w:lineRule="auto"/>
        <w:ind w:left="0" w:leftChars="0" w:firstLine="42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投标标的清单…………………………………………………………………（页码）</w:t>
      </w:r>
    </w:p>
    <w:p>
      <w:pPr>
        <w:numPr>
          <w:ilvl w:val="0"/>
          <w:numId w:val="14"/>
        </w:numPr>
        <w:snapToGrid w:val="0"/>
        <w:spacing w:line="360" w:lineRule="auto"/>
        <w:ind w:left="0" w:leftChars="0" w:firstLine="42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商务技术偏离表………………………………………………………………（页码）</w:t>
      </w:r>
    </w:p>
    <w:p>
      <w:pPr>
        <w:numPr>
          <w:ilvl w:val="0"/>
          <w:numId w:val="14"/>
        </w:numPr>
        <w:snapToGrid w:val="0"/>
        <w:spacing w:line="360" w:lineRule="auto"/>
        <w:ind w:left="0" w:leftChars="0" w:firstLine="42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政府采购供应商廉洁自律承诺书</w:t>
      </w:r>
      <w:r>
        <w:rPr>
          <w:rFonts w:hint="eastAsia" w:asciiTheme="minorEastAsia" w:hAnsiTheme="minorEastAsia" w:eastAsiaTheme="minorEastAsia" w:cstheme="minorEastAsia"/>
          <w:color w:val="auto"/>
          <w:sz w:val="24"/>
          <w:szCs w:val="24"/>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杭州市道路运输管理服务中心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浙江省建设工程设备招标有限公司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杭州市出租车行业监管和执法保障信息服务</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color w:val="auto"/>
          <w:sz w:val="24"/>
          <w:highlight w:val="none"/>
          <w:lang w:eastAsia="zh-CN"/>
        </w:rPr>
        <w:t>ZJZBC-25-GK-9024</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0" w:name="_Hlk101257010"/>
      <w:r>
        <w:rPr>
          <w:rFonts w:hint="eastAsia" w:ascii="宋体" w:hAnsi="宋体" w:cs="宋体"/>
          <w:color w:val="auto"/>
          <w:sz w:val="24"/>
          <w:highlight w:val="none"/>
        </w:rPr>
        <w:t>（如果有)</w:t>
      </w:r>
      <w:bookmarkEnd w:id="510"/>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widowControl w:val="0"/>
        <w:numPr>
          <w:ilvl w:val="0"/>
          <w:numId w:val="0"/>
        </w:numPr>
        <w:spacing w:line="360" w:lineRule="auto"/>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both"/>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杭州市道路运输管理服务中心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浙江省建设工程设备招标有限公司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杭州市出租车行业监管和执法保障信息服务</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color w:val="auto"/>
          <w:sz w:val="24"/>
          <w:highlight w:val="none"/>
          <w:lang w:eastAsia="zh-CN"/>
        </w:rPr>
        <w:t>ZJZBC-25-GK-9024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杭州市道路运输管理服务中心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浙江省建设工程设备招标有限公司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杭州市出租车行业监管和执法保障信息服务</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color w:val="auto"/>
          <w:sz w:val="24"/>
          <w:highlight w:val="none"/>
          <w:lang w:eastAsia="zh-CN"/>
        </w:rPr>
        <w:t>ZJZBC-25-GK-9024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1"/>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417" w:right="1418" w:bottom="1417" w:left="1418" w:header="851" w:footer="992" w:gutter="0"/>
          <w:pgNumType w:fmt="decimal"/>
          <w:cols w:space="0" w:num="1"/>
          <w:titlePg/>
          <w:rtlGutter w:val="0"/>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pPr>
              <w:rPr>
                <w:rFonts w:hint="eastAsia" w:ascii="宋体" w:hAnsi="宋体" w:cs="宋体"/>
                <w:b w:val="0"/>
                <w:bCs w:val="0"/>
                <w:color w:val="auto"/>
                <w:sz w:val="24"/>
                <w:highlight w:val="none"/>
                <w:lang w:val="en-US" w:eastAsia="zh-CN"/>
              </w:rPr>
            </w:pPr>
          </w:p>
        </w:tc>
        <w:tc>
          <w:tcPr>
            <w:tcW w:w="1418" w:type="dxa"/>
            <w:vAlign w:val="top"/>
          </w:tcPr>
          <w:p>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pPr>
              <w:rPr>
                <w:rFonts w:hint="eastAsia" w:ascii="宋体" w:hAnsi="宋体" w:cs="宋体"/>
                <w:b w:val="0"/>
                <w:bCs w:val="0"/>
                <w:color w:val="auto"/>
                <w:sz w:val="24"/>
                <w:highlight w:val="none"/>
                <w:lang w:val="en-US" w:eastAsia="zh-CN"/>
              </w:rPr>
            </w:pPr>
          </w:p>
        </w:tc>
        <w:tc>
          <w:tcPr>
            <w:tcW w:w="1418" w:type="dxa"/>
            <w:vAlign w:val="top"/>
          </w:tcPr>
          <w:p>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p>
        </w:tc>
        <w:tc>
          <w:tcPr>
            <w:tcW w:w="3046" w:type="dxa"/>
          </w:tcPr>
          <w:p>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pPr>
        <w:pStyle w:val="81"/>
        <w:rPr>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pacing w:line="360" w:lineRule="auto"/>
        <w:jc w:val="left"/>
        <w:rPr>
          <w:rFonts w:ascii="宋体" w:hAnsi="宋体" w:cs="宋体"/>
          <w:b/>
          <w:color w:val="auto"/>
          <w:sz w:val="28"/>
          <w:szCs w:val="28"/>
          <w:highlight w:val="none"/>
        </w:rPr>
      </w:pPr>
      <w:r>
        <w:rPr>
          <w:rFonts w:hint="eastAsia" w:ascii="宋体" w:hAnsi="宋体" w:cs="宋体"/>
          <w:b/>
          <w:color w:val="auto"/>
          <w:sz w:val="28"/>
          <w:szCs w:val="28"/>
          <w:highlight w:val="none"/>
        </w:rPr>
        <w:t>参考格式1</w:t>
      </w:r>
    </w:p>
    <w:p>
      <w:pPr>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投标供应商简况表</w:t>
      </w:r>
    </w:p>
    <w:tbl>
      <w:tblPr>
        <w:tblStyle w:val="62"/>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5"/>
        <w:gridCol w:w="1600"/>
        <w:gridCol w:w="1134"/>
        <w:gridCol w:w="1614"/>
        <w:gridCol w:w="795"/>
        <w:gridCol w:w="1418"/>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1195" w:type="dxa"/>
            <w:vAlign w:val="center"/>
          </w:tcPr>
          <w:p>
            <w:pPr>
              <w:autoSpaceDE w:val="0"/>
              <w:snapToGrid w:val="0"/>
              <w:spacing w:line="360" w:lineRule="auto"/>
              <w:jc w:val="center"/>
              <w:rPr>
                <w:rFonts w:ascii="宋体" w:hAnsi="宋体" w:cs="宋体"/>
                <w:color w:val="auto"/>
                <w:highlight w:val="none"/>
              </w:rPr>
            </w:pPr>
            <w:r>
              <w:rPr>
                <w:rFonts w:hint="eastAsia" w:ascii="宋体" w:hAnsi="宋体" w:cs="宋体"/>
                <w:color w:val="auto"/>
                <w:sz w:val="24"/>
                <w:highlight w:val="none"/>
                <w:lang w:val="zh-CN"/>
              </w:rPr>
              <w:t>单位名称</w:t>
            </w:r>
          </w:p>
        </w:tc>
        <w:tc>
          <w:tcPr>
            <w:tcW w:w="5143" w:type="dxa"/>
            <w:gridSpan w:val="4"/>
            <w:vAlign w:val="center"/>
          </w:tcPr>
          <w:p>
            <w:pPr>
              <w:autoSpaceDE w:val="0"/>
              <w:snapToGrid w:val="0"/>
              <w:spacing w:line="360" w:lineRule="auto"/>
              <w:jc w:val="center"/>
              <w:rPr>
                <w:rFonts w:ascii="宋体" w:hAnsi="宋体" w:cs="宋体"/>
                <w:color w:val="auto"/>
                <w:sz w:val="24"/>
                <w:highlight w:val="none"/>
                <w:lang w:val="zh-CN"/>
              </w:rPr>
            </w:pPr>
          </w:p>
        </w:tc>
        <w:tc>
          <w:tcPr>
            <w:tcW w:w="1418" w:type="dxa"/>
            <w:vAlign w:val="center"/>
          </w:tcPr>
          <w:p>
            <w:pPr>
              <w:autoSpaceDE w:val="0"/>
              <w:snapToGrid w:val="0"/>
              <w:spacing w:line="360" w:lineRule="auto"/>
              <w:jc w:val="center"/>
              <w:rPr>
                <w:rFonts w:ascii="宋体" w:hAnsi="宋体" w:cs="宋体"/>
                <w:color w:val="auto"/>
                <w:highlight w:val="none"/>
              </w:rPr>
            </w:pPr>
            <w:r>
              <w:rPr>
                <w:rFonts w:hint="eastAsia" w:ascii="宋体" w:hAnsi="宋体" w:cs="宋体"/>
                <w:color w:val="auto"/>
                <w:sz w:val="24"/>
                <w:highlight w:val="none"/>
                <w:lang w:val="zh-CN"/>
              </w:rPr>
              <w:t>成立时间</w:t>
            </w:r>
          </w:p>
        </w:tc>
        <w:tc>
          <w:tcPr>
            <w:tcW w:w="1515" w:type="dxa"/>
            <w:vAlign w:val="center"/>
          </w:tcPr>
          <w:p>
            <w:pPr>
              <w:autoSpaceDE w:val="0"/>
              <w:snapToGrid w:val="0"/>
              <w:spacing w:line="360" w:lineRule="auto"/>
              <w:jc w:val="center"/>
              <w:rPr>
                <w:rFonts w:ascii="宋体" w:hAnsi="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1195" w:type="dxa"/>
            <w:vAlign w:val="center"/>
          </w:tcPr>
          <w:p>
            <w:pPr>
              <w:autoSpaceDE w:val="0"/>
              <w:snapToGrid w:val="0"/>
              <w:spacing w:line="360" w:lineRule="auto"/>
              <w:jc w:val="center"/>
              <w:rPr>
                <w:rFonts w:ascii="宋体" w:hAnsi="宋体" w:cs="宋体"/>
                <w:color w:val="auto"/>
                <w:highlight w:val="none"/>
              </w:rPr>
            </w:pPr>
            <w:r>
              <w:rPr>
                <w:rFonts w:hint="eastAsia" w:ascii="宋体" w:hAnsi="宋体" w:cs="宋体"/>
                <w:color w:val="auto"/>
                <w:sz w:val="24"/>
                <w:highlight w:val="none"/>
                <w:lang w:val="zh-CN"/>
              </w:rPr>
              <w:t>资质等级</w:t>
            </w:r>
          </w:p>
        </w:tc>
        <w:tc>
          <w:tcPr>
            <w:tcW w:w="1600" w:type="dxa"/>
            <w:vAlign w:val="center"/>
          </w:tcPr>
          <w:p>
            <w:pPr>
              <w:autoSpaceDE w:val="0"/>
              <w:snapToGrid w:val="0"/>
              <w:spacing w:line="360" w:lineRule="auto"/>
              <w:jc w:val="center"/>
              <w:rPr>
                <w:rFonts w:ascii="宋体" w:hAnsi="宋体" w:cs="宋体"/>
                <w:color w:val="auto"/>
                <w:sz w:val="24"/>
                <w:highlight w:val="none"/>
                <w:lang w:val="zh-CN"/>
              </w:rPr>
            </w:pPr>
          </w:p>
        </w:tc>
        <w:tc>
          <w:tcPr>
            <w:tcW w:w="1134" w:type="dxa"/>
            <w:vAlign w:val="center"/>
          </w:tcPr>
          <w:p>
            <w:pPr>
              <w:autoSpaceDE w:val="0"/>
              <w:snapToGrid w:val="0"/>
              <w:spacing w:line="360" w:lineRule="auto"/>
              <w:jc w:val="center"/>
              <w:rPr>
                <w:rFonts w:ascii="宋体" w:hAnsi="宋体" w:cs="宋体"/>
                <w:color w:val="auto"/>
                <w:highlight w:val="none"/>
              </w:rPr>
            </w:pPr>
            <w:r>
              <w:rPr>
                <w:rFonts w:hint="eastAsia" w:ascii="宋体" w:hAnsi="宋体" w:cs="宋体"/>
                <w:color w:val="auto"/>
                <w:sz w:val="24"/>
                <w:highlight w:val="none"/>
                <w:lang w:val="zh-CN"/>
              </w:rPr>
              <w:t>经营方式</w:t>
            </w:r>
          </w:p>
        </w:tc>
        <w:tc>
          <w:tcPr>
            <w:tcW w:w="2409" w:type="dxa"/>
            <w:gridSpan w:val="2"/>
            <w:vAlign w:val="center"/>
          </w:tcPr>
          <w:p>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□有限责任公司</w:t>
            </w:r>
          </w:p>
          <w:p>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□个人独立经营方式</w:t>
            </w:r>
          </w:p>
          <w:p>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□合伙经营方式</w:t>
            </w:r>
          </w:p>
          <w:p>
            <w:pPr>
              <w:autoSpaceDE w:val="0"/>
              <w:snapToGrid w:val="0"/>
              <w:jc w:val="left"/>
              <w:rPr>
                <w:rFonts w:ascii="宋体" w:hAnsi="宋体" w:cs="宋体"/>
                <w:color w:val="auto"/>
                <w:highlight w:val="none"/>
                <w:lang w:val="zh-CN"/>
              </w:rPr>
            </w:pPr>
            <w:r>
              <w:rPr>
                <w:rFonts w:hint="eastAsia" w:ascii="宋体" w:hAnsi="宋体" w:cs="宋体"/>
                <w:color w:val="auto"/>
                <w:sz w:val="24"/>
                <w:highlight w:val="none"/>
                <w:lang w:val="zh-CN"/>
              </w:rPr>
              <w:t>□其他</w:t>
            </w:r>
          </w:p>
        </w:tc>
        <w:tc>
          <w:tcPr>
            <w:tcW w:w="1418" w:type="dxa"/>
            <w:vAlign w:val="center"/>
          </w:tcPr>
          <w:p>
            <w:pPr>
              <w:autoSpaceDE w:val="0"/>
              <w:snapToGrid w:val="0"/>
              <w:jc w:val="center"/>
              <w:rPr>
                <w:rFonts w:ascii="宋体" w:hAnsi="宋体" w:cs="宋体"/>
                <w:color w:val="auto"/>
                <w:highlight w:val="none"/>
              </w:rPr>
            </w:pPr>
            <w:r>
              <w:rPr>
                <w:rFonts w:hint="eastAsia" w:ascii="宋体" w:hAnsi="宋体" w:cs="宋体"/>
                <w:color w:val="auto"/>
                <w:sz w:val="24"/>
                <w:highlight w:val="none"/>
                <w:lang w:val="zh-CN"/>
              </w:rPr>
              <w:t>企业性质</w:t>
            </w:r>
          </w:p>
        </w:tc>
        <w:tc>
          <w:tcPr>
            <w:tcW w:w="1515" w:type="dxa"/>
            <w:vAlign w:val="center"/>
          </w:tcPr>
          <w:p>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□事业单位</w:t>
            </w:r>
          </w:p>
          <w:p>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□国企</w:t>
            </w:r>
          </w:p>
          <w:p>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□民营</w:t>
            </w:r>
          </w:p>
          <w:p>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□个体经营者</w:t>
            </w:r>
          </w:p>
          <w:p>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□自然人</w:t>
            </w:r>
          </w:p>
          <w:p>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1195" w:type="dxa"/>
            <w:vAlign w:val="center"/>
          </w:tcPr>
          <w:p>
            <w:pPr>
              <w:autoSpaceDE w:val="0"/>
              <w:snapToGrid w:val="0"/>
              <w:spacing w:line="360" w:lineRule="auto"/>
              <w:jc w:val="center"/>
              <w:rPr>
                <w:rFonts w:ascii="宋体" w:hAnsi="宋体" w:cs="宋体"/>
                <w:color w:val="auto"/>
                <w:highlight w:val="none"/>
              </w:rPr>
            </w:pPr>
            <w:r>
              <w:rPr>
                <w:rFonts w:hint="eastAsia" w:ascii="宋体" w:hAnsi="宋体" w:cs="宋体"/>
                <w:color w:val="auto"/>
                <w:sz w:val="24"/>
                <w:highlight w:val="none"/>
                <w:lang w:val="zh-CN"/>
              </w:rPr>
              <w:t>注册资金</w:t>
            </w:r>
          </w:p>
        </w:tc>
        <w:tc>
          <w:tcPr>
            <w:tcW w:w="1600" w:type="dxa"/>
            <w:vAlign w:val="center"/>
          </w:tcPr>
          <w:p>
            <w:pPr>
              <w:autoSpaceDE w:val="0"/>
              <w:snapToGrid w:val="0"/>
              <w:spacing w:line="360" w:lineRule="auto"/>
              <w:jc w:val="center"/>
              <w:rPr>
                <w:rFonts w:ascii="宋体" w:hAnsi="宋体" w:cs="宋体"/>
                <w:color w:val="auto"/>
                <w:sz w:val="24"/>
                <w:highlight w:val="none"/>
                <w:lang w:val="zh-CN"/>
              </w:rPr>
            </w:pPr>
          </w:p>
        </w:tc>
        <w:tc>
          <w:tcPr>
            <w:tcW w:w="1134" w:type="dxa"/>
            <w:vAlign w:val="center"/>
          </w:tcPr>
          <w:p>
            <w:pPr>
              <w:autoSpaceDE w:val="0"/>
              <w:snapToGrid w:val="0"/>
              <w:spacing w:line="360" w:lineRule="auto"/>
              <w:jc w:val="center"/>
              <w:rPr>
                <w:rFonts w:ascii="宋体" w:hAnsi="宋体" w:cs="宋体"/>
                <w:color w:val="auto"/>
                <w:highlight w:val="none"/>
              </w:rPr>
            </w:pPr>
            <w:r>
              <w:rPr>
                <w:rFonts w:hint="eastAsia" w:ascii="宋体" w:hAnsi="宋体" w:cs="宋体"/>
                <w:color w:val="auto"/>
                <w:sz w:val="24"/>
                <w:highlight w:val="none"/>
                <w:lang w:val="zh-CN"/>
              </w:rPr>
              <w:t>地    址</w:t>
            </w:r>
          </w:p>
        </w:tc>
        <w:tc>
          <w:tcPr>
            <w:tcW w:w="5342" w:type="dxa"/>
            <w:gridSpan w:val="4"/>
            <w:vAlign w:val="center"/>
          </w:tcPr>
          <w:p>
            <w:pPr>
              <w:autoSpaceDE w:val="0"/>
              <w:snapToGrid w:val="0"/>
              <w:spacing w:line="360" w:lineRule="auto"/>
              <w:jc w:val="center"/>
              <w:rPr>
                <w:rFonts w:ascii="宋体" w:hAnsi="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8" w:hRule="atLeast"/>
          <w:jc w:val="center"/>
        </w:trPr>
        <w:tc>
          <w:tcPr>
            <w:tcW w:w="1195" w:type="dxa"/>
            <w:vAlign w:val="center"/>
          </w:tcPr>
          <w:p>
            <w:pPr>
              <w:autoSpaceDE w:val="0"/>
              <w:snapToGrid w:val="0"/>
              <w:spacing w:line="360" w:lineRule="auto"/>
              <w:jc w:val="center"/>
              <w:rPr>
                <w:rFonts w:ascii="宋体" w:hAnsi="宋体" w:cs="宋体"/>
                <w:color w:val="auto"/>
                <w:highlight w:val="none"/>
              </w:rPr>
            </w:pPr>
            <w:r>
              <w:rPr>
                <w:rFonts w:hint="eastAsia" w:ascii="宋体" w:hAnsi="宋体" w:cs="宋体"/>
                <w:color w:val="auto"/>
                <w:sz w:val="24"/>
                <w:highlight w:val="none"/>
                <w:lang w:val="zh-CN"/>
              </w:rPr>
              <w:t>经营范围</w:t>
            </w:r>
          </w:p>
        </w:tc>
        <w:tc>
          <w:tcPr>
            <w:tcW w:w="8076" w:type="dxa"/>
            <w:gridSpan w:val="6"/>
            <w:vAlign w:val="center"/>
          </w:tcPr>
          <w:p>
            <w:pPr>
              <w:autoSpaceDE w:val="0"/>
              <w:snapToGrid w:val="0"/>
              <w:spacing w:line="360" w:lineRule="auto"/>
              <w:rPr>
                <w:rFonts w:ascii="宋体" w:hAnsi="宋体" w:cs="宋体"/>
                <w:color w:val="auto"/>
                <w:sz w:val="24"/>
                <w:highlight w:val="none"/>
                <w:lang w:val="zh-CN"/>
              </w:rPr>
            </w:pPr>
          </w:p>
          <w:p>
            <w:pPr>
              <w:autoSpaceDE w:val="0"/>
              <w:snapToGrid w:val="0"/>
              <w:spacing w:line="360" w:lineRule="auto"/>
              <w:rPr>
                <w:rFonts w:ascii="宋体" w:hAnsi="宋体" w:cs="宋体"/>
                <w:color w:val="auto"/>
                <w:sz w:val="24"/>
                <w:highlight w:val="none"/>
                <w:lang w:val="zh-CN"/>
              </w:rPr>
            </w:pPr>
          </w:p>
          <w:p>
            <w:pPr>
              <w:autoSpaceDE w:val="0"/>
              <w:snapToGrid w:val="0"/>
              <w:spacing w:line="360" w:lineRule="auto"/>
              <w:rPr>
                <w:rFonts w:ascii="宋体" w:hAnsi="宋体" w:cs="宋体"/>
                <w:color w:val="auto"/>
                <w:sz w:val="24"/>
                <w:highlight w:val="none"/>
                <w:lang w:val="zh-CN"/>
              </w:rPr>
            </w:pPr>
          </w:p>
          <w:p>
            <w:pPr>
              <w:autoSpaceDE w:val="0"/>
              <w:snapToGrid w:val="0"/>
              <w:spacing w:line="360" w:lineRule="auto"/>
              <w:rPr>
                <w:rFonts w:ascii="宋体" w:hAnsi="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1195" w:type="dxa"/>
            <w:vMerge w:val="restart"/>
            <w:vAlign w:val="center"/>
          </w:tcPr>
          <w:p>
            <w:pPr>
              <w:autoSpaceDE w:val="0"/>
              <w:snapToGrid w:val="0"/>
              <w:spacing w:line="360" w:lineRule="auto"/>
              <w:jc w:val="center"/>
              <w:rPr>
                <w:rFonts w:ascii="宋体" w:hAnsi="宋体" w:cs="宋体"/>
                <w:color w:val="auto"/>
                <w:highlight w:val="none"/>
              </w:rPr>
            </w:pPr>
            <w:r>
              <w:rPr>
                <w:rFonts w:hint="eastAsia" w:ascii="宋体" w:hAnsi="宋体" w:cs="宋体"/>
                <w:color w:val="auto"/>
                <w:sz w:val="24"/>
                <w:highlight w:val="none"/>
                <w:lang w:val="zh-CN"/>
              </w:rPr>
              <w:t>单位</w:t>
            </w:r>
          </w:p>
          <w:p>
            <w:pPr>
              <w:autoSpaceDE w:val="0"/>
              <w:snapToGrid w:val="0"/>
              <w:spacing w:line="360" w:lineRule="auto"/>
              <w:jc w:val="center"/>
              <w:rPr>
                <w:rFonts w:ascii="宋体" w:hAnsi="宋体" w:cs="宋体"/>
                <w:color w:val="auto"/>
                <w:highlight w:val="none"/>
              </w:rPr>
            </w:pPr>
            <w:r>
              <w:rPr>
                <w:rFonts w:hint="eastAsia" w:ascii="宋体" w:hAnsi="宋体" w:cs="宋体"/>
                <w:color w:val="auto"/>
                <w:sz w:val="24"/>
                <w:highlight w:val="none"/>
                <w:lang w:val="zh-CN"/>
              </w:rPr>
              <w:t>职工</w:t>
            </w:r>
          </w:p>
        </w:tc>
        <w:tc>
          <w:tcPr>
            <w:tcW w:w="4348" w:type="dxa"/>
            <w:gridSpan w:val="3"/>
            <w:vAlign w:val="center"/>
          </w:tcPr>
          <w:p>
            <w:pPr>
              <w:autoSpaceDE w:val="0"/>
              <w:snapToGrid w:val="0"/>
              <w:jc w:val="center"/>
              <w:rPr>
                <w:rFonts w:ascii="宋体" w:hAnsi="宋体" w:cs="宋体"/>
                <w:color w:val="auto"/>
                <w:highlight w:val="none"/>
              </w:rPr>
            </w:pPr>
            <w:r>
              <w:rPr>
                <w:rFonts w:hint="eastAsia" w:ascii="宋体" w:hAnsi="宋体" w:cs="宋体"/>
                <w:color w:val="auto"/>
                <w:sz w:val="24"/>
                <w:highlight w:val="none"/>
                <w:lang w:val="zh-CN"/>
              </w:rPr>
              <w:t>人数</w:t>
            </w:r>
          </w:p>
        </w:tc>
        <w:tc>
          <w:tcPr>
            <w:tcW w:w="3728" w:type="dxa"/>
            <w:gridSpan w:val="3"/>
            <w:vAlign w:val="center"/>
          </w:tcPr>
          <w:p>
            <w:pPr>
              <w:autoSpaceDE w:val="0"/>
              <w:snapToGrid w:val="0"/>
              <w:jc w:val="center"/>
              <w:rPr>
                <w:rFonts w:ascii="宋体" w:hAnsi="宋体" w:cs="宋体"/>
                <w:color w:val="auto"/>
                <w:highlight w:val="none"/>
              </w:rPr>
            </w:pPr>
            <w:r>
              <w:rPr>
                <w:rFonts w:hint="eastAsia" w:ascii="宋体" w:hAnsi="宋体" w:cs="宋体"/>
                <w:color w:val="auto"/>
                <w:sz w:val="24"/>
                <w:highlight w:val="none"/>
                <w:lang w:val="zh-CN"/>
              </w:rPr>
              <w:t>具有执业资格的管理人员人数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jc w:val="center"/>
        </w:trPr>
        <w:tc>
          <w:tcPr>
            <w:tcW w:w="1195" w:type="dxa"/>
            <w:vMerge w:val="continue"/>
            <w:vAlign w:val="center"/>
          </w:tcPr>
          <w:p>
            <w:pPr>
              <w:autoSpaceDE w:val="0"/>
              <w:snapToGrid w:val="0"/>
              <w:spacing w:line="360" w:lineRule="auto"/>
              <w:jc w:val="center"/>
              <w:rPr>
                <w:rFonts w:ascii="宋体" w:hAnsi="宋体" w:cs="宋体"/>
                <w:color w:val="auto"/>
                <w:sz w:val="24"/>
                <w:highlight w:val="none"/>
                <w:lang w:val="zh-CN"/>
              </w:rPr>
            </w:pPr>
          </w:p>
        </w:tc>
        <w:tc>
          <w:tcPr>
            <w:tcW w:w="4348" w:type="dxa"/>
            <w:gridSpan w:val="3"/>
            <w:vAlign w:val="center"/>
          </w:tcPr>
          <w:p>
            <w:pPr>
              <w:autoSpaceDE w:val="0"/>
              <w:snapToGrid w:val="0"/>
              <w:spacing w:line="360" w:lineRule="auto"/>
              <w:jc w:val="center"/>
              <w:rPr>
                <w:rFonts w:ascii="宋体" w:hAnsi="宋体" w:cs="宋体"/>
                <w:color w:val="auto"/>
                <w:sz w:val="24"/>
                <w:highlight w:val="none"/>
                <w:lang w:val="zh-CN"/>
              </w:rPr>
            </w:pPr>
          </w:p>
        </w:tc>
        <w:tc>
          <w:tcPr>
            <w:tcW w:w="3728" w:type="dxa"/>
            <w:gridSpan w:val="3"/>
            <w:vAlign w:val="center"/>
          </w:tcPr>
          <w:p>
            <w:pPr>
              <w:autoSpaceDE w:val="0"/>
              <w:snapToGrid w:val="0"/>
              <w:spacing w:line="360" w:lineRule="auto"/>
              <w:jc w:val="center"/>
              <w:rPr>
                <w:rFonts w:ascii="宋体" w:hAnsi="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0" w:hRule="atLeast"/>
          <w:jc w:val="center"/>
        </w:trPr>
        <w:tc>
          <w:tcPr>
            <w:tcW w:w="1195" w:type="dxa"/>
            <w:vAlign w:val="center"/>
          </w:tcPr>
          <w:p>
            <w:pPr>
              <w:autoSpaceDE w:val="0"/>
              <w:snapToGrid w:val="0"/>
              <w:spacing w:line="360" w:lineRule="auto"/>
              <w:jc w:val="center"/>
              <w:rPr>
                <w:rFonts w:ascii="宋体" w:hAnsi="宋体" w:cs="宋体"/>
                <w:color w:val="auto"/>
                <w:highlight w:val="none"/>
              </w:rPr>
            </w:pPr>
            <w:r>
              <w:rPr>
                <w:rFonts w:hint="eastAsia" w:ascii="宋体" w:hAnsi="宋体" w:cs="宋体"/>
                <w:color w:val="auto"/>
                <w:sz w:val="24"/>
                <w:highlight w:val="none"/>
              </w:rPr>
              <w:t>获奖情况</w:t>
            </w:r>
          </w:p>
          <w:p>
            <w:pPr>
              <w:autoSpaceDE w:val="0"/>
              <w:snapToGrid w:val="0"/>
              <w:spacing w:line="360" w:lineRule="auto"/>
              <w:jc w:val="center"/>
              <w:rPr>
                <w:rFonts w:ascii="宋体" w:hAnsi="宋体" w:cs="宋体"/>
                <w:color w:val="auto"/>
                <w:highlight w:val="none"/>
              </w:rPr>
            </w:pPr>
            <w:r>
              <w:rPr>
                <w:rFonts w:hint="eastAsia" w:ascii="宋体" w:hAnsi="宋体" w:cs="宋体"/>
                <w:color w:val="auto"/>
                <w:sz w:val="24"/>
                <w:highlight w:val="none"/>
              </w:rPr>
              <w:t>(荣誉)</w:t>
            </w:r>
          </w:p>
        </w:tc>
        <w:tc>
          <w:tcPr>
            <w:tcW w:w="8076" w:type="dxa"/>
            <w:gridSpan w:val="6"/>
            <w:vAlign w:val="center"/>
          </w:tcPr>
          <w:p>
            <w:pPr>
              <w:autoSpaceDE w:val="0"/>
              <w:snapToGrid w:val="0"/>
              <w:spacing w:line="360" w:lineRule="auto"/>
              <w:jc w:val="center"/>
              <w:rPr>
                <w:rFonts w:ascii="宋体" w:hAnsi="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0" w:hRule="atLeast"/>
          <w:jc w:val="center"/>
        </w:trPr>
        <w:tc>
          <w:tcPr>
            <w:tcW w:w="1195" w:type="dxa"/>
            <w:vAlign w:val="center"/>
          </w:tcPr>
          <w:p>
            <w:pPr>
              <w:autoSpaceDE w:val="0"/>
              <w:snapToGrid w:val="0"/>
              <w:spacing w:line="360" w:lineRule="auto"/>
              <w:jc w:val="center"/>
              <w:rPr>
                <w:rFonts w:ascii="宋体" w:hAnsi="宋体" w:cs="宋体"/>
                <w:color w:val="auto"/>
                <w:highlight w:val="none"/>
              </w:rPr>
            </w:pPr>
            <w:r>
              <w:rPr>
                <w:rFonts w:hint="eastAsia" w:ascii="宋体" w:hAnsi="宋体" w:cs="宋体"/>
                <w:color w:val="auto"/>
                <w:sz w:val="24"/>
                <w:highlight w:val="none"/>
                <w:lang w:val="zh-CN"/>
              </w:rPr>
              <w:t>单</w:t>
            </w:r>
          </w:p>
          <w:p>
            <w:pPr>
              <w:autoSpaceDE w:val="0"/>
              <w:snapToGrid w:val="0"/>
              <w:spacing w:line="360" w:lineRule="auto"/>
              <w:jc w:val="center"/>
              <w:rPr>
                <w:rFonts w:ascii="宋体" w:hAnsi="宋体" w:cs="宋体"/>
                <w:color w:val="auto"/>
                <w:highlight w:val="none"/>
              </w:rPr>
            </w:pPr>
            <w:r>
              <w:rPr>
                <w:rFonts w:hint="eastAsia" w:ascii="宋体" w:hAnsi="宋体" w:cs="宋体"/>
                <w:color w:val="auto"/>
                <w:sz w:val="24"/>
                <w:highlight w:val="none"/>
                <w:lang w:val="zh-CN"/>
              </w:rPr>
              <w:t>位</w:t>
            </w:r>
          </w:p>
          <w:p>
            <w:pPr>
              <w:autoSpaceDE w:val="0"/>
              <w:snapToGrid w:val="0"/>
              <w:spacing w:line="360" w:lineRule="auto"/>
              <w:jc w:val="center"/>
              <w:rPr>
                <w:rFonts w:ascii="宋体" w:hAnsi="宋体" w:cs="宋体"/>
                <w:color w:val="auto"/>
                <w:highlight w:val="none"/>
              </w:rPr>
            </w:pPr>
            <w:r>
              <w:rPr>
                <w:rFonts w:hint="eastAsia" w:ascii="宋体" w:hAnsi="宋体" w:cs="宋体"/>
                <w:color w:val="auto"/>
                <w:sz w:val="24"/>
                <w:highlight w:val="none"/>
                <w:lang w:val="zh-CN"/>
              </w:rPr>
              <w:t>简</w:t>
            </w:r>
          </w:p>
          <w:p>
            <w:pPr>
              <w:autoSpaceDE w:val="0"/>
              <w:snapToGrid w:val="0"/>
              <w:spacing w:line="360" w:lineRule="auto"/>
              <w:jc w:val="center"/>
              <w:rPr>
                <w:rFonts w:ascii="宋体" w:hAnsi="宋体" w:cs="宋体"/>
                <w:color w:val="auto"/>
                <w:highlight w:val="none"/>
              </w:rPr>
            </w:pPr>
            <w:r>
              <w:rPr>
                <w:rFonts w:hint="eastAsia" w:ascii="宋体" w:hAnsi="宋体" w:cs="宋体"/>
                <w:color w:val="auto"/>
                <w:sz w:val="24"/>
                <w:highlight w:val="none"/>
                <w:lang w:val="zh-CN"/>
              </w:rPr>
              <w:t>历</w:t>
            </w:r>
          </w:p>
        </w:tc>
        <w:tc>
          <w:tcPr>
            <w:tcW w:w="8076" w:type="dxa"/>
            <w:gridSpan w:val="6"/>
          </w:tcPr>
          <w:p>
            <w:pPr>
              <w:autoSpaceDE w:val="0"/>
              <w:snapToGrid w:val="0"/>
              <w:spacing w:line="360" w:lineRule="auto"/>
              <w:jc w:val="center"/>
              <w:rPr>
                <w:rFonts w:ascii="宋体" w:hAnsi="宋体" w:cs="宋体"/>
                <w:color w:val="auto"/>
                <w:sz w:val="24"/>
                <w:highlight w:val="none"/>
                <w:lang w:val="zh-CN"/>
              </w:rPr>
            </w:pPr>
          </w:p>
        </w:tc>
      </w:tr>
    </w:tbl>
    <w:p>
      <w:pPr>
        <w:autoSpaceDE w:val="0"/>
        <w:snapToGrid w:val="0"/>
        <w:spacing w:line="360" w:lineRule="auto"/>
        <w:ind w:firstLine="840"/>
        <w:rPr>
          <w:rFonts w:ascii="宋体" w:hAnsi="宋体" w:cs="宋体"/>
          <w:color w:val="auto"/>
          <w:highlight w:val="none"/>
        </w:rPr>
      </w:pPr>
      <w:r>
        <w:rPr>
          <w:rFonts w:hint="eastAsia" w:ascii="宋体" w:hAnsi="宋体" w:cs="宋体"/>
          <w:color w:val="auto"/>
          <w:sz w:val="24"/>
          <w:highlight w:val="none"/>
          <w:lang w:val="zh-CN"/>
        </w:rPr>
        <w:t>附企业、人员的相关证书复印件。如有其它补充材料，格式自拟。（文本中已提供的资料无需重复提供）</w:t>
      </w:r>
    </w:p>
    <w:p>
      <w:pPr>
        <w:snapToGrid w:val="0"/>
        <w:spacing w:line="360" w:lineRule="auto"/>
        <w:ind w:firstLine="576"/>
        <w:jc w:val="center"/>
        <w:rPr>
          <w:rFonts w:ascii="宋体" w:hAnsi="宋体" w:cs="宋体"/>
          <w:color w:val="auto"/>
          <w:sz w:val="24"/>
          <w:highlight w:val="none"/>
          <w:lang w:val="zh-CN"/>
        </w:rPr>
      </w:pPr>
      <w:r>
        <w:rPr>
          <w:rFonts w:hint="eastAsia" w:ascii="宋体" w:hAnsi="宋体" w:cs="宋体"/>
          <w:color w:val="auto"/>
          <w:sz w:val="24"/>
          <w:highlight w:val="none"/>
          <w:lang w:val="zh-CN"/>
        </w:rPr>
        <w:t xml:space="preserve">                       投标</w:t>
      </w:r>
      <w:r>
        <w:rPr>
          <w:rFonts w:hint="eastAsia" w:ascii="宋体" w:hAnsi="宋体" w:cs="宋体"/>
          <w:color w:val="auto"/>
          <w:sz w:val="24"/>
          <w:highlight w:val="none"/>
        </w:rPr>
        <w:t>人</w:t>
      </w:r>
      <w:r>
        <w:rPr>
          <w:rFonts w:hint="eastAsia" w:ascii="宋体" w:hAnsi="宋体" w:cs="宋体"/>
          <w:color w:val="auto"/>
          <w:sz w:val="24"/>
          <w:highlight w:val="none"/>
          <w:lang w:val="zh-CN"/>
        </w:rPr>
        <w:t xml:space="preserve">名称(电子签名)：                </w:t>
      </w:r>
    </w:p>
    <w:p>
      <w:pPr>
        <w:snapToGrid w:val="0"/>
        <w:spacing w:line="360" w:lineRule="auto"/>
        <w:ind w:firstLine="576"/>
        <w:jc w:val="center"/>
        <w:rPr>
          <w:rFonts w:ascii="宋体" w:hAnsi="宋体" w:cs="宋体"/>
          <w:b/>
          <w:color w:val="auto"/>
          <w:sz w:val="32"/>
          <w:szCs w:val="32"/>
          <w:highlight w:val="none"/>
        </w:rPr>
      </w:pP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日期：</w:t>
      </w:r>
      <w:r>
        <w:rPr>
          <w:rFonts w:hint="eastAsia" w:ascii="宋体" w:hAnsi="宋体" w:cs="宋体"/>
          <w:color w:val="auto"/>
          <w:sz w:val="24"/>
          <w:highlight w:val="none"/>
        </w:rPr>
        <w:t xml:space="preserve">    年   月   日</w:t>
      </w:r>
    </w:p>
    <w:p>
      <w:pP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pPr>
        <w:jc w:val="left"/>
        <w:rPr>
          <w:rFonts w:ascii="宋体" w:hAnsi="宋体" w:cs="宋体"/>
          <w:b/>
          <w:color w:val="auto"/>
          <w:sz w:val="28"/>
          <w:szCs w:val="28"/>
          <w:highlight w:val="none"/>
        </w:rPr>
      </w:pPr>
      <w:r>
        <w:rPr>
          <w:rFonts w:hint="eastAsia" w:ascii="宋体" w:hAnsi="宋体" w:cs="宋体"/>
          <w:b/>
          <w:color w:val="auto"/>
          <w:sz w:val="28"/>
          <w:szCs w:val="28"/>
          <w:highlight w:val="none"/>
        </w:rPr>
        <w:t>参考格式2</w:t>
      </w:r>
    </w:p>
    <w:p>
      <w:pPr>
        <w:autoSpaceDE w:val="0"/>
        <w:spacing w:line="360" w:lineRule="auto"/>
        <w:ind w:firstLine="120"/>
        <w:jc w:val="center"/>
        <w:rPr>
          <w:rFonts w:ascii="宋体" w:hAnsi="宋体" w:cs="宋体"/>
          <w:color w:val="auto"/>
          <w:highlight w:val="none"/>
        </w:rPr>
      </w:pPr>
      <w:r>
        <w:rPr>
          <w:rFonts w:hint="eastAsia" w:ascii="宋体" w:hAnsi="宋体" w:cs="宋体"/>
          <w:b/>
          <w:color w:val="auto"/>
          <w:sz w:val="30"/>
          <w:szCs w:val="30"/>
          <w:highlight w:val="none"/>
        </w:rPr>
        <w:t>20  年  月  日以</w:t>
      </w:r>
      <w:r>
        <w:rPr>
          <w:rFonts w:hint="eastAsia" w:ascii="宋体" w:hAnsi="宋体" w:cs="宋体"/>
          <w:b/>
          <w:color w:val="auto"/>
          <w:sz w:val="30"/>
          <w:szCs w:val="30"/>
          <w:highlight w:val="none"/>
          <w:lang w:val="zh-CN"/>
        </w:rPr>
        <w:t>来主要业绩证明</w:t>
      </w:r>
    </w:p>
    <w:p>
      <w:pPr>
        <w:autoSpaceDE w:val="0"/>
        <w:spacing w:line="360" w:lineRule="auto"/>
        <w:ind w:firstLine="120"/>
        <w:rPr>
          <w:rFonts w:ascii="宋体" w:hAnsi="宋体" w:cs="宋体"/>
          <w:color w:val="auto"/>
          <w:sz w:val="24"/>
          <w:highlight w:val="none"/>
        </w:rPr>
      </w:pPr>
      <w:r>
        <w:rPr>
          <w:rFonts w:hint="eastAsia" w:ascii="宋体" w:hAnsi="宋体" w:cs="宋体"/>
          <w:color w:val="auto"/>
          <w:sz w:val="24"/>
          <w:highlight w:val="none"/>
        </w:rPr>
        <w:t>附表：相关项目业绩一览表</w:t>
      </w:r>
    </w:p>
    <w:tbl>
      <w:tblPr>
        <w:tblStyle w:val="62"/>
        <w:tblW w:w="4997" w:type="pct"/>
        <w:tblInd w:w="0" w:type="dxa"/>
        <w:tblLayout w:type="autofit"/>
        <w:tblCellMar>
          <w:top w:w="0" w:type="dxa"/>
          <w:left w:w="108" w:type="dxa"/>
          <w:bottom w:w="0" w:type="dxa"/>
          <w:right w:w="108" w:type="dxa"/>
        </w:tblCellMar>
      </w:tblPr>
      <w:tblGrid>
        <w:gridCol w:w="1187"/>
        <w:gridCol w:w="1224"/>
        <w:gridCol w:w="1274"/>
        <w:gridCol w:w="1250"/>
        <w:gridCol w:w="1029"/>
        <w:gridCol w:w="2582"/>
        <w:gridCol w:w="734"/>
      </w:tblGrid>
      <w:tr>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宋体" w:hAnsi="宋体" w:cs="宋体"/>
                <w:color w:val="auto"/>
                <w:highlight w:val="none"/>
              </w:rPr>
            </w:pPr>
            <w:r>
              <w:rPr>
                <w:rFonts w:hint="eastAsia" w:ascii="宋体" w:hAnsi="宋体" w:cs="宋体"/>
                <w:color w:val="auto"/>
                <w:sz w:val="24"/>
                <w:highlight w:val="none"/>
              </w:rPr>
              <w:t>项目名称</w:t>
            </w:r>
          </w:p>
        </w:tc>
        <w:tc>
          <w:tcPr>
            <w:tcW w:w="659"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宋体" w:hAnsi="宋体" w:cs="宋体"/>
                <w:color w:val="auto"/>
                <w:highlight w:val="none"/>
              </w:rPr>
            </w:pPr>
            <w:r>
              <w:rPr>
                <w:rFonts w:hint="eastAsia" w:ascii="宋体" w:hAnsi="宋体" w:cs="宋体"/>
                <w:color w:val="auto"/>
                <w:sz w:val="24"/>
                <w:highlight w:val="none"/>
              </w:rPr>
              <w:t>项目类型</w:t>
            </w:r>
          </w:p>
        </w:tc>
        <w:tc>
          <w:tcPr>
            <w:tcW w:w="686"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宋体" w:hAnsi="宋体" w:cs="宋体"/>
                <w:color w:val="auto"/>
                <w:highlight w:val="none"/>
              </w:rPr>
            </w:pPr>
            <w:r>
              <w:rPr>
                <w:rFonts w:hint="eastAsia" w:ascii="宋体" w:hAnsi="宋体" w:cs="宋体"/>
                <w:color w:val="auto"/>
                <w:sz w:val="24"/>
                <w:highlight w:val="none"/>
              </w:rPr>
              <w:t>简要描述</w:t>
            </w:r>
          </w:p>
        </w:tc>
        <w:tc>
          <w:tcPr>
            <w:tcW w:w="673"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宋体" w:hAnsi="宋体" w:cs="宋体"/>
                <w:color w:val="auto"/>
                <w:highlight w:val="none"/>
              </w:rPr>
            </w:pPr>
            <w:r>
              <w:rPr>
                <w:rFonts w:hint="eastAsia" w:ascii="宋体" w:hAnsi="宋体" w:cs="宋体"/>
                <w:color w:val="auto"/>
                <w:sz w:val="24"/>
                <w:highlight w:val="none"/>
              </w:rPr>
              <w:t>项目投资（万元）</w:t>
            </w:r>
          </w:p>
        </w:tc>
        <w:tc>
          <w:tcPr>
            <w:tcW w:w="554"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宋体" w:hAnsi="宋体" w:cs="宋体"/>
                <w:color w:val="auto"/>
                <w:highlight w:val="none"/>
              </w:rPr>
            </w:pPr>
            <w:r>
              <w:rPr>
                <w:rFonts w:hint="eastAsia" w:ascii="宋体" w:hAnsi="宋体" w:cs="宋体"/>
                <w:color w:val="auto"/>
                <w:sz w:val="24"/>
                <w:highlight w:val="none"/>
              </w:rPr>
              <w:t>合同签订日期</w:t>
            </w:r>
          </w:p>
        </w:tc>
        <w:tc>
          <w:tcPr>
            <w:tcW w:w="1390"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宋体" w:hAnsi="宋体" w:cs="宋体"/>
                <w:color w:val="auto"/>
                <w:highlight w:val="none"/>
              </w:rPr>
            </w:pPr>
            <w:r>
              <w:rPr>
                <w:rFonts w:hint="eastAsia" w:ascii="宋体" w:hAnsi="宋体" w:cs="宋体"/>
                <w:color w:val="auto"/>
                <w:sz w:val="24"/>
                <w:highlight w:val="none"/>
              </w:rPr>
              <w:t>项目地址与采购单位联系电话</w:t>
            </w:r>
          </w:p>
        </w:tc>
        <w:tc>
          <w:tcPr>
            <w:tcW w:w="395"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宋体" w:hAnsi="宋体" w:cs="宋体"/>
                <w:color w:val="auto"/>
                <w:highlight w:val="none"/>
              </w:rPr>
            </w:pPr>
            <w:r>
              <w:rPr>
                <w:rFonts w:hint="eastAsia" w:ascii="宋体" w:hAnsi="宋体" w:cs="宋体"/>
                <w:color w:val="auto"/>
                <w:sz w:val="24"/>
                <w:highlight w:val="none"/>
              </w:rPr>
              <w:t>所在页码</w:t>
            </w:r>
          </w:p>
        </w:tc>
      </w:tr>
      <w:tr>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65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686"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67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554"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1390"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r>
      <w:tr>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65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686"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67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554"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1390"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r>
      <w:tr>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65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686"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67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554"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1390"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r>
    </w:tbl>
    <w:p>
      <w:pPr>
        <w:autoSpaceDE w:val="0"/>
        <w:spacing w:line="360" w:lineRule="auto"/>
        <w:rPr>
          <w:rFonts w:ascii="宋体" w:hAnsi="宋体" w:cs="宋体"/>
          <w:color w:val="auto"/>
          <w:highlight w:val="none"/>
        </w:rPr>
      </w:pPr>
      <w:r>
        <w:rPr>
          <w:rFonts w:hint="eastAsia" w:ascii="宋体" w:hAnsi="宋体" w:cs="宋体"/>
          <w:b/>
          <w:color w:val="auto"/>
          <w:sz w:val="24"/>
          <w:highlight w:val="none"/>
        </w:rPr>
        <w:t xml:space="preserve">  注：投标供应商可按上述的格式自行编制，须随表提交相应的业绩证明材料（详见评分要求）并注明所在投标商务文件页码。</w:t>
      </w:r>
    </w:p>
    <w:p>
      <w:pPr>
        <w:snapToGrid w:val="0"/>
        <w:spacing w:line="360" w:lineRule="auto"/>
        <w:ind w:firstLine="576"/>
        <w:jc w:val="center"/>
        <w:rPr>
          <w:rFonts w:ascii="宋体" w:hAnsi="宋体" w:cs="宋体"/>
          <w:color w:val="auto"/>
          <w:sz w:val="24"/>
          <w:highlight w:val="none"/>
          <w:lang w:val="zh-CN"/>
        </w:rPr>
      </w:pPr>
      <w:r>
        <w:rPr>
          <w:rFonts w:hint="eastAsia" w:ascii="宋体" w:hAnsi="宋体" w:cs="宋体"/>
          <w:color w:val="auto"/>
          <w:sz w:val="24"/>
          <w:highlight w:val="none"/>
          <w:lang w:val="zh-CN"/>
        </w:rPr>
        <w:t xml:space="preserve">                       投标</w:t>
      </w:r>
      <w:r>
        <w:rPr>
          <w:rFonts w:hint="eastAsia" w:ascii="宋体" w:hAnsi="宋体" w:cs="宋体"/>
          <w:color w:val="auto"/>
          <w:sz w:val="24"/>
          <w:highlight w:val="none"/>
        </w:rPr>
        <w:t>人</w:t>
      </w:r>
      <w:r>
        <w:rPr>
          <w:rFonts w:hint="eastAsia" w:ascii="宋体" w:hAnsi="宋体" w:cs="宋体"/>
          <w:color w:val="auto"/>
          <w:sz w:val="24"/>
          <w:highlight w:val="none"/>
          <w:lang w:val="zh-CN"/>
        </w:rPr>
        <w:t xml:space="preserve">名称(电子签名)：                </w:t>
      </w:r>
    </w:p>
    <w:p>
      <w:pPr>
        <w:snapToGrid w:val="0"/>
        <w:spacing w:line="360" w:lineRule="auto"/>
        <w:ind w:firstLine="576"/>
        <w:jc w:val="center"/>
        <w:rPr>
          <w:rFonts w:ascii="宋体" w:hAnsi="宋体" w:cs="宋体"/>
          <w:color w:val="auto"/>
          <w:highlight w:val="none"/>
        </w:rPr>
      </w:pP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 xml:space="preserve"> 日期：</w:t>
      </w:r>
      <w:r>
        <w:rPr>
          <w:rFonts w:hint="eastAsia" w:ascii="宋体" w:hAnsi="宋体" w:cs="宋体"/>
          <w:color w:val="auto"/>
          <w:sz w:val="24"/>
          <w:highlight w:val="none"/>
        </w:rPr>
        <w:t xml:space="preserve">    年   月   日</w:t>
      </w:r>
    </w:p>
    <w:p>
      <w:pPr>
        <w:rPr>
          <w:rFonts w:ascii="宋体" w:hAnsi="宋体" w:cs="宋体"/>
          <w:b/>
          <w:color w:val="auto"/>
          <w:kern w:val="0"/>
          <w:sz w:val="28"/>
          <w:highlight w:val="none"/>
        </w:rPr>
      </w:pPr>
    </w:p>
    <w:p>
      <w:pPr>
        <w:rPr>
          <w:rFonts w:ascii="宋体" w:hAnsi="宋体" w:cs="宋体"/>
          <w:b/>
          <w:color w:val="auto"/>
          <w:kern w:val="0"/>
          <w:sz w:val="28"/>
          <w:highlight w:val="none"/>
        </w:rPr>
      </w:pPr>
    </w:p>
    <w:p>
      <w:pPr>
        <w:rPr>
          <w:rFonts w:ascii="宋体" w:hAnsi="宋体" w:cs="宋体"/>
          <w:b/>
          <w:color w:val="auto"/>
          <w:kern w:val="0"/>
          <w:sz w:val="28"/>
          <w:highlight w:val="none"/>
        </w:rPr>
      </w:pPr>
    </w:p>
    <w:p>
      <w:pPr>
        <w:rPr>
          <w:rFonts w:ascii="宋体" w:hAnsi="宋体" w:cs="宋体"/>
          <w:b/>
          <w:color w:val="auto"/>
          <w:kern w:val="0"/>
          <w:sz w:val="28"/>
          <w:highlight w:val="none"/>
        </w:rPr>
      </w:pPr>
      <w:r>
        <w:rPr>
          <w:rFonts w:hint="eastAsia" w:ascii="宋体" w:hAnsi="宋体" w:cs="宋体"/>
          <w:b/>
          <w:color w:val="auto"/>
          <w:kern w:val="0"/>
          <w:sz w:val="28"/>
          <w:highlight w:val="none"/>
        </w:rPr>
        <w:t>参考格式3</w:t>
      </w:r>
    </w:p>
    <w:p>
      <w:pPr>
        <w:jc w:val="center"/>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拟投入项目成员情况表</w:t>
      </w:r>
    </w:p>
    <w:tbl>
      <w:tblPr>
        <w:tblStyle w:val="62"/>
        <w:tblW w:w="4997" w:type="pct"/>
        <w:jc w:val="center"/>
        <w:tblLayout w:type="autofit"/>
        <w:tblCellMar>
          <w:top w:w="0" w:type="dxa"/>
          <w:left w:w="108" w:type="dxa"/>
          <w:bottom w:w="0" w:type="dxa"/>
          <w:right w:w="108" w:type="dxa"/>
        </w:tblCellMar>
      </w:tblPr>
      <w:tblGrid>
        <w:gridCol w:w="974"/>
        <w:gridCol w:w="687"/>
        <w:gridCol w:w="804"/>
        <w:gridCol w:w="728"/>
        <w:gridCol w:w="1321"/>
        <w:gridCol w:w="900"/>
        <w:gridCol w:w="1240"/>
        <w:gridCol w:w="1151"/>
        <w:gridCol w:w="733"/>
        <w:gridCol w:w="742"/>
      </w:tblGrid>
      <w:tr>
        <w:tblPrEx>
          <w:tblCellMar>
            <w:top w:w="0" w:type="dxa"/>
            <w:left w:w="108" w:type="dxa"/>
            <w:bottom w:w="0" w:type="dxa"/>
            <w:right w:w="108" w:type="dxa"/>
          </w:tblCellMar>
        </w:tblPrEx>
        <w:trPr>
          <w:trHeight w:val="23" w:hRule="atLeast"/>
          <w:jc w:val="center"/>
        </w:trPr>
        <w:tc>
          <w:tcPr>
            <w:tcW w:w="52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宋体" w:hAnsi="宋体" w:cs="宋体"/>
                <w:color w:val="auto"/>
                <w:sz w:val="24"/>
                <w:highlight w:val="none"/>
              </w:rPr>
            </w:pPr>
            <w:r>
              <w:rPr>
                <w:rFonts w:hint="eastAsia" w:ascii="宋体" w:hAnsi="宋体" w:cs="宋体"/>
                <w:color w:val="auto"/>
                <w:sz w:val="24"/>
                <w:highlight w:val="none"/>
              </w:rPr>
              <w:t>团队</w:t>
            </w:r>
          </w:p>
          <w:p>
            <w:pPr>
              <w:autoSpaceDE w:val="0"/>
              <w:snapToGrid w:val="0"/>
              <w:jc w:val="center"/>
              <w:rPr>
                <w:rFonts w:ascii="宋体" w:hAnsi="宋体" w:cs="宋体"/>
                <w:color w:val="auto"/>
                <w:sz w:val="24"/>
                <w:highlight w:val="none"/>
              </w:rPr>
            </w:pPr>
            <w:r>
              <w:rPr>
                <w:rFonts w:hint="eastAsia" w:ascii="宋体" w:hAnsi="宋体" w:cs="宋体"/>
                <w:color w:val="auto"/>
                <w:sz w:val="24"/>
                <w:highlight w:val="none"/>
              </w:rPr>
              <w:t>职务</w:t>
            </w:r>
          </w:p>
        </w:tc>
        <w:tc>
          <w:tcPr>
            <w:tcW w:w="37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宋体" w:hAnsi="宋体" w:cs="宋体"/>
                <w:color w:val="auto"/>
                <w:sz w:val="24"/>
                <w:highlight w:val="none"/>
              </w:rPr>
            </w:pPr>
            <w:r>
              <w:rPr>
                <w:rFonts w:hint="eastAsia" w:ascii="宋体" w:hAnsi="宋体" w:cs="宋体"/>
                <w:color w:val="auto"/>
                <w:sz w:val="24"/>
                <w:highlight w:val="none"/>
              </w:rPr>
              <w:t>姓名</w:t>
            </w:r>
          </w:p>
        </w:tc>
        <w:tc>
          <w:tcPr>
            <w:tcW w:w="4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宋体" w:hAnsi="宋体" w:cs="宋体"/>
                <w:color w:val="auto"/>
                <w:sz w:val="24"/>
                <w:highlight w:val="none"/>
              </w:rPr>
            </w:pPr>
            <w:r>
              <w:rPr>
                <w:rFonts w:hint="eastAsia" w:ascii="宋体" w:hAnsi="宋体" w:cs="宋体"/>
                <w:color w:val="auto"/>
                <w:sz w:val="24"/>
                <w:highlight w:val="none"/>
              </w:rPr>
              <w:t>性别</w:t>
            </w: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宋体" w:hAnsi="宋体" w:cs="宋体"/>
                <w:color w:val="auto"/>
                <w:sz w:val="24"/>
                <w:highlight w:val="none"/>
              </w:rPr>
            </w:pPr>
            <w:r>
              <w:rPr>
                <w:rFonts w:hint="eastAsia" w:ascii="宋体" w:hAnsi="宋体" w:cs="宋体"/>
                <w:color w:val="auto"/>
                <w:sz w:val="24"/>
                <w:highlight w:val="none"/>
              </w:rPr>
              <w:t>年龄</w:t>
            </w:r>
          </w:p>
        </w:tc>
        <w:tc>
          <w:tcPr>
            <w:tcW w:w="7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宋体" w:hAnsi="宋体" w:cs="宋体"/>
                <w:color w:val="auto"/>
                <w:sz w:val="24"/>
                <w:highlight w:val="none"/>
              </w:rPr>
            </w:pPr>
            <w:r>
              <w:rPr>
                <w:rFonts w:hint="eastAsia" w:ascii="宋体" w:hAnsi="宋体" w:cs="宋体"/>
                <w:color w:val="auto"/>
                <w:sz w:val="24"/>
                <w:highlight w:val="none"/>
              </w:rPr>
              <w:t>身份证号码</w:t>
            </w: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宋体" w:hAnsi="宋体" w:cs="宋体"/>
                <w:color w:val="auto"/>
                <w:sz w:val="24"/>
                <w:highlight w:val="none"/>
              </w:rPr>
            </w:pPr>
            <w:r>
              <w:rPr>
                <w:rFonts w:hint="eastAsia" w:ascii="宋体" w:hAnsi="宋体" w:cs="宋体"/>
                <w:color w:val="auto"/>
                <w:sz w:val="24"/>
                <w:highlight w:val="none"/>
              </w:rPr>
              <w:t>学历/专业</w:t>
            </w:r>
          </w:p>
        </w:tc>
        <w:tc>
          <w:tcPr>
            <w:tcW w:w="66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宋体" w:hAnsi="宋体" w:cs="宋体"/>
                <w:color w:val="auto"/>
                <w:sz w:val="24"/>
                <w:highlight w:val="none"/>
              </w:rPr>
            </w:pPr>
            <w:r>
              <w:rPr>
                <w:rFonts w:hint="eastAsia" w:ascii="宋体" w:hAnsi="宋体" w:cs="宋体"/>
                <w:color w:val="auto"/>
                <w:sz w:val="24"/>
                <w:highlight w:val="none"/>
              </w:rPr>
              <w:t>职称/执业资格</w:t>
            </w: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宋体" w:hAnsi="宋体" w:cs="宋体"/>
                <w:color w:val="auto"/>
                <w:sz w:val="24"/>
                <w:highlight w:val="none"/>
              </w:rPr>
            </w:pPr>
            <w:r>
              <w:rPr>
                <w:rFonts w:hint="eastAsia" w:ascii="宋体" w:hAnsi="宋体" w:cs="宋体"/>
                <w:color w:val="auto"/>
                <w:sz w:val="24"/>
                <w:highlight w:val="none"/>
              </w:rPr>
              <w:t>证书号码</w:t>
            </w: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宋体" w:hAnsi="宋体" w:cs="宋体"/>
                <w:color w:val="auto"/>
                <w:sz w:val="24"/>
                <w:highlight w:val="none"/>
              </w:rPr>
            </w:pPr>
            <w:r>
              <w:rPr>
                <w:rFonts w:hint="eastAsia" w:ascii="宋体" w:hAnsi="宋体" w:cs="宋体"/>
                <w:color w:val="auto"/>
                <w:sz w:val="24"/>
                <w:highlight w:val="none"/>
              </w:rPr>
              <w:t>对应页码</w:t>
            </w: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宋体" w:hAnsi="宋体" w:cs="宋体"/>
                <w:color w:val="auto"/>
                <w:sz w:val="24"/>
                <w:highlight w:val="none"/>
              </w:rPr>
            </w:pPr>
            <w:r>
              <w:rPr>
                <w:rFonts w:hint="eastAsia" w:ascii="宋体" w:hAnsi="宋体" w:cs="宋体"/>
                <w:color w:val="auto"/>
                <w:sz w:val="24"/>
                <w:highlight w:val="none"/>
              </w:rPr>
              <w:t>……</w:t>
            </w:r>
          </w:p>
          <w:p>
            <w:pPr>
              <w:autoSpaceDE w:val="0"/>
              <w:snapToGrid w:val="0"/>
              <w:jc w:val="center"/>
              <w:rPr>
                <w:rFonts w:ascii="宋体" w:hAnsi="宋体" w:cs="宋体"/>
                <w:color w:val="auto"/>
                <w:sz w:val="24"/>
                <w:highlight w:val="none"/>
              </w:rPr>
            </w:pPr>
            <w:r>
              <w:rPr>
                <w:rFonts w:hint="eastAsia" w:ascii="宋体" w:hAnsi="宋体" w:cs="宋体"/>
                <w:color w:val="auto"/>
                <w:sz w:val="24"/>
                <w:highlight w:val="none"/>
              </w:rPr>
              <w:t>自行补充</w:t>
            </w:r>
          </w:p>
        </w:tc>
      </w:tr>
      <w:tr>
        <w:tblPrEx>
          <w:tblCellMar>
            <w:top w:w="0" w:type="dxa"/>
            <w:left w:w="108" w:type="dxa"/>
            <w:bottom w:w="0" w:type="dxa"/>
            <w:right w:w="108" w:type="dxa"/>
          </w:tblCellMar>
        </w:tblPrEx>
        <w:trPr>
          <w:trHeight w:val="23" w:hRule="atLeast"/>
          <w:jc w:val="center"/>
        </w:trPr>
        <w:tc>
          <w:tcPr>
            <w:tcW w:w="52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left"/>
              <w:rPr>
                <w:rFonts w:ascii="宋体" w:hAnsi="宋体" w:cs="宋体"/>
                <w:color w:val="auto"/>
                <w:sz w:val="24"/>
                <w:highlight w:val="none"/>
              </w:rPr>
            </w:pPr>
            <w:r>
              <w:rPr>
                <w:rFonts w:hint="eastAsia" w:ascii="宋体" w:hAnsi="宋体" w:cs="宋体"/>
                <w:color w:val="auto"/>
                <w:sz w:val="24"/>
                <w:highlight w:val="none"/>
              </w:rPr>
              <w:t>项目负责人</w:t>
            </w:r>
          </w:p>
        </w:tc>
        <w:tc>
          <w:tcPr>
            <w:tcW w:w="37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4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7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66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r>
      <w:tr>
        <w:tblPrEx>
          <w:tblCellMar>
            <w:top w:w="0" w:type="dxa"/>
            <w:left w:w="108" w:type="dxa"/>
            <w:bottom w:w="0" w:type="dxa"/>
            <w:right w:w="108" w:type="dxa"/>
          </w:tblCellMar>
        </w:tblPrEx>
        <w:trPr>
          <w:trHeight w:val="23" w:hRule="atLeast"/>
          <w:jc w:val="center"/>
        </w:trPr>
        <w:tc>
          <w:tcPr>
            <w:tcW w:w="52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37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4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7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66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r>
      <w:tr>
        <w:tblPrEx>
          <w:tblCellMar>
            <w:top w:w="0" w:type="dxa"/>
            <w:left w:w="108" w:type="dxa"/>
            <w:bottom w:w="0" w:type="dxa"/>
            <w:right w:w="108" w:type="dxa"/>
          </w:tblCellMar>
        </w:tblPrEx>
        <w:trPr>
          <w:trHeight w:val="23" w:hRule="atLeast"/>
          <w:jc w:val="center"/>
        </w:trPr>
        <w:tc>
          <w:tcPr>
            <w:tcW w:w="52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37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4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7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66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r>
      <w:tr>
        <w:tblPrEx>
          <w:tblCellMar>
            <w:top w:w="0" w:type="dxa"/>
            <w:left w:w="108" w:type="dxa"/>
            <w:bottom w:w="0" w:type="dxa"/>
            <w:right w:w="108" w:type="dxa"/>
          </w:tblCellMar>
        </w:tblPrEx>
        <w:trPr>
          <w:trHeight w:val="23" w:hRule="atLeast"/>
          <w:jc w:val="center"/>
        </w:trPr>
        <w:tc>
          <w:tcPr>
            <w:tcW w:w="52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37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4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7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66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r>
      <w:tr>
        <w:tblPrEx>
          <w:tblCellMar>
            <w:top w:w="0" w:type="dxa"/>
            <w:left w:w="108" w:type="dxa"/>
            <w:bottom w:w="0" w:type="dxa"/>
            <w:right w:w="108" w:type="dxa"/>
          </w:tblCellMar>
        </w:tblPrEx>
        <w:trPr>
          <w:trHeight w:val="23" w:hRule="atLeast"/>
          <w:jc w:val="center"/>
        </w:trPr>
        <w:tc>
          <w:tcPr>
            <w:tcW w:w="52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37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4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7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66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r>
      <w:tr>
        <w:tblPrEx>
          <w:tblCellMar>
            <w:top w:w="0" w:type="dxa"/>
            <w:left w:w="108" w:type="dxa"/>
            <w:bottom w:w="0" w:type="dxa"/>
            <w:right w:w="108" w:type="dxa"/>
          </w:tblCellMar>
        </w:tblPrEx>
        <w:trPr>
          <w:trHeight w:val="23" w:hRule="atLeast"/>
          <w:jc w:val="center"/>
        </w:trPr>
        <w:tc>
          <w:tcPr>
            <w:tcW w:w="52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37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4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7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66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s="宋体"/>
                <w:color w:val="auto"/>
                <w:sz w:val="24"/>
                <w:highlight w:val="none"/>
              </w:rPr>
            </w:pPr>
          </w:p>
        </w:tc>
      </w:tr>
    </w:tbl>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注：本项目拟投入人员近3个月交纳社保记录情况表（以社保缴纳凭证作为附件）</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投标</w:t>
      </w:r>
      <w:r>
        <w:rPr>
          <w:rFonts w:hint="eastAsia" w:ascii="宋体" w:hAnsi="宋体" w:cs="宋体"/>
          <w:color w:val="auto"/>
          <w:sz w:val="24"/>
          <w:highlight w:val="none"/>
        </w:rPr>
        <w:t>人</w:t>
      </w:r>
      <w:r>
        <w:rPr>
          <w:rFonts w:hint="eastAsia" w:ascii="宋体" w:hAnsi="宋体" w:cs="宋体"/>
          <w:color w:val="auto"/>
          <w:sz w:val="24"/>
          <w:highlight w:val="none"/>
          <w:lang w:val="zh-CN"/>
        </w:rPr>
        <w:t>名称(电子签名)：</w:t>
      </w:r>
    </w:p>
    <w:p>
      <w:pPr>
        <w:spacing w:line="360" w:lineRule="auto"/>
        <w:jc w:val="center"/>
        <w:rPr>
          <w:rFonts w:ascii="宋体" w:hAnsi="宋体" w:cs="宋体"/>
          <w:b/>
          <w:color w:val="auto"/>
          <w:kern w:val="0"/>
          <w:sz w:val="32"/>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日期：</w:t>
      </w:r>
      <w:r>
        <w:rPr>
          <w:rFonts w:hint="eastAsia" w:ascii="宋体" w:hAnsi="宋体" w:cs="宋体"/>
          <w:color w:val="auto"/>
          <w:sz w:val="24"/>
          <w:highlight w:val="none"/>
        </w:rPr>
        <w:t xml:space="preserve">    年   月   日</w:t>
      </w:r>
    </w:p>
    <w:p>
      <w:pPr>
        <w:rPr>
          <w:rFonts w:ascii="宋体" w:hAnsi="宋体" w:cs="宋体"/>
          <w:b/>
          <w:color w:val="auto"/>
          <w:kern w:val="0"/>
          <w:sz w:val="28"/>
          <w:highlight w:val="none"/>
        </w:rPr>
      </w:pPr>
      <w:r>
        <w:rPr>
          <w:rFonts w:hint="eastAsia" w:ascii="宋体" w:hAnsi="宋体" w:cs="宋体"/>
          <w:b/>
          <w:color w:val="auto"/>
          <w:kern w:val="0"/>
          <w:sz w:val="28"/>
          <w:highlight w:val="none"/>
        </w:rPr>
        <w:br w:type="page"/>
      </w:r>
    </w:p>
    <w:p>
      <w:pPr>
        <w:rPr>
          <w:rFonts w:ascii="宋体" w:hAnsi="宋体" w:cs="宋体"/>
          <w:b/>
          <w:color w:val="auto"/>
          <w:kern w:val="0"/>
          <w:sz w:val="28"/>
          <w:highlight w:val="none"/>
        </w:rPr>
      </w:pPr>
      <w:r>
        <w:rPr>
          <w:rFonts w:hint="eastAsia" w:ascii="宋体" w:hAnsi="宋体" w:cs="宋体"/>
          <w:b/>
          <w:color w:val="auto"/>
          <w:kern w:val="0"/>
          <w:sz w:val="28"/>
          <w:highlight w:val="none"/>
        </w:rPr>
        <w:t>参考格式4</w:t>
      </w:r>
    </w:p>
    <w:p>
      <w:pPr>
        <w:widowControl/>
        <w:jc w:val="center"/>
        <w:rPr>
          <w:rFonts w:ascii="宋体" w:hAnsi="宋体" w:cs="宋体"/>
          <w:b/>
          <w:color w:val="auto"/>
          <w:kern w:val="0"/>
          <w:sz w:val="30"/>
          <w:highlight w:val="none"/>
        </w:rPr>
      </w:pPr>
      <w:r>
        <w:rPr>
          <w:rFonts w:hint="eastAsia" w:ascii="宋体" w:hAnsi="宋体" w:cs="宋体"/>
          <w:b/>
          <w:color w:val="auto"/>
          <w:kern w:val="0"/>
          <w:sz w:val="30"/>
          <w:highlight w:val="none"/>
        </w:rPr>
        <w:t>拟投入本项目的团队成员情况表</w:t>
      </w:r>
    </w:p>
    <w:tbl>
      <w:tblPr>
        <w:tblStyle w:val="6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47"/>
        <w:gridCol w:w="300"/>
        <w:gridCol w:w="1118"/>
        <w:gridCol w:w="762"/>
        <w:gridCol w:w="688"/>
        <w:gridCol w:w="1127"/>
        <w:gridCol w:w="321"/>
        <w:gridCol w:w="1468"/>
        <w:gridCol w:w="1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797"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r>
              <w:rPr>
                <w:rFonts w:hint="eastAsia" w:ascii="宋体" w:hAnsi="宋体" w:cs="宋体"/>
                <w:color w:val="auto"/>
                <w:sz w:val="24"/>
                <w:highlight w:val="none"/>
              </w:rPr>
              <w:t>姓</w:t>
            </w:r>
            <w:r>
              <w:rPr>
                <w:rFonts w:hint="eastAsia" w:ascii="宋体" w:hAnsi="宋体" w:cs="宋体"/>
                <w:color w:val="auto"/>
                <w:sz w:val="24"/>
                <w:highlight w:val="none"/>
              </w:rPr>
              <w:tab/>
            </w:r>
            <w:r>
              <w:rPr>
                <w:rFonts w:hint="eastAsia" w:ascii="宋体" w:hAnsi="宋体" w:cs="宋体"/>
                <w:color w:val="auto"/>
                <w:sz w:val="24"/>
                <w:highlight w:val="none"/>
              </w:rPr>
              <w:t>名</w:t>
            </w:r>
          </w:p>
        </w:tc>
        <w:tc>
          <w:tcPr>
            <w:tcW w:w="781"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c>
          <w:tcPr>
            <w:tcW w:w="798"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r>
              <w:rPr>
                <w:rFonts w:hint="eastAsia" w:ascii="宋体" w:hAnsi="宋体" w:cs="宋体"/>
                <w:color w:val="auto"/>
                <w:sz w:val="24"/>
                <w:highlight w:val="none"/>
              </w:rPr>
              <w:t>性</w:t>
            </w:r>
            <w:r>
              <w:rPr>
                <w:rFonts w:hint="eastAsia" w:ascii="宋体" w:hAnsi="宋体" w:cs="宋体"/>
                <w:color w:val="auto"/>
                <w:sz w:val="24"/>
                <w:highlight w:val="none"/>
              </w:rPr>
              <w:tab/>
            </w:r>
            <w:r>
              <w:rPr>
                <w:rFonts w:hint="eastAsia" w:ascii="宋体" w:hAnsi="宋体" w:cs="宋体"/>
                <w:color w:val="auto"/>
                <w:sz w:val="24"/>
                <w:highlight w:val="none"/>
              </w:rPr>
              <w:t>别</w:t>
            </w:r>
          </w:p>
        </w:tc>
        <w:tc>
          <w:tcPr>
            <w:tcW w:w="797"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c>
          <w:tcPr>
            <w:tcW w:w="808"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r>
              <w:rPr>
                <w:rFonts w:hint="eastAsia" w:ascii="宋体" w:hAnsi="宋体" w:cs="宋体"/>
                <w:color w:val="auto"/>
                <w:sz w:val="24"/>
                <w:highlight w:val="none"/>
              </w:rPr>
              <w:t>年</w:t>
            </w:r>
            <w:r>
              <w:rPr>
                <w:rFonts w:hint="eastAsia" w:ascii="宋体" w:hAnsi="宋体" w:cs="宋体"/>
                <w:color w:val="auto"/>
                <w:sz w:val="24"/>
                <w:highlight w:val="none"/>
              </w:rPr>
              <w:tab/>
            </w:r>
            <w:r>
              <w:rPr>
                <w:rFonts w:hint="eastAsia" w:ascii="宋体" w:hAnsi="宋体" w:cs="宋体"/>
                <w:color w:val="auto"/>
                <w:sz w:val="24"/>
                <w:highlight w:val="none"/>
              </w:rPr>
              <w:t>龄</w:t>
            </w: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797"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r>
              <w:rPr>
                <w:rFonts w:hint="eastAsia" w:ascii="宋体" w:hAnsi="宋体" w:cs="宋体"/>
                <w:color w:val="auto"/>
                <w:sz w:val="24"/>
                <w:highlight w:val="none"/>
              </w:rPr>
              <w:t>身份证号码</w:t>
            </w:r>
          </w:p>
        </w:tc>
        <w:tc>
          <w:tcPr>
            <w:tcW w:w="2378" w:type="pct"/>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c>
          <w:tcPr>
            <w:tcW w:w="808"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r>
              <w:rPr>
                <w:rFonts w:hint="eastAsia" w:ascii="宋体" w:hAnsi="宋体" w:cs="宋体"/>
                <w:color w:val="auto"/>
                <w:sz w:val="24"/>
                <w:highlight w:val="none"/>
              </w:rPr>
              <w:t>学</w:t>
            </w:r>
            <w:r>
              <w:rPr>
                <w:rFonts w:hint="eastAsia" w:ascii="宋体" w:hAnsi="宋体" w:cs="宋体"/>
                <w:color w:val="auto"/>
                <w:sz w:val="24"/>
                <w:highlight w:val="none"/>
              </w:rPr>
              <w:tab/>
            </w:r>
            <w:r>
              <w:rPr>
                <w:rFonts w:hint="eastAsia" w:ascii="宋体" w:hAnsi="宋体" w:cs="宋体"/>
                <w:color w:val="auto"/>
                <w:sz w:val="24"/>
                <w:highlight w:val="none"/>
              </w:rPr>
              <w:t>历</w:t>
            </w: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797"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r>
              <w:rPr>
                <w:rFonts w:hint="eastAsia" w:ascii="宋体" w:hAnsi="宋体" w:cs="宋体"/>
                <w:color w:val="auto"/>
                <w:sz w:val="24"/>
                <w:highlight w:val="none"/>
              </w:rPr>
              <w:t>拟任职务</w:t>
            </w:r>
          </w:p>
        </w:tc>
        <w:tc>
          <w:tcPr>
            <w:tcW w:w="781"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c>
          <w:tcPr>
            <w:tcW w:w="798"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r>
              <w:rPr>
                <w:rFonts w:hint="eastAsia" w:ascii="宋体" w:hAnsi="宋体" w:cs="宋体"/>
                <w:color w:val="auto"/>
                <w:sz w:val="24"/>
                <w:highlight w:val="none"/>
              </w:rPr>
              <w:t>职</w:t>
            </w:r>
            <w:r>
              <w:rPr>
                <w:rFonts w:hint="eastAsia" w:ascii="宋体" w:hAnsi="宋体" w:cs="宋体"/>
                <w:color w:val="auto"/>
                <w:sz w:val="24"/>
                <w:highlight w:val="none"/>
              </w:rPr>
              <w:tab/>
            </w:r>
            <w:r>
              <w:rPr>
                <w:rFonts w:hint="eastAsia" w:ascii="宋体" w:hAnsi="宋体" w:cs="宋体"/>
                <w:color w:val="auto"/>
                <w:sz w:val="24"/>
                <w:highlight w:val="none"/>
              </w:rPr>
              <w:t>称</w:t>
            </w:r>
          </w:p>
        </w:tc>
        <w:tc>
          <w:tcPr>
            <w:tcW w:w="797"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c>
          <w:tcPr>
            <w:tcW w:w="808"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r>
              <w:rPr>
                <w:rFonts w:hint="eastAsia" w:ascii="宋体" w:hAnsi="宋体" w:cs="宋体"/>
                <w:color w:val="auto"/>
                <w:sz w:val="24"/>
                <w:highlight w:val="none"/>
              </w:rPr>
              <w:t>证书编号</w:t>
            </w: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797"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r>
              <w:rPr>
                <w:rFonts w:hint="eastAsia" w:ascii="宋体" w:hAnsi="宋体" w:cs="宋体"/>
                <w:color w:val="auto"/>
                <w:sz w:val="24"/>
                <w:highlight w:val="none"/>
              </w:rPr>
              <w:t>执业证书</w:t>
            </w:r>
          </w:p>
        </w:tc>
        <w:tc>
          <w:tcPr>
            <w:tcW w:w="781"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c>
          <w:tcPr>
            <w:tcW w:w="798"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r>
              <w:rPr>
                <w:rFonts w:hint="eastAsia" w:ascii="宋体" w:hAnsi="宋体" w:cs="宋体"/>
                <w:color w:val="auto"/>
                <w:sz w:val="24"/>
                <w:highlight w:val="none"/>
              </w:rPr>
              <w:t>证书编号</w:t>
            </w:r>
          </w:p>
        </w:tc>
        <w:tc>
          <w:tcPr>
            <w:tcW w:w="797"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c>
          <w:tcPr>
            <w:tcW w:w="808"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r>
              <w:rPr>
                <w:rFonts w:hint="eastAsia" w:ascii="宋体" w:hAnsi="宋体" w:cs="宋体"/>
                <w:color w:val="auto"/>
                <w:sz w:val="24"/>
                <w:highlight w:val="none"/>
              </w:rPr>
              <w:t>参加工作时间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r>
              <w:rPr>
                <w:rFonts w:hint="eastAsia" w:ascii="宋体" w:hAnsi="宋体" w:cs="宋体"/>
                <w:color w:val="auto"/>
                <w:sz w:val="24"/>
                <w:highlight w:val="none"/>
              </w:rPr>
              <w:t>起止时间</w:t>
            </w:r>
          </w:p>
        </w:tc>
        <w:tc>
          <w:tcPr>
            <w:tcW w:w="1415" w:type="pct"/>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r>
              <w:rPr>
                <w:rFonts w:hint="eastAsia" w:ascii="宋体" w:hAnsi="宋体" w:cs="宋体"/>
                <w:color w:val="auto"/>
                <w:sz w:val="24"/>
                <w:highlight w:val="none"/>
              </w:rPr>
              <w:t>任职单位</w:t>
            </w:r>
          </w:p>
        </w:tc>
        <w:tc>
          <w:tcPr>
            <w:tcW w:w="1606" w:type="pct"/>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r>
              <w:rPr>
                <w:rFonts w:hint="eastAsia" w:ascii="宋体" w:hAnsi="宋体" w:cs="宋体"/>
                <w:color w:val="auto"/>
                <w:sz w:val="24"/>
                <w:highlight w:val="none"/>
              </w:rPr>
              <w:t>职务</w:t>
            </w: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c>
          <w:tcPr>
            <w:tcW w:w="1415" w:type="pct"/>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c>
          <w:tcPr>
            <w:tcW w:w="1606" w:type="pct"/>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c>
          <w:tcPr>
            <w:tcW w:w="1415" w:type="pct"/>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c>
          <w:tcPr>
            <w:tcW w:w="1606" w:type="pct"/>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lang w:eastAsia="zh-CN"/>
              </w:rPr>
            </w:pPr>
            <w:r>
              <w:rPr>
                <w:rFonts w:hint="eastAsia" w:ascii="宋体" w:hAnsi="宋体" w:cs="宋体"/>
                <w:color w:val="auto"/>
                <w:sz w:val="24"/>
                <w:highlight w:val="none"/>
                <w:lang w:eastAsia="zh-CN"/>
              </w:rPr>
              <w:t>已成功实施的类似项目情况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036"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r>
              <w:rPr>
                <w:rFonts w:hint="eastAsia" w:ascii="宋体" w:hAnsi="宋体" w:cs="宋体"/>
                <w:color w:val="auto"/>
                <w:sz w:val="24"/>
                <w:highlight w:val="none"/>
              </w:rPr>
              <w:t>采购人</w:t>
            </w:r>
          </w:p>
        </w:tc>
        <w:tc>
          <w:tcPr>
            <w:tcW w:w="1000"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r>
              <w:rPr>
                <w:rFonts w:hint="eastAsia" w:ascii="宋体" w:hAnsi="宋体" w:cs="宋体"/>
                <w:color w:val="auto"/>
                <w:sz w:val="24"/>
                <w:highlight w:val="none"/>
              </w:rPr>
              <w:t>起止年月</w:t>
            </w:r>
          </w:p>
        </w:tc>
        <w:tc>
          <w:tcPr>
            <w:tcW w:w="984"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r>
              <w:rPr>
                <w:rFonts w:hint="eastAsia" w:ascii="宋体" w:hAnsi="宋体" w:cs="宋体"/>
                <w:color w:val="auto"/>
                <w:sz w:val="24"/>
                <w:highlight w:val="none"/>
              </w:rPr>
              <w:t>该项目中任职</w:t>
            </w: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r>
              <w:rPr>
                <w:rFonts w:hint="eastAsia" w:ascii="宋体" w:hAnsi="宋体" w:cs="宋体"/>
                <w:color w:val="auto"/>
                <w:sz w:val="24"/>
                <w:highlight w:val="none"/>
              </w:rPr>
              <w:t>项目类型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c>
          <w:tcPr>
            <w:tcW w:w="1036"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c>
          <w:tcPr>
            <w:tcW w:w="1000"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c>
          <w:tcPr>
            <w:tcW w:w="984"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c>
          <w:tcPr>
            <w:tcW w:w="1036"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c>
          <w:tcPr>
            <w:tcW w:w="1000"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c>
          <w:tcPr>
            <w:tcW w:w="984"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c>
          <w:tcPr>
            <w:tcW w:w="1036"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c>
          <w:tcPr>
            <w:tcW w:w="1000"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c>
          <w:tcPr>
            <w:tcW w:w="984"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c>
          <w:tcPr>
            <w:tcW w:w="1036"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c>
          <w:tcPr>
            <w:tcW w:w="1000"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c>
          <w:tcPr>
            <w:tcW w:w="984"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c>
          <w:tcPr>
            <w:tcW w:w="1036"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c>
          <w:tcPr>
            <w:tcW w:w="1000"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c>
          <w:tcPr>
            <w:tcW w:w="984"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9"/>
              <w:tabs>
                <w:tab w:val="left" w:pos="483"/>
              </w:tabs>
              <w:spacing w:before="104"/>
              <w:jc w:val="center"/>
              <w:rPr>
                <w:rFonts w:ascii="宋体" w:hAnsi="宋体" w:cs="宋体"/>
                <w:color w:val="auto"/>
                <w:sz w:val="24"/>
                <w:highlight w:val="none"/>
              </w:rPr>
            </w:pPr>
          </w:p>
        </w:tc>
      </w:tr>
    </w:tbl>
    <w:p>
      <w:pPr>
        <w:jc w:val="left"/>
        <w:rPr>
          <w:rFonts w:ascii="宋体" w:hAnsi="宋体" w:cs="宋体"/>
          <w:b/>
          <w:color w:val="auto"/>
          <w:sz w:val="24"/>
          <w:highlight w:val="none"/>
        </w:rPr>
      </w:pPr>
    </w:p>
    <w:p>
      <w:pPr>
        <w:spacing w:line="360" w:lineRule="auto"/>
        <w:jc w:val="left"/>
        <w:rPr>
          <w:rFonts w:ascii="宋体" w:hAnsi="宋体" w:cs="宋体"/>
          <w:b/>
          <w:color w:val="auto"/>
          <w:kern w:val="0"/>
          <w:sz w:val="32"/>
          <w:szCs w:val="32"/>
          <w:highlight w:val="none"/>
        </w:rPr>
      </w:pPr>
      <w:r>
        <w:rPr>
          <w:rFonts w:hint="eastAsia" w:ascii="宋体" w:hAnsi="宋体" w:cs="宋体"/>
          <w:b/>
          <w:color w:val="auto"/>
          <w:sz w:val="24"/>
          <w:highlight w:val="none"/>
        </w:rPr>
        <w:t>参考格式，可酌情调整补充</w:t>
      </w:r>
    </w:p>
    <w:p>
      <w:pPr>
        <w:snapToGrid w:val="0"/>
        <w:spacing w:line="360" w:lineRule="auto"/>
        <w:ind w:firstLine="576"/>
        <w:jc w:val="center"/>
        <w:rPr>
          <w:rFonts w:ascii="宋体" w:hAnsi="宋体" w:cs="宋体"/>
          <w:color w:val="auto"/>
          <w:sz w:val="24"/>
          <w:highlight w:val="none"/>
          <w:lang w:val="zh-CN"/>
        </w:rPr>
      </w:pPr>
    </w:p>
    <w:p>
      <w:pPr>
        <w:snapToGrid w:val="0"/>
        <w:spacing w:line="360" w:lineRule="auto"/>
        <w:ind w:firstLine="576"/>
        <w:jc w:val="center"/>
        <w:rPr>
          <w:rFonts w:ascii="宋体" w:hAnsi="宋体" w:cs="宋体"/>
          <w:color w:val="auto"/>
          <w:sz w:val="24"/>
          <w:highlight w:val="none"/>
          <w:lang w:val="zh-CN"/>
        </w:rPr>
      </w:pPr>
      <w:r>
        <w:rPr>
          <w:rFonts w:hint="eastAsia" w:ascii="宋体" w:hAnsi="宋体" w:cs="宋体"/>
          <w:color w:val="auto"/>
          <w:sz w:val="24"/>
          <w:highlight w:val="none"/>
          <w:lang w:val="zh-CN"/>
        </w:rPr>
        <w:t>投标供应商名称(电子签名)：</w:t>
      </w:r>
    </w:p>
    <w:p>
      <w:pPr>
        <w:snapToGrid w:val="0"/>
        <w:spacing w:line="360" w:lineRule="auto"/>
        <w:ind w:firstLine="3360" w:firstLineChars="1400"/>
        <w:rPr>
          <w:rFonts w:ascii="宋体" w:hAnsi="宋体" w:cs="宋体"/>
          <w:b/>
          <w:color w:val="auto"/>
          <w:kern w:val="0"/>
          <w:sz w:val="32"/>
          <w:szCs w:val="32"/>
          <w:highlight w:val="none"/>
        </w:rPr>
      </w:pPr>
      <w:r>
        <w:rPr>
          <w:rFonts w:hint="eastAsia" w:ascii="宋体" w:hAnsi="宋体" w:cs="宋体"/>
          <w:color w:val="auto"/>
          <w:sz w:val="24"/>
          <w:highlight w:val="none"/>
          <w:lang w:val="zh-CN"/>
        </w:rPr>
        <w:t>日期：</w:t>
      </w:r>
      <w:r>
        <w:rPr>
          <w:rFonts w:hint="eastAsia" w:ascii="宋体" w:hAnsi="宋体" w:cs="宋体"/>
          <w:color w:val="auto"/>
          <w:sz w:val="24"/>
          <w:highlight w:val="none"/>
        </w:rPr>
        <w:t xml:space="preserve">    年   月   日</w:t>
      </w:r>
    </w:p>
    <w:p>
      <w:pPr>
        <w:pStyle w:val="81"/>
        <w:rPr>
          <w:color w:val="auto"/>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3595"/>
        <w:gridCol w:w="3462"/>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3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595"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462"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36"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595" w:type="dxa"/>
          </w:tcPr>
          <w:p>
            <w:pPr>
              <w:jc w:val="center"/>
              <w:rPr>
                <w:rFonts w:ascii="宋体" w:hAnsi="宋体" w:cs="宋体"/>
                <w:b/>
                <w:color w:val="auto"/>
                <w:kern w:val="0"/>
                <w:sz w:val="32"/>
                <w:szCs w:val="32"/>
                <w:highlight w:val="none"/>
              </w:rPr>
            </w:pPr>
          </w:p>
        </w:tc>
        <w:tc>
          <w:tcPr>
            <w:tcW w:w="3462" w:type="dxa"/>
          </w:tcPr>
          <w:p>
            <w:pPr>
              <w:jc w:val="center"/>
              <w:rPr>
                <w:rFonts w:ascii="宋体" w:hAnsi="宋体" w:cs="宋体"/>
                <w:b/>
                <w:color w:val="auto"/>
                <w:kern w:val="0"/>
                <w:sz w:val="32"/>
                <w:szCs w:val="32"/>
                <w:highlight w:val="none"/>
              </w:rPr>
            </w:pPr>
          </w:p>
        </w:tc>
        <w:tc>
          <w:tcPr>
            <w:tcW w:w="124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36"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595" w:type="dxa"/>
          </w:tcPr>
          <w:p>
            <w:pPr>
              <w:jc w:val="center"/>
              <w:rPr>
                <w:rFonts w:ascii="宋体" w:hAnsi="宋体" w:cs="宋体"/>
                <w:b/>
                <w:color w:val="auto"/>
                <w:kern w:val="0"/>
                <w:sz w:val="32"/>
                <w:szCs w:val="32"/>
                <w:highlight w:val="none"/>
              </w:rPr>
            </w:pPr>
          </w:p>
        </w:tc>
        <w:tc>
          <w:tcPr>
            <w:tcW w:w="3462" w:type="dxa"/>
          </w:tcPr>
          <w:p>
            <w:pPr>
              <w:jc w:val="center"/>
              <w:rPr>
                <w:rFonts w:ascii="宋体" w:hAnsi="宋体" w:cs="宋体"/>
                <w:b/>
                <w:color w:val="auto"/>
                <w:kern w:val="0"/>
                <w:sz w:val="32"/>
                <w:szCs w:val="32"/>
                <w:highlight w:val="none"/>
              </w:rPr>
            </w:pPr>
          </w:p>
        </w:tc>
        <w:tc>
          <w:tcPr>
            <w:tcW w:w="124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36"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595" w:type="dxa"/>
          </w:tcPr>
          <w:p>
            <w:pPr>
              <w:jc w:val="center"/>
              <w:rPr>
                <w:rFonts w:ascii="宋体" w:hAnsi="宋体" w:cs="宋体"/>
                <w:b/>
                <w:color w:val="auto"/>
                <w:kern w:val="0"/>
                <w:sz w:val="32"/>
                <w:szCs w:val="32"/>
                <w:highlight w:val="none"/>
              </w:rPr>
            </w:pPr>
          </w:p>
        </w:tc>
        <w:tc>
          <w:tcPr>
            <w:tcW w:w="3462" w:type="dxa"/>
          </w:tcPr>
          <w:p>
            <w:pPr>
              <w:jc w:val="center"/>
              <w:rPr>
                <w:rFonts w:ascii="宋体" w:hAnsi="宋体" w:cs="宋体"/>
                <w:b/>
                <w:color w:val="auto"/>
                <w:kern w:val="0"/>
                <w:sz w:val="32"/>
                <w:szCs w:val="32"/>
                <w:highlight w:val="none"/>
              </w:rPr>
            </w:pPr>
          </w:p>
        </w:tc>
        <w:tc>
          <w:tcPr>
            <w:tcW w:w="124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杭州市道路运输管理服务中心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浙江省建设工程设备招标有限公司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hint="eastAsia" w:ascii="宋体" w:hAnsi="宋体" w:cs="宋体"/>
          <w:b/>
          <w:color w:val="auto"/>
          <w:kern w:val="0"/>
          <w:sz w:val="36"/>
          <w:szCs w:val="36"/>
          <w:highlight w:val="none"/>
        </w:rPr>
      </w:pPr>
    </w:p>
    <w:p>
      <w:pPr>
        <w:spacing w:line="360" w:lineRule="auto"/>
        <w:jc w:val="center"/>
        <w:outlineLvl w:val="0"/>
        <w:rPr>
          <w:rFonts w:hint="eastAsia"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15"/>
        </w:numPr>
        <w:snapToGrid w:val="0"/>
        <w:spacing w:line="360" w:lineRule="auto"/>
        <w:ind w:left="0" w:leftChars="0" w:firstLine="420" w:firstLineChars="0"/>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pPr>
        <w:numPr>
          <w:ilvl w:val="0"/>
          <w:numId w:val="15"/>
        </w:numPr>
        <w:snapToGrid w:val="0"/>
        <w:spacing w:line="360" w:lineRule="auto"/>
        <w:ind w:left="0" w:leftChars="0" w:firstLine="42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报价明细清单（若有）</w:t>
      </w:r>
      <w:r>
        <w:rPr>
          <w:rFonts w:hint="eastAsia" w:ascii="宋体" w:hAnsi="宋体" w:cs="宋体"/>
          <w:color w:val="auto"/>
          <w:sz w:val="24"/>
          <w:highlight w:val="none"/>
        </w:rPr>
        <w:t>………………………………………………………（页码）</w:t>
      </w:r>
    </w:p>
    <w:p>
      <w:pPr>
        <w:numPr>
          <w:ilvl w:val="0"/>
          <w:numId w:val="15"/>
        </w:numPr>
        <w:snapToGrid w:val="0"/>
        <w:spacing w:line="360" w:lineRule="auto"/>
        <w:ind w:left="0" w:leftChars="0" w:firstLine="420" w:firstLineChars="0"/>
        <w:rPr>
          <w:rFonts w:hint="eastAsia" w:ascii="宋体" w:hAnsi="宋体" w:cs="宋体"/>
          <w:color w:val="auto"/>
          <w:sz w:val="24"/>
          <w:highlight w:val="none"/>
        </w:rPr>
      </w:pPr>
      <w:r>
        <w:rPr>
          <w:rFonts w:hint="eastAsia" w:ascii="宋体" w:hAnsi="宋体" w:cs="宋体"/>
          <w:color w:val="auto"/>
          <w:sz w:val="24"/>
          <w:highlight w:val="none"/>
        </w:rPr>
        <w:t>中小企业声明函</w:t>
      </w:r>
      <w:r>
        <w:rPr>
          <w:rFonts w:hint="eastAsia" w:ascii="宋体" w:hAnsi="宋体" w:cs="宋体"/>
          <w:color w:val="auto"/>
          <w:sz w:val="24"/>
          <w:highlight w:val="none"/>
          <w:lang w:val="en-US" w:eastAsia="zh-CN"/>
        </w:rPr>
        <w:t>（若有）</w:t>
      </w:r>
      <w:r>
        <w:rPr>
          <w:rFonts w:hint="eastAsia" w:ascii="宋体" w:hAnsi="宋体" w:cs="宋体"/>
          <w:color w:val="auto"/>
          <w:sz w:val="24"/>
          <w:highlight w:val="none"/>
        </w:rPr>
        <w:t>……………………………………………………（页码）</w:t>
      </w:r>
    </w:p>
    <w:p>
      <w:pPr>
        <w:pStyle w:val="82"/>
        <w:rPr>
          <w:rFonts w:hint="eastAsia"/>
          <w:color w:val="auto"/>
          <w:highlight w:val="none"/>
        </w:rPr>
      </w:pPr>
    </w:p>
    <w:p>
      <w:pPr>
        <w:pStyle w:val="82"/>
        <w:rPr>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杭州市道路运输管理服务中心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浙江省建设工程设备招标有限公司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zh-CN"/>
        </w:rPr>
        <w:t>本投标文件签字方</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，谨此向你方发出要约如下：如你方接受本投标，我方承诺按照如下开标一览表（报价表）的价格完成</w:t>
      </w:r>
      <w:r>
        <w:rPr>
          <w:rFonts w:hint="eastAsia" w:ascii="宋体" w:hAnsi="宋体" w:cs="宋体"/>
          <w:color w:val="auto"/>
          <w:sz w:val="24"/>
          <w:highlight w:val="none"/>
          <w:lang w:eastAsia="zh-CN"/>
        </w:rPr>
        <w:t>杭州市出租车行业监管和执法保障信息服务</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ZJZBC-25-GK-9024</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88"/>
        <w:gridCol w:w="1872"/>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8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72"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88"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72"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88"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72"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88" w:type="dxa"/>
            <w:vAlign w:val="center"/>
          </w:tcPr>
          <w:p>
            <w:pPr>
              <w:snapToGrid w:val="0"/>
              <w:spacing w:line="360" w:lineRule="auto"/>
              <w:jc w:val="center"/>
              <w:rPr>
                <w:rFonts w:ascii="宋体" w:hAnsi="宋体" w:cs="宋体"/>
                <w:color w:val="auto"/>
                <w:sz w:val="24"/>
                <w:highlight w:val="none"/>
              </w:rPr>
            </w:pPr>
          </w:p>
        </w:tc>
        <w:tc>
          <w:tcPr>
            <w:tcW w:w="1872"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1388" w:type="dxa"/>
            <w:vAlign w:val="center"/>
          </w:tcPr>
          <w:p>
            <w:pPr>
              <w:snapToGrid w:val="0"/>
              <w:spacing w:line="360" w:lineRule="auto"/>
              <w:jc w:val="center"/>
              <w:rPr>
                <w:rFonts w:ascii="宋体" w:hAnsi="宋体" w:cs="宋体"/>
                <w:color w:val="auto"/>
                <w:sz w:val="24"/>
                <w:highlight w:val="none"/>
              </w:rPr>
            </w:pPr>
          </w:p>
        </w:tc>
        <w:tc>
          <w:tcPr>
            <w:tcW w:w="1872"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1388" w:type="dxa"/>
            <w:vAlign w:val="center"/>
          </w:tcPr>
          <w:p>
            <w:pPr>
              <w:snapToGrid w:val="0"/>
              <w:spacing w:line="360" w:lineRule="auto"/>
              <w:jc w:val="center"/>
              <w:rPr>
                <w:rFonts w:ascii="宋体" w:hAnsi="宋体" w:cs="宋体"/>
                <w:color w:val="auto"/>
                <w:sz w:val="24"/>
                <w:highlight w:val="none"/>
              </w:rPr>
            </w:pPr>
          </w:p>
        </w:tc>
        <w:tc>
          <w:tcPr>
            <w:tcW w:w="1872"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pPr>
        <w:pStyle w:val="695"/>
        <w:keepNext w:val="0"/>
        <w:pageBreakBefore w:val="0"/>
        <w:tabs>
          <w:tab w:val="clear" w:pos="720"/>
        </w:tabs>
        <w:snapToGrid w:val="0"/>
        <w:spacing w:before="120" w:after="120"/>
        <w:jc w:val="center"/>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二、报价明细清单（若有）</w:t>
      </w: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（格式自拟）</w:t>
      </w: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lang w:val="en-US" w:eastAsia="zh-CN"/>
        </w:rPr>
      </w:pPr>
    </w:p>
    <w:p>
      <w:pPr>
        <w:pStyle w:val="695"/>
        <w:keepNext w:val="0"/>
        <w:pageBreakBefore w:val="0"/>
        <w:tabs>
          <w:tab w:val="clear" w:pos="720"/>
        </w:tabs>
        <w:snapToGrid w:val="0"/>
        <w:spacing w:before="120" w:after="120"/>
        <w:jc w:val="center"/>
        <w:outlineLvl w:val="9"/>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三、</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82"/>
        <w:rPr>
          <w:rFonts w:hint="eastAsia" w:ascii="宋体" w:hAnsi="宋体" w:cs="宋体"/>
          <w:b/>
          <w:color w:val="auto"/>
          <w:sz w:val="24"/>
          <w:highlight w:val="none"/>
        </w:rPr>
      </w:pPr>
    </w:p>
    <w:p>
      <w:pPr>
        <w:pStyle w:val="82"/>
        <w:rPr>
          <w:rFonts w:hint="eastAsia" w:ascii="宋体" w:hAnsi="宋体" w:cs="宋体"/>
          <w:b/>
          <w:color w:val="auto"/>
          <w:sz w:val="24"/>
          <w:highlight w:val="none"/>
        </w:rPr>
      </w:pPr>
    </w:p>
    <w:p>
      <w:pPr>
        <w:pStyle w:val="695"/>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11" w:name="OLE_LINK14"/>
      <w:bookmarkStart w:id="512" w:name="OLE_LINK13"/>
      <w:r>
        <w:rPr>
          <w:rFonts w:hint="eastAsia" w:ascii="宋体" w:hAnsi="宋体" w:cs="宋体"/>
          <w:b/>
          <w:color w:val="auto"/>
          <w:spacing w:val="6"/>
          <w:sz w:val="32"/>
          <w:szCs w:val="32"/>
          <w:highlight w:val="none"/>
        </w:rPr>
        <w:t>残疾人福利性单位声明函</w:t>
      </w:r>
    </w:p>
    <w:bookmarkEnd w:id="511"/>
    <w:bookmarkEnd w:id="512"/>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(采购人)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杭州市出租车行业监管和执法保障信息服务</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宋体" w:hAnsi="宋体" w:cs="宋体"/>
          <w:b/>
          <w:color w:val="auto"/>
          <w:spacing w:val="6"/>
          <w:sz w:val="32"/>
          <w:szCs w:val="32"/>
          <w:highlight w:val="none"/>
        </w:rPr>
      </w:pPr>
    </w:p>
    <w:p>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杭州市道路运输管理服务中心</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浙江省建设工程设备招标有限公司</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杭州市出租车行业监管和执法保障信息服务</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color w:val="auto"/>
          <w:sz w:val="24"/>
          <w:highlight w:val="none"/>
          <w:lang w:eastAsia="zh-CN"/>
        </w:rPr>
        <w:t>ZJZBC-25-GK-9024</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autoSpaceDE w:val="0"/>
        <w:autoSpaceDN w:val="0"/>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bookmarkStart w:id="513" w:name="OLE_LINK30"/>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杭州市出租车行业监管和执法保障信息服务</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color w:val="auto"/>
          <w:sz w:val="24"/>
          <w:highlight w:val="none"/>
          <w:lang w:eastAsia="zh-CN"/>
        </w:rPr>
        <w:t>ZJZBC-25-GK-9024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4"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5"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5"/>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6"/>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bookmarkEnd w:id="513"/>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杭州市出租车行业监管和执法保障信息服务</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color w:val="auto"/>
          <w:sz w:val="24"/>
          <w:highlight w:val="none"/>
          <w:lang w:eastAsia="zh-CN"/>
        </w:rPr>
        <w:t>ZJZBC-25-GK-9024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杭州市道路运输管理服务中心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杭州市出租车行业监管和执法保障信息服务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ource Sans Pro"/>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ource Sans Pro">
    <w:panose1 w:val="020B0503030403020204"/>
    <w:charset w:val="00"/>
    <w:family w:val="auto"/>
    <w:pitch w:val="default"/>
    <w:sig w:usb0="600002F7" w:usb1="02000001"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93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81</w:t>
                          </w:r>
                          <w:r>
                            <w:fldChar w:fldCharType="end"/>
                          </w:r>
                          <w:r>
                            <w:t xml:space="preserve"> / </w:t>
                          </w:r>
                          <w:r>
                            <w:fldChar w:fldCharType="begin"/>
                          </w:r>
                          <w:r>
                            <w:instrText xml:space="preserve"> NUMPAGES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81</w:t>
                    </w:r>
                    <w:r>
                      <w:fldChar w:fldCharType="end"/>
                    </w:r>
                    <w:r>
                      <w:t xml:space="preserve"> / </w:t>
                    </w:r>
                    <w:r>
                      <w:fldChar w:fldCharType="begin"/>
                    </w:r>
                    <w:r>
                      <w:instrText xml:space="preserve"> NUMPAGES  \* MERGEFORMAT </w:instrText>
                    </w:r>
                    <w:r>
                      <w:fldChar w:fldCharType="separate"/>
                    </w:r>
                    <w:r>
                      <w:t>93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79</w:t>
                          </w:r>
                          <w:r>
                            <w:fldChar w:fldCharType="end"/>
                          </w:r>
                          <w:r>
                            <w:t xml:space="preserve"> / </w:t>
                          </w:r>
                          <w:r>
                            <w:fldChar w:fldCharType="begin"/>
                          </w:r>
                          <w:r>
                            <w:instrText xml:space="preserve"> NUMPAGES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79</w:t>
                    </w:r>
                    <w:r>
                      <w:fldChar w:fldCharType="end"/>
                    </w:r>
                    <w:r>
                      <w:t xml:space="preserve"> / </w:t>
                    </w:r>
                    <w:r>
                      <w:fldChar w:fldCharType="begin"/>
                    </w:r>
                    <w:r>
                      <w:instrText xml:space="preserve"> NUMPAGES  \* MERGEFORMAT </w:instrText>
                    </w:r>
                    <w:r>
                      <w:fldChar w:fldCharType="separate"/>
                    </w:r>
                    <w:r>
                      <w:t>93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83</w:t>
                          </w:r>
                          <w:r>
                            <w:fldChar w:fldCharType="end"/>
                          </w:r>
                          <w:r>
                            <w:t xml:space="preserve"> / </w:t>
                          </w:r>
                          <w:r>
                            <w:fldChar w:fldCharType="begin"/>
                          </w:r>
                          <w:r>
                            <w:instrText xml:space="preserve"> NUMPAGES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83</w:t>
                    </w:r>
                    <w:r>
                      <w:fldChar w:fldCharType="end"/>
                    </w:r>
                    <w:r>
                      <w:t xml:space="preserve"> / </w:t>
                    </w:r>
                    <w:r>
                      <w:fldChar w:fldCharType="begin"/>
                    </w:r>
                    <w:r>
                      <w:instrText xml:space="preserve"> NUMPAGES  \* MERGEFORMAT </w:instrText>
                    </w:r>
                    <w:r>
                      <w:fldChar w:fldCharType="separate"/>
                    </w:r>
                    <w:r>
                      <w:t>93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82</w:t>
                          </w:r>
                          <w:r>
                            <w:fldChar w:fldCharType="end"/>
                          </w:r>
                          <w:r>
                            <w:t xml:space="preserve"> / </w:t>
                          </w:r>
                          <w:r>
                            <w:fldChar w:fldCharType="begin"/>
                          </w:r>
                          <w:r>
                            <w:instrText xml:space="preserve"> NUMPAGES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82</w:t>
                    </w:r>
                    <w:r>
                      <w:fldChar w:fldCharType="end"/>
                    </w:r>
                    <w:r>
                      <w:t xml:space="preserve"> / </w:t>
                    </w:r>
                    <w:r>
                      <w:fldChar w:fldCharType="begin"/>
                    </w:r>
                    <w:r>
                      <w:instrText xml:space="preserve"> NUMPAGES  \* MERGEFORMAT </w:instrText>
                    </w:r>
                    <w:r>
                      <w:fldChar w:fldCharType="separate"/>
                    </w:r>
                    <w:r>
                      <w:t>93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fill on="f" focussize="0,0"/>
              <v:stroke on="f"/>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52</w:t>
                          </w:r>
                          <w:r>
                            <w:fldChar w:fldCharType="end"/>
                          </w:r>
                          <w:r>
                            <w:t xml:space="preserve"> / </w:t>
                          </w:r>
                          <w:r>
                            <w:fldChar w:fldCharType="begin"/>
                          </w:r>
                          <w:r>
                            <w:instrText xml:space="preserve"> NUMPAGES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52</w:t>
                    </w:r>
                    <w:r>
                      <w:fldChar w:fldCharType="end"/>
                    </w:r>
                    <w:r>
                      <w:t xml:space="preserve"> / </w:t>
                    </w:r>
                    <w:r>
                      <w:fldChar w:fldCharType="begin"/>
                    </w:r>
                    <w:r>
                      <w:instrText xml:space="preserve"> NUMPAGES  \* MERGEFORMAT </w:instrText>
                    </w:r>
                    <w:r>
                      <w:fldChar w:fldCharType="separate"/>
                    </w:r>
                    <w:r>
                      <w:t>93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51</w:t>
                          </w:r>
                          <w:r>
                            <w:fldChar w:fldCharType="end"/>
                          </w:r>
                          <w:r>
                            <w:t xml:space="preserve"> / </w:t>
                          </w:r>
                          <w:r>
                            <w:fldChar w:fldCharType="begin"/>
                          </w:r>
                          <w:r>
                            <w:instrText xml:space="preserve"> NUMPAGES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51</w:t>
                    </w:r>
                    <w:r>
                      <w:fldChar w:fldCharType="end"/>
                    </w:r>
                    <w:r>
                      <w:t xml:space="preserve"> / </w:t>
                    </w:r>
                    <w:r>
                      <w:fldChar w:fldCharType="begin"/>
                    </w:r>
                    <w:r>
                      <w:instrText xml:space="preserve"> NUMPAGES  \* MERGEFORMAT </w:instrText>
                    </w:r>
                    <w:r>
                      <w:fldChar w:fldCharType="separate"/>
                    </w:r>
                    <w:r>
                      <w:t>93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72</w:t>
                          </w:r>
                          <w:r>
                            <w:fldChar w:fldCharType="end"/>
                          </w:r>
                          <w:r>
                            <w:t xml:space="preserve"> / </w:t>
                          </w:r>
                          <w:r>
                            <w:fldChar w:fldCharType="begin"/>
                          </w:r>
                          <w:r>
                            <w:instrText xml:space="preserve"> NUMPAGES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72</w:t>
                    </w:r>
                    <w:r>
                      <w:fldChar w:fldCharType="end"/>
                    </w:r>
                    <w:r>
                      <w:t xml:space="preserve"> / </w:t>
                    </w:r>
                    <w:r>
                      <w:fldChar w:fldCharType="begin"/>
                    </w:r>
                    <w:r>
                      <w:instrText xml:space="preserve"> NUMPAGES  \* MERGEFORMAT </w:instrText>
                    </w:r>
                    <w:r>
                      <w:fldChar w:fldCharType="separate"/>
                    </w:r>
                    <w:r>
                      <w:t>93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71</w:t>
                          </w:r>
                          <w:r>
                            <w:fldChar w:fldCharType="end"/>
                          </w:r>
                          <w:r>
                            <w:t xml:space="preserve"> / </w:t>
                          </w:r>
                          <w:r>
                            <w:fldChar w:fldCharType="begin"/>
                          </w:r>
                          <w:r>
                            <w:instrText xml:space="preserve"> NUMPAGES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71</w:t>
                    </w:r>
                    <w:r>
                      <w:fldChar w:fldCharType="end"/>
                    </w:r>
                    <w:r>
                      <w:t xml:space="preserve"> / </w:t>
                    </w:r>
                    <w:r>
                      <w:fldChar w:fldCharType="begin"/>
                    </w:r>
                    <w:r>
                      <w:instrText xml:space="preserve"> NUMPAGES  \* MERGEFORMAT </w:instrText>
                    </w:r>
                    <w:r>
                      <w:fldChar w:fldCharType="separate"/>
                    </w:r>
                    <w:r>
                      <w:t>93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FF0C9"/>
    <w:multiLevelType w:val="singleLevel"/>
    <w:tmpl w:val="8B2FF0C9"/>
    <w:lvl w:ilvl="0" w:tentative="0">
      <w:start w:val="2"/>
      <w:numFmt w:val="decimal"/>
      <w:lvlText w:val="%1."/>
      <w:lvlJc w:val="left"/>
      <w:pPr>
        <w:tabs>
          <w:tab w:val="left" w:pos="312"/>
        </w:tabs>
      </w:pPr>
    </w:lvl>
  </w:abstractNum>
  <w:abstractNum w:abstractNumId="1">
    <w:nsid w:val="989EB897"/>
    <w:multiLevelType w:val="singleLevel"/>
    <w:tmpl w:val="989EB897"/>
    <w:lvl w:ilvl="0" w:tentative="0">
      <w:start w:val="1"/>
      <w:numFmt w:val="chineseCounting"/>
      <w:suff w:val="nothing"/>
      <w:lvlText w:val="%1、"/>
      <w:lvlJc w:val="left"/>
      <w:pPr>
        <w:ind w:left="0" w:firstLine="420"/>
      </w:pPr>
      <w:rPr>
        <w:rFonts w:hint="eastAsia"/>
      </w:rPr>
    </w:lvl>
  </w:abstractNum>
  <w:abstractNum w:abstractNumId="2">
    <w:nsid w:val="9F25401E"/>
    <w:multiLevelType w:val="singleLevel"/>
    <w:tmpl w:val="9F25401E"/>
    <w:lvl w:ilvl="0" w:tentative="0">
      <w:start w:val="1"/>
      <w:numFmt w:val="decimal"/>
      <w:suff w:val="nothing"/>
      <w:lvlText w:val="%1．"/>
      <w:lvlJc w:val="left"/>
      <w:pPr>
        <w:ind w:left="0" w:firstLine="400"/>
      </w:pPr>
      <w:rPr>
        <w:rFonts w:hint="default"/>
      </w:rPr>
    </w:lvl>
  </w:abstractNum>
  <w:abstractNum w:abstractNumId="3">
    <w:nsid w:val="A0E44C5F"/>
    <w:multiLevelType w:val="singleLevel"/>
    <w:tmpl w:val="A0E44C5F"/>
    <w:lvl w:ilvl="0" w:tentative="0">
      <w:start w:val="1"/>
      <w:numFmt w:val="decimal"/>
      <w:lvlText w:val="4.%1"/>
      <w:lvlJc w:val="left"/>
      <w:pPr>
        <w:tabs>
          <w:tab w:val="left" w:pos="420"/>
        </w:tabs>
        <w:ind w:left="425" w:hanging="425"/>
      </w:pPr>
      <w:rPr>
        <w:rFonts w:hint="default"/>
      </w:rPr>
    </w:lvl>
  </w:abstractNum>
  <w:abstractNum w:abstractNumId="4">
    <w:nsid w:val="A5337D18"/>
    <w:multiLevelType w:val="singleLevel"/>
    <w:tmpl w:val="A5337D18"/>
    <w:lvl w:ilvl="0" w:tentative="0">
      <w:start w:val="1"/>
      <w:numFmt w:val="decimal"/>
      <w:lvlText w:val="(%1)"/>
      <w:lvlJc w:val="left"/>
      <w:pPr>
        <w:ind w:left="425" w:hanging="425"/>
      </w:pPr>
      <w:rPr>
        <w:rFonts w:hint="default"/>
      </w:rPr>
    </w:lvl>
  </w:abstractNum>
  <w:abstractNum w:abstractNumId="5">
    <w:nsid w:val="C1844525"/>
    <w:multiLevelType w:val="singleLevel"/>
    <w:tmpl w:val="C1844525"/>
    <w:lvl w:ilvl="0" w:tentative="0">
      <w:start w:val="1"/>
      <w:numFmt w:val="decimal"/>
      <w:suff w:val="nothing"/>
      <w:lvlText w:val="%1."/>
      <w:lvlJc w:val="left"/>
      <w:pPr>
        <w:ind w:left="425" w:hanging="425"/>
      </w:pPr>
      <w:rPr>
        <w:rFonts w:hint="default"/>
      </w:rPr>
    </w:lvl>
  </w:abstractNum>
  <w:abstractNum w:abstractNumId="6">
    <w:nsid w:val="C737EC16"/>
    <w:multiLevelType w:val="singleLevel"/>
    <w:tmpl w:val="C737EC16"/>
    <w:lvl w:ilvl="0" w:tentative="0">
      <w:start w:val="1"/>
      <w:numFmt w:val="decimal"/>
      <w:suff w:val="nothing"/>
      <w:lvlText w:val="（%1）"/>
      <w:lvlJc w:val="left"/>
      <w:pPr>
        <w:tabs>
          <w:tab w:val="left" w:pos="0"/>
        </w:tabs>
      </w:pPr>
      <w:rPr>
        <w:rFonts w:hint="default"/>
      </w:rPr>
    </w:lvl>
  </w:abstractNum>
  <w:abstractNum w:abstractNumId="7">
    <w:nsid w:val="E3903680"/>
    <w:multiLevelType w:val="singleLevel"/>
    <w:tmpl w:val="E3903680"/>
    <w:lvl w:ilvl="0" w:tentative="0">
      <w:start w:val="1"/>
      <w:numFmt w:val="decimal"/>
      <w:lvlText w:val="%1."/>
      <w:lvlJc w:val="left"/>
      <w:pPr>
        <w:ind w:left="425" w:hanging="425"/>
      </w:pPr>
      <w:rPr>
        <w:rFonts w:hint="default"/>
      </w:rPr>
    </w:lvl>
  </w:abstractNum>
  <w:abstractNum w:abstractNumId="8">
    <w:nsid w:val="EA1775C7"/>
    <w:multiLevelType w:val="singleLevel"/>
    <w:tmpl w:val="EA1775C7"/>
    <w:lvl w:ilvl="0" w:tentative="0">
      <w:start w:val="1"/>
      <w:numFmt w:val="chineseCounting"/>
      <w:suff w:val="nothing"/>
      <w:lvlText w:val="（%1）"/>
      <w:lvlJc w:val="left"/>
      <w:pPr>
        <w:ind w:left="0" w:firstLine="420"/>
      </w:pPr>
      <w:rPr>
        <w:rFonts w:hint="eastAsia"/>
      </w:rPr>
    </w:lvl>
  </w:abstractNum>
  <w:abstractNum w:abstractNumId="9">
    <w:nsid w:val="FECBA78E"/>
    <w:multiLevelType w:val="singleLevel"/>
    <w:tmpl w:val="FECBA78E"/>
    <w:lvl w:ilvl="0" w:tentative="0">
      <w:start w:val="1"/>
      <w:numFmt w:val="decimal"/>
      <w:suff w:val="nothing"/>
      <w:lvlText w:val="（%1）"/>
      <w:lvlJc w:val="left"/>
    </w:lvl>
  </w:abstractNum>
  <w:abstractNum w:abstractNumId="10">
    <w:nsid w:val="14D1C54D"/>
    <w:multiLevelType w:val="singleLevel"/>
    <w:tmpl w:val="14D1C54D"/>
    <w:lvl w:ilvl="0" w:tentative="0">
      <w:start w:val="1"/>
      <w:numFmt w:val="chineseCounting"/>
      <w:suff w:val="nothing"/>
      <w:lvlText w:val="%1、"/>
      <w:lvlJc w:val="left"/>
      <w:pPr>
        <w:ind w:left="0" w:firstLine="420"/>
      </w:pPr>
      <w:rPr>
        <w:rFonts w:hint="eastAsia"/>
      </w:rPr>
    </w:lvl>
  </w:abstractNum>
  <w:abstractNum w:abstractNumId="11">
    <w:nsid w:val="2E5EDAD7"/>
    <w:multiLevelType w:val="singleLevel"/>
    <w:tmpl w:val="2E5EDAD7"/>
    <w:lvl w:ilvl="0" w:tentative="0">
      <w:start w:val="1"/>
      <w:numFmt w:val="decimal"/>
      <w:suff w:val="nothing"/>
      <w:lvlText w:val="%1．"/>
      <w:lvlJc w:val="left"/>
      <w:pPr>
        <w:ind w:left="0" w:firstLine="400"/>
      </w:pPr>
      <w:rPr>
        <w:rFonts w:hint="default"/>
      </w:rPr>
    </w:lvl>
  </w:abstractNum>
  <w:abstractNum w:abstractNumId="12">
    <w:nsid w:val="49B2CEA2"/>
    <w:multiLevelType w:val="singleLevel"/>
    <w:tmpl w:val="49B2CEA2"/>
    <w:lvl w:ilvl="0" w:tentative="0">
      <w:start w:val="1"/>
      <w:numFmt w:val="decimal"/>
      <w:suff w:val="nothing"/>
      <w:lvlText w:val="2.%1"/>
      <w:lvlJc w:val="left"/>
      <w:pPr>
        <w:ind w:left="425" w:hanging="425"/>
      </w:pPr>
      <w:rPr>
        <w:rFonts w:hint="default"/>
      </w:rPr>
    </w:lvl>
  </w:abstractNum>
  <w:abstractNum w:abstractNumId="13">
    <w:nsid w:val="6E26237A"/>
    <w:multiLevelType w:val="singleLevel"/>
    <w:tmpl w:val="6E26237A"/>
    <w:lvl w:ilvl="0" w:tentative="0">
      <w:start w:val="1"/>
      <w:numFmt w:val="chineseCounting"/>
      <w:suff w:val="nothing"/>
      <w:lvlText w:val="%1、"/>
      <w:lvlJc w:val="left"/>
      <w:pPr>
        <w:ind w:left="0" w:firstLine="420"/>
      </w:pPr>
      <w:rPr>
        <w:rFonts w:hint="eastAsia" w:asciiTheme="minorEastAsia" w:hAnsiTheme="minorEastAsia" w:eastAsiaTheme="minorEastAsia" w:cstheme="minorEastAsia"/>
        <w:sz w:val="24"/>
        <w:szCs w:val="24"/>
      </w:rPr>
    </w:lvl>
  </w:abstractNum>
  <w:abstractNum w:abstractNumId="14">
    <w:nsid w:val="71FFB631"/>
    <w:multiLevelType w:val="singleLevel"/>
    <w:tmpl w:val="71FFB631"/>
    <w:lvl w:ilvl="0" w:tentative="0">
      <w:start w:val="7"/>
      <w:numFmt w:val="decimal"/>
      <w:lvlText w:val="%1."/>
      <w:lvlJc w:val="left"/>
      <w:pPr>
        <w:tabs>
          <w:tab w:val="left" w:pos="312"/>
        </w:tabs>
      </w:pPr>
    </w:lvl>
  </w:abstractNum>
  <w:num w:numId="1">
    <w:abstractNumId w:val="14"/>
  </w:num>
  <w:num w:numId="2">
    <w:abstractNumId w:val="6"/>
  </w:num>
  <w:num w:numId="3">
    <w:abstractNumId w:val="4"/>
  </w:num>
  <w:num w:numId="4">
    <w:abstractNumId w:val="0"/>
  </w:num>
  <w:num w:numId="5">
    <w:abstractNumId w:val="5"/>
  </w:num>
  <w:num w:numId="6">
    <w:abstractNumId w:val="12"/>
  </w:num>
  <w:num w:numId="7">
    <w:abstractNumId w:val="3"/>
  </w:num>
  <w:num w:numId="8">
    <w:abstractNumId w:val="7"/>
  </w:num>
  <w:num w:numId="9">
    <w:abstractNumId w:val="11"/>
  </w:num>
  <w:num w:numId="10">
    <w:abstractNumId w:val="2"/>
  </w:num>
  <w:num w:numId="11">
    <w:abstractNumId w:val="8"/>
  </w:num>
  <w:num w:numId="12">
    <w:abstractNumId w:val="9"/>
  </w:num>
  <w:num w:numId="13">
    <w:abstractNumId w:val="10"/>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lZWJkNjljNjI1ZDU2N2U1MTIyZmM3MGRmZWNkMDkifQ=="/>
    <w:docVar w:name="KSO_WPS_MARK_KEY" w:val="d31ead0a-d640-4d46-b3ec-42700cd8c190"/>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3C6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7A708C"/>
    <w:rsid w:val="02824D4D"/>
    <w:rsid w:val="02AF70BF"/>
    <w:rsid w:val="02D84414"/>
    <w:rsid w:val="02DC4B10"/>
    <w:rsid w:val="02DD76CE"/>
    <w:rsid w:val="02F36323"/>
    <w:rsid w:val="02F5619C"/>
    <w:rsid w:val="0326446A"/>
    <w:rsid w:val="032D5555"/>
    <w:rsid w:val="036634D2"/>
    <w:rsid w:val="038061A6"/>
    <w:rsid w:val="03DD35E4"/>
    <w:rsid w:val="04076900"/>
    <w:rsid w:val="041A5A3B"/>
    <w:rsid w:val="042311BA"/>
    <w:rsid w:val="042B157A"/>
    <w:rsid w:val="048F763B"/>
    <w:rsid w:val="049F330E"/>
    <w:rsid w:val="04AA775C"/>
    <w:rsid w:val="04AF1889"/>
    <w:rsid w:val="04F66F48"/>
    <w:rsid w:val="05251E14"/>
    <w:rsid w:val="058C7E64"/>
    <w:rsid w:val="05A16594"/>
    <w:rsid w:val="05A7762D"/>
    <w:rsid w:val="060E5941"/>
    <w:rsid w:val="06110FAF"/>
    <w:rsid w:val="06493CA7"/>
    <w:rsid w:val="065A6178"/>
    <w:rsid w:val="066F1CF3"/>
    <w:rsid w:val="06930BB8"/>
    <w:rsid w:val="07245D42"/>
    <w:rsid w:val="07264C62"/>
    <w:rsid w:val="0779354C"/>
    <w:rsid w:val="07BC7320"/>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B1FCF"/>
    <w:rsid w:val="0A3E7710"/>
    <w:rsid w:val="0A4E70E3"/>
    <w:rsid w:val="0A5B7E63"/>
    <w:rsid w:val="0A7D300B"/>
    <w:rsid w:val="0A8F045A"/>
    <w:rsid w:val="0AA374A5"/>
    <w:rsid w:val="0AAB7649"/>
    <w:rsid w:val="0ABC5606"/>
    <w:rsid w:val="0AE53B72"/>
    <w:rsid w:val="0B30404E"/>
    <w:rsid w:val="0B4C6C14"/>
    <w:rsid w:val="0B547599"/>
    <w:rsid w:val="0B631A88"/>
    <w:rsid w:val="0B683D45"/>
    <w:rsid w:val="0B7F3F11"/>
    <w:rsid w:val="0B884417"/>
    <w:rsid w:val="0BB45546"/>
    <w:rsid w:val="0BF6188C"/>
    <w:rsid w:val="0BF73C91"/>
    <w:rsid w:val="0C170175"/>
    <w:rsid w:val="0C571A41"/>
    <w:rsid w:val="0C5C1171"/>
    <w:rsid w:val="0C5C7E64"/>
    <w:rsid w:val="0C5E1CBC"/>
    <w:rsid w:val="0C615B50"/>
    <w:rsid w:val="0C8445DA"/>
    <w:rsid w:val="0C87121B"/>
    <w:rsid w:val="0CA535B9"/>
    <w:rsid w:val="0CC007F7"/>
    <w:rsid w:val="0CC617AC"/>
    <w:rsid w:val="0CE618DF"/>
    <w:rsid w:val="0CFB767D"/>
    <w:rsid w:val="0CFE707A"/>
    <w:rsid w:val="0D063BDA"/>
    <w:rsid w:val="0D08375F"/>
    <w:rsid w:val="0D184CFB"/>
    <w:rsid w:val="0D4A7419"/>
    <w:rsid w:val="0D60022F"/>
    <w:rsid w:val="0D827401"/>
    <w:rsid w:val="0D84094E"/>
    <w:rsid w:val="0D8A00E9"/>
    <w:rsid w:val="0D8D589E"/>
    <w:rsid w:val="0DA01C73"/>
    <w:rsid w:val="0DD63300"/>
    <w:rsid w:val="0DF50604"/>
    <w:rsid w:val="0DF702FE"/>
    <w:rsid w:val="0E060E51"/>
    <w:rsid w:val="0E1C3D48"/>
    <w:rsid w:val="0E5604B2"/>
    <w:rsid w:val="0E6A0DFE"/>
    <w:rsid w:val="0E6D5D79"/>
    <w:rsid w:val="0E9D0089"/>
    <w:rsid w:val="0EB803EE"/>
    <w:rsid w:val="0EF94D4B"/>
    <w:rsid w:val="0F24110D"/>
    <w:rsid w:val="0F4958DC"/>
    <w:rsid w:val="0F515DF7"/>
    <w:rsid w:val="0F596BA8"/>
    <w:rsid w:val="0F6248D2"/>
    <w:rsid w:val="0F693536"/>
    <w:rsid w:val="0F7B0511"/>
    <w:rsid w:val="0F7B76D9"/>
    <w:rsid w:val="0F816ACD"/>
    <w:rsid w:val="0F9832DB"/>
    <w:rsid w:val="0FBF3FD2"/>
    <w:rsid w:val="0FBF7FF3"/>
    <w:rsid w:val="104A4BA3"/>
    <w:rsid w:val="10646583"/>
    <w:rsid w:val="107D4B15"/>
    <w:rsid w:val="108A3C80"/>
    <w:rsid w:val="10C26171"/>
    <w:rsid w:val="10C75E85"/>
    <w:rsid w:val="10F33360"/>
    <w:rsid w:val="10FC16EA"/>
    <w:rsid w:val="110F1D40"/>
    <w:rsid w:val="11266F33"/>
    <w:rsid w:val="112C42A9"/>
    <w:rsid w:val="113A191E"/>
    <w:rsid w:val="118963A1"/>
    <w:rsid w:val="11C6522A"/>
    <w:rsid w:val="11E104CC"/>
    <w:rsid w:val="11E20309"/>
    <w:rsid w:val="11F65B6F"/>
    <w:rsid w:val="11FB49FD"/>
    <w:rsid w:val="12255233"/>
    <w:rsid w:val="12312130"/>
    <w:rsid w:val="12530213"/>
    <w:rsid w:val="127723A9"/>
    <w:rsid w:val="12862074"/>
    <w:rsid w:val="12883966"/>
    <w:rsid w:val="129E45B4"/>
    <w:rsid w:val="12D81596"/>
    <w:rsid w:val="12E110C3"/>
    <w:rsid w:val="13072A44"/>
    <w:rsid w:val="135F4BE2"/>
    <w:rsid w:val="139B1A0A"/>
    <w:rsid w:val="139D25C7"/>
    <w:rsid w:val="13AA3B19"/>
    <w:rsid w:val="13BF3CE4"/>
    <w:rsid w:val="13CE750E"/>
    <w:rsid w:val="141008D8"/>
    <w:rsid w:val="14125FE6"/>
    <w:rsid w:val="146D271E"/>
    <w:rsid w:val="14982588"/>
    <w:rsid w:val="149A5AD9"/>
    <w:rsid w:val="14A7619D"/>
    <w:rsid w:val="14F33AD1"/>
    <w:rsid w:val="150536C3"/>
    <w:rsid w:val="150C1963"/>
    <w:rsid w:val="151447A0"/>
    <w:rsid w:val="15196AB7"/>
    <w:rsid w:val="153674A4"/>
    <w:rsid w:val="154A6454"/>
    <w:rsid w:val="15762120"/>
    <w:rsid w:val="162437A1"/>
    <w:rsid w:val="16A8729C"/>
    <w:rsid w:val="16B33777"/>
    <w:rsid w:val="16BC70A7"/>
    <w:rsid w:val="16C6339E"/>
    <w:rsid w:val="172F2D79"/>
    <w:rsid w:val="17557BEF"/>
    <w:rsid w:val="179B701A"/>
    <w:rsid w:val="17D349C1"/>
    <w:rsid w:val="1830729E"/>
    <w:rsid w:val="1870062C"/>
    <w:rsid w:val="18817102"/>
    <w:rsid w:val="18830A15"/>
    <w:rsid w:val="18852B28"/>
    <w:rsid w:val="188624F1"/>
    <w:rsid w:val="188B5321"/>
    <w:rsid w:val="18905961"/>
    <w:rsid w:val="18A0712E"/>
    <w:rsid w:val="18CB5C26"/>
    <w:rsid w:val="19632E20"/>
    <w:rsid w:val="19932372"/>
    <w:rsid w:val="199B1FCC"/>
    <w:rsid w:val="19A20DD5"/>
    <w:rsid w:val="19AE03F1"/>
    <w:rsid w:val="1A071A03"/>
    <w:rsid w:val="1A1F16AE"/>
    <w:rsid w:val="1A3B5C77"/>
    <w:rsid w:val="1A984BAD"/>
    <w:rsid w:val="1AB8220E"/>
    <w:rsid w:val="1AD25EC1"/>
    <w:rsid w:val="1AE4166C"/>
    <w:rsid w:val="1AF06CFB"/>
    <w:rsid w:val="1AF11B8D"/>
    <w:rsid w:val="1B11359C"/>
    <w:rsid w:val="1B191602"/>
    <w:rsid w:val="1B2129A5"/>
    <w:rsid w:val="1B2A271F"/>
    <w:rsid w:val="1B356450"/>
    <w:rsid w:val="1B530544"/>
    <w:rsid w:val="1B713184"/>
    <w:rsid w:val="1B8D003A"/>
    <w:rsid w:val="1BA209CF"/>
    <w:rsid w:val="1BB4777D"/>
    <w:rsid w:val="1BD75AB8"/>
    <w:rsid w:val="1C0459C2"/>
    <w:rsid w:val="1C1B3B4A"/>
    <w:rsid w:val="1C512E16"/>
    <w:rsid w:val="1C7D1E5D"/>
    <w:rsid w:val="1C88086E"/>
    <w:rsid w:val="1CA67605"/>
    <w:rsid w:val="1CFE11EF"/>
    <w:rsid w:val="1D100F23"/>
    <w:rsid w:val="1D266CE1"/>
    <w:rsid w:val="1D2F5364"/>
    <w:rsid w:val="1D3963AF"/>
    <w:rsid w:val="1D6A673C"/>
    <w:rsid w:val="1D7414B2"/>
    <w:rsid w:val="1D796AC8"/>
    <w:rsid w:val="1D7E0F41"/>
    <w:rsid w:val="1D9247AE"/>
    <w:rsid w:val="1DB567EC"/>
    <w:rsid w:val="1DF51A98"/>
    <w:rsid w:val="1E3D060F"/>
    <w:rsid w:val="1E3F7D2E"/>
    <w:rsid w:val="1E4134E4"/>
    <w:rsid w:val="1E5062B3"/>
    <w:rsid w:val="1E523514"/>
    <w:rsid w:val="1E714A66"/>
    <w:rsid w:val="1E802593"/>
    <w:rsid w:val="1E8B6156"/>
    <w:rsid w:val="1EA703CC"/>
    <w:rsid w:val="1EB7330C"/>
    <w:rsid w:val="1EBF675C"/>
    <w:rsid w:val="1F0A0FF3"/>
    <w:rsid w:val="1F5771FF"/>
    <w:rsid w:val="1F5A6485"/>
    <w:rsid w:val="1FB262C1"/>
    <w:rsid w:val="1FD52DD5"/>
    <w:rsid w:val="1FE868A9"/>
    <w:rsid w:val="20034907"/>
    <w:rsid w:val="20173E4B"/>
    <w:rsid w:val="204E48BC"/>
    <w:rsid w:val="208921B3"/>
    <w:rsid w:val="20973DEB"/>
    <w:rsid w:val="20A420AE"/>
    <w:rsid w:val="20B26522"/>
    <w:rsid w:val="20B44310"/>
    <w:rsid w:val="210B5C89"/>
    <w:rsid w:val="211116EB"/>
    <w:rsid w:val="211422F1"/>
    <w:rsid w:val="214D44F3"/>
    <w:rsid w:val="216133FC"/>
    <w:rsid w:val="21D21FE3"/>
    <w:rsid w:val="21D56769"/>
    <w:rsid w:val="21E52EF3"/>
    <w:rsid w:val="21FB5D7B"/>
    <w:rsid w:val="21FE1FF8"/>
    <w:rsid w:val="22015E94"/>
    <w:rsid w:val="220B1C3D"/>
    <w:rsid w:val="221D1D20"/>
    <w:rsid w:val="22334A87"/>
    <w:rsid w:val="226D06CE"/>
    <w:rsid w:val="22B1391D"/>
    <w:rsid w:val="22BE6801"/>
    <w:rsid w:val="233500BF"/>
    <w:rsid w:val="23377209"/>
    <w:rsid w:val="23377FF7"/>
    <w:rsid w:val="235651B5"/>
    <w:rsid w:val="236B425F"/>
    <w:rsid w:val="23836192"/>
    <w:rsid w:val="23901F29"/>
    <w:rsid w:val="239C0061"/>
    <w:rsid w:val="239E57C6"/>
    <w:rsid w:val="23B908A4"/>
    <w:rsid w:val="23E95BEF"/>
    <w:rsid w:val="23FD0064"/>
    <w:rsid w:val="24025530"/>
    <w:rsid w:val="245375B0"/>
    <w:rsid w:val="24642C0A"/>
    <w:rsid w:val="24B22173"/>
    <w:rsid w:val="24B95AD9"/>
    <w:rsid w:val="24BE24DA"/>
    <w:rsid w:val="24C0096E"/>
    <w:rsid w:val="24CF5825"/>
    <w:rsid w:val="24D663E6"/>
    <w:rsid w:val="24D77F2B"/>
    <w:rsid w:val="258B00E2"/>
    <w:rsid w:val="25A917A6"/>
    <w:rsid w:val="25BE27CC"/>
    <w:rsid w:val="25F74A5C"/>
    <w:rsid w:val="260333D3"/>
    <w:rsid w:val="26143832"/>
    <w:rsid w:val="2628662C"/>
    <w:rsid w:val="262D45DE"/>
    <w:rsid w:val="26871DC8"/>
    <w:rsid w:val="26933531"/>
    <w:rsid w:val="26A53EF9"/>
    <w:rsid w:val="26A94201"/>
    <w:rsid w:val="26AC274F"/>
    <w:rsid w:val="27044A29"/>
    <w:rsid w:val="27145E72"/>
    <w:rsid w:val="271D34C8"/>
    <w:rsid w:val="276142BF"/>
    <w:rsid w:val="27783712"/>
    <w:rsid w:val="27907362"/>
    <w:rsid w:val="27A97114"/>
    <w:rsid w:val="28333E1D"/>
    <w:rsid w:val="28454BD6"/>
    <w:rsid w:val="28455253"/>
    <w:rsid w:val="28551971"/>
    <w:rsid w:val="285B1C53"/>
    <w:rsid w:val="289C7B0E"/>
    <w:rsid w:val="289F7086"/>
    <w:rsid w:val="28C32028"/>
    <w:rsid w:val="28CC490F"/>
    <w:rsid w:val="28DE40AA"/>
    <w:rsid w:val="292024ED"/>
    <w:rsid w:val="29345E77"/>
    <w:rsid w:val="294C65AD"/>
    <w:rsid w:val="29806583"/>
    <w:rsid w:val="298B3C4C"/>
    <w:rsid w:val="29F26D24"/>
    <w:rsid w:val="2A15033F"/>
    <w:rsid w:val="2A1662C1"/>
    <w:rsid w:val="2A1C7367"/>
    <w:rsid w:val="2A2815FA"/>
    <w:rsid w:val="2A2D1E18"/>
    <w:rsid w:val="2A6D6092"/>
    <w:rsid w:val="2A7D76B4"/>
    <w:rsid w:val="2B437463"/>
    <w:rsid w:val="2B4F2C16"/>
    <w:rsid w:val="2B7807EE"/>
    <w:rsid w:val="2BA50BF7"/>
    <w:rsid w:val="2BBF00EC"/>
    <w:rsid w:val="2BC37CFD"/>
    <w:rsid w:val="2BD5237F"/>
    <w:rsid w:val="2BE24F71"/>
    <w:rsid w:val="2BE536CE"/>
    <w:rsid w:val="2BE758D9"/>
    <w:rsid w:val="2C09049E"/>
    <w:rsid w:val="2C0A653C"/>
    <w:rsid w:val="2C191F85"/>
    <w:rsid w:val="2CE82D6F"/>
    <w:rsid w:val="2D343236"/>
    <w:rsid w:val="2DD15014"/>
    <w:rsid w:val="2DEFDFF9"/>
    <w:rsid w:val="2DF72DE4"/>
    <w:rsid w:val="2E0220AF"/>
    <w:rsid w:val="2E4B082A"/>
    <w:rsid w:val="2E5D4E86"/>
    <w:rsid w:val="2E5D790B"/>
    <w:rsid w:val="2E7C66C5"/>
    <w:rsid w:val="2E9A3C18"/>
    <w:rsid w:val="2EBB0FEE"/>
    <w:rsid w:val="2EC63002"/>
    <w:rsid w:val="2F0A6B38"/>
    <w:rsid w:val="2F946CCB"/>
    <w:rsid w:val="2FC17E5A"/>
    <w:rsid w:val="2FD25781"/>
    <w:rsid w:val="2FDC745C"/>
    <w:rsid w:val="2FFD7934"/>
    <w:rsid w:val="300509AB"/>
    <w:rsid w:val="302F1268"/>
    <w:rsid w:val="3033278F"/>
    <w:rsid w:val="303869B6"/>
    <w:rsid w:val="30733ACD"/>
    <w:rsid w:val="3086532C"/>
    <w:rsid w:val="308C3862"/>
    <w:rsid w:val="309379D8"/>
    <w:rsid w:val="30A270F7"/>
    <w:rsid w:val="30DF1478"/>
    <w:rsid w:val="30EC586F"/>
    <w:rsid w:val="310402C4"/>
    <w:rsid w:val="314550B7"/>
    <w:rsid w:val="319C6071"/>
    <w:rsid w:val="31A86798"/>
    <w:rsid w:val="31AC537E"/>
    <w:rsid w:val="31E3679B"/>
    <w:rsid w:val="31E732FD"/>
    <w:rsid w:val="32513763"/>
    <w:rsid w:val="32517576"/>
    <w:rsid w:val="32922495"/>
    <w:rsid w:val="32A8013C"/>
    <w:rsid w:val="32A95302"/>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5F439E"/>
    <w:rsid w:val="358D5588"/>
    <w:rsid w:val="363A3B40"/>
    <w:rsid w:val="365302AE"/>
    <w:rsid w:val="36607A0A"/>
    <w:rsid w:val="366E227C"/>
    <w:rsid w:val="366F2E0D"/>
    <w:rsid w:val="367B6A5C"/>
    <w:rsid w:val="36A74ADA"/>
    <w:rsid w:val="36AD60D5"/>
    <w:rsid w:val="36B224F9"/>
    <w:rsid w:val="36EC0CC9"/>
    <w:rsid w:val="373F410B"/>
    <w:rsid w:val="377C2FE5"/>
    <w:rsid w:val="37AE5168"/>
    <w:rsid w:val="37E32842"/>
    <w:rsid w:val="37EE7094"/>
    <w:rsid w:val="381A48D6"/>
    <w:rsid w:val="38296C89"/>
    <w:rsid w:val="383002EB"/>
    <w:rsid w:val="3842422E"/>
    <w:rsid w:val="38586797"/>
    <w:rsid w:val="387A0859"/>
    <w:rsid w:val="38BC0149"/>
    <w:rsid w:val="38D87D1C"/>
    <w:rsid w:val="390F4D30"/>
    <w:rsid w:val="39316051"/>
    <w:rsid w:val="39636459"/>
    <w:rsid w:val="396B7F6C"/>
    <w:rsid w:val="39B417A9"/>
    <w:rsid w:val="39FC5695"/>
    <w:rsid w:val="3A006D8E"/>
    <w:rsid w:val="3A3651E5"/>
    <w:rsid w:val="3A744481"/>
    <w:rsid w:val="3A8C7BEF"/>
    <w:rsid w:val="3A906246"/>
    <w:rsid w:val="3B2349B7"/>
    <w:rsid w:val="3B5A363D"/>
    <w:rsid w:val="3B616CFF"/>
    <w:rsid w:val="3B6259F6"/>
    <w:rsid w:val="3B976654"/>
    <w:rsid w:val="3B9823B7"/>
    <w:rsid w:val="3BB91DF6"/>
    <w:rsid w:val="3BC01EFC"/>
    <w:rsid w:val="3BCA786A"/>
    <w:rsid w:val="3BD31E2F"/>
    <w:rsid w:val="3BF15831"/>
    <w:rsid w:val="3C105946"/>
    <w:rsid w:val="3C131844"/>
    <w:rsid w:val="3C471448"/>
    <w:rsid w:val="3C5502A8"/>
    <w:rsid w:val="3C5F759A"/>
    <w:rsid w:val="3C6C525A"/>
    <w:rsid w:val="3C8D7A42"/>
    <w:rsid w:val="3C9708C1"/>
    <w:rsid w:val="3CCE23CB"/>
    <w:rsid w:val="3CD17D17"/>
    <w:rsid w:val="3CDE029E"/>
    <w:rsid w:val="3CE138EA"/>
    <w:rsid w:val="3D1E069A"/>
    <w:rsid w:val="3D3C7F39"/>
    <w:rsid w:val="3D440F09"/>
    <w:rsid w:val="3D4504A0"/>
    <w:rsid w:val="3D4641CD"/>
    <w:rsid w:val="3D5440BC"/>
    <w:rsid w:val="3D864BBD"/>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ECB6600"/>
    <w:rsid w:val="3F060E16"/>
    <w:rsid w:val="3F1D1096"/>
    <w:rsid w:val="3F2F0234"/>
    <w:rsid w:val="3F6363FE"/>
    <w:rsid w:val="3F756B8F"/>
    <w:rsid w:val="3F95482B"/>
    <w:rsid w:val="3FFFF29F"/>
    <w:rsid w:val="400B75FC"/>
    <w:rsid w:val="4019356B"/>
    <w:rsid w:val="40592157"/>
    <w:rsid w:val="406E1CAE"/>
    <w:rsid w:val="40A0133A"/>
    <w:rsid w:val="40AB6150"/>
    <w:rsid w:val="40AE0D9D"/>
    <w:rsid w:val="40C31A53"/>
    <w:rsid w:val="40FF545D"/>
    <w:rsid w:val="410067C8"/>
    <w:rsid w:val="41456B3D"/>
    <w:rsid w:val="418F0D2A"/>
    <w:rsid w:val="41D01505"/>
    <w:rsid w:val="42222E88"/>
    <w:rsid w:val="42474939"/>
    <w:rsid w:val="424C3C57"/>
    <w:rsid w:val="42613FF3"/>
    <w:rsid w:val="42660D96"/>
    <w:rsid w:val="426E5C20"/>
    <w:rsid w:val="428667D2"/>
    <w:rsid w:val="42CD1CE0"/>
    <w:rsid w:val="42E1381E"/>
    <w:rsid w:val="42ED6459"/>
    <w:rsid w:val="42FE58DD"/>
    <w:rsid w:val="43174B3D"/>
    <w:rsid w:val="434B790E"/>
    <w:rsid w:val="4360274F"/>
    <w:rsid w:val="43977AB6"/>
    <w:rsid w:val="43A3342B"/>
    <w:rsid w:val="43C77C27"/>
    <w:rsid w:val="43DE09EE"/>
    <w:rsid w:val="44002FAD"/>
    <w:rsid w:val="442229E7"/>
    <w:rsid w:val="449101DD"/>
    <w:rsid w:val="44AA6D2D"/>
    <w:rsid w:val="44B32884"/>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0F1C53"/>
    <w:rsid w:val="4811697D"/>
    <w:rsid w:val="483506A6"/>
    <w:rsid w:val="487A3E25"/>
    <w:rsid w:val="488B5503"/>
    <w:rsid w:val="48937E21"/>
    <w:rsid w:val="489A0361"/>
    <w:rsid w:val="48B94FF3"/>
    <w:rsid w:val="48E37AAB"/>
    <w:rsid w:val="48FD4B4C"/>
    <w:rsid w:val="490A68E0"/>
    <w:rsid w:val="491055FE"/>
    <w:rsid w:val="492E6109"/>
    <w:rsid w:val="495042D1"/>
    <w:rsid w:val="495F5B3E"/>
    <w:rsid w:val="496F77D7"/>
    <w:rsid w:val="497654FD"/>
    <w:rsid w:val="49B64211"/>
    <w:rsid w:val="49E56AF9"/>
    <w:rsid w:val="49F6167F"/>
    <w:rsid w:val="4A064FA0"/>
    <w:rsid w:val="4A16615C"/>
    <w:rsid w:val="4A4424D7"/>
    <w:rsid w:val="4A5A57C0"/>
    <w:rsid w:val="4AA93C99"/>
    <w:rsid w:val="4AB82D0F"/>
    <w:rsid w:val="4AEB7664"/>
    <w:rsid w:val="4AFD7C19"/>
    <w:rsid w:val="4B0567D1"/>
    <w:rsid w:val="4B236AAE"/>
    <w:rsid w:val="4B65492A"/>
    <w:rsid w:val="4B707271"/>
    <w:rsid w:val="4B9009B5"/>
    <w:rsid w:val="4B9739F7"/>
    <w:rsid w:val="4BD74836"/>
    <w:rsid w:val="4BEE2503"/>
    <w:rsid w:val="4C245A30"/>
    <w:rsid w:val="4C332309"/>
    <w:rsid w:val="4CB6685F"/>
    <w:rsid w:val="4CC367FE"/>
    <w:rsid w:val="4D01600E"/>
    <w:rsid w:val="4D077F3C"/>
    <w:rsid w:val="4D123355"/>
    <w:rsid w:val="4D2A3B31"/>
    <w:rsid w:val="4D312C52"/>
    <w:rsid w:val="4D905305"/>
    <w:rsid w:val="4D964A72"/>
    <w:rsid w:val="4D9C1254"/>
    <w:rsid w:val="4DC254FF"/>
    <w:rsid w:val="4DEB281B"/>
    <w:rsid w:val="4E793892"/>
    <w:rsid w:val="4E800872"/>
    <w:rsid w:val="4EC569ED"/>
    <w:rsid w:val="4ED50EA1"/>
    <w:rsid w:val="4EEC050C"/>
    <w:rsid w:val="4F104EC3"/>
    <w:rsid w:val="4F47354A"/>
    <w:rsid w:val="4F6D4A83"/>
    <w:rsid w:val="4F911C54"/>
    <w:rsid w:val="4FE04668"/>
    <w:rsid w:val="4FE625E0"/>
    <w:rsid w:val="5021480F"/>
    <w:rsid w:val="50327BA3"/>
    <w:rsid w:val="50371D47"/>
    <w:rsid w:val="5051105B"/>
    <w:rsid w:val="50670C70"/>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01E26"/>
    <w:rsid w:val="52A25790"/>
    <w:rsid w:val="52A96B6F"/>
    <w:rsid w:val="52B45975"/>
    <w:rsid w:val="52CB6777"/>
    <w:rsid w:val="52D94AA4"/>
    <w:rsid w:val="52EA3A62"/>
    <w:rsid w:val="52F50BB8"/>
    <w:rsid w:val="53097272"/>
    <w:rsid w:val="532E19C7"/>
    <w:rsid w:val="53544462"/>
    <w:rsid w:val="53690469"/>
    <w:rsid w:val="5397158E"/>
    <w:rsid w:val="54013861"/>
    <w:rsid w:val="54487265"/>
    <w:rsid w:val="544D6070"/>
    <w:rsid w:val="54605E1E"/>
    <w:rsid w:val="54B3506A"/>
    <w:rsid w:val="54CA0D16"/>
    <w:rsid w:val="54CF69F2"/>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B6EE22"/>
    <w:rsid w:val="57CD20C2"/>
    <w:rsid w:val="57D675AB"/>
    <w:rsid w:val="57D95FDD"/>
    <w:rsid w:val="57F329F7"/>
    <w:rsid w:val="58917D2F"/>
    <w:rsid w:val="5894085C"/>
    <w:rsid w:val="58AE4F0C"/>
    <w:rsid w:val="58B85899"/>
    <w:rsid w:val="58BA52C3"/>
    <w:rsid w:val="58E363A9"/>
    <w:rsid w:val="58EF353A"/>
    <w:rsid w:val="59084281"/>
    <w:rsid w:val="59294E82"/>
    <w:rsid w:val="595E1678"/>
    <w:rsid w:val="596D5BD4"/>
    <w:rsid w:val="597E3DD8"/>
    <w:rsid w:val="59B30690"/>
    <w:rsid w:val="59C75EEA"/>
    <w:rsid w:val="59F80043"/>
    <w:rsid w:val="5A09252F"/>
    <w:rsid w:val="5A097A8E"/>
    <w:rsid w:val="5A0B2778"/>
    <w:rsid w:val="5A2A7C7B"/>
    <w:rsid w:val="5A3E2560"/>
    <w:rsid w:val="5A5D3B6E"/>
    <w:rsid w:val="5A637A76"/>
    <w:rsid w:val="5A6D33BA"/>
    <w:rsid w:val="5A792B1F"/>
    <w:rsid w:val="5A874767"/>
    <w:rsid w:val="5A9F29C3"/>
    <w:rsid w:val="5AA747D8"/>
    <w:rsid w:val="5AA85BE2"/>
    <w:rsid w:val="5AAD6F28"/>
    <w:rsid w:val="5AD63A24"/>
    <w:rsid w:val="5AFB79F9"/>
    <w:rsid w:val="5B2E1A1D"/>
    <w:rsid w:val="5B843A1C"/>
    <w:rsid w:val="5B873E3F"/>
    <w:rsid w:val="5C02690E"/>
    <w:rsid w:val="5C196DA7"/>
    <w:rsid w:val="5C2A048C"/>
    <w:rsid w:val="5C5138D1"/>
    <w:rsid w:val="5C80234E"/>
    <w:rsid w:val="5C82089F"/>
    <w:rsid w:val="5C8A680C"/>
    <w:rsid w:val="5CD75A8B"/>
    <w:rsid w:val="5CF35D1E"/>
    <w:rsid w:val="5D0C4701"/>
    <w:rsid w:val="5D0F0395"/>
    <w:rsid w:val="5D221076"/>
    <w:rsid w:val="5D397964"/>
    <w:rsid w:val="5D5A391C"/>
    <w:rsid w:val="5D5F10C0"/>
    <w:rsid w:val="5D891B7B"/>
    <w:rsid w:val="5DAD38EE"/>
    <w:rsid w:val="5DE842E4"/>
    <w:rsid w:val="5E006862"/>
    <w:rsid w:val="5E0207B9"/>
    <w:rsid w:val="5E1834A1"/>
    <w:rsid w:val="5E261785"/>
    <w:rsid w:val="5E4A7017"/>
    <w:rsid w:val="5E552BBA"/>
    <w:rsid w:val="5E611C10"/>
    <w:rsid w:val="5E7A0F3F"/>
    <w:rsid w:val="5EFC7377"/>
    <w:rsid w:val="5F06174D"/>
    <w:rsid w:val="5F1514A5"/>
    <w:rsid w:val="5F3A3602"/>
    <w:rsid w:val="5F45733B"/>
    <w:rsid w:val="5F6277C6"/>
    <w:rsid w:val="5F6D0B1D"/>
    <w:rsid w:val="5F8D0B82"/>
    <w:rsid w:val="5FCC5339"/>
    <w:rsid w:val="5FE34A5B"/>
    <w:rsid w:val="5FFE1E36"/>
    <w:rsid w:val="60232584"/>
    <w:rsid w:val="607330CE"/>
    <w:rsid w:val="60825176"/>
    <w:rsid w:val="60913A7E"/>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66C31"/>
    <w:rsid w:val="62885958"/>
    <w:rsid w:val="62F40B65"/>
    <w:rsid w:val="62FC2CFE"/>
    <w:rsid w:val="63024505"/>
    <w:rsid w:val="635600A5"/>
    <w:rsid w:val="635B1DB5"/>
    <w:rsid w:val="637075F2"/>
    <w:rsid w:val="63711FED"/>
    <w:rsid w:val="63880DDC"/>
    <w:rsid w:val="638D750D"/>
    <w:rsid w:val="638F57A9"/>
    <w:rsid w:val="63A00CF2"/>
    <w:rsid w:val="63AC6CC0"/>
    <w:rsid w:val="64055776"/>
    <w:rsid w:val="64240056"/>
    <w:rsid w:val="643E143A"/>
    <w:rsid w:val="64491666"/>
    <w:rsid w:val="648B6EEF"/>
    <w:rsid w:val="648C045C"/>
    <w:rsid w:val="64C158BF"/>
    <w:rsid w:val="64CE2EAA"/>
    <w:rsid w:val="653C3090"/>
    <w:rsid w:val="65854376"/>
    <w:rsid w:val="658767BE"/>
    <w:rsid w:val="65892531"/>
    <w:rsid w:val="66195831"/>
    <w:rsid w:val="662E75B1"/>
    <w:rsid w:val="66342C2E"/>
    <w:rsid w:val="663E784C"/>
    <w:rsid w:val="66560D21"/>
    <w:rsid w:val="668B6A45"/>
    <w:rsid w:val="66AB3E09"/>
    <w:rsid w:val="67011F07"/>
    <w:rsid w:val="671632DE"/>
    <w:rsid w:val="672F3F24"/>
    <w:rsid w:val="673646AF"/>
    <w:rsid w:val="673E055F"/>
    <w:rsid w:val="67551CE3"/>
    <w:rsid w:val="67A22552"/>
    <w:rsid w:val="67B22DCC"/>
    <w:rsid w:val="67BE71AA"/>
    <w:rsid w:val="67D90273"/>
    <w:rsid w:val="67DE5875"/>
    <w:rsid w:val="67E55852"/>
    <w:rsid w:val="67EB1AB4"/>
    <w:rsid w:val="67FA1285"/>
    <w:rsid w:val="68470B22"/>
    <w:rsid w:val="68551F4F"/>
    <w:rsid w:val="687C10C9"/>
    <w:rsid w:val="68840C16"/>
    <w:rsid w:val="68872541"/>
    <w:rsid w:val="68876EFB"/>
    <w:rsid w:val="68884654"/>
    <w:rsid w:val="689F444F"/>
    <w:rsid w:val="68B96DBB"/>
    <w:rsid w:val="68CA2805"/>
    <w:rsid w:val="68E937A3"/>
    <w:rsid w:val="691664E5"/>
    <w:rsid w:val="691D62AE"/>
    <w:rsid w:val="693E15D3"/>
    <w:rsid w:val="69422B6D"/>
    <w:rsid w:val="69627681"/>
    <w:rsid w:val="6977531D"/>
    <w:rsid w:val="69777AD4"/>
    <w:rsid w:val="69CC2BFF"/>
    <w:rsid w:val="69FD55B8"/>
    <w:rsid w:val="6A0B1C62"/>
    <w:rsid w:val="6A2406C8"/>
    <w:rsid w:val="6A3E3EE8"/>
    <w:rsid w:val="6A707ED8"/>
    <w:rsid w:val="6A784403"/>
    <w:rsid w:val="6AAC472A"/>
    <w:rsid w:val="6ADE0BD1"/>
    <w:rsid w:val="6AE96859"/>
    <w:rsid w:val="6B147746"/>
    <w:rsid w:val="6B24787C"/>
    <w:rsid w:val="6B573233"/>
    <w:rsid w:val="6B5B6274"/>
    <w:rsid w:val="6B935D53"/>
    <w:rsid w:val="6C196F71"/>
    <w:rsid w:val="6C226FCB"/>
    <w:rsid w:val="6C31226F"/>
    <w:rsid w:val="6C552F0B"/>
    <w:rsid w:val="6C8C67B7"/>
    <w:rsid w:val="6C9D744C"/>
    <w:rsid w:val="6CD56390"/>
    <w:rsid w:val="6CE93F71"/>
    <w:rsid w:val="6D167928"/>
    <w:rsid w:val="6D26299B"/>
    <w:rsid w:val="6D2A2D99"/>
    <w:rsid w:val="6D4772EC"/>
    <w:rsid w:val="6D9078AF"/>
    <w:rsid w:val="6D9712DD"/>
    <w:rsid w:val="6DAA3FEF"/>
    <w:rsid w:val="6DC0172B"/>
    <w:rsid w:val="6DCB690C"/>
    <w:rsid w:val="6DD41A5B"/>
    <w:rsid w:val="6DF43C2E"/>
    <w:rsid w:val="6DF51CA3"/>
    <w:rsid w:val="6E8335BD"/>
    <w:rsid w:val="6E8E12EF"/>
    <w:rsid w:val="6E972936"/>
    <w:rsid w:val="6ED446C5"/>
    <w:rsid w:val="6EDD3457"/>
    <w:rsid w:val="6F2A7D94"/>
    <w:rsid w:val="6F8331F1"/>
    <w:rsid w:val="6FAE1A09"/>
    <w:rsid w:val="6FD75BF8"/>
    <w:rsid w:val="70003AAC"/>
    <w:rsid w:val="704B4683"/>
    <w:rsid w:val="707723D0"/>
    <w:rsid w:val="70C1148D"/>
    <w:rsid w:val="70F5661B"/>
    <w:rsid w:val="711808F3"/>
    <w:rsid w:val="71360107"/>
    <w:rsid w:val="713B688E"/>
    <w:rsid w:val="71C07997"/>
    <w:rsid w:val="71D43752"/>
    <w:rsid w:val="71F1796A"/>
    <w:rsid w:val="72154626"/>
    <w:rsid w:val="72262B5D"/>
    <w:rsid w:val="72283FF7"/>
    <w:rsid w:val="722E7212"/>
    <w:rsid w:val="723A0474"/>
    <w:rsid w:val="725923E4"/>
    <w:rsid w:val="725E426B"/>
    <w:rsid w:val="72864BF7"/>
    <w:rsid w:val="729023FC"/>
    <w:rsid w:val="72DD1E82"/>
    <w:rsid w:val="72F378F8"/>
    <w:rsid w:val="73833BC0"/>
    <w:rsid w:val="73C0646E"/>
    <w:rsid w:val="73E7CF11"/>
    <w:rsid w:val="742222F5"/>
    <w:rsid w:val="74476126"/>
    <w:rsid w:val="744F18F0"/>
    <w:rsid w:val="74706664"/>
    <w:rsid w:val="747F3682"/>
    <w:rsid w:val="749C4185"/>
    <w:rsid w:val="75067759"/>
    <w:rsid w:val="752B15CB"/>
    <w:rsid w:val="752E6DCD"/>
    <w:rsid w:val="7551380D"/>
    <w:rsid w:val="75600BE5"/>
    <w:rsid w:val="7564475C"/>
    <w:rsid w:val="7583797F"/>
    <w:rsid w:val="75D20F1D"/>
    <w:rsid w:val="75DA2C18"/>
    <w:rsid w:val="75F54412"/>
    <w:rsid w:val="761D08E0"/>
    <w:rsid w:val="764222BD"/>
    <w:rsid w:val="765D347C"/>
    <w:rsid w:val="76826699"/>
    <w:rsid w:val="76C87133"/>
    <w:rsid w:val="76CD08D5"/>
    <w:rsid w:val="76DB4B92"/>
    <w:rsid w:val="76FD013A"/>
    <w:rsid w:val="77052AA4"/>
    <w:rsid w:val="7709593C"/>
    <w:rsid w:val="770E1303"/>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1363F"/>
    <w:rsid w:val="7A4670D6"/>
    <w:rsid w:val="7A534B63"/>
    <w:rsid w:val="7A615382"/>
    <w:rsid w:val="7A67303B"/>
    <w:rsid w:val="7A6C06BC"/>
    <w:rsid w:val="7AAB1D04"/>
    <w:rsid w:val="7ABA4368"/>
    <w:rsid w:val="7AC2652D"/>
    <w:rsid w:val="7AD05746"/>
    <w:rsid w:val="7AE138F2"/>
    <w:rsid w:val="7B257FFD"/>
    <w:rsid w:val="7B272E6C"/>
    <w:rsid w:val="7B273D20"/>
    <w:rsid w:val="7B343476"/>
    <w:rsid w:val="7B5A2978"/>
    <w:rsid w:val="7B5A7E4C"/>
    <w:rsid w:val="7B667AF9"/>
    <w:rsid w:val="7B7468F8"/>
    <w:rsid w:val="7B8C6B3B"/>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77C009"/>
    <w:rsid w:val="7D7F63DA"/>
    <w:rsid w:val="7DB57A34"/>
    <w:rsid w:val="7DE247F1"/>
    <w:rsid w:val="7DE60973"/>
    <w:rsid w:val="7DEF0916"/>
    <w:rsid w:val="7E1E5218"/>
    <w:rsid w:val="7E213431"/>
    <w:rsid w:val="7E73355C"/>
    <w:rsid w:val="7E9A4E1F"/>
    <w:rsid w:val="7EA7723A"/>
    <w:rsid w:val="7EF56FBB"/>
    <w:rsid w:val="7F0768EB"/>
    <w:rsid w:val="7F143BEC"/>
    <w:rsid w:val="7F715AF2"/>
    <w:rsid w:val="7F886E69"/>
    <w:rsid w:val="7FE78504"/>
    <w:rsid w:val="7FF77312"/>
    <w:rsid w:val="8D7D2C28"/>
    <w:rsid w:val="BB7FA927"/>
    <w:rsid w:val="BF7F25B1"/>
    <w:rsid w:val="BFBAA751"/>
    <w:rsid w:val="CCCD17A7"/>
    <w:rsid w:val="EEFBF7B9"/>
    <w:rsid w:val="EFF78FE4"/>
    <w:rsid w:val="F5FFD31F"/>
    <w:rsid w:val="F65FC941"/>
    <w:rsid w:val="F6FF6924"/>
    <w:rsid w:val="FBFE1439"/>
    <w:rsid w:val="FBFEB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7"/>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3"/>
    <w:qFormat/>
    <w:uiPriority w:val="0"/>
    <w:pPr>
      <w:ind w:firstLine="420"/>
    </w:pPr>
    <w:rPr>
      <w:rFonts w:hAnsi="Calibri" w:cs="Times New Roman"/>
      <w:snapToGrid/>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127"/>
    <w:qFormat/>
    <w:uiPriority w:val="0"/>
    <w:rPr>
      <w:rFonts w:ascii="宋体" w:hAnsi="Courier New" w:cs="Arial"/>
      <w:snapToGrid w:val="0"/>
      <w:szCs w:val="21"/>
    </w:rPr>
  </w:style>
  <w:style w:type="paragraph" w:styleId="34">
    <w:name w:val="toc 2"/>
    <w:basedOn w:val="1"/>
    <w:next w:val="1"/>
    <w:qFormat/>
    <w:uiPriority w:val="0"/>
    <w:pPr>
      <w:ind w:left="420" w:leftChars="200"/>
    </w:p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4"/>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8"/>
    <w:qFormat/>
    <w:uiPriority w:val="0"/>
    <w:rPr>
      <w:b/>
      <w:bCs/>
    </w:rPr>
  </w:style>
  <w:style w:type="paragraph" w:styleId="61">
    <w:name w:val="Body Text First Indent 2"/>
    <w:basedOn w:val="2"/>
    <w:next w:val="25"/>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Body Text First Indent 21"/>
    <w:basedOn w:val="80"/>
    <w:qFormat/>
    <w:uiPriority w:val="0"/>
    <w:pPr>
      <w:spacing w:after="120" w:line="240" w:lineRule="auto"/>
      <w:ind w:left="420" w:leftChars="200" w:firstLine="420"/>
    </w:pPr>
    <w:rPr>
      <w:rFonts w:ascii="Times New Roman" w:hAnsi="Times New Roman" w:eastAsia="宋体" w:cs="宋体"/>
      <w:sz w:val="21"/>
      <w:szCs w:val="21"/>
    </w:rPr>
  </w:style>
  <w:style w:type="paragraph" w:customStyle="1" w:styleId="80">
    <w:name w:val="Body Text Indent1"/>
    <w:basedOn w:val="1"/>
    <w:next w:val="1"/>
    <w:qFormat/>
    <w:uiPriority w:val="0"/>
    <w:pPr>
      <w:spacing w:after="120"/>
      <w:ind w:left="420" w:leftChars="200"/>
    </w:pPr>
    <w:rPr>
      <w:color w:val="000000"/>
      <w:sz w:val="21"/>
      <w:szCs w:val="21"/>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1"/>
    <w:qFormat/>
    <w:uiPriority w:val="0"/>
    <w:rPr>
      <w:rFonts w:ascii="宋体" w:hAnsi="宋体"/>
      <w:kern w:val="2"/>
      <w:sz w:val="21"/>
      <w:szCs w:val="24"/>
    </w:rPr>
  </w:style>
  <w:style w:type="character" w:customStyle="1" w:styleId="124">
    <w:name w:val="font11"/>
    <w:basedOn w:val="69"/>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7"/>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basedOn w:val="69"/>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7"/>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5"/>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0"/>
    <w:qFormat/>
    <w:uiPriority w:val="99"/>
    <w:rPr>
      <w:kern w:val="2"/>
      <w:sz w:val="21"/>
      <w:szCs w:val="24"/>
    </w:rPr>
  </w:style>
  <w:style w:type="character" w:customStyle="1" w:styleId="347">
    <w:name w:val="签名 Char"/>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9"/>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0表头样式"/>
    <w:basedOn w:val="968"/>
    <w:qFormat/>
    <w:uiPriority w:val="0"/>
    <w:pPr>
      <w:jc w:val="center"/>
    </w:pPr>
    <w:rPr>
      <w:b/>
    </w:rPr>
  </w:style>
  <w:style w:type="paragraph" w:customStyle="1" w:styleId="968">
    <w:name w:val="0表格样式"/>
    <w:basedOn w:val="1"/>
    <w:qFormat/>
    <w:uiPriority w:val="0"/>
    <w:rPr>
      <w:rFonts w:cs="Calibri"/>
      <w:szCs w:val="21"/>
    </w:rPr>
  </w:style>
  <w:style w:type="paragraph" w:customStyle="1" w:styleId="969">
    <w:name w:val="H表正"/>
    <w:basedOn w:val="1"/>
    <w:qFormat/>
    <w:uiPriority w:val="0"/>
    <w:pPr>
      <w:widowControl/>
    </w:pPr>
    <w:rPr>
      <w:rFonts w:ascii="宋体" w:hAnsi="宋体" w:cs="Calibri"/>
      <w:color w:val="000000"/>
      <w:kern w:val="0"/>
      <w:sz w:val="20"/>
      <w:szCs w:val="20"/>
    </w:rPr>
  </w:style>
  <w:style w:type="paragraph" w:customStyle="1" w:styleId="970">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1">
    <w:name w:val="正文缩进_0"/>
    <w:basedOn w:val="1"/>
    <w:qFormat/>
    <w:uiPriority w:val="0"/>
    <w:pPr>
      <w:ind w:firstLine="420"/>
    </w:pPr>
    <w:rPr>
      <w:rFonts w:ascii="Calibri" w:hAnsi="Calibri" w:cs="Calibri"/>
      <w:kern w:val="0"/>
      <w:sz w:val="24"/>
      <w:szCs w:val="20"/>
    </w:rPr>
  </w:style>
  <w:style w:type="character" w:customStyle="1" w:styleId="972">
    <w:name w:val="10"/>
    <w:qFormat/>
    <w:uiPriority w:val="0"/>
    <w:rPr>
      <w:rFonts w:hint="default" w:ascii="Times New Roman" w:hAnsi="Times New Roman" w:cs="Times New Roman"/>
    </w:rPr>
  </w:style>
  <w:style w:type="paragraph" w:customStyle="1" w:styleId="973">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4">
    <w:name w:val="H表_1"/>
    <w:basedOn w:val="1"/>
    <w:qFormat/>
    <w:uiPriority w:val="0"/>
    <w:pPr>
      <w:widowControl/>
      <w:jc w:val="center"/>
    </w:pPr>
    <w:rPr>
      <w:rFonts w:ascii="宋体" w:hAnsi="宋体" w:cs="Calibri"/>
      <w:kern w:val="0"/>
      <w:sz w:val="20"/>
      <w:szCs w:val="20"/>
    </w:rPr>
  </w:style>
  <w:style w:type="paragraph" w:customStyle="1" w:styleId="975">
    <w:name w:val="jd-正文1"/>
    <w:basedOn w:val="1"/>
    <w:qFormat/>
    <w:uiPriority w:val="0"/>
    <w:pPr>
      <w:widowControl/>
      <w:spacing w:line="360" w:lineRule="auto"/>
      <w:ind w:firstLine="482" w:firstLineChars="200"/>
    </w:pPr>
    <w:rPr>
      <w:rFonts w:ascii="宋体" w:hAnsi="宋体" w:eastAsia="宋体" w:cs="宋体"/>
      <w:sz w:val="24"/>
      <w:szCs w:val="20"/>
    </w:rPr>
  </w:style>
  <w:style w:type="paragraph" w:customStyle="1" w:styleId="976">
    <w:name w:val="_正文"/>
    <w:basedOn w:val="1"/>
    <w:qFormat/>
    <w:uiPriority w:val="0"/>
    <w:pPr>
      <w:tabs>
        <w:tab w:val="left" w:pos="840"/>
      </w:tabs>
      <w:spacing w:line="360" w:lineRule="auto"/>
      <w:ind w:firstLine="200" w:firstLineChars="200"/>
    </w:pPr>
    <w:rPr>
      <w:sz w:val="24"/>
    </w:rPr>
  </w:style>
  <w:style w:type="paragraph" w:customStyle="1" w:styleId="977">
    <w:name w:val="正文（上会）"/>
    <w:basedOn w:val="1"/>
    <w:qFormat/>
    <w:uiPriority w:val="0"/>
    <w:pPr>
      <w:spacing w:line="336" w:lineRule="auto"/>
      <w:ind w:firstLine="200" w:firstLineChars="200"/>
    </w:pPr>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94</Pages>
  <Words>50687</Words>
  <Characters>53494</Characters>
  <Lines>281</Lines>
  <Paragraphs>79</Paragraphs>
  <TotalTime>8</TotalTime>
  <ScaleCrop>false</ScaleCrop>
  <LinksUpToDate>false</LinksUpToDate>
  <CharactersWithSpaces>59179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2021-08-01T08:22:00Z</dcterms:created>
  <dc:creator>玥</dc:creator>
  <cp:lastModifiedBy>呱呱</cp:lastModifiedBy>
  <cp:lastPrinted>2021-12-29T11:06:00Z</cp:lastPrinted>
  <dcterms:modified xsi:type="dcterms:W3CDTF">2025-06-26T07:10:38Z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2B496364F3694F199AC352633190045B_13</vt:lpwstr>
  </property>
  <property fmtid="{D5CDD505-2E9C-101B-9397-08002B2CF9AE}" pid="5" name="KSOTemplateDocerSaveRecord">
    <vt:lpwstr>eyJoZGlkIjoiZmM1NGQ3ZDIwMzgyZTI3MDhlYjI2M2RlN2Q5M2I4YTUiLCJ1c2VySWQiOiI0NDg3MDg0OTkifQ==</vt:lpwstr>
  </property>
</Properties>
</file>